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70C" w:rsidRPr="00612488" w:rsidRDefault="00A8197C" w:rsidP="00BB6565">
      <w:pPr>
        <w:pStyle w:val="ReportTitle"/>
        <w:rPr>
          <w:color w:val="B41F22" w:themeColor="accent1"/>
        </w:rPr>
      </w:pPr>
      <w:bookmarkStart w:id="0" w:name="_GoBack"/>
      <w:bookmarkEnd w:id="0"/>
      <w:r w:rsidRPr="00612488">
        <w:rPr>
          <w:color w:val="B41F22" w:themeColor="accent1"/>
        </w:rPr>
        <w:t xml:space="preserve">Victorian </w:t>
      </w:r>
      <w:r w:rsidR="00834D5D">
        <w:rPr>
          <w:color w:val="B41F22" w:themeColor="accent1"/>
        </w:rPr>
        <w:t>T</w:t>
      </w:r>
      <w:r w:rsidRPr="00612488">
        <w:rPr>
          <w:color w:val="B41F22" w:themeColor="accent1"/>
        </w:rPr>
        <w:t xml:space="preserve">raining </w:t>
      </w:r>
      <w:r w:rsidR="00834D5D">
        <w:rPr>
          <w:color w:val="B41F22" w:themeColor="accent1"/>
        </w:rPr>
        <w:t>Ma</w:t>
      </w:r>
      <w:r w:rsidRPr="00612488">
        <w:rPr>
          <w:color w:val="B41F22" w:themeColor="accent1"/>
        </w:rPr>
        <w:t xml:space="preserve">rket </w:t>
      </w:r>
      <w:r w:rsidR="00834D5D">
        <w:rPr>
          <w:color w:val="B41F22" w:themeColor="accent1"/>
        </w:rPr>
        <w:t>R</w:t>
      </w:r>
      <w:r w:rsidRPr="00612488">
        <w:rPr>
          <w:color w:val="B41F22" w:themeColor="accent1"/>
        </w:rPr>
        <w:t>eport</w:t>
      </w:r>
    </w:p>
    <w:p w:rsidR="0073570C" w:rsidRPr="00112C0B" w:rsidRDefault="00834D5D" w:rsidP="00827D13">
      <w:pPr>
        <w:pStyle w:val="ReportSub-Title"/>
        <w:spacing w:line="240" w:lineRule="auto"/>
        <w:rPr>
          <w:color w:val="7F7F7F" w:themeColor="text1" w:themeTint="80"/>
        </w:rPr>
      </w:pPr>
      <w:r>
        <w:rPr>
          <w:color w:val="7F7F7F" w:themeColor="text1" w:themeTint="80"/>
        </w:rPr>
        <w:t xml:space="preserve">2015 </w:t>
      </w:r>
      <w:r w:rsidR="009B54E9" w:rsidRPr="00112C0B">
        <w:rPr>
          <w:color w:val="7F7F7F" w:themeColor="text1" w:themeTint="80"/>
        </w:rPr>
        <w:t xml:space="preserve">Half </w:t>
      </w:r>
      <w:r>
        <w:rPr>
          <w:color w:val="7F7F7F" w:themeColor="text1" w:themeTint="80"/>
        </w:rPr>
        <w:t>Y</w:t>
      </w:r>
      <w:r w:rsidR="009B54E9" w:rsidRPr="00112C0B">
        <w:rPr>
          <w:color w:val="7F7F7F" w:themeColor="text1" w:themeTint="80"/>
        </w:rPr>
        <w:t>ear</w:t>
      </w:r>
    </w:p>
    <w:p w:rsidR="00FF0082" w:rsidRPr="00365EB2" w:rsidRDefault="00FF0082"/>
    <w:p w:rsidR="00A73482" w:rsidRPr="00365EB2" w:rsidRDefault="00A73482"/>
    <w:p w:rsidR="00385DBA" w:rsidRPr="00365EB2" w:rsidRDefault="00385DBA">
      <w:pPr>
        <w:sectPr w:rsidR="00385DBA" w:rsidRPr="00365EB2" w:rsidSect="00A8197C">
          <w:headerReference w:type="first" r:id="rId12"/>
          <w:pgSz w:w="11907" w:h="16840" w:code="9"/>
          <w:pgMar w:top="471" w:right="346" w:bottom="12106" w:left="7938" w:header="136" w:footer="709" w:gutter="0"/>
          <w:cols w:space="708"/>
          <w:titlePg/>
          <w:docGrid w:linePitch="360"/>
        </w:sectPr>
      </w:pPr>
    </w:p>
    <w:p w:rsidR="00951867" w:rsidRPr="00365EB2" w:rsidRDefault="00951867" w:rsidP="00951867">
      <w:pPr>
        <w:pStyle w:val="CopyrightDetailsBold"/>
      </w:pPr>
    </w:p>
    <w:p w:rsidR="00AA11E9" w:rsidRPr="00365EB2" w:rsidRDefault="00AA11E9" w:rsidP="00951867">
      <w:pPr>
        <w:pStyle w:val="CopyrightDetailsBold"/>
      </w:pPr>
    </w:p>
    <w:p w:rsidR="00AA11E9" w:rsidRPr="00365EB2" w:rsidRDefault="00AA11E9" w:rsidP="00951867">
      <w:pPr>
        <w:pStyle w:val="CopyrightDetailsBold"/>
      </w:pPr>
    </w:p>
    <w:p w:rsidR="00AA11E9" w:rsidRPr="00365EB2" w:rsidRDefault="00AA11E9" w:rsidP="00951867">
      <w:pPr>
        <w:pStyle w:val="CopyrightDetailsBold"/>
      </w:pPr>
    </w:p>
    <w:p w:rsidR="00AA11E9" w:rsidRPr="00365EB2" w:rsidRDefault="00AA11E9" w:rsidP="00951867">
      <w:pPr>
        <w:pStyle w:val="CopyrightDetailsBold"/>
      </w:pPr>
    </w:p>
    <w:p w:rsidR="00AA11E9" w:rsidRPr="00365EB2" w:rsidRDefault="00AA11E9" w:rsidP="00951867">
      <w:pPr>
        <w:pStyle w:val="CopyrightDetailsBold"/>
      </w:pPr>
    </w:p>
    <w:p w:rsidR="00AA11E9" w:rsidRPr="00365EB2" w:rsidRDefault="00AA11E9" w:rsidP="00951867">
      <w:pPr>
        <w:pStyle w:val="CopyrightDetailsBold"/>
      </w:pPr>
    </w:p>
    <w:p w:rsidR="00AA11E9" w:rsidRPr="00365EB2" w:rsidRDefault="00AA11E9" w:rsidP="00951867">
      <w:pPr>
        <w:pStyle w:val="CopyrightDetailsBold"/>
      </w:pPr>
    </w:p>
    <w:p w:rsidR="00AA11E9" w:rsidRPr="00365EB2" w:rsidRDefault="00AA11E9" w:rsidP="00951867">
      <w:pPr>
        <w:pStyle w:val="CopyrightDetailsBold"/>
      </w:pPr>
    </w:p>
    <w:p w:rsidR="00AA11E9" w:rsidRPr="00365EB2" w:rsidRDefault="00AA11E9" w:rsidP="00951867">
      <w:pPr>
        <w:pStyle w:val="CopyrightDetailsBold"/>
      </w:pPr>
    </w:p>
    <w:p w:rsidR="00AA11E9" w:rsidRPr="00365EB2" w:rsidRDefault="00AA11E9" w:rsidP="00951867">
      <w:pPr>
        <w:pStyle w:val="CopyrightDetailsBold"/>
      </w:pPr>
    </w:p>
    <w:p w:rsidR="00AA11E9" w:rsidRPr="00365EB2" w:rsidRDefault="00AA11E9" w:rsidP="00951867">
      <w:pPr>
        <w:pStyle w:val="CopyrightDetailsBold"/>
      </w:pPr>
    </w:p>
    <w:p w:rsidR="00AA11E9" w:rsidRPr="00365EB2" w:rsidRDefault="00AA11E9" w:rsidP="00951867">
      <w:pPr>
        <w:pStyle w:val="CopyrightDetailsBold"/>
      </w:pPr>
    </w:p>
    <w:p w:rsidR="00AA11E9" w:rsidRPr="00365EB2" w:rsidRDefault="00AA11E9" w:rsidP="00951867">
      <w:pPr>
        <w:pStyle w:val="CopyrightDetailsBold"/>
      </w:pPr>
    </w:p>
    <w:p w:rsidR="00AA11E9" w:rsidRPr="00365EB2" w:rsidRDefault="00AA11E9" w:rsidP="00951867">
      <w:pPr>
        <w:pStyle w:val="CopyrightDetailsBold"/>
      </w:pPr>
    </w:p>
    <w:p w:rsidR="00AA11E9" w:rsidRPr="00365EB2" w:rsidRDefault="00AA11E9" w:rsidP="00951867">
      <w:pPr>
        <w:pStyle w:val="CopyrightDetailsBold"/>
      </w:pPr>
    </w:p>
    <w:p w:rsidR="00AA11E9" w:rsidRPr="00365EB2" w:rsidRDefault="00AA11E9" w:rsidP="00951867">
      <w:pPr>
        <w:pStyle w:val="CopyrightDetailsBold"/>
      </w:pPr>
    </w:p>
    <w:p w:rsidR="00AA11E9" w:rsidRPr="00365EB2" w:rsidRDefault="00AA11E9" w:rsidP="00951867">
      <w:pPr>
        <w:pStyle w:val="CopyrightDetailsBold"/>
      </w:pPr>
    </w:p>
    <w:p w:rsidR="00AA11E9" w:rsidRPr="00365EB2" w:rsidRDefault="00AA11E9" w:rsidP="00951867">
      <w:pPr>
        <w:pStyle w:val="CopyrightDetailsBold"/>
      </w:pPr>
    </w:p>
    <w:p w:rsidR="00AA11E9" w:rsidRPr="00365EB2" w:rsidRDefault="00AA11E9" w:rsidP="00951867">
      <w:pPr>
        <w:pStyle w:val="CopyrightDetailsBold"/>
      </w:pPr>
    </w:p>
    <w:p w:rsidR="00AA11E9" w:rsidRPr="00365EB2" w:rsidRDefault="00AA11E9" w:rsidP="00951867">
      <w:pPr>
        <w:pStyle w:val="CopyrightDetailsBold"/>
      </w:pPr>
    </w:p>
    <w:p w:rsidR="0008367A" w:rsidRPr="00DE7971" w:rsidRDefault="0008367A" w:rsidP="0008367A">
      <w:pPr>
        <w:pStyle w:val="CopyrightDetailsBold"/>
        <w:rPr>
          <w:color w:val="7F7F7F" w:themeColor="text2"/>
        </w:rPr>
      </w:pPr>
      <w:r w:rsidRPr="00DE7971">
        <w:rPr>
          <w:color w:val="7F7F7F" w:themeColor="text2"/>
        </w:rPr>
        <w:t>Published by the</w:t>
      </w:r>
      <w:r w:rsidRPr="00DE7971">
        <w:rPr>
          <w:color w:val="7F7F7F" w:themeColor="text2"/>
        </w:rPr>
        <w:br/>
        <w:t>Communications Division</w:t>
      </w:r>
      <w:r w:rsidRPr="00DE7971">
        <w:rPr>
          <w:color w:val="7F7F7F" w:themeColor="text2"/>
        </w:rPr>
        <w:br/>
        <w:t xml:space="preserve">for </w:t>
      </w:r>
      <w:r w:rsidR="00A8197C" w:rsidRPr="00DE7971">
        <w:rPr>
          <w:color w:val="7F7F7F" w:themeColor="text2"/>
        </w:rPr>
        <w:t xml:space="preserve">the </w:t>
      </w:r>
      <w:r w:rsidR="00FE5B63" w:rsidRPr="00DE7971">
        <w:rPr>
          <w:color w:val="7F7F7F" w:themeColor="text2"/>
        </w:rPr>
        <w:t>Higher Education and Skills Group</w:t>
      </w:r>
      <w:r w:rsidRPr="00DE7971">
        <w:rPr>
          <w:color w:val="7F7F7F" w:themeColor="text2"/>
        </w:rPr>
        <w:br/>
        <w:t>Department of Education and Training</w:t>
      </w:r>
    </w:p>
    <w:p w:rsidR="0008367A" w:rsidRPr="00365EB2" w:rsidRDefault="00A8197C" w:rsidP="0008367A">
      <w:pPr>
        <w:pStyle w:val="CopyrightDetails"/>
      </w:pPr>
      <w:r w:rsidRPr="00365EB2">
        <w:t xml:space="preserve">Melbourne </w:t>
      </w:r>
      <w:r w:rsidR="0008367A" w:rsidRPr="00365EB2">
        <w:br/>
      </w:r>
      <w:r w:rsidR="00F34AC3">
        <w:t>October</w:t>
      </w:r>
      <w:r w:rsidRPr="00365EB2">
        <w:t xml:space="preserve"> 2015</w:t>
      </w:r>
    </w:p>
    <w:p w:rsidR="0008367A" w:rsidRPr="00365EB2" w:rsidRDefault="0008367A" w:rsidP="0008367A">
      <w:pPr>
        <w:pStyle w:val="CopyrightDetails"/>
      </w:pPr>
    </w:p>
    <w:p w:rsidR="0008367A" w:rsidRPr="00365EB2" w:rsidRDefault="0008367A" w:rsidP="0008367A">
      <w:pPr>
        <w:pStyle w:val="CopyrightDetails"/>
      </w:pPr>
      <w:r w:rsidRPr="00365EB2">
        <w:t>©State of Victoria (Department of Education</w:t>
      </w:r>
      <w:r w:rsidR="00F23F1F" w:rsidRPr="00365EB2">
        <w:t xml:space="preserve"> </w:t>
      </w:r>
      <w:r w:rsidRPr="00365EB2">
        <w:t>and Training</w:t>
      </w:r>
      <w:r w:rsidR="00A8197C" w:rsidRPr="00365EB2">
        <w:t>) 2015</w:t>
      </w:r>
    </w:p>
    <w:p w:rsidR="0008367A" w:rsidRPr="00365EB2" w:rsidRDefault="0008367A" w:rsidP="0008367A">
      <w:pPr>
        <w:pStyle w:val="CopyrightDetails"/>
      </w:pPr>
    </w:p>
    <w:p w:rsidR="0008367A" w:rsidRPr="00365EB2" w:rsidRDefault="0008367A" w:rsidP="0008367A">
      <w:pPr>
        <w:pStyle w:val="CopyrightDetails"/>
      </w:pPr>
      <w:r w:rsidRPr="00365EB2">
        <w:t xml:space="preserve">The copyright in this document is owned by the State of Victoria (Department of Education and Training), or in the case of some materials, by third parties (third party materials). No part </w:t>
      </w:r>
      <w:proofErr w:type="gramStart"/>
      <w:r w:rsidRPr="00365EB2">
        <w:t>may be reproduced</w:t>
      </w:r>
      <w:proofErr w:type="gramEnd"/>
      <w:r w:rsidRPr="00365EB2">
        <w:t xml:space="preserve"> by any process except in accordance with the provisions of the Copyright Act 1968, the National Education Access Licence for Schools (NEALS) (see below) or with permission.</w:t>
      </w:r>
    </w:p>
    <w:p w:rsidR="0008367A" w:rsidRPr="00365EB2" w:rsidRDefault="0008367A" w:rsidP="0008367A">
      <w:pPr>
        <w:pStyle w:val="CopyrightDetails"/>
      </w:pPr>
    </w:p>
    <w:p w:rsidR="0008367A" w:rsidRPr="00365EB2" w:rsidRDefault="0008367A" w:rsidP="0008367A">
      <w:pPr>
        <w:pStyle w:val="CopyrightDetails-Logo"/>
      </w:pPr>
    </w:p>
    <w:p w:rsidR="0008367A" w:rsidRPr="00365EB2" w:rsidRDefault="0008367A" w:rsidP="0008367A">
      <w:pPr>
        <w:pStyle w:val="CopyrightDetails"/>
      </w:pPr>
    </w:p>
    <w:p w:rsidR="0008367A" w:rsidRPr="00365EB2" w:rsidRDefault="0008367A" w:rsidP="0008367A">
      <w:pPr>
        <w:pStyle w:val="CopyrightDetails"/>
      </w:pPr>
      <w:r w:rsidRPr="00365EB2">
        <w:t xml:space="preserve">An educational institution situated in </w:t>
      </w:r>
      <w:proofErr w:type="gramStart"/>
      <w:r w:rsidRPr="00365EB2">
        <w:t>Australia which</w:t>
      </w:r>
      <w:proofErr w:type="gramEnd"/>
      <w:r w:rsidRPr="00365EB2">
        <w:t xml:space="preserve"> is not conducted for profit, or a body responsible for administering such an institution may copy and communicate the materials, other than third party materials, for the educational purposes of the institution.</w:t>
      </w:r>
    </w:p>
    <w:p w:rsidR="0008367A" w:rsidRPr="00365EB2" w:rsidRDefault="0008367A" w:rsidP="0008367A">
      <w:pPr>
        <w:pStyle w:val="CopyrightDetails"/>
      </w:pPr>
    </w:p>
    <w:p w:rsidR="0008367A" w:rsidRPr="00365EB2" w:rsidRDefault="0008367A" w:rsidP="0008367A">
      <w:pPr>
        <w:pStyle w:val="CopyrightDetails"/>
      </w:pPr>
      <w:r w:rsidRPr="00365EB2">
        <w:t>Authorised by the Department of Education</w:t>
      </w:r>
      <w:r w:rsidRPr="00365EB2">
        <w:br/>
        <w:t>and Training</w:t>
      </w:r>
      <w:proofErr w:type="gramStart"/>
      <w:r w:rsidRPr="00365EB2">
        <w:t>,</w:t>
      </w:r>
      <w:proofErr w:type="gramEnd"/>
      <w:r w:rsidRPr="00365EB2">
        <w:br/>
        <w:t>2 Treasury Place, East Melbourne, Victoria, 3002.</w:t>
      </w:r>
      <w:r w:rsidRPr="00365EB2">
        <w:br/>
        <w:t>This document is also available on the internet at</w:t>
      </w:r>
      <w:r w:rsidRPr="00365EB2">
        <w:br/>
      </w:r>
      <w:r w:rsidR="00A8197C" w:rsidRPr="00365EB2">
        <w:t>http://www.education.vic.gov.au/training/providers/market/pages/reports.aspx</w:t>
      </w:r>
      <w:r w:rsidRPr="00365EB2">
        <w:t>.</w:t>
      </w:r>
    </w:p>
    <w:p w:rsidR="000031E0" w:rsidRPr="00365EB2" w:rsidRDefault="000031E0"/>
    <w:p w:rsidR="00385DBA" w:rsidRPr="00365EB2" w:rsidRDefault="00385DBA">
      <w:pPr>
        <w:sectPr w:rsidR="00385DBA" w:rsidRPr="00365EB2" w:rsidSect="00A8197C">
          <w:headerReference w:type="even" r:id="rId13"/>
          <w:headerReference w:type="default" r:id="rId14"/>
          <w:footerReference w:type="even" r:id="rId15"/>
          <w:footerReference w:type="default" r:id="rId16"/>
          <w:headerReference w:type="first" r:id="rId17"/>
          <w:footerReference w:type="first" r:id="rId18"/>
          <w:pgSz w:w="11907" w:h="16840" w:code="9"/>
          <w:pgMar w:top="907" w:right="4536" w:bottom="1009" w:left="1707" w:header="420" w:footer="216" w:gutter="0"/>
          <w:cols w:space="708"/>
          <w:docGrid w:linePitch="360"/>
        </w:sectPr>
      </w:pPr>
    </w:p>
    <w:p w:rsidR="00431919" w:rsidRPr="00612488" w:rsidRDefault="00FF7883" w:rsidP="00171F01">
      <w:pPr>
        <w:pStyle w:val="Heading1"/>
        <w:numPr>
          <w:ilvl w:val="0"/>
          <w:numId w:val="0"/>
        </w:numPr>
        <w:ind w:right="770"/>
        <w:rPr>
          <w:bCs w:val="0"/>
          <w:color w:val="B41F22" w:themeColor="accent1"/>
        </w:rPr>
      </w:pPr>
      <w:bookmarkStart w:id="1" w:name="_Toc432758311"/>
      <w:r w:rsidRPr="00612488">
        <w:rPr>
          <w:bCs w:val="0"/>
          <w:color w:val="B41F22" w:themeColor="accent1"/>
        </w:rPr>
        <w:lastRenderedPageBreak/>
        <w:t>Contents</w:t>
      </w:r>
      <w:bookmarkEnd w:id="1"/>
    </w:p>
    <w:p w:rsidR="00FF7883" w:rsidRPr="00365EB2" w:rsidRDefault="00FF7883" w:rsidP="00FE2A45">
      <w:pPr>
        <w:spacing w:after="120"/>
        <w:rPr>
          <w:rStyle w:val="Strong"/>
        </w:rPr>
      </w:pPr>
    </w:p>
    <w:p w:rsidR="00C16653" w:rsidRDefault="0031494E" w:rsidP="00C16653">
      <w:pPr>
        <w:pStyle w:val="TOC1"/>
        <w:spacing w:after="60"/>
        <w:rPr>
          <w:rFonts w:asciiTheme="minorHAnsi" w:eastAsiaTheme="minorEastAsia" w:hAnsiTheme="minorHAnsi" w:cstheme="minorBidi"/>
          <w:b w:val="0"/>
          <w:bCs w:val="0"/>
          <w:iCs w:val="0"/>
          <w:noProof/>
          <w:color w:val="auto"/>
          <w:sz w:val="22"/>
          <w:szCs w:val="22"/>
          <w:lang w:eastAsia="en-AU"/>
        </w:rPr>
      </w:pPr>
      <w:r w:rsidRPr="00BB466D">
        <w:rPr>
          <w:rFonts w:asciiTheme="minorHAnsi" w:hAnsiTheme="minorHAnsi"/>
          <w:color w:val="7F7F7F" w:themeColor="text2"/>
          <w:szCs w:val="19"/>
        </w:rPr>
        <w:fldChar w:fldCharType="begin"/>
      </w:r>
      <w:r w:rsidR="00545975" w:rsidRPr="00DE7971">
        <w:rPr>
          <w:rFonts w:asciiTheme="minorHAnsi" w:hAnsiTheme="minorHAnsi"/>
          <w:color w:val="7F7F7F" w:themeColor="text2"/>
          <w:szCs w:val="19"/>
        </w:rPr>
        <w:instrText xml:space="preserve"> TOC \o "1-2" \h \z \u </w:instrText>
      </w:r>
      <w:r w:rsidRPr="00BB466D">
        <w:rPr>
          <w:rFonts w:asciiTheme="minorHAnsi" w:hAnsiTheme="minorHAnsi"/>
          <w:color w:val="7F7F7F" w:themeColor="text2"/>
          <w:szCs w:val="19"/>
        </w:rPr>
        <w:fldChar w:fldCharType="separate"/>
      </w:r>
      <w:hyperlink w:anchor="_Toc432758311" w:history="1">
        <w:r w:rsidR="00C16653" w:rsidRPr="00754D45">
          <w:rPr>
            <w:rStyle w:val="Hyperlink"/>
            <w:noProof/>
          </w:rPr>
          <w:t>Contents</w:t>
        </w:r>
        <w:r w:rsidR="00C16653">
          <w:rPr>
            <w:noProof/>
            <w:webHidden/>
          </w:rPr>
          <w:tab/>
        </w:r>
        <w:r w:rsidR="00C16653">
          <w:rPr>
            <w:noProof/>
            <w:webHidden/>
          </w:rPr>
          <w:fldChar w:fldCharType="begin"/>
        </w:r>
        <w:r w:rsidR="00C16653">
          <w:rPr>
            <w:noProof/>
            <w:webHidden/>
          </w:rPr>
          <w:instrText xml:space="preserve"> PAGEREF _Toc432758311 \h </w:instrText>
        </w:r>
        <w:r w:rsidR="00C16653">
          <w:rPr>
            <w:noProof/>
            <w:webHidden/>
          </w:rPr>
        </w:r>
        <w:r w:rsidR="00C16653">
          <w:rPr>
            <w:noProof/>
            <w:webHidden/>
          </w:rPr>
          <w:fldChar w:fldCharType="separate"/>
        </w:r>
        <w:r w:rsidR="00BC1E01">
          <w:rPr>
            <w:noProof/>
            <w:webHidden/>
          </w:rPr>
          <w:t>3</w:t>
        </w:r>
        <w:r w:rsidR="00C16653">
          <w:rPr>
            <w:noProof/>
            <w:webHidden/>
          </w:rPr>
          <w:fldChar w:fldCharType="end"/>
        </w:r>
      </w:hyperlink>
    </w:p>
    <w:p w:rsidR="00C16653" w:rsidRDefault="00BC1E01" w:rsidP="00C16653">
      <w:pPr>
        <w:pStyle w:val="TOC1"/>
        <w:spacing w:after="60"/>
        <w:rPr>
          <w:rFonts w:asciiTheme="minorHAnsi" w:eastAsiaTheme="minorEastAsia" w:hAnsiTheme="minorHAnsi" w:cstheme="minorBidi"/>
          <w:b w:val="0"/>
          <w:bCs w:val="0"/>
          <w:iCs w:val="0"/>
          <w:noProof/>
          <w:color w:val="auto"/>
          <w:sz w:val="22"/>
          <w:szCs w:val="22"/>
          <w:lang w:eastAsia="en-AU"/>
        </w:rPr>
      </w:pPr>
      <w:hyperlink w:anchor="_Toc432758312" w:history="1">
        <w:r w:rsidR="00C16653" w:rsidRPr="00754D45">
          <w:rPr>
            <w:rStyle w:val="Hyperlink"/>
            <w:noProof/>
          </w:rPr>
          <w:t>Executive Summary</w:t>
        </w:r>
        <w:r w:rsidR="00C16653">
          <w:rPr>
            <w:noProof/>
            <w:webHidden/>
          </w:rPr>
          <w:tab/>
        </w:r>
        <w:r w:rsidR="00C16653">
          <w:rPr>
            <w:noProof/>
            <w:webHidden/>
          </w:rPr>
          <w:fldChar w:fldCharType="begin"/>
        </w:r>
        <w:r w:rsidR="00C16653">
          <w:rPr>
            <w:noProof/>
            <w:webHidden/>
          </w:rPr>
          <w:instrText xml:space="preserve"> PAGEREF _Toc432758312 \h </w:instrText>
        </w:r>
        <w:r w:rsidR="00C16653">
          <w:rPr>
            <w:noProof/>
            <w:webHidden/>
          </w:rPr>
        </w:r>
        <w:r w:rsidR="00C16653">
          <w:rPr>
            <w:noProof/>
            <w:webHidden/>
          </w:rPr>
          <w:fldChar w:fldCharType="separate"/>
        </w:r>
        <w:r>
          <w:rPr>
            <w:noProof/>
            <w:webHidden/>
          </w:rPr>
          <w:t>5</w:t>
        </w:r>
        <w:r w:rsidR="00C16653">
          <w:rPr>
            <w:noProof/>
            <w:webHidden/>
          </w:rPr>
          <w:fldChar w:fldCharType="end"/>
        </w:r>
      </w:hyperlink>
    </w:p>
    <w:p w:rsidR="00C16653" w:rsidRDefault="00BC1E01" w:rsidP="00C16653">
      <w:pPr>
        <w:pStyle w:val="TOC1"/>
        <w:spacing w:after="60"/>
        <w:rPr>
          <w:rFonts w:asciiTheme="minorHAnsi" w:eastAsiaTheme="minorEastAsia" w:hAnsiTheme="minorHAnsi" w:cstheme="minorBidi"/>
          <w:b w:val="0"/>
          <w:bCs w:val="0"/>
          <w:iCs w:val="0"/>
          <w:noProof/>
          <w:color w:val="auto"/>
          <w:sz w:val="22"/>
          <w:szCs w:val="22"/>
          <w:lang w:eastAsia="en-AU"/>
        </w:rPr>
      </w:pPr>
      <w:hyperlink w:anchor="_Toc432758313" w:history="1">
        <w:r w:rsidR="00C16653" w:rsidRPr="00754D45">
          <w:rPr>
            <w:rStyle w:val="Hyperlink"/>
            <w:noProof/>
          </w:rPr>
          <w:t>Notes on the Data</w:t>
        </w:r>
        <w:r w:rsidR="00C16653">
          <w:rPr>
            <w:noProof/>
            <w:webHidden/>
          </w:rPr>
          <w:tab/>
        </w:r>
        <w:r w:rsidR="00C16653">
          <w:rPr>
            <w:noProof/>
            <w:webHidden/>
          </w:rPr>
          <w:fldChar w:fldCharType="begin"/>
        </w:r>
        <w:r w:rsidR="00C16653">
          <w:rPr>
            <w:noProof/>
            <w:webHidden/>
          </w:rPr>
          <w:instrText xml:space="preserve"> PAGEREF _Toc432758313 \h </w:instrText>
        </w:r>
        <w:r w:rsidR="00C16653">
          <w:rPr>
            <w:noProof/>
            <w:webHidden/>
          </w:rPr>
        </w:r>
        <w:r w:rsidR="00C16653">
          <w:rPr>
            <w:noProof/>
            <w:webHidden/>
          </w:rPr>
          <w:fldChar w:fldCharType="separate"/>
        </w:r>
        <w:r>
          <w:rPr>
            <w:noProof/>
            <w:webHidden/>
          </w:rPr>
          <w:t>9</w:t>
        </w:r>
        <w:r w:rsidR="00C16653">
          <w:rPr>
            <w:noProof/>
            <w:webHidden/>
          </w:rPr>
          <w:fldChar w:fldCharType="end"/>
        </w:r>
      </w:hyperlink>
    </w:p>
    <w:p w:rsidR="00C16653" w:rsidRDefault="00BC1E01" w:rsidP="00C16653">
      <w:pPr>
        <w:pStyle w:val="TOC1"/>
        <w:spacing w:after="60"/>
        <w:rPr>
          <w:rFonts w:asciiTheme="minorHAnsi" w:eastAsiaTheme="minorEastAsia" w:hAnsiTheme="minorHAnsi" w:cstheme="minorBidi"/>
          <w:b w:val="0"/>
          <w:bCs w:val="0"/>
          <w:iCs w:val="0"/>
          <w:noProof/>
          <w:color w:val="auto"/>
          <w:sz w:val="22"/>
          <w:szCs w:val="22"/>
          <w:lang w:eastAsia="en-AU"/>
        </w:rPr>
      </w:pPr>
      <w:hyperlink w:anchor="_Toc432758314" w:history="1">
        <w:r w:rsidR="00C16653" w:rsidRPr="00754D45">
          <w:rPr>
            <w:rStyle w:val="Hyperlink"/>
            <w:noProof/>
          </w:rPr>
          <w:t>Glossary</w:t>
        </w:r>
        <w:r w:rsidR="00C16653">
          <w:rPr>
            <w:noProof/>
            <w:webHidden/>
          </w:rPr>
          <w:tab/>
        </w:r>
        <w:r w:rsidR="00C16653">
          <w:rPr>
            <w:noProof/>
            <w:webHidden/>
          </w:rPr>
          <w:fldChar w:fldCharType="begin"/>
        </w:r>
        <w:r w:rsidR="00C16653">
          <w:rPr>
            <w:noProof/>
            <w:webHidden/>
          </w:rPr>
          <w:instrText xml:space="preserve"> PAGEREF _Toc432758314 \h </w:instrText>
        </w:r>
        <w:r w:rsidR="00C16653">
          <w:rPr>
            <w:noProof/>
            <w:webHidden/>
          </w:rPr>
        </w:r>
        <w:r w:rsidR="00C16653">
          <w:rPr>
            <w:noProof/>
            <w:webHidden/>
          </w:rPr>
          <w:fldChar w:fldCharType="separate"/>
        </w:r>
        <w:r>
          <w:rPr>
            <w:noProof/>
            <w:webHidden/>
          </w:rPr>
          <w:t>13</w:t>
        </w:r>
        <w:r w:rsidR="00C16653">
          <w:rPr>
            <w:noProof/>
            <w:webHidden/>
          </w:rPr>
          <w:fldChar w:fldCharType="end"/>
        </w:r>
      </w:hyperlink>
    </w:p>
    <w:p w:rsidR="00C16653" w:rsidRDefault="00BC1E01" w:rsidP="00C16653">
      <w:pPr>
        <w:pStyle w:val="TOC1"/>
        <w:spacing w:after="60"/>
        <w:rPr>
          <w:rFonts w:asciiTheme="minorHAnsi" w:eastAsiaTheme="minorEastAsia" w:hAnsiTheme="minorHAnsi" w:cstheme="minorBidi"/>
          <w:b w:val="0"/>
          <w:bCs w:val="0"/>
          <w:iCs w:val="0"/>
          <w:noProof/>
          <w:color w:val="auto"/>
          <w:sz w:val="22"/>
          <w:szCs w:val="22"/>
          <w:lang w:eastAsia="en-AU"/>
        </w:rPr>
      </w:pPr>
      <w:hyperlink w:anchor="_Toc432758315" w:history="1">
        <w:r w:rsidR="00C16653" w:rsidRPr="00754D45">
          <w:rPr>
            <w:rStyle w:val="Hyperlink"/>
            <w:noProof/>
          </w:rPr>
          <w:t>1.</w:t>
        </w:r>
        <w:r w:rsidR="00C16653">
          <w:rPr>
            <w:rFonts w:asciiTheme="minorHAnsi" w:eastAsiaTheme="minorEastAsia" w:hAnsiTheme="minorHAnsi" w:cstheme="minorBidi"/>
            <w:b w:val="0"/>
            <w:bCs w:val="0"/>
            <w:iCs w:val="0"/>
            <w:noProof/>
            <w:color w:val="auto"/>
            <w:sz w:val="22"/>
            <w:szCs w:val="22"/>
            <w:lang w:eastAsia="en-AU"/>
          </w:rPr>
          <w:tab/>
        </w:r>
        <w:r w:rsidR="00C16653" w:rsidRPr="00754D45">
          <w:rPr>
            <w:rStyle w:val="Hyperlink"/>
            <w:noProof/>
          </w:rPr>
          <w:t>Vocational Training Summary</w:t>
        </w:r>
        <w:r w:rsidR="00C16653">
          <w:rPr>
            <w:noProof/>
            <w:webHidden/>
          </w:rPr>
          <w:tab/>
        </w:r>
        <w:r w:rsidR="00C16653">
          <w:rPr>
            <w:noProof/>
            <w:webHidden/>
          </w:rPr>
          <w:fldChar w:fldCharType="begin"/>
        </w:r>
        <w:r w:rsidR="00C16653">
          <w:rPr>
            <w:noProof/>
            <w:webHidden/>
          </w:rPr>
          <w:instrText xml:space="preserve"> PAGEREF _Toc432758315 \h </w:instrText>
        </w:r>
        <w:r w:rsidR="00C16653">
          <w:rPr>
            <w:noProof/>
            <w:webHidden/>
          </w:rPr>
        </w:r>
        <w:r w:rsidR="00C16653">
          <w:rPr>
            <w:noProof/>
            <w:webHidden/>
          </w:rPr>
          <w:fldChar w:fldCharType="separate"/>
        </w:r>
        <w:r>
          <w:rPr>
            <w:noProof/>
            <w:webHidden/>
          </w:rPr>
          <w:t>15</w:t>
        </w:r>
        <w:r w:rsidR="00C16653">
          <w:rPr>
            <w:noProof/>
            <w:webHidden/>
          </w:rPr>
          <w:fldChar w:fldCharType="end"/>
        </w:r>
      </w:hyperlink>
    </w:p>
    <w:p w:rsidR="00C16653" w:rsidRDefault="00BC1E01" w:rsidP="00C16653">
      <w:pPr>
        <w:pStyle w:val="TOC2"/>
        <w:tabs>
          <w:tab w:val="right" w:pos="7502"/>
        </w:tabs>
        <w:spacing w:before="0" w:after="60"/>
        <w:rPr>
          <w:rFonts w:asciiTheme="minorHAnsi" w:eastAsiaTheme="minorEastAsia" w:hAnsiTheme="minorHAnsi" w:cstheme="minorBidi"/>
          <w:bCs w:val="0"/>
          <w:noProof/>
          <w:color w:val="auto"/>
          <w:sz w:val="22"/>
          <w:lang w:eastAsia="en-AU"/>
        </w:rPr>
      </w:pPr>
      <w:hyperlink w:anchor="_Toc432758316" w:history="1">
        <w:r w:rsidR="00C16653" w:rsidRPr="00754D45">
          <w:rPr>
            <w:rStyle w:val="Hyperlink"/>
            <w:noProof/>
          </w:rPr>
          <w:t>Vocational Training by Accredited / Pre-Accredited Program</w:t>
        </w:r>
        <w:r w:rsidR="00C16653">
          <w:rPr>
            <w:noProof/>
            <w:webHidden/>
          </w:rPr>
          <w:tab/>
        </w:r>
        <w:r w:rsidR="00C16653">
          <w:rPr>
            <w:noProof/>
            <w:webHidden/>
          </w:rPr>
          <w:fldChar w:fldCharType="begin"/>
        </w:r>
        <w:r w:rsidR="00C16653">
          <w:rPr>
            <w:noProof/>
            <w:webHidden/>
          </w:rPr>
          <w:instrText xml:space="preserve"> PAGEREF _Toc432758316 \h </w:instrText>
        </w:r>
        <w:r w:rsidR="00C16653">
          <w:rPr>
            <w:noProof/>
            <w:webHidden/>
          </w:rPr>
        </w:r>
        <w:r w:rsidR="00C16653">
          <w:rPr>
            <w:noProof/>
            <w:webHidden/>
          </w:rPr>
          <w:fldChar w:fldCharType="separate"/>
        </w:r>
        <w:r>
          <w:rPr>
            <w:noProof/>
            <w:webHidden/>
          </w:rPr>
          <w:t>15</w:t>
        </w:r>
        <w:r w:rsidR="00C16653">
          <w:rPr>
            <w:noProof/>
            <w:webHidden/>
          </w:rPr>
          <w:fldChar w:fldCharType="end"/>
        </w:r>
      </w:hyperlink>
    </w:p>
    <w:p w:rsidR="00C16653" w:rsidRDefault="00BC1E01" w:rsidP="00C16653">
      <w:pPr>
        <w:pStyle w:val="TOC2"/>
        <w:tabs>
          <w:tab w:val="right" w:pos="7502"/>
        </w:tabs>
        <w:spacing w:before="0" w:after="60"/>
        <w:rPr>
          <w:rFonts w:asciiTheme="minorHAnsi" w:eastAsiaTheme="minorEastAsia" w:hAnsiTheme="minorHAnsi" w:cstheme="minorBidi"/>
          <w:bCs w:val="0"/>
          <w:noProof/>
          <w:color w:val="auto"/>
          <w:sz w:val="22"/>
          <w:lang w:eastAsia="en-AU"/>
        </w:rPr>
      </w:pPr>
      <w:hyperlink w:anchor="_Toc432758317" w:history="1">
        <w:r w:rsidR="00C16653" w:rsidRPr="00754D45">
          <w:rPr>
            <w:rStyle w:val="Hyperlink"/>
            <w:noProof/>
          </w:rPr>
          <w:t>Qualification Levels</w:t>
        </w:r>
        <w:r w:rsidR="00C16653">
          <w:rPr>
            <w:noProof/>
            <w:webHidden/>
          </w:rPr>
          <w:tab/>
        </w:r>
        <w:r w:rsidR="00C16653">
          <w:rPr>
            <w:noProof/>
            <w:webHidden/>
          </w:rPr>
          <w:fldChar w:fldCharType="begin"/>
        </w:r>
        <w:r w:rsidR="00C16653">
          <w:rPr>
            <w:noProof/>
            <w:webHidden/>
          </w:rPr>
          <w:instrText xml:space="preserve"> PAGEREF _Toc432758317 \h </w:instrText>
        </w:r>
        <w:r w:rsidR="00C16653">
          <w:rPr>
            <w:noProof/>
            <w:webHidden/>
          </w:rPr>
        </w:r>
        <w:r w:rsidR="00C16653">
          <w:rPr>
            <w:noProof/>
            <w:webHidden/>
          </w:rPr>
          <w:fldChar w:fldCharType="separate"/>
        </w:r>
        <w:r>
          <w:rPr>
            <w:noProof/>
            <w:webHidden/>
          </w:rPr>
          <w:t>18</w:t>
        </w:r>
        <w:r w:rsidR="00C16653">
          <w:rPr>
            <w:noProof/>
            <w:webHidden/>
          </w:rPr>
          <w:fldChar w:fldCharType="end"/>
        </w:r>
      </w:hyperlink>
    </w:p>
    <w:p w:rsidR="00C16653" w:rsidRDefault="00BC1E01" w:rsidP="00C16653">
      <w:pPr>
        <w:pStyle w:val="TOC2"/>
        <w:tabs>
          <w:tab w:val="right" w:pos="7502"/>
        </w:tabs>
        <w:spacing w:before="0" w:after="60"/>
        <w:rPr>
          <w:rFonts w:asciiTheme="minorHAnsi" w:eastAsiaTheme="minorEastAsia" w:hAnsiTheme="minorHAnsi" w:cstheme="minorBidi"/>
          <w:bCs w:val="0"/>
          <w:noProof/>
          <w:color w:val="auto"/>
          <w:sz w:val="22"/>
          <w:lang w:eastAsia="en-AU"/>
        </w:rPr>
      </w:pPr>
      <w:hyperlink w:anchor="_Toc432758318" w:history="1">
        <w:r w:rsidR="00C16653" w:rsidRPr="00754D45">
          <w:rPr>
            <w:rStyle w:val="Hyperlink"/>
            <w:noProof/>
          </w:rPr>
          <w:t>Vocational Training Completions</w:t>
        </w:r>
        <w:r w:rsidR="00C16653">
          <w:rPr>
            <w:noProof/>
            <w:webHidden/>
          </w:rPr>
          <w:tab/>
        </w:r>
        <w:r w:rsidR="00C16653">
          <w:rPr>
            <w:noProof/>
            <w:webHidden/>
          </w:rPr>
          <w:fldChar w:fldCharType="begin"/>
        </w:r>
        <w:r w:rsidR="00C16653">
          <w:rPr>
            <w:noProof/>
            <w:webHidden/>
          </w:rPr>
          <w:instrText xml:space="preserve"> PAGEREF _Toc432758318 \h </w:instrText>
        </w:r>
        <w:r w:rsidR="00C16653">
          <w:rPr>
            <w:noProof/>
            <w:webHidden/>
          </w:rPr>
        </w:r>
        <w:r w:rsidR="00C16653">
          <w:rPr>
            <w:noProof/>
            <w:webHidden/>
          </w:rPr>
          <w:fldChar w:fldCharType="separate"/>
        </w:r>
        <w:r>
          <w:rPr>
            <w:noProof/>
            <w:webHidden/>
          </w:rPr>
          <w:t>20</w:t>
        </w:r>
        <w:r w:rsidR="00C16653">
          <w:rPr>
            <w:noProof/>
            <w:webHidden/>
          </w:rPr>
          <w:fldChar w:fldCharType="end"/>
        </w:r>
      </w:hyperlink>
    </w:p>
    <w:p w:rsidR="00C16653" w:rsidRDefault="00BC1E01" w:rsidP="00C16653">
      <w:pPr>
        <w:pStyle w:val="TOC2"/>
        <w:tabs>
          <w:tab w:val="right" w:pos="7502"/>
        </w:tabs>
        <w:spacing w:before="0" w:after="60"/>
        <w:rPr>
          <w:rFonts w:asciiTheme="minorHAnsi" w:eastAsiaTheme="minorEastAsia" w:hAnsiTheme="minorHAnsi" w:cstheme="minorBidi"/>
          <w:bCs w:val="0"/>
          <w:noProof/>
          <w:color w:val="auto"/>
          <w:sz w:val="22"/>
          <w:lang w:eastAsia="en-AU"/>
        </w:rPr>
      </w:pPr>
      <w:hyperlink w:anchor="_Toc432758319" w:history="1">
        <w:r w:rsidR="00C16653" w:rsidRPr="00754D45">
          <w:rPr>
            <w:rStyle w:val="Hyperlink"/>
            <w:noProof/>
          </w:rPr>
          <w:t>Age Profile</w:t>
        </w:r>
        <w:r w:rsidR="00C16653">
          <w:rPr>
            <w:noProof/>
            <w:webHidden/>
          </w:rPr>
          <w:tab/>
        </w:r>
        <w:r w:rsidR="00C16653">
          <w:rPr>
            <w:noProof/>
            <w:webHidden/>
          </w:rPr>
          <w:fldChar w:fldCharType="begin"/>
        </w:r>
        <w:r w:rsidR="00C16653">
          <w:rPr>
            <w:noProof/>
            <w:webHidden/>
          </w:rPr>
          <w:instrText xml:space="preserve"> PAGEREF _Toc432758319 \h </w:instrText>
        </w:r>
        <w:r w:rsidR="00C16653">
          <w:rPr>
            <w:noProof/>
            <w:webHidden/>
          </w:rPr>
        </w:r>
        <w:r w:rsidR="00C16653">
          <w:rPr>
            <w:noProof/>
            <w:webHidden/>
          </w:rPr>
          <w:fldChar w:fldCharType="separate"/>
        </w:r>
        <w:r>
          <w:rPr>
            <w:noProof/>
            <w:webHidden/>
          </w:rPr>
          <w:t>22</w:t>
        </w:r>
        <w:r w:rsidR="00C16653">
          <w:rPr>
            <w:noProof/>
            <w:webHidden/>
          </w:rPr>
          <w:fldChar w:fldCharType="end"/>
        </w:r>
      </w:hyperlink>
    </w:p>
    <w:p w:rsidR="00C16653" w:rsidRDefault="00BC1E01" w:rsidP="00C16653">
      <w:pPr>
        <w:pStyle w:val="TOC2"/>
        <w:tabs>
          <w:tab w:val="right" w:pos="7502"/>
        </w:tabs>
        <w:spacing w:before="0" w:after="60"/>
        <w:rPr>
          <w:rFonts w:asciiTheme="minorHAnsi" w:eastAsiaTheme="minorEastAsia" w:hAnsiTheme="minorHAnsi" w:cstheme="minorBidi"/>
          <w:bCs w:val="0"/>
          <w:noProof/>
          <w:color w:val="auto"/>
          <w:sz w:val="22"/>
          <w:lang w:eastAsia="en-AU"/>
        </w:rPr>
      </w:pPr>
      <w:hyperlink w:anchor="_Toc432758320" w:history="1">
        <w:r w:rsidR="00C16653" w:rsidRPr="00754D45">
          <w:rPr>
            <w:rStyle w:val="Hyperlink"/>
            <w:noProof/>
          </w:rPr>
          <w:t>Gender</w:t>
        </w:r>
        <w:r w:rsidR="00C16653">
          <w:rPr>
            <w:noProof/>
            <w:webHidden/>
          </w:rPr>
          <w:tab/>
        </w:r>
        <w:r w:rsidR="00C16653">
          <w:rPr>
            <w:noProof/>
            <w:webHidden/>
          </w:rPr>
          <w:fldChar w:fldCharType="begin"/>
        </w:r>
        <w:r w:rsidR="00C16653">
          <w:rPr>
            <w:noProof/>
            <w:webHidden/>
          </w:rPr>
          <w:instrText xml:space="preserve"> PAGEREF _Toc432758320 \h </w:instrText>
        </w:r>
        <w:r w:rsidR="00C16653">
          <w:rPr>
            <w:noProof/>
            <w:webHidden/>
          </w:rPr>
        </w:r>
        <w:r w:rsidR="00C16653">
          <w:rPr>
            <w:noProof/>
            <w:webHidden/>
          </w:rPr>
          <w:fldChar w:fldCharType="separate"/>
        </w:r>
        <w:r>
          <w:rPr>
            <w:noProof/>
            <w:webHidden/>
          </w:rPr>
          <w:t>23</w:t>
        </w:r>
        <w:r w:rsidR="00C16653">
          <w:rPr>
            <w:noProof/>
            <w:webHidden/>
          </w:rPr>
          <w:fldChar w:fldCharType="end"/>
        </w:r>
      </w:hyperlink>
    </w:p>
    <w:p w:rsidR="00C16653" w:rsidRDefault="00BC1E01" w:rsidP="00C16653">
      <w:pPr>
        <w:pStyle w:val="TOC2"/>
        <w:tabs>
          <w:tab w:val="right" w:pos="7502"/>
        </w:tabs>
        <w:spacing w:before="0" w:after="60"/>
        <w:rPr>
          <w:rFonts w:asciiTheme="minorHAnsi" w:eastAsiaTheme="minorEastAsia" w:hAnsiTheme="minorHAnsi" w:cstheme="minorBidi"/>
          <w:bCs w:val="0"/>
          <w:noProof/>
          <w:color w:val="auto"/>
          <w:sz w:val="22"/>
          <w:lang w:eastAsia="en-AU"/>
        </w:rPr>
      </w:pPr>
      <w:hyperlink w:anchor="_Toc432758321" w:history="1">
        <w:r w:rsidR="00C16653" w:rsidRPr="00754D45">
          <w:rPr>
            <w:rStyle w:val="Hyperlink"/>
            <w:noProof/>
          </w:rPr>
          <w:t>Government Subsidised Activity by Delivery Region</w:t>
        </w:r>
        <w:r w:rsidR="00C16653">
          <w:rPr>
            <w:noProof/>
            <w:webHidden/>
          </w:rPr>
          <w:tab/>
        </w:r>
        <w:r w:rsidR="00C16653">
          <w:rPr>
            <w:noProof/>
            <w:webHidden/>
          </w:rPr>
          <w:fldChar w:fldCharType="begin"/>
        </w:r>
        <w:r w:rsidR="00C16653">
          <w:rPr>
            <w:noProof/>
            <w:webHidden/>
          </w:rPr>
          <w:instrText xml:space="preserve"> PAGEREF _Toc432758321 \h </w:instrText>
        </w:r>
        <w:r w:rsidR="00C16653">
          <w:rPr>
            <w:noProof/>
            <w:webHidden/>
          </w:rPr>
        </w:r>
        <w:r w:rsidR="00C16653">
          <w:rPr>
            <w:noProof/>
            <w:webHidden/>
          </w:rPr>
          <w:fldChar w:fldCharType="separate"/>
        </w:r>
        <w:r>
          <w:rPr>
            <w:noProof/>
            <w:webHidden/>
          </w:rPr>
          <w:t>24</w:t>
        </w:r>
        <w:r w:rsidR="00C16653">
          <w:rPr>
            <w:noProof/>
            <w:webHidden/>
          </w:rPr>
          <w:fldChar w:fldCharType="end"/>
        </w:r>
      </w:hyperlink>
    </w:p>
    <w:p w:rsidR="00C16653" w:rsidRDefault="00BC1E01" w:rsidP="00C16653">
      <w:pPr>
        <w:pStyle w:val="TOC2"/>
        <w:tabs>
          <w:tab w:val="right" w:pos="7502"/>
        </w:tabs>
        <w:spacing w:before="0" w:after="60"/>
        <w:rPr>
          <w:rFonts w:asciiTheme="minorHAnsi" w:eastAsiaTheme="minorEastAsia" w:hAnsiTheme="minorHAnsi" w:cstheme="minorBidi"/>
          <w:bCs w:val="0"/>
          <w:noProof/>
          <w:color w:val="auto"/>
          <w:sz w:val="22"/>
          <w:lang w:eastAsia="en-AU"/>
        </w:rPr>
      </w:pPr>
      <w:hyperlink w:anchor="_Toc432758322" w:history="1">
        <w:r w:rsidR="00C16653" w:rsidRPr="00754D45">
          <w:rPr>
            <w:rStyle w:val="Hyperlink"/>
            <w:noProof/>
          </w:rPr>
          <w:t>Government Subsidised Activity by Region where the student lives</w:t>
        </w:r>
        <w:r w:rsidR="00C16653">
          <w:rPr>
            <w:noProof/>
            <w:webHidden/>
          </w:rPr>
          <w:tab/>
        </w:r>
        <w:r w:rsidR="00C16653">
          <w:rPr>
            <w:noProof/>
            <w:webHidden/>
          </w:rPr>
          <w:fldChar w:fldCharType="begin"/>
        </w:r>
        <w:r w:rsidR="00C16653">
          <w:rPr>
            <w:noProof/>
            <w:webHidden/>
          </w:rPr>
          <w:instrText xml:space="preserve"> PAGEREF _Toc432758322 \h </w:instrText>
        </w:r>
        <w:r w:rsidR="00C16653">
          <w:rPr>
            <w:noProof/>
            <w:webHidden/>
          </w:rPr>
        </w:r>
        <w:r w:rsidR="00C16653">
          <w:rPr>
            <w:noProof/>
            <w:webHidden/>
          </w:rPr>
          <w:fldChar w:fldCharType="separate"/>
        </w:r>
        <w:r>
          <w:rPr>
            <w:noProof/>
            <w:webHidden/>
          </w:rPr>
          <w:t>27</w:t>
        </w:r>
        <w:r w:rsidR="00C16653">
          <w:rPr>
            <w:noProof/>
            <w:webHidden/>
          </w:rPr>
          <w:fldChar w:fldCharType="end"/>
        </w:r>
      </w:hyperlink>
    </w:p>
    <w:p w:rsidR="00C16653" w:rsidRDefault="00BC1E01" w:rsidP="00C16653">
      <w:pPr>
        <w:pStyle w:val="TOC2"/>
        <w:tabs>
          <w:tab w:val="right" w:pos="7502"/>
        </w:tabs>
        <w:spacing w:before="0" w:after="60"/>
        <w:rPr>
          <w:rFonts w:asciiTheme="minorHAnsi" w:eastAsiaTheme="minorEastAsia" w:hAnsiTheme="minorHAnsi" w:cstheme="minorBidi"/>
          <w:bCs w:val="0"/>
          <w:noProof/>
          <w:color w:val="auto"/>
          <w:sz w:val="22"/>
          <w:lang w:eastAsia="en-AU"/>
        </w:rPr>
      </w:pPr>
      <w:hyperlink w:anchor="_Toc432758323" w:history="1">
        <w:r w:rsidR="00C16653" w:rsidRPr="00754D45">
          <w:rPr>
            <w:rStyle w:val="Hyperlink"/>
            <w:noProof/>
          </w:rPr>
          <w:t>Government Subsidised Training by Training Provider Type</w:t>
        </w:r>
        <w:r w:rsidR="00C16653">
          <w:rPr>
            <w:noProof/>
            <w:webHidden/>
          </w:rPr>
          <w:tab/>
        </w:r>
        <w:r w:rsidR="00C16653">
          <w:rPr>
            <w:noProof/>
            <w:webHidden/>
          </w:rPr>
          <w:fldChar w:fldCharType="begin"/>
        </w:r>
        <w:r w:rsidR="00C16653">
          <w:rPr>
            <w:noProof/>
            <w:webHidden/>
          </w:rPr>
          <w:instrText xml:space="preserve"> PAGEREF _Toc432758323 \h </w:instrText>
        </w:r>
        <w:r w:rsidR="00C16653">
          <w:rPr>
            <w:noProof/>
            <w:webHidden/>
          </w:rPr>
        </w:r>
        <w:r w:rsidR="00C16653">
          <w:rPr>
            <w:noProof/>
            <w:webHidden/>
          </w:rPr>
          <w:fldChar w:fldCharType="separate"/>
        </w:r>
        <w:r>
          <w:rPr>
            <w:noProof/>
            <w:webHidden/>
          </w:rPr>
          <w:t>33</w:t>
        </w:r>
        <w:r w:rsidR="00C16653">
          <w:rPr>
            <w:noProof/>
            <w:webHidden/>
          </w:rPr>
          <w:fldChar w:fldCharType="end"/>
        </w:r>
      </w:hyperlink>
    </w:p>
    <w:p w:rsidR="00C16653" w:rsidRDefault="00BC1E01" w:rsidP="00C16653">
      <w:pPr>
        <w:pStyle w:val="TOC2"/>
        <w:tabs>
          <w:tab w:val="right" w:pos="7502"/>
        </w:tabs>
        <w:spacing w:before="0" w:after="60"/>
        <w:rPr>
          <w:rFonts w:asciiTheme="minorHAnsi" w:eastAsiaTheme="minorEastAsia" w:hAnsiTheme="minorHAnsi" w:cstheme="minorBidi"/>
          <w:bCs w:val="0"/>
          <w:noProof/>
          <w:color w:val="auto"/>
          <w:sz w:val="22"/>
          <w:lang w:eastAsia="en-AU"/>
        </w:rPr>
      </w:pPr>
      <w:hyperlink w:anchor="_Toc432758324" w:history="1">
        <w:r w:rsidR="00C16653" w:rsidRPr="00754D45">
          <w:rPr>
            <w:rStyle w:val="Hyperlink"/>
            <w:noProof/>
          </w:rPr>
          <w:t>Fee-For-Service</w:t>
        </w:r>
        <w:r w:rsidR="00C16653">
          <w:rPr>
            <w:noProof/>
            <w:webHidden/>
          </w:rPr>
          <w:tab/>
        </w:r>
        <w:r w:rsidR="00C16653">
          <w:rPr>
            <w:noProof/>
            <w:webHidden/>
          </w:rPr>
          <w:fldChar w:fldCharType="begin"/>
        </w:r>
        <w:r w:rsidR="00C16653">
          <w:rPr>
            <w:noProof/>
            <w:webHidden/>
          </w:rPr>
          <w:instrText xml:space="preserve"> PAGEREF _Toc432758324 \h </w:instrText>
        </w:r>
        <w:r w:rsidR="00C16653">
          <w:rPr>
            <w:noProof/>
            <w:webHidden/>
          </w:rPr>
        </w:r>
        <w:r w:rsidR="00C16653">
          <w:rPr>
            <w:noProof/>
            <w:webHidden/>
          </w:rPr>
          <w:fldChar w:fldCharType="separate"/>
        </w:r>
        <w:r>
          <w:rPr>
            <w:noProof/>
            <w:webHidden/>
          </w:rPr>
          <w:t>37</w:t>
        </w:r>
        <w:r w:rsidR="00C16653">
          <w:rPr>
            <w:noProof/>
            <w:webHidden/>
          </w:rPr>
          <w:fldChar w:fldCharType="end"/>
        </w:r>
      </w:hyperlink>
    </w:p>
    <w:p w:rsidR="00C16653" w:rsidRDefault="00BC1E01" w:rsidP="00C16653">
      <w:pPr>
        <w:pStyle w:val="TOC2"/>
        <w:tabs>
          <w:tab w:val="right" w:pos="7502"/>
        </w:tabs>
        <w:spacing w:before="0" w:after="60"/>
        <w:rPr>
          <w:rFonts w:asciiTheme="minorHAnsi" w:eastAsiaTheme="minorEastAsia" w:hAnsiTheme="minorHAnsi" w:cstheme="minorBidi"/>
          <w:bCs w:val="0"/>
          <w:noProof/>
          <w:color w:val="auto"/>
          <w:sz w:val="22"/>
          <w:lang w:eastAsia="en-AU"/>
        </w:rPr>
      </w:pPr>
      <w:hyperlink w:anchor="_Toc432758325" w:history="1">
        <w:r w:rsidR="00C16653" w:rsidRPr="00754D45">
          <w:rPr>
            <w:rStyle w:val="Hyperlink"/>
            <w:noProof/>
          </w:rPr>
          <w:t>TAFE Activity</w:t>
        </w:r>
        <w:r w:rsidR="00C16653">
          <w:rPr>
            <w:noProof/>
            <w:webHidden/>
          </w:rPr>
          <w:tab/>
        </w:r>
        <w:r w:rsidR="00C16653">
          <w:rPr>
            <w:noProof/>
            <w:webHidden/>
          </w:rPr>
          <w:fldChar w:fldCharType="begin"/>
        </w:r>
        <w:r w:rsidR="00C16653">
          <w:rPr>
            <w:noProof/>
            <w:webHidden/>
          </w:rPr>
          <w:instrText xml:space="preserve"> PAGEREF _Toc432758325 \h </w:instrText>
        </w:r>
        <w:r w:rsidR="00C16653">
          <w:rPr>
            <w:noProof/>
            <w:webHidden/>
          </w:rPr>
        </w:r>
        <w:r w:rsidR="00C16653">
          <w:rPr>
            <w:noProof/>
            <w:webHidden/>
          </w:rPr>
          <w:fldChar w:fldCharType="separate"/>
        </w:r>
        <w:r>
          <w:rPr>
            <w:noProof/>
            <w:webHidden/>
          </w:rPr>
          <w:t>43</w:t>
        </w:r>
        <w:r w:rsidR="00C16653">
          <w:rPr>
            <w:noProof/>
            <w:webHidden/>
          </w:rPr>
          <w:fldChar w:fldCharType="end"/>
        </w:r>
      </w:hyperlink>
    </w:p>
    <w:p w:rsidR="00C16653" w:rsidRDefault="00BC1E01" w:rsidP="00C16653">
      <w:pPr>
        <w:pStyle w:val="TOC2"/>
        <w:tabs>
          <w:tab w:val="right" w:pos="7502"/>
        </w:tabs>
        <w:spacing w:before="0" w:after="60"/>
        <w:rPr>
          <w:rFonts w:asciiTheme="minorHAnsi" w:eastAsiaTheme="minorEastAsia" w:hAnsiTheme="minorHAnsi" w:cstheme="minorBidi"/>
          <w:bCs w:val="0"/>
          <w:noProof/>
          <w:color w:val="auto"/>
          <w:sz w:val="22"/>
          <w:lang w:eastAsia="en-AU"/>
        </w:rPr>
      </w:pPr>
      <w:hyperlink w:anchor="_Toc432758326" w:history="1">
        <w:r w:rsidR="00C16653" w:rsidRPr="00754D45">
          <w:rPr>
            <w:rStyle w:val="Hyperlink"/>
            <w:noProof/>
          </w:rPr>
          <w:t>Learn Local Activity</w:t>
        </w:r>
        <w:r w:rsidR="00C16653">
          <w:rPr>
            <w:noProof/>
            <w:webHidden/>
          </w:rPr>
          <w:tab/>
        </w:r>
        <w:r w:rsidR="00C16653">
          <w:rPr>
            <w:noProof/>
            <w:webHidden/>
          </w:rPr>
          <w:fldChar w:fldCharType="begin"/>
        </w:r>
        <w:r w:rsidR="00C16653">
          <w:rPr>
            <w:noProof/>
            <w:webHidden/>
          </w:rPr>
          <w:instrText xml:space="preserve"> PAGEREF _Toc432758326 \h </w:instrText>
        </w:r>
        <w:r w:rsidR="00C16653">
          <w:rPr>
            <w:noProof/>
            <w:webHidden/>
          </w:rPr>
        </w:r>
        <w:r w:rsidR="00C16653">
          <w:rPr>
            <w:noProof/>
            <w:webHidden/>
          </w:rPr>
          <w:fldChar w:fldCharType="separate"/>
        </w:r>
        <w:r>
          <w:rPr>
            <w:noProof/>
            <w:webHidden/>
          </w:rPr>
          <w:t>52</w:t>
        </w:r>
        <w:r w:rsidR="00C16653">
          <w:rPr>
            <w:noProof/>
            <w:webHidden/>
          </w:rPr>
          <w:fldChar w:fldCharType="end"/>
        </w:r>
      </w:hyperlink>
    </w:p>
    <w:p w:rsidR="00C16653" w:rsidRDefault="00BC1E01" w:rsidP="00C16653">
      <w:pPr>
        <w:pStyle w:val="TOC1"/>
        <w:spacing w:after="60"/>
        <w:rPr>
          <w:rFonts w:asciiTheme="minorHAnsi" w:eastAsiaTheme="minorEastAsia" w:hAnsiTheme="minorHAnsi" w:cstheme="minorBidi"/>
          <w:b w:val="0"/>
          <w:bCs w:val="0"/>
          <w:iCs w:val="0"/>
          <w:noProof/>
          <w:color w:val="auto"/>
          <w:sz w:val="22"/>
          <w:szCs w:val="22"/>
          <w:lang w:eastAsia="en-AU"/>
        </w:rPr>
      </w:pPr>
      <w:hyperlink w:anchor="_Toc432758327" w:history="1">
        <w:r w:rsidR="00C16653" w:rsidRPr="00754D45">
          <w:rPr>
            <w:rStyle w:val="Hyperlink"/>
            <w:noProof/>
          </w:rPr>
          <w:t>2.</w:t>
        </w:r>
        <w:r w:rsidR="00C16653">
          <w:rPr>
            <w:rFonts w:asciiTheme="minorHAnsi" w:eastAsiaTheme="minorEastAsia" w:hAnsiTheme="minorHAnsi" w:cstheme="minorBidi"/>
            <w:b w:val="0"/>
            <w:bCs w:val="0"/>
            <w:iCs w:val="0"/>
            <w:noProof/>
            <w:color w:val="auto"/>
            <w:sz w:val="22"/>
            <w:szCs w:val="22"/>
            <w:lang w:eastAsia="en-AU"/>
          </w:rPr>
          <w:tab/>
        </w:r>
        <w:r w:rsidR="00C16653" w:rsidRPr="00754D45">
          <w:rPr>
            <w:rStyle w:val="Hyperlink"/>
            <w:noProof/>
          </w:rPr>
          <w:t>Learners Facing Barriers to Participation</w:t>
        </w:r>
        <w:r w:rsidR="00C16653">
          <w:rPr>
            <w:noProof/>
            <w:webHidden/>
          </w:rPr>
          <w:tab/>
        </w:r>
        <w:r w:rsidR="00C16653">
          <w:rPr>
            <w:noProof/>
            <w:webHidden/>
          </w:rPr>
          <w:fldChar w:fldCharType="begin"/>
        </w:r>
        <w:r w:rsidR="00C16653">
          <w:rPr>
            <w:noProof/>
            <w:webHidden/>
          </w:rPr>
          <w:instrText xml:space="preserve"> PAGEREF _Toc432758327 \h </w:instrText>
        </w:r>
        <w:r w:rsidR="00C16653">
          <w:rPr>
            <w:noProof/>
            <w:webHidden/>
          </w:rPr>
        </w:r>
        <w:r w:rsidR="00C16653">
          <w:rPr>
            <w:noProof/>
            <w:webHidden/>
          </w:rPr>
          <w:fldChar w:fldCharType="separate"/>
        </w:r>
        <w:r>
          <w:rPr>
            <w:noProof/>
            <w:webHidden/>
          </w:rPr>
          <w:t>59</w:t>
        </w:r>
        <w:r w:rsidR="00C16653">
          <w:rPr>
            <w:noProof/>
            <w:webHidden/>
          </w:rPr>
          <w:fldChar w:fldCharType="end"/>
        </w:r>
      </w:hyperlink>
    </w:p>
    <w:p w:rsidR="00C16653" w:rsidRDefault="00BC1E01" w:rsidP="00C16653">
      <w:pPr>
        <w:pStyle w:val="TOC2"/>
        <w:tabs>
          <w:tab w:val="right" w:pos="7502"/>
        </w:tabs>
        <w:spacing w:before="0" w:after="60"/>
        <w:rPr>
          <w:rFonts w:asciiTheme="minorHAnsi" w:eastAsiaTheme="minorEastAsia" w:hAnsiTheme="minorHAnsi" w:cstheme="minorBidi"/>
          <w:bCs w:val="0"/>
          <w:noProof/>
          <w:color w:val="auto"/>
          <w:sz w:val="22"/>
          <w:lang w:eastAsia="en-AU"/>
        </w:rPr>
      </w:pPr>
      <w:hyperlink w:anchor="_Toc432758328" w:history="1">
        <w:r w:rsidR="00C16653" w:rsidRPr="00754D45">
          <w:rPr>
            <w:rStyle w:val="Hyperlink"/>
            <w:noProof/>
          </w:rPr>
          <w:t>Vocational Training Delivery to Learner Groups Facing Barriers</w:t>
        </w:r>
        <w:r w:rsidR="00C16653">
          <w:rPr>
            <w:noProof/>
            <w:webHidden/>
          </w:rPr>
          <w:tab/>
        </w:r>
        <w:r w:rsidR="00C16653">
          <w:rPr>
            <w:noProof/>
            <w:webHidden/>
          </w:rPr>
          <w:fldChar w:fldCharType="begin"/>
        </w:r>
        <w:r w:rsidR="00C16653">
          <w:rPr>
            <w:noProof/>
            <w:webHidden/>
          </w:rPr>
          <w:instrText xml:space="preserve"> PAGEREF _Toc432758328 \h </w:instrText>
        </w:r>
        <w:r w:rsidR="00C16653">
          <w:rPr>
            <w:noProof/>
            <w:webHidden/>
          </w:rPr>
        </w:r>
        <w:r w:rsidR="00C16653">
          <w:rPr>
            <w:noProof/>
            <w:webHidden/>
          </w:rPr>
          <w:fldChar w:fldCharType="separate"/>
        </w:r>
        <w:r>
          <w:rPr>
            <w:noProof/>
            <w:webHidden/>
          </w:rPr>
          <w:t>59</w:t>
        </w:r>
        <w:r w:rsidR="00C16653">
          <w:rPr>
            <w:noProof/>
            <w:webHidden/>
          </w:rPr>
          <w:fldChar w:fldCharType="end"/>
        </w:r>
      </w:hyperlink>
    </w:p>
    <w:p w:rsidR="00C16653" w:rsidRDefault="00BC1E01" w:rsidP="00C16653">
      <w:pPr>
        <w:pStyle w:val="TOC2"/>
        <w:tabs>
          <w:tab w:val="right" w:pos="7502"/>
        </w:tabs>
        <w:spacing w:before="0" w:after="60"/>
        <w:rPr>
          <w:rFonts w:asciiTheme="minorHAnsi" w:eastAsiaTheme="minorEastAsia" w:hAnsiTheme="minorHAnsi" w:cstheme="minorBidi"/>
          <w:bCs w:val="0"/>
          <w:noProof/>
          <w:color w:val="auto"/>
          <w:sz w:val="22"/>
          <w:lang w:eastAsia="en-AU"/>
        </w:rPr>
      </w:pPr>
      <w:hyperlink w:anchor="_Toc432758329" w:history="1">
        <w:r w:rsidR="00C16653" w:rsidRPr="00754D45">
          <w:rPr>
            <w:rStyle w:val="Hyperlink"/>
            <w:noProof/>
          </w:rPr>
          <w:t>Indigenous Students</w:t>
        </w:r>
        <w:r w:rsidR="00C16653">
          <w:rPr>
            <w:noProof/>
            <w:webHidden/>
          </w:rPr>
          <w:tab/>
        </w:r>
        <w:r w:rsidR="00C16653">
          <w:rPr>
            <w:noProof/>
            <w:webHidden/>
          </w:rPr>
          <w:fldChar w:fldCharType="begin"/>
        </w:r>
        <w:r w:rsidR="00C16653">
          <w:rPr>
            <w:noProof/>
            <w:webHidden/>
          </w:rPr>
          <w:instrText xml:space="preserve"> PAGEREF _Toc432758329 \h </w:instrText>
        </w:r>
        <w:r w:rsidR="00C16653">
          <w:rPr>
            <w:noProof/>
            <w:webHidden/>
          </w:rPr>
        </w:r>
        <w:r w:rsidR="00C16653">
          <w:rPr>
            <w:noProof/>
            <w:webHidden/>
          </w:rPr>
          <w:fldChar w:fldCharType="separate"/>
        </w:r>
        <w:r>
          <w:rPr>
            <w:noProof/>
            <w:webHidden/>
          </w:rPr>
          <w:t>62</w:t>
        </w:r>
        <w:r w:rsidR="00C16653">
          <w:rPr>
            <w:noProof/>
            <w:webHidden/>
          </w:rPr>
          <w:fldChar w:fldCharType="end"/>
        </w:r>
      </w:hyperlink>
    </w:p>
    <w:p w:rsidR="00C16653" w:rsidRDefault="00BC1E01" w:rsidP="00C16653">
      <w:pPr>
        <w:pStyle w:val="TOC2"/>
        <w:tabs>
          <w:tab w:val="right" w:pos="7502"/>
        </w:tabs>
        <w:spacing w:before="0" w:after="60"/>
        <w:rPr>
          <w:rFonts w:asciiTheme="minorHAnsi" w:eastAsiaTheme="minorEastAsia" w:hAnsiTheme="minorHAnsi" w:cstheme="minorBidi"/>
          <w:bCs w:val="0"/>
          <w:noProof/>
          <w:color w:val="auto"/>
          <w:sz w:val="22"/>
          <w:lang w:eastAsia="en-AU"/>
        </w:rPr>
      </w:pPr>
      <w:hyperlink w:anchor="_Toc432758330" w:history="1">
        <w:r w:rsidR="00C16653" w:rsidRPr="00754D45">
          <w:rPr>
            <w:rStyle w:val="Hyperlink"/>
            <w:noProof/>
          </w:rPr>
          <w:t>Students with a Disability</w:t>
        </w:r>
        <w:r w:rsidR="00C16653">
          <w:rPr>
            <w:noProof/>
            <w:webHidden/>
          </w:rPr>
          <w:tab/>
        </w:r>
        <w:r w:rsidR="00C16653">
          <w:rPr>
            <w:noProof/>
            <w:webHidden/>
          </w:rPr>
          <w:fldChar w:fldCharType="begin"/>
        </w:r>
        <w:r w:rsidR="00C16653">
          <w:rPr>
            <w:noProof/>
            <w:webHidden/>
          </w:rPr>
          <w:instrText xml:space="preserve"> PAGEREF _Toc432758330 \h </w:instrText>
        </w:r>
        <w:r w:rsidR="00C16653">
          <w:rPr>
            <w:noProof/>
            <w:webHidden/>
          </w:rPr>
        </w:r>
        <w:r w:rsidR="00C16653">
          <w:rPr>
            <w:noProof/>
            <w:webHidden/>
          </w:rPr>
          <w:fldChar w:fldCharType="separate"/>
        </w:r>
        <w:r>
          <w:rPr>
            <w:noProof/>
            <w:webHidden/>
          </w:rPr>
          <w:t>63</w:t>
        </w:r>
        <w:r w:rsidR="00C16653">
          <w:rPr>
            <w:noProof/>
            <w:webHidden/>
          </w:rPr>
          <w:fldChar w:fldCharType="end"/>
        </w:r>
      </w:hyperlink>
    </w:p>
    <w:p w:rsidR="00C16653" w:rsidRDefault="00BC1E01" w:rsidP="00C16653">
      <w:pPr>
        <w:pStyle w:val="TOC2"/>
        <w:tabs>
          <w:tab w:val="right" w:pos="7502"/>
        </w:tabs>
        <w:spacing w:before="0" w:after="60"/>
        <w:rPr>
          <w:rFonts w:asciiTheme="minorHAnsi" w:eastAsiaTheme="minorEastAsia" w:hAnsiTheme="minorHAnsi" w:cstheme="minorBidi"/>
          <w:bCs w:val="0"/>
          <w:noProof/>
          <w:color w:val="auto"/>
          <w:sz w:val="22"/>
          <w:lang w:eastAsia="en-AU"/>
        </w:rPr>
      </w:pPr>
      <w:hyperlink w:anchor="_Toc432758331" w:history="1">
        <w:r w:rsidR="00C16653" w:rsidRPr="00754D45">
          <w:rPr>
            <w:rStyle w:val="Hyperlink"/>
            <w:noProof/>
          </w:rPr>
          <w:t>Students with a Culturally and Linguistically Diverse (CALD) Background</w:t>
        </w:r>
        <w:r w:rsidR="00C16653">
          <w:rPr>
            <w:noProof/>
            <w:webHidden/>
          </w:rPr>
          <w:tab/>
        </w:r>
        <w:r w:rsidR="00C16653">
          <w:rPr>
            <w:noProof/>
            <w:webHidden/>
          </w:rPr>
          <w:fldChar w:fldCharType="begin"/>
        </w:r>
        <w:r w:rsidR="00C16653">
          <w:rPr>
            <w:noProof/>
            <w:webHidden/>
          </w:rPr>
          <w:instrText xml:space="preserve"> PAGEREF _Toc432758331 \h </w:instrText>
        </w:r>
        <w:r w:rsidR="00C16653">
          <w:rPr>
            <w:noProof/>
            <w:webHidden/>
          </w:rPr>
        </w:r>
        <w:r w:rsidR="00C16653">
          <w:rPr>
            <w:noProof/>
            <w:webHidden/>
          </w:rPr>
          <w:fldChar w:fldCharType="separate"/>
        </w:r>
        <w:r>
          <w:rPr>
            <w:noProof/>
            <w:webHidden/>
          </w:rPr>
          <w:t>64</w:t>
        </w:r>
        <w:r w:rsidR="00C16653">
          <w:rPr>
            <w:noProof/>
            <w:webHidden/>
          </w:rPr>
          <w:fldChar w:fldCharType="end"/>
        </w:r>
      </w:hyperlink>
    </w:p>
    <w:p w:rsidR="00C16653" w:rsidRDefault="00BC1E01" w:rsidP="00C16653">
      <w:pPr>
        <w:pStyle w:val="TOC2"/>
        <w:tabs>
          <w:tab w:val="right" w:pos="7502"/>
        </w:tabs>
        <w:spacing w:before="0" w:after="60"/>
        <w:rPr>
          <w:rFonts w:asciiTheme="minorHAnsi" w:eastAsiaTheme="minorEastAsia" w:hAnsiTheme="minorHAnsi" w:cstheme="minorBidi"/>
          <w:bCs w:val="0"/>
          <w:noProof/>
          <w:color w:val="auto"/>
          <w:sz w:val="22"/>
          <w:lang w:eastAsia="en-AU"/>
        </w:rPr>
      </w:pPr>
      <w:hyperlink w:anchor="_Toc432758332" w:history="1">
        <w:r w:rsidR="00C16653" w:rsidRPr="00754D45">
          <w:rPr>
            <w:rStyle w:val="Hyperlink"/>
            <w:noProof/>
          </w:rPr>
          <w:t>Unemployed Students</w:t>
        </w:r>
        <w:r w:rsidR="00C16653">
          <w:rPr>
            <w:noProof/>
            <w:webHidden/>
          </w:rPr>
          <w:tab/>
        </w:r>
        <w:r w:rsidR="00C16653">
          <w:rPr>
            <w:noProof/>
            <w:webHidden/>
          </w:rPr>
          <w:fldChar w:fldCharType="begin"/>
        </w:r>
        <w:r w:rsidR="00C16653">
          <w:rPr>
            <w:noProof/>
            <w:webHidden/>
          </w:rPr>
          <w:instrText xml:space="preserve"> PAGEREF _Toc432758332 \h </w:instrText>
        </w:r>
        <w:r w:rsidR="00C16653">
          <w:rPr>
            <w:noProof/>
            <w:webHidden/>
          </w:rPr>
        </w:r>
        <w:r w:rsidR="00C16653">
          <w:rPr>
            <w:noProof/>
            <w:webHidden/>
          </w:rPr>
          <w:fldChar w:fldCharType="separate"/>
        </w:r>
        <w:r>
          <w:rPr>
            <w:noProof/>
            <w:webHidden/>
          </w:rPr>
          <w:t>65</w:t>
        </w:r>
        <w:r w:rsidR="00C16653">
          <w:rPr>
            <w:noProof/>
            <w:webHidden/>
          </w:rPr>
          <w:fldChar w:fldCharType="end"/>
        </w:r>
      </w:hyperlink>
    </w:p>
    <w:p w:rsidR="00C16653" w:rsidRDefault="00BC1E01" w:rsidP="00C16653">
      <w:pPr>
        <w:pStyle w:val="TOC2"/>
        <w:tabs>
          <w:tab w:val="right" w:pos="7502"/>
        </w:tabs>
        <w:spacing w:before="0" w:after="60"/>
        <w:rPr>
          <w:rFonts w:asciiTheme="minorHAnsi" w:eastAsiaTheme="minorEastAsia" w:hAnsiTheme="minorHAnsi" w:cstheme="minorBidi"/>
          <w:bCs w:val="0"/>
          <w:noProof/>
          <w:color w:val="auto"/>
          <w:sz w:val="22"/>
          <w:lang w:eastAsia="en-AU"/>
        </w:rPr>
      </w:pPr>
      <w:hyperlink w:anchor="_Toc432758333" w:history="1">
        <w:r w:rsidR="00C16653" w:rsidRPr="00754D45">
          <w:rPr>
            <w:rStyle w:val="Hyperlink"/>
            <w:noProof/>
          </w:rPr>
          <w:t>Young People (aged 15 to 19) Without Year 12 or Equivalent and Not at School enrolled in Certificate II or above</w:t>
        </w:r>
        <w:r w:rsidR="00C16653">
          <w:rPr>
            <w:noProof/>
            <w:webHidden/>
          </w:rPr>
          <w:tab/>
        </w:r>
        <w:r w:rsidR="00C16653">
          <w:rPr>
            <w:noProof/>
            <w:webHidden/>
          </w:rPr>
          <w:fldChar w:fldCharType="begin"/>
        </w:r>
        <w:r w:rsidR="00C16653">
          <w:rPr>
            <w:noProof/>
            <w:webHidden/>
          </w:rPr>
          <w:instrText xml:space="preserve"> PAGEREF _Toc432758333 \h </w:instrText>
        </w:r>
        <w:r w:rsidR="00C16653">
          <w:rPr>
            <w:noProof/>
            <w:webHidden/>
          </w:rPr>
        </w:r>
        <w:r w:rsidR="00C16653">
          <w:rPr>
            <w:noProof/>
            <w:webHidden/>
          </w:rPr>
          <w:fldChar w:fldCharType="separate"/>
        </w:r>
        <w:r>
          <w:rPr>
            <w:noProof/>
            <w:webHidden/>
          </w:rPr>
          <w:t>66</w:t>
        </w:r>
        <w:r w:rsidR="00C16653">
          <w:rPr>
            <w:noProof/>
            <w:webHidden/>
          </w:rPr>
          <w:fldChar w:fldCharType="end"/>
        </w:r>
      </w:hyperlink>
    </w:p>
    <w:p w:rsidR="00C16653" w:rsidRDefault="00BC1E01" w:rsidP="00C16653">
      <w:pPr>
        <w:pStyle w:val="TOC2"/>
        <w:tabs>
          <w:tab w:val="right" w:pos="7502"/>
        </w:tabs>
        <w:spacing w:before="0" w:after="60"/>
        <w:rPr>
          <w:rFonts w:asciiTheme="minorHAnsi" w:eastAsiaTheme="minorEastAsia" w:hAnsiTheme="minorHAnsi" w:cstheme="minorBidi"/>
          <w:bCs w:val="0"/>
          <w:noProof/>
          <w:color w:val="auto"/>
          <w:sz w:val="22"/>
          <w:lang w:eastAsia="en-AU"/>
        </w:rPr>
      </w:pPr>
      <w:hyperlink w:anchor="_Toc432758334" w:history="1">
        <w:r w:rsidR="00C16653" w:rsidRPr="00754D45">
          <w:rPr>
            <w:rStyle w:val="Hyperlink"/>
            <w:noProof/>
          </w:rPr>
          <w:t>Students with Low Prior Qualification</w:t>
        </w:r>
        <w:r w:rsidR="00C16653">
          <w:rPr>
            <w:noProof/>
            <w:webHidden/>
          </w:rPr>
          <w:tab/>
        </w:r>
        <w:r w:rsidR="00C16653">
          <w:rPr>
            <w:noProof/>
            <w:webHidden/>
          </w:rPr>
          <w:fldChar w:fldCharType="begin"/>
        </w:r>
        <w:r w:rsidR="00C16653">
          <w:rPr>
            <w:noProof/>
            <w:webHidden/>
          </w:rPr>
          <w:instrText xml:space="preserve"> PAGEREF _Toc432758334 \h </w:instrText>
        </w:r>
        <w:r w:rsidR="00C16653">
          <w:rPr>
            <w:noProof/>
            <w:webHidden/>
          </w:rPr>
        </w:r>
        <w:r w:rsidR="00C16653">
          <w:rPr>
            <w:noProof/>
            <w:webHidden/>
          </w:rPr>
          <w:fldChar w:fldCharType="separate"/>
        </w:r>
        <w:r>
          <w:rPr>
            <w:noProof/>
            <w:webHidden/>
          </w:rPr>
          <w:t>67</w:t>
        </w:r>
        <w:r w:rsidR="00C16653">
          <w:rPr>
            <w:noProof/>
            <w:webHidden/>
          </w:rPr>
          <w:fldChar w:fldCharType="end"/>
        </w:r>
      </w:hyperlink>
    </w:p>
    <w:p w:rsidR="00C16653" w:rsidRDefault="00BC1E01" w:rsidP="00C16653">
      <w:pPr>
        <w:pStyle w:val="TOC2"/>
        <w:tabs>
          <w:tab w:val="right" w:pos="7502"/>
        </w:tabs>
        <w:spacing w:before="0" w:after="60"/>
        <w:rPr>
          <w:rFonts w:asciiTheme="minorHAnsi" w:eastAsiaTheme="minorEastAsia" w:hAnsiTheme="minorHAnsi" w:cstheme="minorBidi"/>
          <w:bCs w:val="0"/>
          <w:noProof/>
          <w:color w:val="auto"/>
          <w:sz w:val="22"/>
          <w:lang w:eastAsia="en-AU"/>
        </w:rPr>
      </w:pPr>
      <w:hyperlink w:anchor="_Toc432758335" w:history="1">
        <w:r w:rsidR="00C16653" w:rsidRPr="00754D45">
          <w:rPr>
            <w:rStyle w:val="Hyperlink"/>
            <w:noProof/>
          </w:rPr>
          <w:t>Foundation Level Training</w:t>
        </w:r>
        <w:r w:rsidR="00C16653">
          <w:rPr>
            <w:noProof/>
            <w:webHidden/>
          </w:rPr>
          <w:tab/>
        </w:r>
        <w:r w:rsidR="00C16653">
          <w:rPr>
            <w:noProof/>
            <w:webHidden/>
          </w:rPr>
          <w:fldChar w:fldCharType="begin"/>
        </w:r>
        <w:r w:rsidR="00C16653">
          <w:rPr>
            <w:noProof/>
            <w:webHidden/>
          </w:rPr>
          <w:instrText xml:space="preserve"> PAGEREF _Toc432758335 \h </w:instrText>
        </w:r>
        <w:r w:rsidR="00C16653">
          <w:rPr>
            <w:noProof/>
            <w:webHidden/>
          </w:rPr>
        </w:r>
        <w:r w:rsidR="00C16653">
          <w:rPr>
            <w:noProof/>
            <w:webHidden/>
          </w:rPr>
          <w:fldChar w:fldCharType="separate"/>
        </w:r>
        <w:r>
          <w:rPr>
            <w:noProof/>
            <w:webHidden/>
          </w:rPr>
          <w:t>68</w:t>
        </w:r>
        <w:r w:rsidR="00C16653">
          <w:rPr>
            <w:noProof/>
            <w:webHidden/>
          </w:rPr>
          <w:fldChar w:fldCharType="end"/>
        </w:r>
      </w:hyperlink>
    </w:p>
    <w:p w:rsidR="00C16653" w:rsidRDefault="00BC1E01" w:rsidP="00C16653">
      <w:pPr>
        <w:pStyle w:val="TOC1"/>
        <w:spacing w:after="60"/>
        <w:rPr>
          <w:rFonts w:asciiTheme="minorHAnsi" w:eastAsiaTheme="minorEastAsia" w:hAnsiTheme="minorHAnsi" w:cstheme="minorBidi"/>
          <w:b w:val="0"/>
          <w:bCs w:val="0"/>
          <w:iCs w:val="0"/>
          <w:noProof/>
          <w:color w:val="auto"/>
          <w:sz w:val="22"/>
          <w:szCs w:val="22"/>
          <w:lang w:eastAsia="en-AU"/>
        </w:rPr>
      </w:pPr>
      <w:hyperlink w:anchor="_Toc432758336" w:history="1">
        <w:r w:rsidR="00C16653" w:rsidRPr="00754D45">
          <w:rPr>
            <w:rStyle w:val="Hyperlink"/>
            <w:noProof/>
          </w:rPr>
          <w:t>3.</w:t>
        </w:r>
        <w:r w:rsidR="00C16653">
          <w:rPr>
            <w:rFonts w:asciiTheme="minorHAnsi" w:eastAsiaTheme="minorEastAsia" w:hAnsiTheme="minorHAnsi" w:cstheme="minorBidi"/>
            <w:b w:val="0"/>
            <w:bCs w:val="0"/>
            <w:iCs w:val="0"/>
            <w:noProof/>
            <w:color w:val="auto"/>
            <w:sz w:val="22"/>
            <w:szCs w:val="22"/>
            <w:lang w:eastAsia="en-AU"/>
          </w:rPr>
          <w:tab/>
        </w:r>
        <w:r w:rsidR="00C16653" w:rsidRPr="00754D45">
          <w:rPr>
            <w:rStyle w:val="Hyperlink"/>
            <w:noProof/>
          </w:rPr>
          <w:t>Apprenticeships and Traineeships</w:t>
        </w:r>
        <w:r w:rsidR="00C16653">
          <w:rPr>
            <w:noProof/>
            <w:webHidden/>
          </w:rPr>
          <w:tab/>
        </w:r>
        <w:r w:rsidR="00C16653">
          <w:rPr>
            <w:noProof/>
            <w:webHidden/>
          </w:rPr>
          <w:fldChar w:fldCharType="begin"/>
        </w:r>
        <w:r w:rsidR="00C16653">
          <w:rPr>
            <w:noProof/>
            <w:webHidden/>
          </w:rPr>
          <w:instrText xml:space="preserve"> PAGEREF _Toc432758336 \h </w:instrText>
        </w:r>
        <w:r w:rsidR="00C16653">
          <w:rPr>
            <w:noProof/>
            <w:webHidden/>
          </w:rPr>
        </w:r>
        <w:r w:rsidR="00C16653">
          <w:rPr>
            <w:noProof/>
            <w:webHidden/>
          </w:rPr>
          <w:fldChar w:fldCharType="separate"/>
        </w:r>
        <w:r>
          <w:rPr>
            <w:noProof/>
            <w:webHidden/>
          </w:rPr>
          <w:t>71</w:t>
        </w:r>
        <w:r w:rsidR="00C16653">
          <w:rPr>
            <w:noProof/>
            <w:webHidden/>
          </w:rPr>
          <w:fldChar w:fldCharType="end"/>
        </w:r>
      </w:hyperlink>
    </w:p>
    <w:p w:rsidR="00C16653" w:rsidRDefault="00BC1E01" w:rsidP="00C16653">
      <w:pPr>
        <w:pStyle w:val="TOC2"/>
        <w:tabs>
          <w:tab w:val="right" w:pos="7502"/>
        </w:tabs>
        <w:spacing w:before="0" w:after="60"/>
        <w:rPr>
          <w:rFonts w:asciiTheme="minorHAnsi" w:eastAsiaTheme="minorEastAsia" w:hAnsiTheme="minorHAnsi" w:cstheme="minorBidi"/>
          <w:bCs w:val="0"/>
          <w:noProof/>
          <w:color w:val="auto"/>
          <w:sz w:val="22"/>
          <w:lang w:eastAsia="en-AU"/>
        </w:rPr>
      </w:pPr>
      <w:hyperlink w:anchor="_Toc432758337" w:history="1">
        <w:r w:rsidR="00C16653" w:rsidRPr="00754D45">
          <w:rPr>
            <w:rStyle w:val="Hyperlink"/>
            <w:noProof/>
          </w:rPr>
          <w:t>Apprenticeships and Traineeships Overall</w:t>
        </w:r>
        <w:r w:rsidR="00C16653">
          <w:rPr>
            <w:noProof/>
            <w:webHidden/>
          </w:rPr>
          <w:tab/>
        </w:r>
        <w:r w:rsidR="00C16653">
          <w:rPr>
            <w:noProof/>
            <w:webHidden/>
          </w:rPr>
          <w:fldChar w:fldCharType="begin"/>
        </w:r>
        <w:r w:rsidR="00C16653">
          <w:rPr>
            <w:noProof/>
            <w:webHidden/>
          </w:rPr>
          <w:instrText xml:space="preserve"> PAGEREF _Toc432758337 \h </w:instrText>
        </w:r>
        <w:r w:rsidR="00C16653">
          <w:rPr>
            <w:noProof/>
            <w:webHidden/>
          </w:rPr>
        </w:r>
        <w:r w:rsidR="00C16653">
          <w:rPr>
            <w:noProof/>
            <w:webHidden/>
          </w:rPr>
          <w:fldChar w:fldCharType="separate"/>
        </w:r>
        <w:r>
          <w:rPr>
            <w:noProof/>
            <w:webHidden/>
          </w:rPr>
          <w:t>71</w:t>
        </w:r>
        <w:r w:rsidR="00C16653">
          <w:rPr>
            <w:noProof/>
            <w:webHidden/>
          </w:rPr>
          <w:fldChar w:fldCharType="end"/>
        </w:r>
      </w:hyperlink>
    </w:p>
    <w:p w:rsidR="00C16653" w:rsidRDefault="00BC1E01" w:rsidP="00C16653">
      <w:pPr>
        <w:pStyle w:val="TOC2"/>
        <w:tabs>
          <w:tab w:val="right" w:pos="7502"/>
        </w:tabs>
        <w:spacing w:before="0" w:after="60"/>
        <w:rPr>
          <w:rFonts w:asciiTheme="minorHAnsi" w:eastAsiaTheme="minorEastAsia" w:hAnsiTheme="minorHAnsi" w:cstheme="minorBidi"/>
          <w:bCs w:val="0"/>
          <w:noProof/>
          <w:color w:val="auto"/>
          <w:sz w:val="22"/>
          <w:lang w:eastAsia="en-AU"/>
        </w:rPr>
      </w:pPr>
      <w:hyperlink w:anchor="_Toc432758338" w:history="1">
        <w:r w:rsidR="00C16653" w:rsidRPr="00754D45">
          <w:rPr>
            <w:rStyle w:val="Hyperlink"/>
            <w:noProof/>
          </w:rPr>
          <w:t>Apprenticeships</w:t>
        </w:r>
        <w:r w:rsidR="00C16653">
          <w:rPr>
            <w:noProof/>
            <w:webHidden/>
          </w:rPr>
          <w:tab/>
        </w:r>
        <w:r w:rsidR="00C16653">
          <w:rPr>
            <w:noProof/>
            <w:webHidden/>
          </w:rPr>
          <w:fldChar w:fldCharType="begin"/>
        </w:r>
        <w:r w:rsidR="00C16653">
          <w:rPr>
            <w:noProof/>
            <w:webHidden/>
          </w:rPr>
          <w:instrText xml:space="preserve"> PAGEREF _Toc432758338 \h </w:instrText>
        </w:r>
        <w:r w:rsidR="00C16653">
          <w:rPr>
            <w:noProof/>
            <w:webHidden/>
          </w:rPr>
        </w:r>
        <w:r w:rsidR="00C16653">
          <w:rPr>
            <w:noProof/>
            <w:webHidden/>
          </w:rPr>
          <w:fldChar w:fldCharType="separate"/>
        </w:r>
        <w:r>
          <w:rPr>
            <w:noProof/>
            <w:webHidden/>
          </w:rPr>
          <w:t>72</w:t>
        </w:r>
        <w:r w:rsidR="00C16653">
          <w:rPr>
            <w:noProof/>
            <w:webHidden/>
          </w:rPr>
          <w:fldChar w:fldCharType="end"/>
        </w:r>
      </w:hyperlink>
    </w:p>
    <w:p w:rsidR="00C16653" w:rsidRDefault="00BC1E01" w:rsidP="00C16653">
      <w:pPr>
        <w:pStyle w:val="TOC2"/>
        <w:tabs>
          <w:tab w:val="right" w:pos="7502"/>
        </w:tabs>
        <w:spacing w:before="0" w:after="60"/>
        <w:rPr>
          <w:rFonts w:asciiTheme="minorHAnsi" w:eastAsiaTheme="minorEastAsia" w:hAnsiTheme="minorHAnsi" w:cstheme="minorBidi"/>
          <w:bCs w:val="0"/>
          <w:noProof/>
          <w:color w:val="auto"/>
          <w:sz w:val="22"/>
          <w:lang w:eastAsia="en-AU"/>
        </w:rPr>
      </w:pPr>
      <w:hyperlink w:anchor="_Toc432758339" w:history="1">
        <w:r w:rsidR="00C16653" w:rsidRPr="00754D45">
          <w:rPr>
            <w:rStyle w:val="Hyperlink"/>
            <w:noProof/>
          </w:rPr>
          <w:t>Traineeships</w:t>
        </w:r>
        <w:r w:rsidR="00C16653">
          <w:rPr>
            <w:noProof/>
            <w:webHidden/>
          </w:rPr>
          <w:tab/>
        </w:r>
        <w:r w:rsidR="00C16653">
          <w:rPr>
            <w:noProof/>
            <w:webHidden/>
          </w:rPr>
          <w:fldChar w:fldCharType="begin"/>
        </w:r>
        <w:r w:rsidR="00C16653">
          <w:rPr>
            <w:noProof/>
            <w:webHidden/>
          </w:rPr>
          <w:instrText xml:space="preserve"> PAGEREF _Toc432758339 \h </w:instrText>
        </w:r>
        <w:r w:rsidR="00C16653">
          <w:rPr>
            <w:noProof/>
            <w:webHidden/>
          </w:rPr>
        </w:r>
        <w:r w:rsidR="00C16653">
          <w:rPr>
            <w:noProof/>
            <w:webHidden/>
          </w:rPr>
          <w:fldChar w:fldCharType="separate"/>
        </w:r>
        <w:r>
          <w:rPr>
            <w:noProof/>
            <w:webHidden/>
          </w:rPr>
          <w:t>78</w:t>
        </w:r>
        <w:r w:rsidR="00C16653">
          <w:rPr>
            <w:noProof/>
            <w:webHidden/>
          </w:rPr>
          <w:fldChar w:fldCharType="end"/>
        </w:r>
      </w:hyperlink>
    </w:p>
    <w:p w:rsidR="00C16653" w:rsidRDefault="00BC1E01" w:rsidP="00C16653">
      <w:pPr>
        <w:pStyle w:val="TOC1"/>
        <w:spacing w:after="60"/>
        <w:rPr>
          <w:rFonts w:asciiTheme="minorHAnsi" w:eastAsiaTheme="minorEastAsia" w:hAnsiTheme="minorHAnsi" w:cstheme="minorBidi"/>
          <w:b w:val="0"/>
          <w:bCs w:val="0"/>
          <w:iCs w:val="0"/>
          <w:noProof/>
          <w:color w:val="auto"/>
          <w:sz w:val="22"/>
          <w:szCs w:val="22"/>
          <w:lang w:eastAsia="en-AU"/>
        </w:rPr>
      </w:pPr>
      <w:hyperlink w:anchor="_Toc432758340" w:history="1">
        <w:r w:rsidR="00C16653" w:rsidRPr="00754D45">
          <w:rPr>
            <w:rStyle w:val="Hyperlink"/>
            <w:noProof/>
          </w:rPr>
          <w:t>4.</w:t>
        </w:r>
        <w:r w:rsidR="00C16653">
          <w:rPr>
            <w:rFonts w:asciiTheme="minorHAnsi" w:eastAsiaTheme="minorEastAsia" w:hAnsiTheme="minorHAnsi" w:cstheme="minorBidi"/>
            <w:b w:val="0"/>
            <w:bCs w:val="0"/>
            <w:iCs w:val="0"/>
            <w:noProof/>
            <w:color w:val="auto"/>
            <w:sz w:val="22"/>
            <w:szCs w:val="22"/>
            <w:lang w:eastAsia="en-AU"/>
          </w:rPr>
          <w:tab/>
        </w:r>
        <w:r w:rsidR="00C16653" w:rsidRPr="00754D45">
          <w:rPr>
            <w:rStyle w:val="Hyperlink"/>
            <w:noProof/>
          </w:rPr>
          <w:t>Training in Areas of Value to the Victorian Economy</w:t>
        </w:r>
        <w:r w:rsidR="00C16653">
          <w:rPr>
            <w:noProof/>
            <w:webHidden/>
          </w:rPr>
          <w:tab/>
        </w:r>
        <w:r w:rsidR="00C16653">
          <w:rPr>
            <w:noProof/>
            <w:webHidden/>
          </w:rPr>
          <w:fldChar w:fldCharType="begin"/>
        </w:r>
        <w:r w:rsidR="00C16653">
          <w:rPr>
            <w:noProof/>
            <w:webHidden/>
          </w:rPr>
          <w:instrText xml:space="preserve"> PAGEREF _Toc432758340 \h </w:instrText>
        </w:r>
        <w:r w:rsidR="00C16653">
          <w:rPr>
            <w:noProof/>
            <w:webHidden/>
          </w:rPr>
        </w:r>
        <w:r w:rsidR="00C16653">
          <w:rPr>
            <w:noProof/>
            <w:webHidden/>
          </w:rPr>
          <w:fldChar w:fldCharType="separate"/>
        </w:r>
        <w:r>
          <w:rPr>
            <w:noProof/>
            <w:webHidden/>
          </w:rPr>
          <w:t>85</w:t>
        </w:r>
        <w:r w:rsidR="00C16653">
          <w:rPr>
            <w:noProof/>
            <w:webHidden/>
          </w:rPr>
          <w:fldChar w:fldCharType="end"/>
        </w:r>
      </w:hyperlink>
    </w:p>
    <w:p w:rsidR="00C16653" w:rsidRDefault="00BC1E01" w:rsidP="00C16653">
      <w:pPr>
        <w:pStyle w:val="TOC2"/>
        <w:tabs>
          <w:tab w:val="right" w:pos="7502"/>
        </w:tabs>
        <w:spacing w:before="0" w:after="60"/>
        <w:rPr>
          <w:rFonts w:asciiTheme="minorHAnsi" w:eastAsiaTheme="minorEastAsia" w:hAnsiTheme="minorHAnsi" w:cstheme="minorBidi"/>
          <w:bCs w:val="0"/>
          <w:noProof/>
          <w:color w:val="auto"/>
          <w:sz w:val="22"/>
          <w:lang w:eastAsia="en-AU"/>
        </w:rPr>
      </w:pPr>
      <w:hyperlink w:anchor="_Toc432758341" w:history="1">
        <w:r w:rsidR="00C16653" w:rsidRPr="00754D45">
          <w:rPr>
            <w:rStyle w:val="Hyperlink"/>
            <w:noProof/>
          </w:rPr>
          <w:t>Vocational Training to Support Industry Needs</w:t>
        </w:r>
        <w:r w:rsidR="00C16653">
          <w:rPr>
            <w:noProof/>
            <w:webHidden/>
          </w:rPr>
          <w:tab/>
        </w:r>
        <w:r w:rsidR="00C16653">
          <w:rPr>
            <w:noProof/>
            <w:webHidden/>
          </w:rPr>
          <w:fldChar w:fldCharType="begin"/>
        </w:r>
        <w:r w:rsidR="00C16653">
          <w:rPr>
            <w:noProof/>
            <w:webHidden/>
          </w:rPr>
          <w:instrText xml:space="preserve"> PAGEREF _Toc432758341 \h </w:instrText>
        </w:r>
        <w:r w:rsidR="00C16653">
          <w:rPr>
            <w:noProof/>
            <w:webHidden/>
          </w:rPr>
        </w:r>
        <w:r w:rsidR="00C16653">
          <w:rPr>
            <w:noProof/>
            <w:webHidden/>
          </w:rPr>
          <w:fldChar w:fldCharType="separate"/>
        </w:r>
        <w:r>
          <w:rPr>
            <w:noProof/>
            <w:webHidden/>
          </w:rPr>
          <w:t>85</w:t>
        </w:r>
        <w:r w:rsidR="00C16653">
          <w:rPr>
            <w:noProof/>
            <w:webHidden/>
          </w:rPr>
          <w:fldChar w:fldCharType="end"/>
        </w:r>
      </w:hyperlink>
    </w:p>
    <w:p w:rsidR="00C16653" w:rsidRDefault="00BC1E01" w:rsidP="00C16653">
      <w:pPr>
        <w:pStyle w:val="TOC2"/>
        <w:tabs>
          <w:tab w:val="right" w:pos="7502"/>
        </w:tabs>
        <w:spacing w:before="0" w:after="60"/>
        <w:rPr>
          <w:rFonts w:asciiTheme="minorHAnsi" w:eastAsiaTheme="minorEastAsia" w:hAnsiTheme="minorHAnsi" w:cstheme="minorBidi"/>
          <w:bCs w:val="0"/>
          <w:noProof/>
          <w:color w:val="auto"/>
          <w:sz w:val="22"/>
          <w:lang w:eastAsia="en-AU"/>
        </w:rPr>
      </w:pPr>
      <w:hyperlink w:anchor="_Toc432758342" w:history="1">
        <w:r w:rsidR="00C16653" w:rsidRPr="00754D45">
          <w:rPr>
            <w:rStyle w:val="Hyperlink"/>
            <w:noProof/>
          </w:rPr>
          <w:t>Vocational Training to Support Critical Occupations</w:t>
        </w:r>
        <w:r w:rsidR="00C16653">
          <w:rPr>
            <w:noProof/>
            <w:webHidden/>
          </w:rPr>
          <w:tab/>
        </w:r>
        <w:r w:rsidR="00C16653">
          <w:rPr>
            <w:noProof/>
            <w:webHidden/>
          </w:rPr>
          <w:fldChar w:fldCharType="begin"/>
        </w:r>
        <w:r w:rsidR="00C16653">
          <w:rPr>
            <w:noProof/>
            <w:webHidden/>
          </w:rPr>
          <w:instrText xml:space="preserve"> PAGEREF _Toc432758342 \h </w:instrText>
        </w:r>
        <w:r w:rsidR="00C16653">
          <w:rPr>
            <w:noProof/>
            <w:webHidden/>
          </w:rPr>
        </w:r>
        <w:r w:rsidR="00C16653">
          <w:rPr>
            <w:noProof/>
            <w:webHidden/>
          </w:rPr>
          <w:fldChar w:fldCharType="separate"/>
        </w:r>
        <w:r>
          <w:rPr>
            <w:noProof/>
            <w:webHidden/>
          </w:rPr>
          <w:t>88</w:t>
        </w:r>
        <w:r w:rsidR="00C16653">
          <w:rPr>
            <w:noProof/>
            <w:webHidden/>
          </w:rPr>
          <w:fldChar w:fldCharType="end"/>
        </w:r>
      </w:hyperlink>
    </w:p>
    <w:p w:rsidR="00C16653" w:rsidRDefault="00BC1E01" w:rsidP="00C16653">
      <w:pPr>
        <w:pStyle w:val="TOC2"/>
        <w:tabs>
          <w:tab w:val="right" w:pos="7502"/>
        </w:tabs>
        <w:spacing w:before="0" w:after="60"/>
        <w:rPr>
          <w:rFonts w:asciiTheme="minorHAnsi" w:eastAsiaTheme="minorEastAsia" w:hAnsiTheme="minorHAnsi" w:cstheme="minorBidi"/>
          <w:bCs w:val="0"/>
          <w:noProof/>
          <w:color w:val="auto"/>
          <w:sz w:val="22"/>
          <w:lang w:eastAsia="en-AU"/>
        </w:rPr>
      </w:pPr>
      <w:hyperlink w:anchor="_Toc432758343" w:history="1">
        <w:r w:rsidR="00C16653" w:rsidRPr="00754D45">
          <w:rPr>
            <w:rStyle w:val="Hyperlink"/>
            <w:noProof/>
          </w:rPr>
          <w:t>Vocational Training in Priority Growth Sectors</w:t>
        </w:r>
        <w:r w:rsidR="00C16653">
          <w:rPr>
            <w:noProof/>
            <w:webHidden/>
          </w:rPr>
          <w:tab/>
        </w:r>
        <w:r w:rsidR="00C16653">
          <w:rPr>
            <w:noProof/>
            <w:webHidden/>
          </w:rPr>
          <w:fldChar w:fldCharType="begin"/>
        </w:r>
        <w:r w:rsidR="00C16653">
          <w:rPr>
            <w:noProof/>
            <w:webHidden/>
          </w:rPr>
          <w:instrText xml:space="preserve"> PAGEREF _Toc432758343 \h </w:instrText>
        </w:r>
        <w:r w:rsidR="00C16653">
          <w:rPr>
            <w:noProof/>
            <w:webHidden/>
          </w:rPr>
        </w:r>
        <w:r w:rsidR="00C16653">
          <w:rPr>
            <w:noProof/>
            <w:webHidden/>
          </w:rPr>
          <w:fldChar w:fldCharType="separate"/>
        </w:r>
        <w:r>
          <w:rPr>
            <w:noProof/>
            <w:webHidden/>
          </w:rPr>
          <w:t>90</w:t>
        </w:r>
        <w:r w:rsidR="00C16653">
          <w:rPr>
            <w:noProof/>
            <w:webHidden/>
          </w:rPr>
          <w:fldChar w:fldCharType="end"/>
        </w:r>
      </w:hyperlink>
    </w:p>
    <w:p w:rsidR="00576634" w:rsidRPr="00365EB2" w:rsidRDefault="0031494E" w:rsidP="00C16653">
      <w:pPr>
        <w:tabs>
          <w:tab w:val="left" w:pos="7230"/>
        </w:tabs>
        <w:spacing w:after="60"/>
      </w:pPr>
      <w:r w:rsidRPr="00BB466D">
        <w:rPr>
          <w:rFonts w:asciiTheme="minorHAnsi" w:hAnsiTheme="minorHAnsi"/>
          <w:b/>
          <w:bCs/>
          <w:iCs/>
          <w:sz w:val="19"/>
          <w:szCs w:val="19"/>
        </w:rPr>
        <w:lastRenderedPageBreak/>
        <w:fldChar w:fldCharType="end"/>
      </w:r>
    </w:p>
    <w:p w:rsidR="00747E7B" w:rsidRPr="00AD726B" w:rsidRDefault="00747E7B" w:rsidP="007C7E50"/>
    <w:p w:rsidR="00EA13FC" w:rsidRPr="00AD7BB0" w:rsidRDefault="00EA13FC">
      <w:r w:rsidRPr="00AD7BB0">
        <w:br w:type="page"/>
      </w:r>
    </w:p>
    <w:p w:rsidR="00653634" w:rsidRPr="00612488" w:rsidRDefault="00A8197C" w:rsidP="0066451E">
      <w:pPr>
        <w:pStyle w:val="Heading1"/>
        <w:numPr>
          <w:ilvl w:val="0"/>
          <w:numId w:val="0"/>
        </w:numPr>
        <w:ind w:right="770"/>
        <w:rPr>
          <w:color w:val="B41F22" w:themeColor="accent1"/>
        </w:rPr>
      </w:pPr>
      <w:bookmarkStart w:id="2" w:name="_Toc432758312"/>
      <w:r w:rsidRPr="00612488">
        <w:rPr>
          <w:color w:val="B41F22" w:themeColor="accent1"/>
        </w:rPr>
        <w:lastRenderedPageBreak/>
        <w:t>Executive Summary</w:t>
      </w:r>
      <w:bookmarkEnd w:id="2"/>
    </w:p>
    <w:p w:rsidR="00620CB3" w:rsidRDefault="00620CB3" w:rsidP="00F114D2"/>
    <w:p w:rsidR="00A8197C" w:rsidRPr="00DF4002" w:rsidRDefault="00620CB3" w:rsidP="00F114D2">
      <w:pPr>
        <w:rPr>
          <w:b/>
        </w:rPr>
      </w:pPr>
      <w:r w:rsidRPr="00DF4002">
        <w:rPr>
          <w:b/>
        </w:rPr>
        <w:t>Introduction</w:t>
      </w:r>
    </w:p>
    <w:p w:rsidR="00095538" w:rsidRPr="00182BCF" w:rsidRDefault="00A7045A" w:rsidP="00095538">
      <w:pPr>
        <w:spacing w:before="120"/>
        <w:rPr>
          <w:color w:val="7F7F7F" w:themeColor="text2"/>
        </w:rPr>
      </w:pPr>
      <w:r w:rsidRPr="00182BCF">
        <w:rPr>
          <w:color w:val="7F7F7F" w:themeColor="text2"/>
        </w:rPr>
        <w:t xml:space="preserve">Vocational education and training </w:t>
      </w:r>
      <w:r w:rsidR="00B4608F">
        <w:rPr>
          <w:color w:val="7F7F7F" w:themeColor="text2"/>
        </w:rPr>
        <w:t>plays a</w:t>
      </w:r>
      <w:r w:rsidRPr="00182BCF">
        <w:rPr>
          <w:color w:val="7F7F7F" w:themeColor="text2"/>
        </w:rPr>
        <w:t xml:space="preserve"> significant role in helping people move into employment, improve their employment, progress to further education, and for those who face barriers to build a bridge to employment and broader community engagement.</w:t>
      </w:r>
    </w:p>
    <w:p w:rsidR="007E2EA8" w:rsidRDefault="00AB62FC" w:rsidP="00FF6529">
      <w:pPr>
        <w:spacing w:before="120"/>
        <w:rPr>
          <w:color w:val="7F7F7F" w:themeColor="text2"/>
        </w:rPr>
      </w:pPr>
      <w:r w:rsidRPr="00182BCF">
        <w:rPr>
          <w:color w:val="7F7F7F" w:themeColor="text2"/>
        </w:rPr>
        <w:t>This report</w:t>
      </w:r>
      <w:r w:rsidR="007E2EA8" w:rsidRPr="00182BCF">
        <w:rPr>
          <w:color w:val="7F7F7F" w:themeColor="text2"/>
        </w:rPr>
        <w:t xml:space="preserve"> draws on the data </w:t>
      </w:r>
      <w:r w:rsidR="00B4608F">
        <w:rPr>
          <w:color w:val="7F7F7F" w:themeColor="text2"/>
        </w:rPr>
        <w:t>submitted</w:t>
      </w:r>
      <w:r w:rsidR="007E2EA8" w:rsidRPr="00182BCF">
        <w:rPr>
          <w:color w:val="7F7F7F" w:themeColor="text2"/>
        </w:rPr>
        <w:t xml:space="preserve"> to the Department of Education and Training by training providers that deliver government subsidised training in Victoria. </w:t>
      </w:r>
      <w:r w:rsidR="00761CB9">
        <w:rPr>
          <w:color w:val="7F7F7F" w:themeColor="text2"/>
        </w:rPr>
        <w:t>Training a</w:t>
      </w:r>
      <w:r w:rsidR="00C85325">
        <w:rPr>
          <w:color w:val="7F7F7F" w:themeColor="text2"/>
        </w:rPr>
        <w:t>ctivity</w:t>
      </w:r>
      <w:r w:rsidR="007E2EA8" w:rsidRPr="00182BCF">
        <w:rPr>
          <w:color w:val="7F7F7F" w:themeColor="text2"/>
        </w:rPr>
        <w:t xml:space="preserve"> in 201</w:t>
      </w:r>
      <w:r w:rsidR="00A2615A" w:rsidRPr="00182BCF">
        <w:rPr>
          <w:color w:val="7F7F7F" w:themeColor="text2"/>
        </w:rPr>
        <w:t xml:space="preserve">5 (half year) </w:t>
      </w:r>
      <w:r w:rsidR="007E2EA8" w:rsidRPr="00182BCF">
        <w:rPr>
          <w:color w:val="7F7F7F" w:themeColor="text2"/>
        </w:rPr>
        <w:t xml:space="preserve">is compared to that of previous </w:t>
      </w:r>
      <w:r w:rsidR="00443748">
        <w:rPr>
          <w:color w:val="7F7F7F" w:themeColor="text2"/>
        </w:rPr>
        <w:t xml:space="preserve">half </w:t>
      </w:r>
      <w:r w:rsidR="007E2EA8" w:rsidRPr="00182BCF">
        <w:rPr>
          <w:color w:val="7F7F7F" w:themeColor="text2"/>
        </w:rPr>
        <w:t>years to provide a picture of changes and trends over time.</w:t>
      </w:r>
      <w:r w:rsidR="001E08F1">
        <w:rPr>
          <w:color w:val="7F7F7F" w:themeColor="text2"/>
        </w:rPr>
        <w:t xml:space="preserve"> </w:t>
      </w:r>
    </w:p>
    <w:p w:rsidR="00FF6529" w:rsidRDefault="00774F35" w:rsidP="00095538">
      <w:pPr>
        <w:spacing w:before="120"/>
        <w:rPr>
          <w:color w:val="7F7F7F" w:themeColor="text2"/>
        </w:rPr>
      </w:pPr>
      <w:r>
        <w:rPr>
          <w:color w:val="7F7F7F" w:themeColor="text2"/>
        </w:rPr>
        <w:t xml:space="preserve">Throughout this report, references to 2015 </w:t>
      </w:r>
      <w:r w:rsidR="0044293D">
        <w:rPr>
          <w:color w:val="7F7F7F" w:themeColor="text2"/>
        </w:rPr>
        <w:t xml:space="preserve">or 2015 </w:t>
      </w:r>
      <w:r w:rsidR="00B4608F">
        <w:rPr>
          <w:color w:val="7F7F7F" w:themeColor="text2"/>
        </w:rPr>
        <w:t>(</w:t>
      </w:r>
      <w:r w:rsidR="0044293D">
        <w:rPr>
          <w:color w:val="7F7F7F" w:themeColor="text2"/>
        </w:rPr>
        <w:t>half year</w:t>
      </w:r>
      <w:r w:rsidR="00B4608F">
        <w:rPr>
          <w:color w:val="7F7F7F" w:themeColor="text2"/>
        </w:rPr>
        <w:t>)</w:t>
      </w:r>
      <w:r w:rsidR="0044293D">
        <w:rPr>
          <w:color w:val="7F7F7F" w:themeColor="text2"/>
        </w:rPr>
        <w:t xml:space="preserve"> </w:t>
      </w:r>
      <w:r>
        <w:rPr>
          <w:color w:val="7F7F7F" w:themeColor="text2"/>
        </w:rPr>
        <w:t>mean the period for the first six month</w:t>
      </w:r>
      <w:r w:rsidR="00FF6529">
        <w:rPr>
          <w:color w:val="7F7F7F" w:themeColor="text2"/>
        </w:rPr>
        <w:t>s</w:t>
      </w:r>
      <w:r>
        <w:rPr>
          <w:color w:val="7F7F7F" w:themeColor="text2"/>
        </w:rPr>
        <w:t xml:space="preserve"> of the year.</w:t>
      </w:r>
    </w:p>
    <w:p w:rsidR="00620CB3" w:rsidRDefault="00620CB3" w:rsidP="00095538">
      <w:pPr>
        <w:spacing w:before="120"/>
        <w:rPr>
          <w:color w:val="7F7F7F" w:themeColor="text2"/>
        </w:rPr>
      </w:pPr>
    </w:p>
    <w:p w:rsidR="00620CB3" w:rsidRPr="00DF4002" w:rsidRDefault="00620CB3" w:rsidP="00095538">
      <w:pPr>
        <w:spacing w:before="120"/>
        <w:rPr>
          <w:b/>
          <w:color w:val="7F7F7F" w:themeColor="text2"/>
        </w:rPr>
      </w:pPr>
      <w:r w:rsidRPr="00DF4002">
        <w:rPr>
          <w:b/>
          <w:color w:val="7F7F7F" w:themeColor="text2"/>
        </w:rPr>
        <w:t>Overview</w:t>
      </w:r>
    </w:p>
    <w:p w:rsidR="00774F35" w:rsidRPr="00774F35" w:rsidRDefault="00FA048A" w:rsidP="00DA4936">
      <w:pPr>
        <w:pStyle w:val="ListParagraph"/>
        <w:numPr>
          <w:ilvl w:val="0"/>
          <w:numId w:val="33"/>
        </w:numPr>
        <w:spacing w:before="120"/>
        <w:ind w:left="357" w:hanging="357"/>
        <w:contextualSpacing w:val="0"/>
        <w:rPr>
          <w:color w:val="7F7F7F" w:themeColor="text2"/>
        </w:rPr>
      </w:pPr>
      <w:r>
        <w:rPr>
          <w:color w:val="7F7F7F" w:themeColor="text2"/>
        </w:rPr>
        <w:t xml:space="preserve">In the first six months of 2015 there were 275,353 students enrolled in </w:t>
      </w:r>
      <w:r w:rsidR="00774F35">
        <w:rPr>
          <w:color w:val="7F7F7F" w:themeColor="text2"/>
        </w:rPr>
        <w:t>324,994</w:t>
      </w:r>
      <w:r w:rsidR="0044293D">
        <w:rPr>
          <w:color w:val="7F7F7F" w:themeColor="text2"/>
        </w:rPr>
        <w:t xml:space="preserve"> accredited and pre-accredited</w:t>
      </w:r>
      <w:r w:rsidR="00774F35">
        <w:rPr>
          <w:color w:val="7F7F7F" w:themeColor="text2"/>
        </w:rPr>
        <w:t xml:space="preserve"> government subsidised courses. </w:t>
      </w:r>
    </w:p>
    <w:p w:rsidR="00FA048A" w:rsidRDefault="00FA048A" w:rsidP="00B4608F">
      <w:pPr>
        <w:pStyle w:val="ListParagraph"/>
        <w:numPr>
          <w:ilvl w:val="1"/>
          <w:numId w:val="33"/>
        </w:numPr>
        <w:spacing w:before="120"/>
        <w:contextualSpacing w:val="0"/>
        <w:rPr>
          <w:color w:val="7F7F7F" w:themeColor="text2"/>
        </w:rPr>
      </w:pPr>
      <w:r>
        <w:rPr>
          <w:color w:val="7F7F7F" w:themeColor="text2"/>
        </w:rPr>
        <w:t xml:space="preserve">The number of students in </w:t>
      </w:r>
      <w:proofErr w:type="gramStart"/>
      <w:r>
        <w:rPr>
          <w:color w:val="7F7F7F" w:themeColor="text2"/>
        </w:rPr>
        <w:t>government subsidised</w:t>
      </w:r>
      <w:proofErr w:type="gramEnd"/>
      <w:r>
        <w:rPr>
          <w:color w:val="7F7F7F" w:themeColor="text2"/>
        </w:rPr>
        <w:t xml:space="preserve"> training declined by </w:t>
      </w:r>
      <w:r w:rsidR="00774F35">
        <w:rPr>
          <w:color w:val="7F7F7F" w:themeColor="text2"/>
        </w:rPr>
        <w:t xml:space="preserve">12 per cent in 2015 compared to the same </w:t>
      </w:r>
      <w:r w:rsidR="00B4608F">
        <w:rPr>
          <w:color w:val="7F7F7F" w:themeColor="text2"/>
        </w:rPr>
        <w:t>period</w:t>
      </w:r>
      <w:r w:rsidR="00774F35">
        <w:rPr>
          <w:color w:val="7F7F7F" w:themeColor="text2"/>
        </w:rPr>
        <w:t xml:space="preserve"> in 2014, but was 27 per cent higher than in the same </w:t>
      </w:r>
      <w:r w:rsidR="00B4608F">
        <w:rPr>
          <w:color w:val="7F7F7F" w:themeColor="text2"/>
        </w:rPr>
        <w:t>period</w:t>
      </w:r>
      <w:r w:rsidR="00774F35">
        <w:rPr>
          <w:color w:val="7F7F7F" w:themeColor="text2"/>
        </w:rPr>
        <w:t xml:space="preserve"> in 2010.</w:t>
      </w:r>
    </w:p>
    <w:p w:rsidR="00774F35" w:rsidRDefault="00774F35" w:rsidP="00B4608F">
      <w:pPr>
        <w:pStyle w:val="ListParagraph"/>
        <w:numPr>
          <w:ilvl w:val="1"/>
          <w:numId w:val="33"/>
        </w:numPr>
        <w:spacing w:before="120"/>
        <w:contextualSpacing w:val="0"/>
        <w:rPr>
          <w:color w:val="7F7F7F" w:themeColor="text2"/>
        </w:rPr>
      </w:pPr>
      <w:r>
        <w:rPr>
          <w:color w:val="7F7F7F" w:themeColor="text2"/>
        </w:rPr>
        <w:t xml:space="preserve">The number of </w:t>
      </w:r>
      <w:proofErr w:type="gramStart"/>
      <w:r>
        <w:rPr>
          <w:color w:val="7F7F7F" w:themeColor="text2"/>
        </w:rPr>
        <w:t>government subsidised</w:t>
      </w:r>
      <w:proofErr w:type="gramEnd"/>
      <w:r>
        <w:rPr>
          <w:color w:val="7F7F7F" w:themeColor="text2"/>
        </w:rPr>
        <w:t xml:space="preserve"> enrolments declined by 14 per cent in 2015 compared to the same </w:t>
      </w:r>
      <w:r w:rsidR="00B4608F">
        <w:rPr>
          <w:color w:val="7F7F7F" w:themeColor="text2"/>
        </w:rPr>
        <w:t>period</w:t>
      </w:r>
      <w:r>
        <w:rPr>
          <w:color w:val="7F7F7F" w:themeColor="text2"/>
        </w:rPr>
        <w:t xml:space="preserve"> in 2014, but was 27 per </w:t>
      </w:r>
      <w:r w:rsidR="00DC0020">
        <w:rPr>
          <w:color w:val="7F7F7F" w:themeColor="text2"/>
        </w:rPr>
        <w:t>cent</w:t>
      </w:r>
      <w:r>
        <w:rPr>
          <w:color w:val="7F7F7F" w:themeColor="text2"/>
        </w:rPr>
        <w:t xml:space="preserve"> higher than in the same </w:t>
      </w:r>
      <w:r w:rsidR="00B4608F">
        <w:rPr>
          <w:color w:val="7F7F7F" w:themeColor="text2"/>
        </w:rPr>
        <w:t>period</w:t>
      </w:r>
      <w:r>
        <w:rPr>
          <w:color w:val="7F7F7F" w:themeColor="text2"/>
        </w:rPr>
        <w:t xml:space="preserve"> in 2010.</w:t>
      </w:r>
    </w:p>
    <w:p w:rsidR="00497E66" w:rsidRDefault="00B238A9" w:rsidP="00620CB3">
      <w:pPr>
        <w:pStyle w:val="ListParagraph"/>
        <w:numPr>
          <w:ilvl w:val="0"/>
          <w:numId w:val="33"/>
        </w:numPr>
        <w:spacing w:before="120"/>
        <w:contextualSpacing w:val="0"/>
        <w:rPr>
          <w:color w:val="7F7F7F" w:themeColor="text2"/>
        </w:rPr>
      </w:pPr>
      <w:r>
        <w:rPr>
          <w:color w:val="7F7F7F" w:themeColor="text2"/>
        </w:rPr>
        <w:t>The latest data released by the National Centre for Vocational Education Research (NCVER)</w:t>
      </w:r>
      <w:r w:rsidR="00092249">
        <w:rPr>
          <w:rStyle w:val="FootnoteReference"/>
          <w:color w:val="7F7F7F" w:themeColor="text2"/>
        </w:rPr>
        <w:footnoteReference w:id="1"/>
      </w:r>
      <w:r>
        <w:rPr>
          <w:color w:val="7F7F7F" w:themeColor="text2"/>
        </w:rPr>
        <w:t xml:space="preserve"> shows that there was also a decline in government funded VET activity nationally, by 3.5% of students between 2013 (full year) and 2014 (full year).</w:t>
      </w:r>
    </w:p>
    <w:p w:rsidR="00620CB3" w:rsidRDefault="00620CB3" w:rsidP="00620CB3">
      <w:pPr>
        <w:pStyle w:val="ListParagraph"/>
        <w:numPr>
          <w:ilvl w:val="0"/>
          <w:numId w:val="33"/>
        </w:numPr>
        <w:spacing w:before="120"/>
        <w:contextualSpacing w:val="0"/>
        <w:rPr>
          <w:color w:val="7F7F7F" w:themeColor="text2"/>
        </w:rPr>
      </w:pPr>
      <w:r>
        <w:rPr>
          <w:color w:val="7F7F7F" w:themeColor="text2"/>
        </w:rPr>
        <w:t xml:space="preserve">The decline in government subsidised enrolments </w:t>
      </w:r>
      <w:r w:rsidR="00B238A9">
        <w:rPr>
          <w:color w:val="7F7F7F" w:themeColor="text2"/>
        </w:rPr>
        <w:t xml:space="preserve">in Victoria </w:t>
      </w:r>
      <w:r>
        <w:rPr>
          <w:color w:val="7F7F7F" w:themeColor="text2"/>
        </w:rPr>
        <w:t>from 2014</w:t>
      </w:r>
      <w:r w:rsidR="00B238A9">
        <w:rPr>
          <w:color w:val="7F7F7F" w:themeColor="text2"/>
        </w:rPr>
        <w:t xml:space="preserve"> (half year)</w:t>
      </w:r>
      <w:r>
        <w:rPr>
          <w:color w:val="7F7F7F" w:themeColor="text2"/>
        </w:rPr>
        <w:t xml:space="preserve"> to 2015</w:t>
      </w:r>
      <w:r w:rsidR="00B238A9">
        <w:rPr>
          <w:color w:val="7F7F7F" w:themeColor="text2"/>
        </w:rPr>
        <w:t xml:space="preserve"> (half year)</w:t>
      </w:r>
      <w:r>
        <w:rPr>
          <w:color w:val="7F7F7F" w:themeColor="text2"/>
        </w:rPr>
        <w:t xml:space="preserve"> is </w:t>
      </w:r>
      <w:r w:rsidR="00761CB9">
        <w:rPr>
          <w:color w:val="7F7F7F" w:themeColor="text2"/>
        </w:rPr>
        <w:t xml:space="preserve">likely due </w:t>
      </w:r>
      <w:r>
        <w:rPr>
          <w:color w:val="7F7F7F" w:themeColor="text2"/>
        </w:rPr>
        <w:t>to:</w:t>
      </w:r>
    </w:p>
    <w:p w:rsidR="00620CB3" w:rsidRDefault="00620CB3" w:rsidP="00620CB3">
      <w:pPr>
        <w:pStyle w:val="ListParagraph"/>
        <w:numPr>
          <w:ilvl w:val="1"/>
          <w:numId w:val="33"/>
        </w:numPr>
        <w:spacing w:before="120"/>
        <w:contextualSpacing w:val="0"/>
        <w:rPr>
          <w:color w:val="7F7F7F" w:themeColor="text2"/>
        </w:rPr>
      </w:pPr>
      <w:r>
        <w:rPr>
          <w:color w:val="7F7F7F" w:themeColor="text2"/>
        </w:rPr>
        <w:t>a decline in foundation studies by 42</w:t>
      </w:r>
      <w:r w:rsidR="00761CB9">
        <w:rPr>
          <w:color w:val="7F7F7F" w:themeColor="text2"/>
        </w:rPr>
        <w:t xml:space="preserve"> per cent</w:t>
      </w:r>
      <w:r>
        <w:rPr>
          <w:color w:val="7F7F7F" w:themeColor="text2"/>
        </w:rPr>
        <w:t xml:space="preserve"> to 29,731 enrolments,</w:t>
      </w:r>
    </w:p>
    <w:p w:rsidR="00620CB3" w:rsidRDefault="00620CB3" w:rsidP="00620CB3">
      <w:pPr>
        <w:pStyle w:val="ListParagraph"/>
        <w:numPr>
          <w:ilvl w:val="1"/>
          <w:numId w:val="33"/>
        </w:numPr>
        <w:spacing w:before="120"/>
        <w:contextualSpacing w:val="0"/>
        <w:rPr>
          <w:color w:val="7F7F7F" w:themeColor="text2"/>
        </w:rPr>
      </w:pPr>
      <w:proofErr w:type="gramStart"/>
      <w:r>
        <w:rPr>
          <w:color w:val="7F7F7F" w:themeColor="text2"/>
        </w:rPr>
        <w:t>a</w:t>
      </w:r>
      <w:proofErr w:type="gramEnd"/>
      <w:r>
        <w:rPr>
          <w:color w:val="7F7F7F" w:themeColor="text2"/>
        </w:rPr>
        <w:t xml:space="preserve"> decline in traineeships by 34</w:t>
      </w:r>
      <w:r w:rsidR="00761CB9">
        <w:rPr>
          <w:color w:val="7F7F7F" w:themeColor="text2"/>
        </w:rPr>
        <w:t xml:space="preserve"> per cent</w:t>
      </w:r>
      <w:r>
        <w:rPr>
          <w:color w:val="7F7F7F" w:themeColor="text2"/>
        </w:rPr>
        <w:t xml:space="preserve"> to 20,258 enrolments.</w:t>
      </w:r>
    </w:p>
    <w:p w:rsidR="006B438D" w:rsidRDefault="006B438D" w:rsidP="006B438D">
      <w:pPr>
        <w:spacing w:before="120"/>
        <w:rPr>
          <w:color w:val="7F7F7F" w:themeColor="text2"/>
        </w:rPr>
      </w:pPr>
    </w:p>
    <w:p w:rsidR="006B438D" w:rsidRPr="00DF4002" w:rsidRDefault="009E2786" w:rsidP="006B438D">
      <w:pPr>
        <w:spacing w:before="120"/>
        <w:rPr>
          <w:b/>
          <w:color w:val="7F7F7F" w:themeColor="text2"/>
        </w:rPr>
      </w:pPr>
      <w:r w:rsidRPr="00DF4002">
        <w:rPr>
          <w:b/>
          <w:color w:val="7F7F7F" w:themeColor="text2"/>
        </w:rPr>
        <w:t>Qualification Levels</w:t>
      </w:r>
    </w:p>
    <w:p w:rsidR="00774F35" w:rsidRPr="00774F35" w:rsidRDefault="00774F35" w:rsidP="00DA4936">
      <w:pPr>
        <w:pStyle w:val="ListParagraph"/>
        <w:numPr>
          <w:ilvl w:val="0"/>
          <w:numId w:val="33"/>
        </w:numPr>
        <w:spacing w:before="120"/>
        <w:ind w:left="357" w:hanging="357"/>
        <w:contextualSpacing w:val="0"/>
        <w:rPr>
          <w:color w:val="7F7F7F" w:themeColor="text2"/>
        </w:rPr>
      </w:pPr>
      <w:r>
        <w:rPr>
          <w:color w:val="7F7F7F" w:themeColor="text2"/>
        </w:rPr>
        <w:t xml:space="preserve">About two thirds </w:t>
      </w:r>
      <w:r w:rsidR="00B4608F">
        <w:rPr>
          <w:color w:val="7F7F7F" w:themeColor="text2"/>
        </w:rPr>
        <w:t xml:space="preserve">(67 per cent) </w:t>
      </w:r>
      <w:r>
        <w:rPr>
          <w:color w:val="7F7F7F" w:themeColor="text2"/>
        </w:rPr>
        <w:t xml:space="preserve">of all accredited government subsidised </w:t>
      </w:r>
      <w:r w:rsidR="00B4608F">
        <w:rPr>
          <w:color w:val="7F7F7F" w:themeColor="text2"/>
        </w:rPr>
        <w:t>enrolments</w:t>
      </w:r>
      <w:r>
        <w:rPr>
          <w:color w:val="7F7F7F" w:themeColor="text2"/>
        </w:rPr>
        <w:t xml:space="preserve"> in 2015 </w:t>
      </w:r>
      <w:r w:rsidR="00B4608F">
        <w:rPr>
          <w:color w:val="7F7F7F" w:themeColor="text2"/>
        </w:rPr>
        <w:t>were</w:t>
      </w:r>
      <w:r>
        <w:rPr>
          <w:color w:val="7F7F7F" w:themeColor="text2"/>
        </w:rPr>
        <w:t xml:space="preserve"> in Certificate III/IV level courses. </w:t>
      </w:r>
    </w:p>
    <w:p w:rsidR="008C6934" w:rsidRDefault="00774F35" w:rsidP="00DA4936">
      <w:pPr>
        <w:pStyle w:val="ListParagraph"/>
        <w:numPr>
          <w:ilvl w:val="0"/>
          <w:numId w:val="33"/>
        </w:numPr>
        <w:spacing w:before="120"/>
        <w:ind w:left="357" w:hanging="357"/>
        <w:contextualSpacing w:val="0"/>
        <w:rPr>
          <w:color w:val="7F7F7F" w:themeColor="text2"/>
        </w:rPr>
      </w:pPr>
      <w:r>
        <w:rPr>
          <w:color w:val="7F7F7F" w:themeColor="text2"/>
        </w:rPr>
        <w:t xml:space="preserve">All qualification levels showed a decline in </w:t>
      </w:r>
      <w:r w:rsidR="001D723C">
        <w:rPr>
          <w:color w:val="7F7F7F" w:themeColor="text2"/>
        </w:rPr>
        <w:t xml:space="preserve">government </w:t>
      </w:r>
      <w:r>
        <w:rPr>
          <w:color w:val="7F7F7F" w:themeColor="text2"/>
        </w:rPr>
        <w:t xml:space="preserve">subsidised enrolments in </w:t>
      </w:r>
      <w:r w:rsidR="00A92C45">
        <w:rPr>
          <w:color w:val="7F7F7F" w:themeColor="text2"/>
        </w:rPr>
        <w:t xml:space="preserve">the first six months of </w:t>
      </w:r>
      <w:r>
        <w:rPr>
          <w:color w:val="7F7F7F" w:themeColor="text2"/>
        </w:rPr>
        <w:t xml:space="preserve">2015 compared to the same </w:t>
      </w:r>
      <w:r w:rsidR="00B4608F">
        <w:rPr>
          <w:color w:val="7F7F7F" w:themeColor="text2"/>
        </w:rPr>
        <w:t>period</w:t>
      </w:r>
      <w:r>
        <w:rPr>
          <w:color w:val="7F7F7F" w:themeColor="text2"/>
        </w:rPr>
        <w:t xml:space="preserve"> in 2014</w:t>
      </w:r>
      <w:r w:rsidR="009C3924">
        <w:rPr>
          <w:color w:val="7F7F7F" w:themeColor="text2"/>
        </w:rPr>
        <w:t xml:space="preserve">, except enrolments in Diploma and above which increased by 5 per cent in 2015 compared to the same </w:t>
      </w:r>
      <w:r w:rsidR="00B4608F">
        <w:rPr>
          <w:color w:val="7F7F7F" w:themeColor="text2"/>
        </w:rPr>
        <w:t>period</w:t>
      </w:r>
      <w:r w:rsidR="009C3924">
        <w:rPr>
          <w:color w:val="7F7F7F" w:themeColor="text2"/>
        </w:rPr>
        <w:t xml:space="preserve"> in 2014. The increase </w:t>
      </w:r>
      <w:r w:rsidR="008C6934">
        <w:rPr>
          <w:color w:val="7F7F7F" w:themeColor="text2"/>
        </w:rPr>
        <w:t xml:space="preserve">in Diploma and above enrolments </w:t>
      </w:r>
      <w:r w:rsidR="009C3924">
        <w:rPr>
          <w:color w:val="7F7F7F" w:themeColor="text2"/>
        </w:rPr>
        <w:t>was due to an increase in enrolments that</w:t>
      </w:r>
      <w:r w:rsidR="008C6934">
        <w:rPr>
          <w:color w:val="7F7F7F" w:themeColor="text2"/>
        </w:rPr>
        <w:t xml:space="preserve"> attracted VET-FEE-HELP support up by 26 per cent to 17,431 government subsidised </w:t>
      </w:r>
      <w:r w:rsidR="00BD0636">
        <w:rPr>
          <w:color w:val="7F7F7F" w:themeColor="text2"/>
        </w:rPr>
        <w:t>enrolments</w:t>
      </w:r>
      <w:r w:rsidR="008C6934">
        <w:rPr>
          <w:color w:val="7F7F7F" w:themeColor="text2"/>
        </w:rPr>
        <w:t xml:space="preserve"> in the first six months in 2015 compared to 2014.</w:t>
      </w:r>
    </w:p>
    <w:p w:rsidR="00774F35" w:rsidRDefault="007E67F5" w:rsidP="00DA4936">
      <w:pPr>
        <w:pStyle w:val="ListParagraph"/>
        <w:numPr>
          <w:ilvl w:val="0"/>
          <w:numId w:val="33"/>
        </w:numPr>
        <w:spacing w:before="120"/>
        <w:ind w:left="357" w:hanging="357"/>
        <w:contextualSpacing w:val="0"/>
        <w:rPr>
          <w:color w:val="7F7F7F" w:themeColor="text2"/>
        </w:rPr>
      </w:pPr>
      <w:r>
        <w:rPr>
          <w:color w:val="7F7F7F" w:themeColor="text2"/>
        </w:rPr>
        <w:t xml:space="preserve">There were very large increases in fee-for-service enrolments in Diploma and above </w:t>
      </w:r>
      <w:r w:rsidR="00BD0636">
        <w:rPr>
          <w:color w:val="7F7F7F" w:themeColor="text2"/>
        </w:rPr>
        <w:t>that</w:t>
      </w:r>
      <w:r>
        <w:rPr>
          <w:color w:val="7F7F7F" w:themeColor="text2"/>
        </w:rPr>
        <w:t xml:space="preserve"> attracted VET-FEE-HELP, with 13,077 enrolments in the first six months of 2015 up by 374 per cent on the same period in 2014. </w:t>
      </w:r>
    </w:p>
    <w:p w:rsidR="009E2786" w:rsidRDefault="009E2786" w:rsidP="009E2786">
      <w:pPr>
        <w:spacing w:before="120"/>
        <w:rPr>
          <w:color w:val="7F7F7F" w:themeColor="text2"/>
        </w:rPr>
      </w:pPr>
    </w:p>
    <w:p w:rsidR="00787164" w:rsidRDefault="00787164">
      <w:pPr>
        <w:rPr>
          <w:b/>
          <w:color w:val="7F7F7F" w:themeColor="text2"/>
        </w:rPr>
      </w:pPr>
      <w:r>
        <w:rPr>
          <w:b/>
          <w:color w:val="7F7F7F" w:themeColor="text2"/>
        </w:rPr>
        <w:br w:type="page"/>
      </w:r>
    </w:p>
    <w:p w:rsidR="009E2786" w:rsidRPr="00DF4002" w:rsidRDefault="009E2786" w:rsidP="009E2786">
      <w:pPr>
        <w:spacing w:before="120"/>
        <w:rPr>
          <w:b/>
          <w:color w:val="7F7F7F" w:themeColor="text2"/>
        </w:rPr>
      </w:pPr>
      <w:r w:rsidRPr="00DF4002">
        <w:rPr>
          <w:b/>
          <w:color w:val="7F7F7F" w:themeColor="text2"/>
        </w:rPr>
        <w:lastRenderedPageBreak/>
        <w:t>Age Cohorts</w:t>
      </w:r>
    </w:p>
    <w:p w:rsidR="009E2786" w:rsidRDefault="00DA4936" w:rsidP="00DA4936">
      <w:pPr>
        <w:pStyle w:val="ListParagraph"/>
        <w:numPr>
          <w:ilvl w:val="0"/>
          <w:numId w:val="33"/>
        </w:numPr>
        <w:spacing w:before="120"/>
        <w:ind w:left="357" w:hanging="357"/>
        <w:contextualSpacing w:val="0"/>
        <w:rPr>
          <w:color w:val="7F7F7F" w:themeColor="text2"/>
        </w:rPr>
      </w:pPr>
      <w:r>
        <w:rPr>
          <w:color w:val="7F7F7F" w:themeColor="text2"/>
        </w:rPr>
        <w:t xml:space="preserve">There was a decline in the numbers of students in </w:t>
      </w:r>
      <w:proofErr w:type="gramStart"/>
      <w:r>
        <w:rPr>
          <w:color w:val="7F7F7F" w:themeColor="text2"/>
        </w:rPr>
        <w:t>government subsidised</w:t>
      </w:r>
      <w:proofErr w:type="gramEnd"/>
      <w:r>
        <w:rPr>
          <w:color w:val="7F7F7F" w:themeColor="text2"/>
        </w:rPr>
        <w:t xml:space="preserve"> training across </w:t>
      </w:r>
      <w:r w:rsidR="00B4608F">
        <w:rPr>
          <w:color w:val="7F7F7F" w:themeColor="text2"/>
        </w:rPr>
        <w:t xml:space="preserve">all </w:t>
      </w:r>
      <w:r>
        <w:rPr>
          <w:color w:val="7F7F7F" w:themeColor="text2"/>
        </w:rPr>
        <w:t xml:space="preserve">age cohorts, with the 15 to 19 year old cohort having the greatest </w:t>
      </w:r>
      <w:r w:rsidR="00C45DB6">
        <w:rPr>
          <w:color w:val="7F7F7F" w:themeColor="text2"/>
        </w:rPr>
        <w:t xml:space="preserve">percentage </w:t>
      </w:r>
      <w:r>
        <w:rPr>
          <w:color w:val="7F7F7F" w:themeColor="text2"/>
        </w:rPr>
        <w:t xml:space="preserve">decline of 18 per cent between 2015 and the same </w:t>
      </w:r>
      <w:r w:rsidR="00B4608F">
        <w:rPr>
          <w:color w:val="7F7F7F" w:themeColor="text2"/>
        </w:rPr>
        <w:t>period</w:t>
      </w:r>
      <w:r>
        <w:rPr>
          <w:color w:val="7F7F7F" w:themeColor="text2"/>
        </w:rPr>
        <w:t xml:space="preserve"> in 2014</w:t>
      </w:r>
      <w:r w:rsidR="00FF6529">
        <w:rPr>
          <w:color w:val="7F7F7F" w:themeColor="text2"/>
        </w:rPr>
        <w:t>.</w:t>
      </w:r>
    </w:p>
    <w:p w:rsidR="00C925A2" w:rsidRDefault="00FF6529" w:rsidP="00DA4936">
      <w:pPr>
        <w:pStyle w:val="ListParagraph"/>
        <w:numPr>
          <w:ilvl w:val="0"/>
          <w:numId w:val="33"/>
        </w:numPr>
        <w:spacing w:before="120"/>
        <w:ind w:left="357" w:hanging="357"/>
        <w:contextualSpacing w:val="0"/>
        <w:rPr>
          <w:color w:val="7F7F7F" w:themeColor="text2"/>
        </w:rPr>
      </w:pPr>
      <w:r>
        <w:rPr>
          <w:color w:val="7F7F7F" w:themeColor="text2"/>
        </w:rPr>
        <w:t>T</w:t>
      </w:r>
      <w:r w:rsidR="00DA4936">
        <w:rPr>
          <w:color w:val="7F7F7F" w:themeColor="text2"/>
        </w:rPr>
        <w:t xml:space="preserve">he number of </w:t>
      </w:r>
      <w:r>
        <w:rPr>
          <w:color w:val="7F7F7F" w:themeColor="text2"/>
        </w:rPr>
        <w:t xml:space="preserve">students in </w:t>
      </w:r>
      <w:r w:rsidR="009E2786">
        <w:rPr>
          <w:color w:val="7F7F7F" w:themeColor="text2"/>
        </w:rPr>
        <w:t xml:space="preserve">the 15 to 19 year old </w:t>
      </w:r>
      <w:r w:rsidR="00DA4936">
        <w:rPr>
          <w:color w:val="7F7F7F" w:themeColor="text2"/>
        </w:rPr>
        <w:t xml:space="preserve">cohort </w:t>
      </w:r>
      <w:r>
        <w:rPr>
          <w:color w:val="7F7F7F" w:themeColor="text2"/>
        </w:rPr>
        <w:t xml:space="preserve">in 2015 </w:t>
      </w:r>
      <w:r w:rsidR="009E2786">
        <w:rPr>
          <w:color w:val="7F7F7F" w:themeColor="text2"/>
        </w:rPr>
        <w:t>was</w:t>
      </w:r>
      <w:r w:rsidR="00761CB9">
        <w:rPr>
          <w:color w:val="7F7F7F" w:themeColor="text2"/>
        </w:rPr>
        <w:t xml:space="preserve"> </w:t>
      </w:r>
      <w:r>
        <w:rPr>
          <w:color w:val="7F7F7F" w:themeColor="text2"/>
        </w:rPr>
        <w:t xml:space="preserve">also </w:t>
      </w:r>
      <w:r w:rsidR="009E2786">
        <w:rPr>
          <w:color w:val="7F7F7F" w:themeColor="text2"/>
        </w:rPr>
        <w:t xml:space="preserve">14 per cent </w:t>
      </w:r>
      <w:r w:rsidR="00DA4936">
        <w:rPr>
          <w:color w:val="7F7F7F" w:themeColor="text2"/>
        </w:rPr>
        <w:t>lower than the same time in 2010.</w:t>
      </w:r>
    </w:p>
    <w:p w:rsidR="00DF4002" w:rsidRDefault="00DF4002" w:rsidP="00DF4002">
      <w:pPr>
        <w:pStyle w:val="ListParagraph"/>
        <w:numPr>
          <w:ilvl w:val="0"/>
          <w:numId w:val="33"/>
        </w:numPr>
        <w:spacing w:before="120"/>
        <w:ind w:left="357" w:hanging="357"/>
        <w:contextualSpacing w:val="0"/>
        <w:rPr>
          <w:color w:val="7F7F7F" w:themeColor="text2"/>
        </w:rPr>
      </w:pPr>
      <w:r>
        <w:rPr>
          <w:color w:val="7F7F7F" w:themeColor="text2"/>
        </w:rPr>
        <w:t>The number of 15-19 year olds without at least a Year 12 or certificate II, not at school and enrolled in a Certificate II or above declined by 14 per cent in 2015 compared to the same period in 2014.</w:t>
      </w:r>
    </w:p>
    <w:p w:rsidR="00B14318" w:rsidRDefault="00B14318" w:rsidP="00B14318">
      <w:pPr>
        <w:pStyle w:val="ListParagraph"/>
        <w:spacing w:before="120"/>
        <w:ind w:left="357"/>
        <w:contextualSpacing w:val="0"/>
        <w:rPr>
          <w:color w:val="7F7F7F" w:themeColor="text2"/>
        </w:rPr>
      </w:pPr>
    </w:p>
    <w:p w:rsidR="00B14318" w:rsidRPr="00B14318" w:rsidRDefault="00B14318" w:rsidP="00B14318">
      <w:pPr>
        <w:spacing w:before="120"/>
        <w:rPr>
          <w:b/>
          <w:color w:val="7F7F7F" w:themeColor="text2"/>
        </w:rPr>
      </w:pPr>
      <w:r w:rsidRPr="00B14318">
        <w:rPr>
          <w:b/>
          <w:color w:val="7F7F7F" w:themeColor="text2"/>
        </w:rPr>
        <w:t>Foundation</w:t>
      </w:r>
    </w:p>
    <w:p w:rsidR="00B14318" w:rsidRDefault="00B14318" w:rsidP="00B14318">
      <w:pPr>
        <w:pStyle w:val="ListParagraph"/>
        <w:numPr>
          <w:ilvl w:val="0"/>
          <w:numId w:val="33"/>
        </w:numPr>
        <w:spacing w:before="120"/>
        <w:ind w:left="357" w:hanging="357"/>
        <w:contextualSpacing w:val="0"/>
        <w:rPr>
          <w:color w:val="7F7F7F" w:themeColor="text2"/>
        </w:rPr>
      </w:pPr>
      <w:r>
        <w:rPr>
          <w:color w:val="7F7F7F" w:themeColor="text2"/>
        </w:rPr>
        <w:t xml:space="preserve">Foundation studies are a key way of lifting the basic skills (including literacy and numeracy) of learners </w:t>
      </w:r>
      <w:r w:rsidR="00032355">
        <w:rPr>
          <w:color w:val="7F7F7F" w:themeColor="text2"/>
        </w:rPr>
        <w:t>with existing low skills</w:t>
      </w:r>
      <w:r>
        <w:rPr>
          <w:color w:val="7F7F7F" w:themeColor="text2"/>
        </w:rPr>
        <w:t>. In the first six months of 2015 there 28,361 students enrolled in government subsidised Foundation studies, this was down by 40 per cent on the same period in 2014.</w:t>
      </w:r>
    </w:p>
    <w:p w:rsidR="00B14318" w:rsidRDefault="00B14318" w:rsidP="001E08F1">
      <w:pPr>
        <w:pStyle w:val="ListParagraph"/>
        <w:numPr>
          <w:ilvl w:val="0"/>
          <w:numId w:val="33"/>
        </w:numPr>
        <w:spacing w:before="120"/>
        <w:contextualSpacing w:val="0"/>
        <w:rPr>
          <w:color w:val="7F7F7F" w:themeColor="text2"/>
        </w:rPr>
      </w:pPr>
      <w:proofErr w:type="gramStart"/>
      <w:r>
        <w:rPr>
          <w:color w:val="7F7F7F" w:themeColor="text2"/>
        </w:rPr>
        <w:t>Young people who leave school early before completing a base qualification (i.e. Year 12 or Certificate II), can have significant literacy and numeracy challenges.</w:t>
      </w:r>
      <w:proofErr w:type="gramEnd"/>
      <w:r>
        <w:rPr>
          <w:color w:val="7F7F7F" w:themeColor="text2"/>
        </w:rPr>
        <w:t xml:space="preserve"> </w:t>
      </w:r>
      <w:r w:rsidR="001E08F1">
        <w:rPr>
          <w:color w:val="7F7F7F" w:themeColor="text2"/>
        </w:rPr>
        <w:t xml:space="preserve">In the first six months of </w:t>
      </w:r>
      <w:r w:rsidR="007E67F5">
        <w:rPr>
          <w:color w:val="7F7F7F" w:themeColor="text2"/>
        </w:rPr>
        <w:t>2015,</w:t>
      </w:r>
      <w:r w:rsidR="001E08F1">
        <w:rPr>
          <w:color w:val="7F7F7F" w:themeColor="text2"/>
        </w:rPr>
        <w:t xml:space="preserve"> there were </w:t>
      </w:r>
      <w:r w:rsidR="001E08F1" w:rsidRPr="001E08F1">
        <w:rPr>
          <w:color w:val="7F7F7F" w:themeColor="text2"/>
        </w:rPr>
        <w:t>3,086</w:t>
      </w:r>
      <w:r w:rsidR="001E08F1">
        <w:rPr>
          <w:color w:val="7F7F7F" w:themeColor="text2"/>
        </w:rPr>
        <w:t xml:space="preserve"> early school leavers who </w:t>
      </w:r>
      <w:proofErr w:type="gramStart"/>
      <w:r w:rsidR="001E08F1">
        <w:rPr>
          <w:color w:val="7F7F7F" w:themeColor="text2"/>
        </w:rPr>
        <w:t>were enrolled</w:t>
      </w:r>
      <w:proofErr w:type="gramEnd"/>
      <w:r w:rsidR="001E08F1">
        <w:rPr>
          <w:color w:val="7F7F7F" w:themeColor="text2"/>
        </w:rPr>
        <w:t xml:space="preserve"> in government subsidised foundation studies, this was down by 40 per cent compa</w:t>
      </w:r>
      <w:r w:rsidR="00196CB9">
        <w:rPr>
          <w:color w:val="7F7F7F" w:themeColor="text2"/>
        </w:rPr>
        <w:t>red to the same period in 2014.</w:t>
      </w:r>
    </w:p>
    <w:p w:rsidR="00B14318" w:rsidRPr="00B14318" w:rsidRDefault="00B14318" w:rsidP="00B14318">
      <w:pPr>
        <w:spacing w:before="120"/>
        <w:rPr>
          <w:color w:val="7F7F7F" w:themeColor="text2"/>
        </w:rPr>
      </w:pPr>
    </w:p>
    <w:p w:rsidR="009E2786" w:rsidRPr="00DF4002" w:rsidRDefault="009E2786" w:rsidP="009E2786">
      <w:pPr>
        <w:spacing w:before="120"/>
        <w:rPr>
          <w:b/>
          <w:color w:val="7F7F7F" w:themeColor="text2"/>
        </w:rPr>
      </w:pPr>
      <w:r w:rsidRPr="00DF4002">
        <w:rPr>
          <w:b/>
          <w:color w:val="7F7F7F" w:themeColor="text2"/>
        </w:rPr>
        <w:t>Gender</w:t>
      </w:r>
    </w:p>
    <w:p w:rsidR="00DA4936" w:rsidRDefault="006745EB" w:rsidP="00DA4936">
      <w:pPr>
        <w:pStyle w:val="ListParagraph"/>
        <w:numPr>
          <w:ilvl w:val="0"/>
          <w:numId w:val="33"/>
        </w:numPr>
        <w:spacing w:before="120"/>
        <w:ind w:left="357" w:hanging="357"/>
        <w:contextualSpacing w:val="0"/>
        <w:rPr>
          <w:color w:val="7F7F7F" w:themeColor="text2"/>
        </w:rPr>
      </w:pPr>
      <w:r>
        <w:rPr>
          <w:color w:val="7F7F7F" w:themeColor="text2"/>
        </w:rPr>
        <w:t xml:space="preserve">There was a decline in the number of male (11 per cent) and female (13 per cent) students in government subsidised training in 2015 compared to the same </w:t>
      </w:r>
      <w:r w:rsidR="00B4608F">
        <w:rPr>
          <w:color w:val="7F7F7F" w:themeColor="text2"/>
        </w:rPr>
        <w:t>period</w:t>
      </w:r>
      <w:r>
        <w:rPr>
          <w:color w:val="7F7F7F" w:themeColor="text2"/>
        </w:rPr>
        <w:t xml:space="preserve"> in 2014.</w:t>
      </w:r>
    </w:p>
    <w:p w:rsidR="002F3464" w:rsidRDefault="009E2786" w:rsidP="00DA4936">
      <w:pPr>
        <w:pStyle w:val="ListParagraph"/>
        <w:numPr>
          <w:ilvl w:val="0"/>
          <w:numId w:val="33"/>
        </w:numPr>
        <w:spacing w:before="120"/>
        <w:ind w:left="357" w:hanging="357"/>
        <w:contextualSpacing w:val="0"/>
        <w:rPr>
          <w:color w:val="7F7F7F" w:themeColor="text2"/>
        </w:rPr>
      </w:pPr>
      <w:r>
        <w:rPr>
          <w:color w:val="7F7F7F" w:themeColor="text2"/>
        </w:rPr>
        <w:t xml:space="preserve">There has been a decline in the proportion of female students in </w:t>
      </w:r>
      <w:proofErr w:type="gramStart"/>
      <w:r>
        <w:rPr>
          <w:color w:val="7F7F7F" w:themeColor="text2"/>
        </w:rPr>
        <w:t>government subsidised</w:t>
      </w:r>
      <w:proofErr w:type="gramEnd"/>
      <w:r>
        <w:rPr>
          <w:color w:val="7F7F7F" w:themeColor="text2"/>
        </w:rPr>
        <w:t xml:space="preserve"> training from 50</w:t>
      </w:r>
      <w:r w:rsidR="00761CB9">
        <w:rPr>
          <w:color w:val="7F7F7F" w:themeColor="text2"/>
        </w:rPr>
        <w:t xml:space="preserve"> per cent</w:t>
      </w:r>
      <w:r>
        <w:rPr>
          <w:color w:val="7F7F7F" w:themeColor="text2"/>
        </w:rPr>
        <w:t xml:space="preserve"> in 2012 to 47</w:t>
      </w:r>
      <w:r w:rsidR="00761CB9">
        <w:rPr>
          <w:color w:val="7F7F7F" w:themeColor="text2"/>
        </w:rPr>
        <w:t xml:space="preserve"> per cent</w:t>
      </w:r>
      <w:r>
        <w:rPr>
          <w:color w:val="7F7F7F" w:themeColor="text2"/>
        </w:rPr>
        <w:t xml:space="preserve"> in 2015.</w:t>
      </w:r>
    </w:p>
    <w:p w:rsidR="00DF4002" w:rsidRDefault="00DF4002" w:rsidP="00DF4002">
      <w:pPr>
        <w:spacing w:before="120"/>
        <w:rPr>
          <w:color w:val="7F7F7F" w:themeColor="text2"/>
        </w:rPr>
      </w:pPr>
    </w:p>
    <w:p w:rsidR="00DF4002" w:rsidRPr="00DF4002" w:rsidRDefault="00DF4002" w:rsidP="00DF4002">
      <w:pPr>
        <w:spacing w:before="120"/>
        <w:rPr>
          <w:b/>
          <w:color w:val="7F7F7F" w:themeColor="text2"/>
        </w:rPr>
      </w:pPr>
      <w:r w:rsidRPr="00DF4002">
        <w:rPr>
          <w:b/>
          <w:color w:val="7F7F7F" w:themeColor="text2"/>
        </w:rPr>
        <w:t>Participation</w:t>
      </w:r>
    </w:p>
    <w:p w:rsidR="006745EB" w:rsidRDefault="009F1EA4" w:rsidP="00DA4936">
      <w:pPr>
        <w:pStyle w:val="ListParagraph"/>
        <w:numPr>
          <w:ilvl w:val="0"/>
          <w:numId w:val="33"/>
        </w:numPr>
        <w:spacing w:before="120"/>
        <w:ind w:left="357" w:hanging="357"/>
        <w:contextualSpacing w:val="0"/>
        <w:rPr>
          <w:color w:val="7F7F7F" w:themeColor="text2"/>
        </w:rPr>
      </w:pPr>
      <w:r>
        <w:rPr>
          <w:color w:val="7F7F7F" w:themeColor="text2"/>
        </w:rPr>
        <w:t xml:space="preserve">Declines in training activity between 2015 and the same time in 2014 have occurred across the whole state. Training delivery in </w:t>
      </w:r>
      <w:r w:rsidR="005841BA">
        <w:rPr>
          <w:color w:val="7F7F7F" w:themeColor="text2"/>
        </w:rPr>
        <w:t>e</w:t>
      </w:r>
      <w:r>
        <w:rPr>
          <w:color w:val="7F7F7F" w:themeColor="text2"/>
        </w:rPr>
        <w:t xml:space="preserve">astern metropolitan Melbourne showed the largest </w:t>
      </w:r>
      <w:r w:rsidR="005841BA">
        <w:rPr>
          <w:color w:val="7F7F7F" w:themeColor="text2"/>
        </w:rPr>
        <w:t xml:space="preserve">percentage </w:t>
      </w:r>
      <w:r>
        <w:rPr>
          <w:color w:val="7F7F7F" w:themeColor="text2"/>
        </w:rPr>
        <w:t xml:space="preserve">decline of 24 per cent </w:t>
      </w:r>
      <w:r w:rsidR="00FF6529">
        <w:rPr>
          <w:color w:val="7F7F7F" w:themeColor="text2"/>
        </w:rPr>
        <w:t>in this period</w:t>
      </w:r>
      <w:r>
        <w:rPr>
          <w:color w:val="7F7F7F" w:themeColor="text2"/>
        </w:rPr>
        <w:t xml:space="preserve">. </w:t>
      </w:r>
    </w:p>
    <w:p w:rsidR="009F1EA4" w:rsidRDefault="009F1EA4" w:rsidP="00DA4936">
      <w:pPr>
        <w:pStyle w:val="ListParagraph"/>
        <w:numPr>
          <w:ilvl w:val="0"/>
          <w:numId w:val="33"/>
        </w:numPr>
        <w:spacing w:before="120"/>
        <w:ind w:left="357" w:hanging="357"/>
        <w:contextualSpacing w:val="0"/>
        <w:rPr>
          <w:color w:val="7F7F7F" w:themeColor="text2"/>
        </w:rPr>
      </w:pPr>
      <w:r>
        <w:rPr>
          <w:color w:val="7F7F7F" w:themeColor="text2"/>
        </w:rPr>
        <w:t>Due to the decline in training activity</w:t>
      </w:r>
      <w:r w:rsidR="005841BA">
        <w:rPr>
          <w:color w:val="7F7F7F" w:themeColor="text2"/>
        </w:rPr>
        <w:t xml:space="preserve"> from 2014 to 2015</w:t>
      </w:r>
      <w:r>
        <w:rPr>
          <w:color w:val="7F7F7F" w:themeColor="text2"/>
        </w:rPr>
        <w:t xml:space="preserve">, the estimated participation rate of people aged 15 to 64 years in </w:t>
      </w:r>
      <w:r w:rsidR="0046627E">
        <w:rPr>
          <w:color w:val="7F7F7F" w:themeColor="text2"/>
        </w:rPr>
        <w:t>government subsidised</w:t>
      </w:r>
      <w:r>
        <w:rPr>
          <w:color w:val="7F7F7F" w:themeColor="text2"/>
        </w:rPr>
        <w:t xml:space="preserve"> training</w:t>
      </w:r>
      <w:r w:rsidR="0044293D">
        <w:rPr>
          <w:color w:val="7F7F7F" w:themeColor="text2"/>
        </w:rPr>
        <w:t xml:space="preserve"> (including accredited and pre</w:t>
      </w:r>
      <w:r w:rsidR="00C0324B">
        <w:rPr>
          <w:color w:val="7F7F7F" w:themeColor="text2"/>
        </w:rPr>
        <w:t>-</w:t>
      </w:r>
      <w:r w:rsidR="0044293D">
        <w:rPr>
          <w:color w:val="7F7F7F" w:themeColor="text2"/>
        </w:rPr>
        <w:t>accredited)</w:t>
      </w:r>
      <w:r>
        <w:rPr>
          <w:color w:val="7F7F7F" w:themeColor="text2"/>
        </w:rPr>
        <w:t xml:space="preserve"> decreased to 6.8 per cent in 2015 from 7.7 per cent in 2014</w:t>
      </w:r>
      <w:r w:rsidR="005841BA">
        <w:rPr>
          <w:color w:val="7F7F7F" w:themeColor="text2"/>
        </w:rPr>
        <w:t xml:space="preserve">, but is higher than the rate in </w:t>
      </w:r>
      <w:proofErr w:type="gramStart"/>
      <w:r w:rsidR="005841BA">
        <w:rPr>
          <w:color w:val="7F7F7F" w:themeColor="text2"/>
        </w:rPr>
        <w:t>2010 which</w:t>
      </w:r>
      <w:proofErr w:type="gramEnd"/>
      <w:r w:rsidR="005841BA">
        <w:rPr>
          <w:color w:val="7F7F7F" w:themeColor="text2"/>
        </w:rPr>
        <w:t xml:space="preserve"> was 5.6</w:t>
      </w:r>
      <w:r w:rsidR="00761CB9">
        <w:rPr>
          <w:color w:val="7F7F7F" w:themeColor="text2"/>
        </w:rPr>
        <w:t xml:space="preserve"> per cent</w:t>
      </w:r>
      <w:r>
        <w:rPr>
          <w:color w:val="7F7F7F" w:themeColor="text2"/>
        </w:rPr>
        <w:t>.</w:t>
      </w:r>
    </w:p>
    <w:p w:rsidR="00DF4002" w:rsidRDefault="00DF4002" w:rsidP="00DF4002">
      <w:pPr>
        <w:spacing w:before="120"/>
        <w:rPr>
          <w:color w:val="7F7F7F" w:themeColor="text2"/>
        </w:rPr>
      </w:pPr>
    </w:p>
    <w:p w:rsidR="00DF4002" w:rsidRPr="00D15244" w:rsidRDefault="00D15244" w:rsidP="00DF4002">
      <w:pPr>
        <w:spacing w:before="120"/>
        <w:rPr>
          <w:b/>
          <w:color w:val="7F7F7F" w:themeColor="text2"/>
        </w:rPr>
      </w:pPr>
      <w:r w:rsidRPr="00D15244">
        <w:rPr>
          <w:b/>
          <w:color w:val="7F7F7F" w:themeColor="text2"/>
        </w:rPr>
        <w:t>Training Provider</w:t>
      </w:r>
      <w:r w:rsidR="005841BA">
        <w:rPr>
          <w:b/>
          <w:color w:val="7F7F7F" w:themeColor="text2"/>
        </w:rPr>
        <w:t xml:space="preserve"> Type</w:t>
      </w:r>
    </w:p>
    <w:p w:rsidR="009F1EA4" w:rsidRDefault="009F1EA4" w:rsidP="00DA4936">
      <w:pPr>
        <w:pStyle w:val="ListParagraph"/>
        <w:numPr>
          <w:ilvl w:val="0"/>
          <w:numId w:val="33"/>
        </w:numPr>
        <w:spacing w:before="120"/>
        <w:ind w:left="357" w:hanging="357"/>
        <w:contextualSpacing w:val="0"/>
        <w:rPr>
          <w:color w:val="7F7F7F" w:themeColor="text2"/>
        </w:rPr>
      </w:pPr>
      <w:r>
        <w:rPr>
          <w:color w:val="7F7F7F" w:themeColor="text2"/>
        </w:rPr>
        <w:t xml:space="preserve">All types of training providers experienced a decline </w:t>
      </w:r>
      <w:r w:rsidR="003A43FD">
        <w:rPr>
          <w:color w:val="7F7F7F" w:themeColor="text2"/>
        </w:rPr>
        <w:t xml:space="preserve">in </w:t>
      </w:r>
      <w:r>
        <w:rPr>
          <w:color w:val="7F7F7F" w:themeColor="text2"/>
        </w:rPr>
        <w:t xml:space="preserve">government </w:t>
      </w:r>
      <w:r w:rsidR="0046627E">
        <w:rPr>
          <w:color w:val="7F7F7F" w:themeColor="text2"/>
        </w:rPr>
        <w:t>subsidised</w:t>
      </w:r>
      <w:r>
        <w:rPr>
          <w:color w:val="7F7F7F" w:themeColor="text2"/>
        </w:rPr>
        <w:t xml:space="preserve"> training activity between 2015 and the same </w:t>
      </w:r>
      <w:r w:rsidR="00B4608F">
        <w:rPr>
          <w:color w:val="7F7F7F" w:themeColor="text2"/>
        </w:rPr>
        <w:t>period</w:t>
      </w:r>
      <w:r>
        <w:rPr>
          <w:color w:val="7F7F7F" w:themeColor="text2"/>
        </w:rPr>
        <w:t xml:space="preserve"> in 201</w:t>
      </w:r>
      <w:r w:rsidR="0044293D">
        <w:rPr>
          <w:color w:val="7F7F7F" w:themeColor="text2"/>
        </w:rPr>
        <w:t>4</w:t>
      </w:r>
      <w:r>
        <w:rPr>
          <w:color w:val="7F7F7F" w:themeColor="text2"/>
        </w:rPr>
        <w:t>, with TAFEs showing the largest</w:t>
      </w:r>
      <w:r w:rsidR="0044293D">
        <w:rPr>
          <w:color w:val="7F7F7F" w:themeColor="text2"/>
        </w:rPr>
        <w:t xml:space="preserve"> </w:t>
      </w:r>
      <w:r w:rsidR="00C45DB6">
        <w:rPr>
          <w:color w:val="7F7F7F" w:themeColor="text2"/>
        </w:rPr>
        <w:t xml:space="preserve">percentage </w:t>
      </w:r>
      <w:r w:rsidR="0044293D">
        <w:rPr>
          <w:color w:val="7F7F7F" w:themeColor="text2"/>
        </w:rPr>
        <w:t xml:space="preserve">decline of 18 per cent </w:t>
      </w:r>
      <w:r w:rsidR="000D0665">
        <w:rPr>
          <w:color w:val="7F7F7F" w:themeColor="text2"/>
        </w:rPr>
        <w:t>and</w:t>
      </w:r>
      <w:r w:rsidR="0044293D">
        <w:rPr>
          <w:color w:val="7F7F7F" w:themeColor="text2"/>
        </w:rPr>
        <w:t xml:space="preserve"> Private RTOs showing a decline of 15 per cent.</w:t>
      </w:r>
    </w:p>
    <w:p w:rsidR="005841BA" w:rsidRDefault="005841BA" w:rsidP="00DA4936">
      <w:pPr>
        <w:pStyle w:val="ListParagraph"/>
        <w:numPr>
          <w:ilvl w:val="0"/>
          <w:numId w:val="33"/>
        </w:numPr>
        <w:spacing w:before="120"/>
        <w:ind w:left="357" w:hanging="357"/>
        <w:contextualSpacing w:val="0"/>
        <w:rPr>
          <w:color w:val="7F7F7F" w:themeColor="text2"/>
        </w:rPr>
      </w:pPr>
      <w:r>
        <w:rPr>
          <w:color w:val="7F7F7F" w:themeColor="text2"/>
        </w:rPr>
        <w:t>Government subsidised enrolments in TAFEs have declined year-on-year since 201</w:t>
      </w:r>
      <w:r w:rsidR="008B6015">
        <w:rPr>
          <w:color w:val="7F7F7F" w:themeColor="text2"/>
        </w:rPr>
        <w:t>2</w:t>
      </w:r>
      <w:r w:rsidR="009A74A5">
        <w:rPr>
          <w:color w:val="7F7F7F" w:themeColor="text2"/>
        </w:rPr>
        <w:t>,</w:t>
      </w:r>
      <w:r w:rsidR="008B6015">
        <w:rPr>
          <w:color w:val="7F7F7F" w:themeColor="text2"/>
        </w:rPr>
        <w:t xml:space="preserve"> with the number of enrolments in 2015 lower than in 2010.</w:t>
      </w:r>
    </w:p>
    <w:p w:rsidR="0044293D" w:rsidRDefault="00952714" w:rsidP="00DA4936">
      <w:pPr>
        <w:pStyle w:val="ListParagraph"/>
        <w:numPr>
          <w:ilvl w:val="0"/>
          <w:numId w:val="33"/>
        </w:numPr>
        <w:spacing w:before="120"/>
        <w:ind w:left="357" w:hanging="357"/>
        <w:contextualSpacing w:val="0"/>
        <w:rPr>
          <w:color w:val="7F7F7F" w:themeColor="text2"/>
        </w:rPr>
      </w:pPr>
      <w:r>
        <w:rPr>
          <w:color w:val="7F7F7F" w:themeColor="text2"/>
        </w:rPr>
        <w:t xml:space="preserve">The rate of decline in TAFE market share has slowed. </w:t>
      </w:r>
      <w:r w:rsidR="0044293D">
        <w:rPr>
          <w:color w:val="7F7F7F" w:themeColor="text2"/>
        </w:rPr>
        <w:t xml:space="preserve">Market share by TAFE providers in </w:t>
      </w:r>
      <w:proofErr w:type="gramStart"/>
      <w:r w:rsidR="0044293D">
        <w:rPr>
          <w:color w:val="7F7F7F" w:themeColor="text2"/>
        </w:rPr>
        <w:t>government subsidised</w:t>
      </w:r>
      <w:proofErr w:type="gramEnd"/>
      <w:r w:rsidR="0044293D">
        <w:rPr>
          <w:color w:val="7F7F7F" w:themeColor="text2"/>
        </w:rPr>
        <w:t xml:space="preserve"> training </w:t>
      </w:r>
      <w:r>
        <w:rPr>
          <w:color w:val="7F7F7F" w:themeColor="text2"/>
        </w:rPr>
        <w:t>fell only</w:t>
      </w:r>
      <w:r w:rsidR="0044293D">
        <w:rPr>
          <w:color w:val="7F7F7F" w:themeColor="text2"/>
        </w:rPr>
        <w:t xml:space="preserve"> </w:t>
      </w:r>
      <w:r w:rsidR="00B4608F">
        <w:rPr>
          <w:color w:val="7F7F7F" w:themeColor="text2"/>
        </w:rPr>
        <w:t xml:space="preserve">marginally </w:t>
      </w:r>
      <w:r w:rsidR="0044293D">
        <w:rPr>
          <w:color w:val="7F7F7F" w:themeColor="text2"/>
        </w:rPr>
        <w:t>in 2015 to 27 per cent</w:t>
      </w:r>
      <w:r w:rsidR="00F56C6D">
        <w:rPr>
          <w:color w:val="7F7F7F" w:themeColor="text2"/>
        </w:rPr>
        <w:t>,</w:t>
      </w:r>
      <w:r w:rsidR="0044293D">
        <w:rPr>
          <w:color w:val="7F7F7F" w:themeColor="text2"/>
        </w:rPr>
        <w:t xml:space="preserve"> from 28 per cent in the same </w:t>
      </w:r>
      <w:r w:rsidR="00E026DE">
        <w:rPr>
          <w:color w:val="7F7F7F" w:themeColor="text2"/>
        </w:rPr>
        <w:t>period</w:t>
      </w:r>
      <w:r w:rsidR="0044293D">
        <w:rPr>
          <w:color w:val="7F7F7F" w:themeColor="text2"/>
        </w:rPr>
        <w:t xml:space="preserve"> in 2014.</w:t>
      </w:r>
      <w:r w:rsidR="00B4608F">
        <w:rPr>
          <w:color w:val="7F7F7F" w:themeColor="text2"/>
        </w:rPr>
        <w:t xml:space="preserve"> </w:t>
      </w:r>
      <w:r w:rsidR="00320FA3">
        <w:rPr>
          <w:color w:val="7F7F7F" w:themeColor="text2"/>
        </w:rPr>
        <w:t xml:space="preserve">This decline </w:t>
      </w:r>
      <w:r w:rsidR="00ED1CBB">
        <w:rPr>
          <w:color w:val="7F7F7F" w:themeColor="text2"/>
        </w:rPr>
        <w:t xml:space="preserve">is significantly less than </w:t>
      </w:r>
      <w:r>
        <w:rPr>
          <w:color w:val="7F7F7F" w:themeColor="text2"/>
        </w:rPr>
        <w:t>that seen</w:t>
      </w:r>
      <w:r w:rsidR="00ED1CBB">
        <w:rPr>
          <w:color w:val="7F7F7F" w:themeColor="text2"/>
        </w:rPr>
        <w:t xml:space="preserve"> in previous years, which </w:t>
      </w:r>
      <w:r>
        <w:rPr>
          <w:color w:val="7F7F7F" w:themeColor="text2"/>
        </w:rPr>
        <w:t>have been up to eight</w:t>
      </w:r>
      <w:r w:rsidR="00320FA3">
        <w:rPr>
          <w:color w:val="7F7F7F" w:themeColor="text2"/>
        </w:rPr>
        <w:t xml:space="preserve"> percentage points</w:t>
      </w:r>
      <w:r>
        <w:rPr>
          <w:color w:val="7F7F7F" w:themeColor="text2"/>
        </w:rPr>
        <w:t xml:space="preserve">.  </w:t>
      </w:r>
    </w:p>
    <w:p w:rsidR="00DF4002" w:rsidRDefault="00DF4002" w:rsidP="00DF4002">
      <w:pPr>
        <w:spacing w:before="120"/>
        <w:rPr>
          <w:color w:val="7F7F7F" w:themeColor="text2"/>
        </w:rPr>
      </w:pPr>
    </w:p>
    <w:p w:rsidR="00C12EDA" w:rsidRDefault="00C12EDA">
      <w:pPr>
        <w:rPr>
          <w:b/>
          <w:color w:val="7F7F7F" w:themeColor="text2"/>
        </w:rPr>
      </w:pPr>
      <w:r>
        <w:rPr>
          <w:b/>
          <w:color w:val="7F7F7F" w:themeColor="text2"/>
        </w:rPr>
        <w:br w:type="page"/>
      </w:r>
    </w:p>
    <w:p w:rsidR="00DF4002" w:rsidRPr="001D723C" w:rsidRDefault="001D723C" w:rsidP="00DF4002">
      <w:pPr>
        <w:spacing w:before="120"/>
        <w:rPr>
          <w:b/>
          <w:color w:val="7F7F7F" w:themeColor="text2"/>
        </w:rPr>
      </w:pPr>
      <w:r w:rsidRPr="001D723C">
        <w:rPr>
          <w:b/>
          <w:color w:val="7F7F7F" w:themeColor="text2"/>
        </w:rPr>
        <w:lastRenderedPageBreak/>
        <w:t>Apprenticeships and Traineeships</w:t>
      </w:r>
    </w:p>
    <w:p w:rsidR="00C12EDA" w:rsidRDefault="00952714" w:rsidP="00DA4936">
      <w:pPr>
        <w:pStyle w:val="ListParagraph"/>
        <w:numPr>
          <w:ilvl w:val="0"/>
          <w:numId w:val="33"/>
        </w:numPr>
        <w:spacing w:before="120"/>
        <w:ind w:left="357" w:hanging="357"/>
        <w:contextualSpacing w:val="0"/>
        <w:rPr>
          <w:color w:val="7F7F7F" w:themeColor="text2"/>
        </w:rPr>
      </w:pPr>
      <w:r>
        <w:rPr>
          <w:color w:val="7F7F7F" w:themeColor="text2"/>
        </w:rPr>
        <w:t>Apprenticeship numbers have essentially held steady in 2015, d</w:t>
      </w:r>
      <w:r w:rsidR="00C12EDA">
        <w:rPr>
          <w:color w:val="7F7F7F" w:themeColor="text2"/>
        </w:rPr>
        <w:t>espite an overall decline in training activity</w:t>
      </w:r>
      <w:r>
        <w:rPr>
          <w:color w:val="7F7F7F" w:themeColor="text2"/>
        </w:rPr>
        <w:t xml:space="preserve">. </w:t>
      </w:r>
      <w:r w:rsidR="00DD063B">
        <w:rPr>
          <w:color w:val="7F7F7F" w:themeColor="text2"/>
        </w:rPr>
        <w:t xml:space="preserve">There were 35,523 apprentice course enrolments in 2015, slightly above 2014 levels, </w:t>
      </w:r>
      <w:r w:rsidR="00C12EDA">
        <w:rPr>
          <w:color w:val="7F7F7F" w:themeColor="text2"/>
        </w:rPr>
        <w:t>slightly below that of 2010.</w:t>
      </w:r>
    </w:p>
    <w:p w:rsidR="001D723C" w:rsidRDefault="00C45284" w:rsidP="00DA4936">
      <w:pPr>
        <w:pStyle w:val="ListParagraph"/>
        <w:numPr>
          <w:ilvl w:val="0"/>
          <w:numId w:val="33"/>
        </w:numPr>
        <w:spacing w:before="120"/>
        <w:ind w:left="357" w:hanging="357"/>
        <w:contextualSpacing w:val="0"/>
        <w:rPr>
          <w:color w:val="7F7F7F" w:themeColor="text2"/>
        </w:rPr>
      </w:pPr>
      <w:proofErr w:type="gramStart"/>
      <w:r>
        <w:rPr>
          <w:color w:val="7F7F7F" w:themeColor="text2"/>
        </w:rPr>
        <w:t>There were 54,686 students who</w:t>
      </w:r>
      <w:proofErr w:type="gramEnd"/>
      <w:r>
        <w:rPr>
          <w:color w:val="7F7F7F" w:themeColor="text2"/>
        </w:rPr>
        <w:t xml:space="preserve"> were enrolled in 55,781 government subsidised apprenticeship or traineeship courses in 2015. </w:t>
      </w:r>
      <w:r w:rsidR="00176089">
        <w:rPr>
          <w:color w:val="7F7F7F" w:themeColor="text2"/>
        </w:rPr>
        <w:t xml:space="preserve">The number of students </w:t>
      </w:r>
      <w:r>
        <w:rPr>
          <w:color w:val="7F7F7F" w:themeColor="text2"/>
        </w:rPr>
        <w:t xml:space="preserve">was down by 15 per cent compared to the same </w:t>
      </w:r>
      <w:r w:rsidR="00E026DE">
        <w:rPr>
          <w:color w:val="7F7F7F" w:themeColor="text2"/>
        </w:rPr>
        <w:t>period</w:t>
      </w:r>
      <w:r>
        <w:rPr>
          <w:color w:val="7F7F7F" w:themeColor="text2"/>
        </w:rPr>
        <w:t xml:space="preserve"> in 2014</w:t>
      </w:r>
      <w:r w:rsidR="00176089">
        <w:rPr>
          <w:color w:val="7F7F7F" w:themeColor="text2"/>
        </w:rPr>
        <w:t>, and 20</w:t>
      </w:r>
      <w:r w:rsidR="00761CB9">
        <w:rPr>
          <w:color w:val="7F7F7F" w:themeColor="text2"/>
        </w:rPr>
        <w:t xml:space="preserve"> per cent</w:t>
      </w:r>
      <w:r w:rsidR="00176089">
        <w:rPr>
          <w:color w:val="7F7F7F" w:themeColor="text2"/>
        </w:rPr>
        <w:t xml:space="preserve"> lower than the same period in 2010</w:t>
      </w:r>
      <w:r>
        <w:rPr>
          <w:color w:val="7F7F7F" w:themeColor="text2"/>
        </w:rPr>
        <w:t>.</w:t>
      </w:r>
    </w:p>
    <w:p w:rsidR="00236066" w:rsidRDefault="009F73FF" w:rsidP="00DA4936">
      <w:pPr>
        <w:pStyle w:val="ListParagraph"/>
        <w:numPr>
          <w:ilvl w:val="0"/>
          <w:numId w:val="33"/>
        </w:numPr>
        <w:spacing w:before="120"/>
        <w:ind w:left="357" w:hanging="357"/>
        <w:contextualSpacing w:val="0"/>
        <w:rPr>
          <w:color w:val="7F7F7F" w:themeColor="text2"/>
        </w:rPr>
      </w:pPr>
      <w:r>
        <w:rPr>
          <w:color w:val="7F7F7F" w:themeColor="text2"/>
        </w:rPr>
        <w:t>T</w:t>
      </w:r>
      <w:r w:rsidR="00B856B3">
        <w:rPr>
          <w:color w:val="7F7F7F" w:themeColor="text2"/>
        </w:rPr>
        <w:t xml:space="preserve">he number of government subsidised traineeship enrolments </w:t>
      </w:r>
      <w:r w:rsidR="0028391A">
        <w:rPr>
          <w:color w:val="7F7F7F" w:themeColor="text2"/>
        </w:rPr>
        <w:t xml:space="preserve">has declined </w:t>
      </w:r>
      <w:r w:rsidR="00B856B3">
        <w:rPr>
          <w:color w:val="7F7F7F" w:themeColor="text2"/>
        </w:rPr>
        <w:t>by 34 per cent in 2015 compared to the same time in 2014</w:t>
      </w:r>
      <w:r w:rsidR="00236066">
        <w:rPr>
          <w:color w:val="7F7F7F" w:themeColor="text2"/>
        </w:rPr>
        <w:t>, and declining year-on-year since 2012</w:t>
      </w:r>
      <w:r w:rsidR="00B856B3">
        <w:rPr>
          <w:color w:val="7F7F7F" w:themeColor="text2"/>
        </w:rPr>
        <w:t xml:space="preserve">. </w:t>
      </w:r>
      <w:r w:rsidR="00236066">
        <w:rPr>
          <w:color w:val="7F7F7F" w:themeColor="text2"/>
        </w:rPr>
        <w:t>The number of enrolments in 2015 is 40</w:t>
      </w:r>
      <w:r w:rsidR="00761CB9">
        <w:rPr>
          <w:color w:val="7F7F7F" w:themeColor="text2"/>
        </w:rPr>
        <w:t xml:space="preserve"> per cent</w:t>
      </w:r>
      <w:r w:rsidR="00236066">
        <w:rPr>
          <w:color w:val="7F7F7F" w:themeColor="text2"/>
        </w:rPr>
        <w:t xml:space="preserve"> lower than the same period in 2010.</w:t>
      </w:r>
      <w:r w:rsidR="006D25B2">
        <w:rPr>
          <w:color w:val="7F7F7F" w:themeColor="text2"/>
        </w:rPr>
        <w:t xml:space="preserve"> </w:t>
      </w:r>
    </w:p>
    <w:p w:rsidR="00C12EDA" w:rsidRDefault="00C12EDA" w:rsidP="00DF4002">
      <w:pPr>
        <w:spacing w:before="120"/>
        <w:rPr>
          <w:b/>
          <w:color w:val="7F7F7F" w:themeColor="text2"/>
        </w:rPr>
      </w:pPr>
    </w:p>
    <w:p w:rsidR="00DF4002" w:rsidRPr="004E629D" w:rsidRDefault="00236066" w:rsidP="00DF4002">
      <w:pPr>
        <w:spacing w:before="120"/>
        <w:rPr>
          <w:b/>
          <w:color w:val="7F7F7F" w:themeColor="text2"/>
        </w:rPr>
      </w:pPr>
      <w:r w:rsidRPr="004E629D">
        <w:rPr>
          <w:b/>
          <w:color w:val="7F7F7F" w:themeColor="text2"/>
        </w:rPr>
        <w:t xml:space="preserve">Areas of Value to the </w:t>
      </w:r>
      <w:r w:rsidR="004E629D" w:rsidRPr="004E629D">
        <w:rPr>
          <w:b/>
          <w:color w:val="7F7F7F" w:themeColor="text2"/>
        </w:rPr>
        <w:t>Victorian Economy</w:t>
      </w:r>
    </w:p>
    <w:p w:rsidR="00B856B3" w:rsidRDefault="00CB6C79" w:rsidP="00DA4936">
      <w:pPr>
        <w:pStyle w:val="ListParagraph"/>
        <w:numPr>
          <w:ilvl w:val="0"/>
          <w:numId w:val="33"/>
        </w:numPr>
        <w:spacing w:before="120"/>
        <w:ind w:left="357" w:hanging="357"/>
        <w:contextualSpacing w:val="0"/>
        <w:rPr>
          <w:color w:val="7F7F7F" w:themeColor="text2"/>
        </w:rPr>
      </w:pPr>
      <w:r>
        <w:rPr>
          <w:color w:val="7F7F7F" w:themeColor="text2"/>
        </w:rPr>
        <w:t xml:space="preserve">The number of </w:t>
      </w:r>
      <w:proofErr w:type="gramStart"/>
      <w:r>
        <w:rPr>
          <w:color w:val="7F7F7F" w:themeColor="text2"/>
        </w:rPr>
        <w:t>government subsidised</w:t>
      </w:r>
      <w:proofErr w:type="gramEnd"/>
      <w:r>
        <w:rPr>
          <w:color w:val="7F7F7F" w:themeColor="text2"/>
        </w:rPr>
        <w:t xml:space="preserve"> enrolments </w:t>
      </w:r>
      <w:r w:rsidR="00C05E0A">
        <w:rPr>
          <w:color w:val="7F7F7F" w:themeColor="text2"/>
        </w:rPr>
        <w:t xml:space="preserve">related to occupations </w:t>
      </w:r>
      <w:r>
        <w:rPr>
          <w:color w:val="7F7F7F" w:themeColor="text2"/>
        </w:rPr>
        <w:t>in</w:t>
      </w:r>
      <w:r w:rsidR="00C05E0A">
        <w:rPr>
          <w:color w:val="7F7F7F" w:themeColor="text2"/>
        </w:rPr>
        <w:t xml:space="preserve"> </w:t>
      </w:r>
      <w:r>
        <w:rPr>
          <w:color w:val="7F7F7F" w:themeColor="text2"/>
        </w:rPr>
        <w:t xml:space="preserve">demand </w:t>
      </w:r>
      <w:r w:rsidR="00C05E0A">
        <w:rPr>
          <w:color w:val="7F7F7F" w:themeColor="text2"/>
        </w:rPr>
        <w:t xml:space="preserve">was 109,714 in 2015, this was 5 per cent lower than </w:t>
      </w:r>
      <w:r w:rsidR="005A1597">
        <w:rPr>
          <w:color w:val="7F7F7F" w:themeColor="text2"/>
        </w:rPr>
        <w:t xml:space="preserve">in </w:t>
      </w:r>
      <w:r w:rsidR="00C05E0A">
        <w:rPr>
          <w:color w:val="7F7F7F" w:themeColor="text2"/>
        </w:rPr>
        <w:t>the same period in 2014.</w:t>
      </w:r>
    </w:p>
    <w:p w:rsidR="0028391A" w:rsidRDefault="002D1D1E" w:rsidP="00E155C2">
      <w:pPr>
        <w:pStyle w:val="ListParagraph"/>
        <w:numPr>
          <w:ilvl w:val="0"/>
          <w:numId w:val="33"/>
        </w:numPr>
        <w:spacing w:before="120"/>
        <w:contextualSpacing w:val="0"/>
        <w:rPr>
          <w:color w:val="7F7F7F" w:themeColor="text2"/>
        </w:rPr>
      </w:pPr>
      <w:r w:rsidRPr="002D1D1E">
        <w:rPr>
          <w:color w:val="7F7F7F" w:themeColor="text2"/>
        </w:rPr>
        <w:t xml:space="preserve">The number of </w:t>
      </w:r>
      <w:proofErr w:type="gramStart"/>
      <w:r w:rsidRPr="002D1D1E">
        <w:rPr>
          <w:color w:val="7F7F7F" w:themeColor="text2"/>
        </w:rPr>
        <w:t>government subsidised</w:t>
      </w:r>
      <w:proofErr w:type="gramEnd"/>
      <w:r w:rsidRPr="002D1D1E">
        <w:rPr>
          <w:color w:val="7F7F7F" w:themeColor="text2"/>
        </w:rPr>
        <w:t xml:space="preserve"> enrolments aligned to the six priority growth sectors</w:t>
      </w:r>
      <w:r w:rsidR="00E155C2">
        <w:rPr>
          <w:rStyle w:val="FootnoteReference"/>
          <w:color w:val="7F7F7F" w:themeColor="text2"/>
        </w:rPr>
        <w:footnoteReference w:id="2"/>
      </w:r>
      <w:r w:rsidRPr="002D1D1E">
        <w:rPr>
          <w:color w:val="7F7F7F" w:themeColor="text2"/>
        </w:rPr>
        <w:t xml:space="preserve"> was 61,864 in 2015, this was 5 per cent lower than in the same period in 2014.</w:t>
      </w:r>
    </w:p>
    <w:p w:rsidR="00E155C2" w:rsidRPr="00E155C2" w:rsidRDefault="00E155C2" w:rsidP="00E155C2">
      <w:pPr>
        <w:spacing w:before="120"/>
        <w:rPr>
          <w:color w:val="7F7F7F" w:themeColor="text2"/>
        </w:rPr>
      </w:pPr>
    </w:p>
    <w:p w:rsidR="0028391A" w:rsidRPr="00D15244" w:rsidRDefault="0028391A" w:rsidP="0028391A">
      <w:pPr>
        <w:spacing w:before="120"/>
        <w:rPr>
          <w:b/>
          <w:color w:val="7F7F7F" w:themeColor="text2"/>
        </w:rPr>
      </w:pPr>
      <w:r w:rsidRPr="00D15244">
        <w:rPr>
          <w:b/>
          <w:color w:val="7F7F7F" w:themeColor="text2"/>
        </w:rPr>
        <w:t>Fee-For-Service Training</w:t>
      </w:r>
    </w:p>
    <w:p w:rsidR="0028391A" w:rsidRDefault="0028391A" w:rsidP="0028391A">
      <w:pPr>
        <w:pStyle w:val="ListParagraph"/>
        <w:numPr>
          <w:ilvl w:val="0"/>
          <w:numId w:val="33"/>
        </w:numPr>
        <w:spacing w:before="120"/>
        <w:ind w:left="357" w:hanging="357"/>
        <w:contextualSpacing w:val="0"/>
        <w:rPr>
          <w:color w:val="7F7F7F" w:themeColor="text2"/>
        </w:rPr>
      </w:pPr>
      <w:r>
        <w:rPr>
          <w:color w:val="7F7F7F" w:themeColor="text2"/>
        </w:rPr>
        <w:t>In 2015 there were 172,332 students undertaking fee-for-service training</w:t>
      </w:r>
      <w:r w:rsidR="00E155C2">
        <w:rPr>
          <w:color w:val="7F7F7F" w:themeColor="text2"/>
        </w:rPr>
        <w:t xml:space="preserve"> (at providers that were also government funded)</w:t>
      </w:r>
      <w:r>
        <w:rPr>
          <w:color w:val="7F7F7F" w:themeColor="text2"/>
        </w:rPr>
        <w:t xml:space="preserve">, this was 9 per cent higher than in the same period in 2014. </w:t>
      </w:r>
    </w:p>
    <w:p w:rsidR="004E629D" w:rsidRDefault="004E629D"/>
    <w:p w:rsidR="00A8197C" w:rsidRPr="00365EB2" w:rsidRDefault="00A8197C">
      <w:r w:rsidRPr="00365EB2">
        <w:br w:type="page"/>
      </w:r>
    </w:p>
    <w:p w:rsidR="00626BF1" w:rsidRDefault="00626BF1">
      <w:pPr>
        <w:rPr>
          <w:rFonts w:cs="Arial"/>
          <w:bCs/>
          <w:color w:val="B41F22" w:themeColor="accent1"/>
          <w:kern w:val="32"/>
          <w:sz w:val="36"/>
          <w:szCs w:val="36"/>
        </w:rPr>
      </w:pPr>
      <w:r>
        <w:rPr>
          <w:color w:val="B41F22" w:themeColor="accent1"/>
        </w:rPr>
        <w:lastRenderedPageBreak/>
        <w:br w:type="page"/>
      </w:r>
    </w:p>
    <w:p w:rsidR="00A8197C" w:rsidRPr="00612488" w:rsidRDefault="00A8197C" w:rsidP="00D33E0A">
      <w:pPr>
        <w:pStyle w:val="Heading1"/>
        <w:numPr>
          <w:ilvl w:val="0"/>
          <w:numId w:val="0"/>
        </w:numPr>
        <w:ind w:left="646" w:hanging="646"/>
        <w:rPr>
          <w:color w:val="B41F22" w:themeColor="accent1"/>
        </w:rPr>
      </w:pPr>
      <w:bookmarkStart w:id="3" w:name="_Toc432758313"/>
      <w:r w:rsidRPr="00612488">
        <w:rPr>
          <w:color w:val="B41F22" w:themeColor="accent1"/>
        </w:rPr>
        <w:lastRenderedPageBreak/>
        <w:t>Notes on the Data</w:t>
      </w:r>
      <w:bookmarkEnd w:id="3"/>
    </w:p>
    <w:p w:rsidR="00A03E2D" w:rsidRPr="00C01798" w:rsidRDefault="00A03E2D" w:rsidP="00CF18AC">
      <w:pPr>
        <w:rPr>
          <w:color w:val="7F7F7F" w:themeColor="text2"/>
        </w:rPr>
      </w:pPr>
    </w:p>
    <w:p w:rsidR="00CF18AC" w:rsidRPr="0021141C" w:rsidRDefault="00CF18AC" w:rsidP="00095538">
      <w:pPr>
        <w:spacing w:after="120"/>
        <w:rPr>
          <w:color w:val="7F7F7F" w:themeColor="text2"/>
        </w:rPr>
      </w:pPr>
      <w:r w:rsidRPr="0021141C">
        <w:rPr>
          <w:color w:val="7F7F7F" w:themeColor="text2"/>
        </w:rPr>
        <w:t xml:space="preserve">This </w:t>
      </w:r>
      <w:r w:rsidR="00CD5CBF">
        <w:rPr>
          <w:color w:val="7F7F7F" w:themeColor="text2"/>
        </w:rPr>
        <w:t>r</w:t>
      </w:r>
      <w:r w:rsidRPr="0021141C">
        <w:rPr>
          <w:color w:val="7F7F7F" w:themeColor="text2"/>
        </w:rPr>
        <w:t xml:space="preserve">eport includes key metrics, such as training delivery by qualification level, course completion, age </w:t>
      </w:r>
      <w:r w:rsidR="00CD5CBF">
        <w:rPr>
          <w:color w:val="7F7F7F" w:themeColor="text2"/>
        </w:rPr>
        <w:t xml:space="preserve">and gender </w:t>
      </w:r>
      <w:r w:rsidRPr="0021141C">
        <w:rPr>
          <w:color w:val="7F7F7F" w:themeColor="text2"/>
        </w:rPr>
        <w:t xml:space="preserve">of learners, </w:t>
      </w:r>
      <w:r w:rsidR="00D904A4" w:rsidRPr="0021141C">
        <w:rPr>
          <w:color w:val="7F7F7F" w:themeColor="text2"/>
        </w:rPr>
        <w:t xml:space="preserve">regional activity and </w:t>
      </w:r>
      <w:r w:rsidRPr="0021141C">
        <w:rPr>
          <w:color w:val="7F7F7F" w:themeColor="text2"/>
        </w:rPr>
        <w:t xml:space="preserve">learners facing barriers to participation. An analysis of alignment to industry needs </w:t>
      </w:r>
      <w:proofErr w:type="gramStart"/>
      <w:r w:rsidRPr="0021141C">
        <w:rPr>
          <w:color w:val="7F7F7F" w:themeColor="text2"/>
        </w:rPr>
        <w:t>is also provided</w:t>
      </w:r>
      <w:proofErr w:type="gramEnd"/>
      <w:r w:rsidRPr="0021141C">
        <w:rPr>
          <w:color w:val="7F7F7F" w:themeColor="text2"/>
        </w:rPr>
        <w:t>.</w:t>
      </w:r>
    </w:p>
    <w:p w:rsidR="00CF18AC" w:rsidRPr="0021141C" w:rsidRDefault="00CF18AC" w:rsidP="00095538">
      <w:pPr>
        <w:spacing w:after="120"/>
        <w:rPr>
          <w:color w:val="7F7F7F" w:themeColor="text2"/>
        </w:rPr>
      </w:pPr>
      <w:r w:rsidRPr="0021141C">
        <w:rPr>
          <w:color w:val="7F7F7F" w:themeColor="text2"/>
        </w:rPr>
        <w:t>The main source of vocational training statistics in this publication is the training activity database referred to as Skills Victoria Training System (SVTS). Data included in the report are a snapshot in time and based on data as reported to Higher Education and Skills Group (HESG) in the Department by training providers.</w:t>
      </w:r>
      <w:r w:rsidR="004A47E1">
        <w:rPr>
          <w:color w:val="7F7F7F" w:themeColor="text2"/>
        </w:rPr>
        <w:t xml:space="preserve"> </w:t>
      </w:r>
      <w:r w:rsidR="004A47E1" w:rsidRPr="0021141C">
        <w:rPr>
          <w:color w:val="7F7F7F" w:themeColor="text2"/>
        </w:rPr>
        <w:t xml:space="preserve">The data reported in this report </w:t>
      </w:r>
      <w:proofErr w:type="gramStart"/>
      <w:r w:rsidR="00BD0CA7">
        <w:rPr>
          <w:color w:val="7F7F7F" w:themeColor="text2"/>
        </w:rPr>
        <w:t>were</w:t>
      </w:r>
      <w:r w:rsidR="004A47E1" w:rsidRPr="0021141C">
        <w:rPr>
          <w:color w:val="7F7F7F" w:themeColor="text2"/>
        </w:rPr>
        <w:t xml:space="preserve"> extracted</w:t>
      </w:r>
      <w:proofErr w:type="gramEnd"/>
      <w:r w:rsidR="004A47E1" w:rsidRPr="0021141C">
        <w:rPr>
          <w:color w:val="7F7F7F" w:themeColor="text2"/>
        </w:rPr>
        <w:t xml:space="preserve"> in July 2015.</w:t>
      </w:r>
    </w:p>
    <w:p w:rsidR="00015819" w:rsidRDefault="00015819" w:rsidP="00095538">
      <w:pPr>
        <w:spacing w:after="120"/>
        <w:rPr>
          <w:color w:val="7F7F7F" w:themeColor="text2"/>
        </w:rPr>
      </w:pPr>
      <w:r>
        <w:t>Half-year figures for the current year are preliminary as the training activity is still in progress. Therefore</w:t>
      </w:r>
      <w:r w:rsidR="00BD0CA7">
        <w:t>,</w:t>
      </w:r>
      <w:r>
        <w:t xml:space="preserve"> these figures </w:t>
      </w:r>
      <w:proofErr w:type="gramStart"/>
      <w:r>
        <w:t>should be treated</w:t>
      </w:r>
      <w:proofErr w:type="gramEnd"/>
      <w:r>
        <w:t xml:space="preserve"> as indicative only.  All data are subject to change until the end of the calendar year.</w:t>
      </w:r>
    </w:p>
    <w:p w:rsidR="00CF18AC" w:rsidRDefault="00063107" w:rsidP="00095538">
      <w:pPr>
        <w:spacing w:after="120"/>
        <w:rPr>
          <w:color w:val="7F7F7F" w:themeColor="text2"/>
        </w:rPr>
      </w:pPr>
      <w:r w:rsidRPr="0021141C">
        <w:rPr>
          <w:color w:val="7F7F7F" w:themeColor="text2"/>
        </w:rPr>
        <w:t>D</w:t>
      </w:r>
      <w:r w:rsidR="00CF18AC" w:rsidRPr="0021141C">
        <w:rPr>
          <w:color w:val="7F7F7F" w:themeColor="text2"/>
        </w:rPr>
        <w:t xml:space="preserve">ata included in this report may differ to those in previous publications as the </w:t>
      </w:r>
      <w:r w:rsidR="00382C5B" w:rsidRPr="0021141C">
        <w:rPr>
          <w:color w:val="7F7F7F" w:themeColor="text2"/>
        </w:rPr>
        <w:t>Department</w:t>
      </w:r>
      <w:r w:rsidR="00CF18AC" w:rsidRPr="0021141C">
        <w:rPr>
          <w:color w:val="7F7F7F" w:themeColor="text2"/>
        </w:rPr>
        <w:t xml:space="preserve"> </w:t>
      </w:r>
      <w:r w:rsidR="00E359A7">
        <w:rPr>
          <w:color w:val="7F7F7F" w:themeColor="text2"/>
        </w:rPr>
        <w:t>may</w:t>
      </w:r>
      <w:r w:rsidR="00CF18AC" w:rsidRPr="0021141C">
        <w:rPr>
          <w:color w:val="7F7F7F" w:themeColor="text2"/>
        </w:rPr>
        <w:t xml:space="preserve"> updat</w:t>
      </w:r>
      <w:r w:rsidR="00E359A7">
        <w:rPr>
          <w:color w:val="7F7F7F" w:themeColor="text2"/>
        </w:rPr>
        <w:t>e</w:t>
      </w:r>
      <w:r w:rsidR="00CF18AC" w:rsidRPr="0021141C">
        <w:rPr>
          <w:color w:val="7F7F7F" w:themeColor="text2"/>
        </w:rPr>
        <w:t xml:space="preserve"> classifications </w:t>
      </w:r>
      <w:r w:rsidR="00E359A7">
        <w:rPr>
          <w:color w:val="7F7F7F" w:themeColor="text2"/>
        </w:rPr>
        <w:t xml:space="preserve">from time to time </w:t>
      </w:r>
      <w:r w:rsidR="00CF18AC" w:rsidRPr="0021141C">
        <w:rPr>
          <w:color w:val="7F7F7F" w:themeColor="text2"/>
        </w:rPr>
        <w:t xml:space="preserve">to improve data quality and consistency across years. </w:t>
      </w:r>
      <w:r w:rsidR="00E359A7">
        <w:rPr>
          <w:color w:val="7F7F7F" w:themeColor="text2"/>
        </w:rPr>
        <w:t xml:space="preserve">In addition, </w:t>
      </w:r>
      <w:r w:rsidR="00CF18AC" w:rsidRPr="0021141C">
        <w:rPr>
          <w:color w:val="7F7F7F" w:themeColor="text2"/>
        </w:rPr>
        <w:t>changes to reporting and data standards may lead to minor revisions to data previously reported.</w:t>
      </w:r>
    </w:p>
    <w:p w:rsidR="00F34AC3" w:rsidRPr="00F34AC3" w:rsidRDefault="00F34AC3" w:rsidP="00F34AC3">
      <w:pPr>
        <w:spacing w:after="120"/>
        <w:rPr>
          <w:b/>
          <w:color w:val="7F7F7F" w:themeColor="text2"/>
          <w:sz w:val="19"/>
          <w:szCs w:val="19"/>
        </w:rPr>
      </w:pPr>
      <w:r>
        <w:rPr>
          <w:b/>
          <w:color w:val="7F7F7F" w:themeColor="text2"/>
          <w:sz w:val="19"/>
          <w:szCs w:val="19"/>
        </w:rPr>
        <w:t xml:space="preserve">Change to how activity </w:t>
      </w:r>
      <w:proofErr w:type="gramStart"/>
      <w:r>
        <w:rPr>
          <w:b/>
          <w:color w:val="7F7F7F" w:themeColor="text2"/>
          <w:sz w:val="19"/>
          <w:szCs w:val="19"/>
        </w:rPr>
        <w:t>is reported</w:t>
      </w:r>
      <w:proofErr w:type="gramEnd"/>
    </w:p>
    <w:p w:rsidR="005C7AF5" w:rsidRDefault="005C7AF5" w:rsidP="005C7AF5">
      <w:pPr>
        <w:spacing w:after="120"/>
      </w:pPr>
      <w:r>
        <w:t xml:space="preserve">In an effort to improve consistency in reporting, from 2015 all pre-accredited training activity funded by the Adult, Community and Further Education (ACFE) Board has been reported at the module enrolment level rather than a mix of course and module enrolments. This </w:t>
      </w:r>
      <w:r w:rsidR="00787164">
        <w:t>could have the</w:t>
      </w:r>
      <w:r>
        <w:t xml:space="preserve"> effect of artificially boosting the number of government subsidised course enrolments from 2015.</w:t>
      </w:r>
    </w:p>
    <w:p w:rsidR="005C7AF5" w:rsidRDefault="005C7AF5" w:rsidP="005C7AF5">
      <w:pPr>
        <w:spacing w:after="120"/>
      </w:pPr>
      <w:r>
        <w:t xml:space="preserve">For example, from 2015, five pre-accredited module enrolments </w:t>
      </w:r>
      <w:proofErr w:type="gramStart"/>
      <w:r>
        <w:t>will be reported</w:t>
      </w:r>
      <w:proofErr w:type="gramEnd"/>
      <w:r>
        <w:t xml:space="preserve"> as five Module Only course enrolments. Prior to 2015, in some instances, this </w:t>
      </w:r>
      <w:proofErr w:type="gramStart"/>
      <w:r>
        <w:t>was reported</w:t>
      </w:r>
      <w:proofErr w:type="gramEnd"/>
      <w:r>
        <w:t xml:space="preserve"> as one course enrolment.</w:t>
      </w:r>
    </w:p>
    <w:p w:rsidR="00F34AC3" w:rsidRPr="00F34AC3" w:rsidRDefault="00F34AC3" w:rsidP="00F34AC3">
      <w:pPr>
        <w:spacing w:after="120"/>
      </w:pPr>
      <w:r>
        <w:t xml:space="preserve">Due to this change, pre-accredited and accredited training </w:t>
      </w:r>
      <w:r w:rsidR="00BD0CA7">
        <w:t xml:space="preserve">data </w:t>
      </w:r>
      <w:proofErr w:type="gramStart"/>
      <w:r>
        <w:t>have been identified</w:t>
      </w:r>
      <w:proofErr w:type="gramEnd"/>
      <w:r>
        <w:t xml:space="preserve"> separately in this report.</w:t>
      </w:r>
    </w:p>
    <w:p w:rsidR="00F34AC3" w:rsidRPr="006B30C6" w:rsidRDefault="00F34AC3" w:rsidP="00F34AC3">
      <w:pPr>
        <w:rPr>
          <w:color w:val="7F7F7F" w:themeColor="text2"/>
          <w:szCs w:val="18"/>
        </w:rPr>
      </w:pPr>
    </w:p>
    <w:tbl>
      <w:tblPr>
        <w:tblStyle w:val="TableGrid"/>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tblGrid>
      <w:tr w:rsidR="009F6B59" w:rsidTr="00FF6529">
        <w:tc>
          <w:tcPr>
            <w:tcW w:w="8364" w:type="dxa"/>
            <w:tcMar>
              <w:left w:w="0" w:type="dxa"/>
              <w:right w:w="0" w:type="dxa"/>
            </w:tcMar>
          </w:tcPr>
          <w:p w:rsidR="009F6B59" w:rsidRDefault="009F6B59" w:rsidP="00F34AC3">
            <w:pPr>
              <w:pStyle w:val="Quote"/>
              <w:tabs>
                <w:tab w:val="left" w:pos="1134"/>
              </w:tabs>
              <w:rPr>
                <w:b w:val="0"/>
                <w:color w:val="B41F22" w:themeColor="accent1"/>
              </w:rPr>
            </w:pPr>
            <w:r>
              <w:rPr>
                <w:b w:val="0"/>
                <w:color w:val="B41F22" w:themeColor="accent1"/>
              </w:rPr>
              <w:t>M</w:t>
            </w:r>
            <w:r w:rsidRPr="00B25196">
              <w:rPr>
                <w:b w:val="0"/>
                <w:color w:val="B41F22" w:themeColor="accent1"/>
              </w:rPr>
              <w:t>odule enrolments in government subsidised accredited and pre-accredited training, 2010 to 2015 (half year)</w:t>
            </w:r>
          </w:p>
        </w:tc>
      </w:tr>
    </w:tbl>
    <w:tbl>
      <w:tblPr>
        <w:tblW w:w="8379" w:type="dxa"/>
        <w:tblInd w:w="93" w:type="dxa"/>
        <w:tblLayout w:type="fixed"/>
        <w:tblLook w:val="04A0" w:firstRow="1" w:lastRow="0" w:firstColumn="1" w:lastColumn="0" w:noHBand="0" w:noVBand="1"/>
      </w:tblPr>
      <w:tblGrid>
        <w:gridCol w:w="2000"/>
        <w:gridCol w:w="1063"/>
        <w:gridCol w:w="1063"/>
        <w:gridCol w:w="1063"/>
        <w:gridCol w:w="1063"/>
        <w:gridCol w:w="1063"/>
        <w:gridCol w:w="1064"/>
      </w:tblGrid>
      <w:tr w:rsidR="00F34AC3" w:rsidRPr="00E83408" w:rsidTr="00F34AC3">
        <w:trPr>
          <w:trHeight w:val="300"/>
        </w:trPr>
        <w:tc>
          <w:tcPr>
            <w:tcW w:w="2000" w:type="dxa"/>
            <w:tcBorders>
              <w:top w:val="nil"/>
              <w:left w:val="nil"/>
              <w:bottom w:val="nil"/>
              <w:right w:val="nil"/>
            </w:tcBorders>
            <w:shd w:val="clear" w:color="000000" w:fill="7F7F7F"/>
            <w:noWrap/>
            <w:vAlign w:val="center"/>
            <w:hideMark/>
          </w:tcPr>
          <w:p w:rsidR="00F34AC3" w:rsidRPr="00E83408" w:rsidRDefault="00F34AC3" w:rsidP="00F34AC3">
            <w:pPr>
              <w:rPr>
                <w:rFonts w:cs="Arial"/>
                <w:color w:val="FFFFFF"/>
                <w:szCs w:val="18"/>
                <w:lang w:eastAsia="en-AU"/>
              </w:rPr>
            </w:pPr>
            <w:r w:rsidRPr="00E83408">
              <w:rPr>
                <w:rFonts w:cs="Arial"/>
                <w:color w:val="FFFFFF"/>
                <w:szCs w:val="18"/>
                <w:lang w:eastAsia="en-AU"/>
              </w:rPr>
              <w:t> </w:t>
            </w:r>
          </w:p>
        </w:tc>
        <w:tc>
          <w:tcPr>
            <w:tcW w:w="1063" w:type="dxa"/>
            <w:tcBorders>
              <w:top w:val="nil"/>
              <w:left w:val="nil"/>
              <w:bottom w:val="nil"/>
              <w:right w:val="nil"/>
            </w:tcBorders>
            <w:shd w:val="clear" w:color="000000" w:fill="7F7F7F"/>
            <w:noWrap/>
            <w:vAlign w:val="center"/>
            <w:hideMark/>
          </w:tcPr>
          <w:p w:rsidR="00F34AC3" w:rsidRPr="00E83408" w:rsidRDefault="00F34AC3" w:rsidP="00F34AC3">
            <w:pPr>
              <w:jc w:val="right"/>
              <w:rPr>
                <w:rFonts w:cs="Arial"/>
                <w:b/>
                <w:bCs/>
                <w:color w:val="FFFFFF"/>
                <w:szCs w:val="18"/>
                <w:lang w:eastAsia="en-AU"/>
              </w:rPr>
            </w:pPr>
            <w:r w:rsidRPr="00E83408">
              <w:rPr>
                <w:rFonts w:cs="Arial"/>
                <w:b/>
                <w:bCs/>
                <w:color w:val="FFFFFF"/>
                <w:szCs w:val="18"/>
                <w:lang w:eastAsia="en-AU"/>
              </w:rPr>
              <w:t>2010</w:t>
            </w:r>
          </w:p>
        </w:tc>
        <w:tc>
          <w:tcPr>
            <w:tcW w:w="1063" w:type="dxa"/>
            <w:tcBorders>
              <w:top w:val="nil"/>
              <w:left w:val="nil"/>
              <w:bottom w:val="nil"/>
              <w:right w:val="nil"/>
            </w:tcBorders>
            <w:shd w:val="clear" w:color="000000" w:fill="7F7F7F"/>
            <w:noWrap/>
            <w:vAlign w:val="center"/>
            <w:hideMark/>
          </w:tcPr>
          <w:p w:rsidR="00F34AC3" w:rsidRPr="00E83408" w:rsidRDefault="00F34AC3" w:rsidP="00F34AC3">
            <w:pPr>
              <w:jc w:val="right"/>
              <w:rPr>
                <w:rFonts w:cs="Arial"/>
                <w:b/>
                <w:bCs/>
                <w:color w:val="FFFFFF"/>
                <w:szCs w:val="18"/>
                <w:lang w:eastAsia="en-AU"/>
              </w:rPr>
            </w:pPr>
            <w:r w:rsidRPr="00E83408">
              <w:rPr>
                <w:rFonts w:cs="Arial"/>
                <w:b/>
                <w:bCs/>
                <w:color w:val="FFFFFF"/>
                <w:szCs w:val="18"/>
                <w:lang w:eastAsia="en-AU"/>
              </w:rPr>
              <w:t>2011</w:t>
            </w:r>
          </w:p>
        </w:tc>
        <w:tc>
          <w:tcPr>
            <w:tcW w:w="1063" w:type="dxa"/>
            <w:tcBorders>
              <w:top w:val="nil"/>
              <w:left w:val="nil"/>
              <w:bottom w:val="nil"/>
              <w:right w:val="nil"/>
            </w:tcBorders>
            <w:shd w:val="clear" w:color="000000" w:fill="7F7F7F"/>
            <w:noWrap/>
            <w:vAlign w:val="center"/>
            <w:hideMark/>
          </w:tcPr>
          <w:p w:rsidR="00F34AC3" w:rsidRPr="00E83408" w:rsidRDefault="00F34AC3" w:rsidP="00F34AC3">
            <w:pPr>
              <w:jc w:val="right"/>
              <w:rPr>
                <w:rFonts w:cs="Arial"/>
                <w:b/>
                <w:bCs/>
                <w:color w:val="FFFFFF"/>
                <w:szCs w:val="18"/>
                <w:lang w:eastAsia="en-AU"/>
              </w:rPr>
            </w:pPr>
            <w:r w:rsidRPr="00E83408">
              <w:rPr>
                <w:rFonts w:cs="Arial"/>
                <w:b/>
                <w:bCs/>
                <w:color w:val="FFFFFF"/>
                <w:szCs w:val="18"/>
                <w:lang w:eastAsia="en-AU"/>
              </w:rPr>
              <w:t>2012</w:t>
            </w:r>
          </w:p>
        </w:tc>
        <w:tc>
          <w:tcPr>
            <w:tcW w:w="1063" w:type="dxa"/>
            <w:tcBorders>
              <w:top w:val="nil"/>
              <w:left w:val="nil"/>
              <w:bottom w:val="nil"/>
              <w:right w:val="nil"/>
            </w:tcBorders>
            <w:shd w:val="clear" w:color="000000" w:fill="7F7F7F"/>
            <w:noWrap/>
            <w:vAlign w:val="center"/>
            <w:hideMark/>
          </w:tcPr>
          <w:p w:rsidR="00F34AC3" w:rsidRPr="00E83408" w:rsidRDefault="00F34AC3" w:rsidP="00F34AC3">
            <w:pPr>
              <w:jc w:val="right"/>
              <w:rPr>
                <w:rFonts w:cs="Arial"/>
                <w:b/>
                <w:bCs/>
                <w:color w:val="FFFFFF"/>
                <w:szCs w:val="18"/>
                <w:lang w:eastAsia="en-AU"/>
              </w:rPr>
            </w:pPr>
            <w:r w:rsidRPr="00E83408">
              <w:rPr>
                <w:rFonts w:cs="Arial"/>
                <w:b/>
                <w:bCs/>
                <w:color w:val="FFFFFF"/>
                <w:szCs w:val="18"/>
                <w:lang w:eastAsia="en-AU"/>
              </w:rPr>
              <w:t>2013</w:t>
            </w:r>
          </w:p>
        </w:tc>
        <w:tc>
          <w:tcPr>
            <w:tcW w:w="1063" w:type="dxa"/>
            <w:tcBorders>
              <w:top w:val="nil"/>
              <w:left w:val="nil"/>
              <w:bottom w:val="nil"/>
              <w:right w:val="nil"/>
            </w:tcBorders>
            <w:shd w:val="clear" w:color="000000" w:fill="7F7F7F"/>
            <w:noWrap/>
            <w:vAlign w:val="center"/>
            <w:hideMark/>
          </w:tcPr>
          <w:p w:rsidR="00F34AC3" w:rsidRPr="00E83408" w:rsidRDefault="00F34AC3" w:rsidP="00F34AC3">
            <w:pPr>
              <w:jc w:val="right"/>
              <w:rPr>
                <w:rFonts w:cs="Arial"/>
                <w:b/>
                <w:bCs/>
                <w:color w:val="FFFFFF"/>
                <w:szCs w:val="18"/>
                <w:lang w:eastAsia="en-AU"/>
              </w:rPr>
            </w:pPr>
            <w:r w:rsidRPr="00E83408">
              <w:rPr>
                <w:rFonts w:cs="Arial"/>
                <w:b/>
                <w:bCs/>
                <w:color w:val="FFFFFF"/>
                <w:szCs w:val="18"/>
                <w:lang w:eastAsia="en-AU"/>
              </w:rPr>
              <w:t>2014</w:t>
            </w:r>
          </w:p>
        </w:tc>
        <w:tc>
          <w:tcPr>
            <w:tcW w:w="1064" w:type="dxa"/>
            <w:tcBorders>
              <w:top w:val="nil"/>
              <w:left w:val="nil"/>
              <w:bottom w:val="nil"/>
              <w:right w:val="nil"/>
            </w:tcBorders>
            <w:shd w:val="clear" w:color="000000" w:fill="7F7F7F"/>
            <w:noWrap/>
            <w:vAlign w:val="center"/>
            <w:hideMark/>
          </w:tcPr>
          <w:p w:rsidR="00F34AC3" w:rsidRPr="00E83408" w:rsidRDefault="00F34AC3" w:rsidP="00F34AC3">
            <w:pPr>
              <w:jc w:val="right"/>
              <w:rPr>
                <w:rFonts w:cs="Arial"/>
                <w:b/>
                <w:bCs/>
                <w:color w:val="FFFFFF"/>
                <w:szCs w:val="18"/>
                <w:lang w:eastAsia="en-AU"/>
              </w:rPr>
            </w:pPr>
            <w:r w:rsidRPr="00E83408">
              <w:rPr>
                <w:rFonts w:cs="Arial"/>
                <w:b/>
                <w:bCs/>
                <w:color w:val="FFFFFF"/>
                <w:szCs w:val="18"/>
                <w:lang w:eastAsia="en-AU"/>
              </w:rPr>
              <w:t>2015</w:t>
            </w:r>
          </w:p>
        </w:tc>
      </w:tr>
      <w:tr w:rsidR="00F34AC3" w:rsidRPr="00E83408" w:rsidTr="00F34AC3">
        <w:trPr>
          <w:trHeight w:val="300"/>
        </w:trPr>
        <w:tc>
          <w:tcPr>
            <w:tcW w:w="2000" w:type="dxa"/>
            <w:tcBorders>
              <w:top w:val="nil"/>
              <w:left w:val="nil"/>
              <w:bottom w:val="nil"/>
              <w:right w:val="nil"/>
            </w:tcBorders>
            <w:shd w:val="clear" w:color="auto" w:fill="auto"/>
            <w:noWrap/>
            <w:vAlign w:val="center"/>
            <w:hideMark/>
          </w:tcPr>
          <w:p w:rsidR="00F34AC3" w:rsidRPr="00E83408" w:rsidRDefault="00F34AC3" w:rsidP="00F34AC3">
            <w:pPr>
              <w:rPr>
                <w:rFonts w:cs="Arial"/>
                <w:color w:val="7F7F7F"/>
                <w:szCs w:val="18"/>
                <w:lang w:eastAsia="en-AU"/>
              </w:rPr>
            </w:pPr>
            <w:r w:rsidRPr="00E83408">
              <w:rPr>
                <w:rFonts w:cs="Arial"/>
                <w:color w:val="7F7F7F"/>
                <w:szCs w:val="18"/>
                <w:lang w:eastAsia="en-AU"/>
              </w:rPr>
              <w:t>Accredited</w:t>
            </w:r>
          </w:p>
        </w:tc>
        <w:tc>
          <w:tcPr>
            <w:tcW w:w="1063" w:type="dxa"/>
            <w:tcBorders>
              <w:top w:val="nil"/>
              <w:left w:val="nil"/>
              <w:bottom w:val="nil"/>
              <w:right w:val="nil"/>
            </w:tcBorders>
            <w:shd w:val="clear" w:color="auto" w:fill="auto"/>
            <w:noWrap/>
            <w:vAlign w:val="center"/>
            <w:hideMark/>
          </w:tcPr>
          <w:p w:rsidR="00F34AC3" w:rsidRPr="00E83408" w:rsidRDefault="00F34AC3" w:rsidP="00F34AC3">
            <w:pPr>
              <w:jc w:val="right"/>
              <w:rPr>
                <w:rFonts w:cs="Arial"/>
                <w:color w:val="7F7F7F"/>
                <w:szCs w:val="18"/>
                <w:lang w:eastAsia="en-AU"/>
              </w:rPr>
            </w:pPr>
            <w:r w:rsidRPr="00E83408">
              <w:rPr>
                <w:rFonts w:cs="Arial"/>
                <w:color w:val="7F7F7F"/>
                <w:szCs w:val="18"/>
                <w:lang w:eastAsia="en-AU"/>
              </w:rPr>
              <w:t>2,066,457</w:t>
            </w:r>
          </w:p>
        </w:tc>
        <w:tc>
          <w:tcPr>
            <w:tcW w:w="1063" w:type="dxa"/>
            <w:tcBorders>
              <w:top w:val="nil"/>
              <w:left w:val="nil"/>
              <w:bottom w:val="nil"/>
              <w:right w:val="nil"/>
            </w:tcBorders>
            <w:shd w:val="clear" w:color="auto" w:fill="auto"/>
            <w:noWrap/>
            <w:vAlign w:val="center"/>
            <w:hideMark/>
          </w:tcPr>
          <w:p w:rsidR="00F34AC3" w:rsidRPr="00E83408" w:rsidRDefault="00F34AC3" w:rsidP="00F34AC3">
            <w:pPr>
              <w:jc w:val="right"/>
              <w:rPr>
                <w:rFonts w:cs="Arial"/>
                <w:color w:val="7F7F7F"/>
                <w:szCs w:val="18"/>
                <w:lang w:eastAsia="en-AU"/>
              </w:rPr>
            </w:pPr>
            <w:r w:rsidRPr="00E83408">
              <w:rPr>
                <w:rFonts w:cs="Arial"/>
                <w:color w:val="7F7F7F"/>
                <w:szCs w:val="18"/>
                <w:lang w:eastAsia="en-AU"/>
              </w:rPr>
              <w:t>2,739,706</w:t>
            </w:r>
          </w:p>
        </w:tc>
        <w:tc>
          <w:tcPr>
            <w:tcW w:w="1063" w:type="dxa"/>
            <w:tcBorders>
              <w:top w:val="nil"/>
              <w:left w:val="nil"/>
              <w:bottom w:val="nil"/>
              <w:right w:val="nil"/>
            </w:tcBorders>
            <w:shd w:val="clear" w:color="auto" w:fill="auto"/>
            <w:noWrap/>
            <w:vAlign w:val="center"/>
            <w:hideMark/>
          </w:tcPr>
          <w:p w:rsidR="00F34AC3" w:rsidRPr="00E83408" w:rsidRDefault="00F34AC3" w:rsidP="00F34AC3">
            <w:pPr>
              <w:jc w:val="right"/>
              <w:rPr>
                <w:rFonts w:cs="Arial"/>
                <w:color w:val="7F7F7F"/>
                <w:szCs w:val="18"/>
                <w:lang w:eastAsia="en-AU"/>
              </w:rPr>
            </w:pPr>
            <w:r w:rsidRPr="00E83408">
              <w:rPr>
                <w:rFonts w:cs="Arial"/>
                <w:color w:val="7F7F7F"/>
                <w:szCs w:val="18"/>
                <w:lang w:eastAsia="en-AU"/>
              </w:rPr>
              <w:t>3,725,610</w:t>
            </w:r>
          </w:p>
        </w:tc>
        <w:tc>
          <w:tcPr>
            <w:tcW w:w="1063" w:type="dxa"/>
            <w:tcBorders>
              <w:top w:val="nil"/>
              <w:left w:val="nil"/>
              <w:bottom w:val="nil"/>
              <w:right w:val="nil"/>
            </w:tcBorders>
            <w:shd w:val="clear" w:color="auto" w:fill="auto"/>
            <w:noWrap/>
            <w:vAlign w:val="center"/>
            <w:hideMark/>
          </w:tcPr>
          <w:p w:rsidR="00F34AC3" w:rsidRPr="00E83408" w:rsidRDefault="00F34AC3" w:rsidP="00F34AC3">
            <w:pPr>
              <w:jc w:val="right"/>
              <w:rPr>
                <w:rFonts w:cs="Arial"/>
                <w:color w:val="7F7F7F"/>
                <w:szCs w:val="18"/>
                <w:lang w:eastAsia="en-AU"/>
              </w:rPr>
            </w:pPr>
            <w:r w:rsidRPr="00E83408">
              <w:rPr>
                <w:rFonts w:cs="Arial"/>
                <w:color w:val="7F7F7F"/>
                <w:szCs w:val="18"/>
                <w:lang w:eastAsia="en-AU"/>
              </w:rPr>
              <w:t>3,116,332</w:t>
            </w:r>
          </w:p>
        </w:tc>
        <w:tc>
          <w:tcPr>
            <w:tcW w:w="1063" w:type="dxa"/>
            <w:tcBorders>
              <w:top w:val="nil"/>
              <w:left w:val="nil"/>
              <w:bottom w:val="nil"/>
              <w:right w:val="nil"/>
            </w:tcBorders>
            <w:shd w:val="clear" w:color="auto" w:fill="auto"/>
            <w:noWrap/>
            <w:vAlign w:val="center"/>
            <w:hideMark/>
          </w:tcPr>
          <w:p w:rsidR="00F34AC3" w:rsidRPr="00E83408" w:rsidRDefault="00F34AC3" w:rsidP="00F34AC3">
            <w:pPr>
              <w:jc w:val="right"/>
              <w:rPr>
                <w:rFonts w:cs="Arial"/>
                <w:color w:val="7F7F7F"/>
                <w:szCs w:val="18"/>
                <w:lang w:eastAsia="en-AU"/>
              </w:rPr>
            </w:pPr>
            <w:r w:rsidRPr="00E83408">
              <w:rPr>
                <w:rFonts w:cs="Arial"/>
                <w:color w:val="7F7F7F"/>
                <w:szCs w:val="18"/>
                <w:lang w:eastAsia="en-AU"/>
              </w:rPr>
              <w:t>3,148,725</w:t>
            </w:r>
          </w:p>
        </w:tc>
        <w:tc>
          <w:tcPr>
            <w:tcW w:w="1064" w:type="dxa"/>
            <w:tcBorders>
              <w:top w:val="nil"/>
              <w:left w:val="nil"/>
              <w:bottom w:val="nil"/>
              <w:right w:val="nil"/>
            </w:tcBorders>
            <w:shd w:val="clear" w:color="auto" w:fill="auto"/>
            <w:noWrap/>
            <w:vAlign w:val="center"/>
            <w:hideMark/>
          </w:tcPr>
          <w:p w:rsidR="00F34AC3" w:rsidRPr="00E83408" w:rsidRDefault="00F34AC3" w:rsidP="00F34AC3">
            <w:pPr>
              <w:jc w:val="right"/>
              <w:rPr>
                <w:rFonts w:cs="Arial"/>
                <w:color w:val="7F7F7F"/>
                <w:szCs w:val="18"/>
                <w:lang w:eastAsia="en-AU"/>
              </w:rPr>
            </w:pPr>
            <w:r w:rsidRPr="00E83408">
              <w:rPr>
                <w:rFonts w:cs="Arial"/>
                <w:color w:val="7F7F7F"/>
                <w:szCs w:val="18"/>
                <w:lang w:eastAsia="en-AU"/>
              </w:rPr>
              <w:t>2,776,379</w:t>
            </w:r>
          </w:p>
        </w:tc>
      </w:tr>
      <w:tr w:rsidR="00F34AC3" w:rsidRPr="00E83408" w:rsidTr="00F34AC3">
        <w:trPr>
          <w:trHeight w:val="300"/>
        </w:trPr>
        <w:tc>
          <w:tcPr>
            <w:tcW w:w="2000" w:type="dxa"/>
            <w:tcBorders>
              <w:top w:val="nil"/>
              <w:left w:val="nil"/>
              <w:bottom w:val="nil"/>
              <w:right w:val="nil"/>
            </w:tcBorders>
            <w:shd w:val="clear" w:color="auto" w:fill="auto"/>
            <w:noWrap/>
            <w:vAlign w:val="center"/>
            <w:hideMark/>
          </w:tcPr>
          <w:p w:rsidR="00F34AC3" w:rsidRPr="00E83408" w:rsidRDefault="00F34AC3" w:rsidP="00F34AC3">
            <w:pPr>
              <w:rPr>
                <w:rFonts w:cs="Arial"/>
                <w:color w:val="7F7F7F"/>
                <w:szCs w:val="18"/>
                <w:lang w:eastAsia="en-AU"/>
              </w:rPr>
            </w:pPr>
            <w:r w:rsidRPr="00E83408">
              <w:rPr>
                <w:rFonts w:cs="Arial"/>
                <w:color w:val="7F7F7F"/>
                <w:szCs w:val="18"/>
                <w:lang w:eastAsia="en-AU"/>
              </w:rPr>
              <w:t>Pre-accredited</w:t>
            </w:r>
          </w:p>
        </w:tc>
        <w:tc>
          <w:tcPr>
            <w:tcW w:w="1063" w:type="dxa"/>
            <w:tcBorders>
              <w:top w:val="nil"/>
              <w:left w:val="nil"/>
              <w:bottom w:val="nil"/>
              <w:right w:val="nil"/>
            </w:tcBorders>
            <w:shd w:val="clear" w:color="auto" w:fill="auto"/>
            <w:noWrap/>
            <w:vAlign w:val="center"/>
            <w:hideMark/>
          </w:tcPr>
          <w:p w:rsidR="00F34AC3" w:rsidRPr="00E83408" w:rsidRDefault="00F34AC3" w:rsidP="00F34AC3">
            <w:pPr>
              <w:jc w:val="right"/>
              <w:rPr>
                <w:rFonts w:cs="Arial"/>
                <w:color w:val="7F7F7F"/>
                <w:szCs w:val="18"/>
                <w:lang w:eastAsia="en-AU"/>
              </w:rPr>
            </w:pPr>
            <w:r w:rsidRPr="00E83408">
              <w:rPr>
                <w:rFonts w:cs="Arial"/>
                <w:color w:val="7F7F7F"/>
                <w:szCs w:val="18"/>
                <w:lang w:eastAsia="en-AU"/>
              </w:rPr>
              <w:t>8,149</w:t>
            </w:r>
          </w:p>
        </w:tc>
        <w:tc>
          <w:tcPr>
            <w:tcW w:w="1063" w:type="dxa"/>
            <w:tcBorders>
              <w:top w:val="nil"/>
              <w:left w:val="nil"/>
              <w:bottom w:val="nil"/>
              <w:right w:val="nil"/>
            </w:tcBorders>
            <w:shd w:val="clear" w:color="auto" w:fill="auto"/>
            <w:noWrap/>
            <w:vAlign w:val="center"/>
            <w:hideMark/>
          </w:tcPr>
          <w:p w:rsidR="00F34AC3" w:rsidRPr="00E83408" w:rsidRDefault="00F34AC3" w:rsidP="00F34AC3">
            <w:pPr>
              <w:jc w:val="right"/>
              <w:rPr>
                <w:rFonts w:cs="Arial"/>
                <w:color w:val="7F7F7F"/>
                <w:szCs w:val="18"/>
                <w:lang w:eastAsia="en-AU"/>
              </w:rPr>
            </w:pPr>
            <w:r w:rsidRPr="00E83408">
              <w:rPr>
                <w:rFonts w:cs="Arial"/>
                <w:color w:val="7F7F7F"/>
                <w:szCs w:val="18"/>
                <w:lang w:eastAsia="en-AU"/>
              </w:rPr>
              <w:t>11,582</w:t>
            </w:r>
          </w:p>
        </w:tc>
        <w:tc>
          <w:tcPr>
            <w:tcW w:w="1063" w:type="dxa"/>
            <w:tcBorders>
              <w:top w:val="nil"/>
              <w:left w:val="nil"/>
              <w:bottom w:val="nil"/>
              <w:right w:val="nil"/>
            </w:tcBorders>
            <w:shd w:val="clear" w:color="auto" w:fill="auto"/>
            <w:noWrap/>
            <w:vAlign w:val="center"/>
            <w:hideMark/>
          </w:tcPr>
          <w:p w:rsidR="00F34AC3" w:rsidRPr="00E83408" w:rsidRDefault="00F34AC3" w:rsidP="00F34AC3">
            <w:pPr>
              <w:jc w:val="right"/>
              <w:rPr>
                <w:rFonts w:cs="Arial"/>
                <w:color w:val="7F7F7F"/>
                <w:szCs w:val="18"/>
                <w:lang w:eastAsia="en-AU"/>
              </w:rPr>
            </w:pPr>
            <w:r w:rsidRPr="00E83408">
              <w:rPr>
                <w:rFonts w:cs="Arial"/>
                <w:color w:val="7F7F7F"/>
                <w:szCs w:val="18"/>
                <w:lang w:eastAsia="en-AU"/>
              </w:rPr>
              <w:t>14,407</w:t>
            </w:r>
          </w:p>
        </w:tc>
        <w:tc>
          <w:tcPr>
            <w:tcW w:w="1063" w:type="dxa"/>
            <w:tcBorders>
              <w:top w:val="nil"/>
              <w:left w:val="nil"/>
              <w:bottom w:val="nil"/>
              <w:right w:val="nil"/>
            </w:tcBorders>
            <w:shd w:val="clear" w:color="auto" w:fill="auto"/>
            <w:noWrap/>
            <w:vAlign w:val="center"/>
            <w:hideMark/>
          </w:tcPr>
          <w:p w:rsidR="00F34AC3" w:rsidRPr="00E83408" w:rsidRDefault="00F34AC3" w:rsidP="00F34AC3">
            <w:pPr>
              <w:jc w:val="right"/>
              <w:rPr>
                <w:rFonts w:cs="Arial"/>
                <w:color w:val="7F7F7F"/>
                <w:szCs w:val="18"/>
                <w:lang w:eastAsia="en-AU"/>
              </w:rPr>
            </w:pPr>
            <w:r w:rsidRPr="00E83408">
              <w:rPr>
                <w:rFonts w:cs="Arial"/>
                <w:color w:val="7F7F7F"/>
                <w:szCs w:val="18"/>
                <w:lang w:eastAsia="en-AU"/>
              </w:rPr>
              <w:t>17,371</w:t>
            </w:r>
          </w:p>
        </w:tc>
        <w:tc>
          <w:tcPr>
            <w:tcW w:w="1063" w:type="dxa"/>
            <w:tcBorders>
              <w:top w:val="nil"/>
              <w:left w:val="nil"/>
              <w:bottom w:val="nil"/>
              <w:right w:val="nil"/>
            </w:tcBorders>
            <w:shd w:val="clear" w:color="auto" w:fill="auto"/>
            <w:noWrap/>
            <w:vAlign w:val="center"/>
            <w:hideMark/>
          </w:tcPr>
          <w:p w:rsidR="00F34AC3" w:rsidRPr="00E83408" w:rsidRDefault="00F34AC3" w:rsidP="00F34AC3">
            <w:pPr>
              <w:jc w:val="right"/>
              <w:rPr>
                <w:rFonts w:cs="Arial"/>
                <w:color w:val="7F7F7F"/>
                <w:szCs w:val="18"/>
                <w:lang w:eastAsia="en-AU"/>
              </w:rPr>
            </w:pPr>
            <w:r w:rsidRPr="00E83408">
              <w:rPr>
                <w:rFonts w:cs="Arial"/>
                <w:color w:val="7F7F7F"/>
                <w:szCs w:val="18"/>
                <w:lang w:eastAsia="en-AU"/>
              </w:rPr>
              <w:t>17,108</w:t>
            </w:r>
          </w:p>
        </w:tc>
        <w:tc>
          <w:tcPr>
            <w:tcW w:w="1064" w:type="dxa"/>
            <w:tcBorders>
              <w:top w:val="nil"/>
              <w:left w:val="nil"/>
              <w:bottom w:val="nil"/>
              <w:right w:val="nil"/>
            </w:tcBorders>
            <w:shd w:val="clear" w:color="auto" w:fill="auto"/>
            <w:noWrap/>
            <w:vAlign w:val="center"/>
            <w:hideMark/>
          </w:tcPr>
          <w:p w:rsidR="00F34AC3" w:rsidRPr="00E83408" w:rsidRDefault="00F34AC3" w:rsidP="00F34AC3">
            <w:pPr>
              <w:jc w:val="right"/>
              <w:rPr>
                <w:rFonts w:cs="Arial"/>
                <w:color w:val="7F7F7F"/>
                <w:szCs w:val="18"/>
                <w:lang w:eastAsia="en-AU"/>
              </w:rPr>
            </w:pPr>
            <w:r w:rsidRPr="00E83408">
              <w:rPr>
                <w:rFonts w:cs="Arial"/>
                <w:color w:val="7F7F7F"/>
                <w:szCs w:val="18"/>
                <w:lang w:eastAsia="en-AU"/>
              </w:rPr>
              <w:t>16,438</w:t>
            </w:r>
          </w:p>
        </w:tc>
      </w:tr>
      <w:tr w:rsidR="00F34AC3" w:rsidRPr="00E83408" w:rsidTr="00F34AC3">
        <w:trPr>
          <w:trHeight w:val="300"/>
        </w:trPr>
        <w:tc>
          <w:tcPr>
            <w:tcW w:w="2000" w:type="dxa"/>
            <w:tcBorders>
              <w:top w:val="nil"/>
              <w:left w:val="nil"/>
              <w:bottom w:val="nil"/>
              <w:right w:val="nil"/>
            </w:tcBorders>
            <w:shd w:val="clear" w:color="000000" w:fill="7F7F7F"/>
            <w:noWrap/>
            <w:vAlign w:val="center"/>
            <w:hideMark/>
          </w:tcPr>
          <w:p w:rsidR="00F34AC3" w:rsidRPr="00E83408" w:rsidRDefault="00F34AC3" w:rsidP="00F34AC3">
            <w:pPr>
              <w:rPr>
                <w:rFonts w:cs="Arial"/>
                <w:b/>
                <w:bCs/>
                <w:color w:val="FFFFFF"/>
                <w:szCs w:val="18"/>
                <w:lang w:eastAsia="en-AU"/>
              </w:rPr>
            </w:pPr>
            <w:r w:rsidRPr="00E83408">
              <w:rPr>
                <w:rFonts w:cs="Arial"/>
                <w:b/>
                <w:bCs/>
                <w:color w:val="FFFFFF"/>
                <w:szCs w:val="18"/>
                <w:lang w:eastAsia="en-AU"/>
              </w:rPr>
              <w:t>Total</w:t>
            </w:r>
          </w:p>
        </w:tc>
        <w:tc>
          <w:tcPr>
            <w:tcW w:w="1063" w:type="dxa"/>
            <w:tcBorders>
              <w:top w:val="nil"/>
              <w:left w:val="nil"/>
              <w:bottom w:val="nil"/>
              <w:right w:val="nil"/>
            </w:tcBorders>
            <w:shd w:val="clear" w:color="000000" w:fill="7F7F7F"/>
            <w:noWrap/>
            <w:vAlign w:val="center"/>
            <w:hideMark/>
          </w:tcPr>
          <w:p w:rsidR="00F34AC3" w:rsidRPr="00E83408" w:rsidRDefault="00F34AC3" w:rsidP="00F34AC3">
            <w:pPr>
              <w:jc w:val="right"/>
              <w:rPr>
                <w:rFonts w:cs="Arial"/>
                <w:b/>
                <w:bCs/>
                <w:color w:val="FFFFFF"/>
                <w:szCs w:val="18"/>
                <w:lang w:eastAsia="en-AU"/>
              </w:rPr>
            </w:pPr>
            <w:r w:rsidRPr="00E83408">
              <w:rPr>
                <w:rFonts w:cs="Arial"/>
                <w:b/>
                <w:bCs/>
                <w:color w:val="FFFFFF"/>
                <w:szCs w:val="18"/>
                <w:lang w:eastAsia="en-AU"/>
              </w:rPr>
              <w:t>2,074,606</w:t>
            </w:r>
          </w:p>
        </w:tc>
        <w:tc>
          <w:tcPr>
            <w:tcW w:w="1063" w:type="dxa"/>
            <w:tcBorders>
              <w:top w:val="nil"/>
              <w:left w:val="nil"/>
              <w:bottom w:val="nil"/>
              <w:right w:val="nil"/>
            </w:tcBorders>
            <w:shd w:val="clear" w:color="000000" w:fill="7F7F7F"/>
            <w:noWrap/>
            <w:vAlign w:val="center"/>
            <w:hideMark/>
          </w:tcPr>
          <w:p w:rsidR="00F34AC3" w:rsidRPr="00E83408" w:rsidRDefault="00F34AC3" w:rsidP="00F34AC3">
            <w:pPr>
              <w:jc w:val="right"/>
              <w:rPr>
                <w:rFonts w:cs="Arial"/>
                <w:b/>
                <w:bCs/>
                <w:color w:val="FFFFFF"/>
                <w:szCs w:val="18"/>
                <w:lang w:eastAsia="en-AU"/>
              </w:rPr>
            </w:pPr>
            <w:r w:rsidRPr="00E83408">
              <w:rPr>
                <w:rFonts w:cs="Arial"/>
                <w:b/>
                <w:bCs/>
                <w:color w:val="FFFFFF"/>
                <w:szCs w:val="18"/>
                <w:lang w:eastAsia="en-AU"/>
              </w:rPr>
              <w:t>2,751,288</w:t>
            </w:r>
          </w:p>
        </w:tc>
        <w:tc>
          <w:tcPr>
            <w:tcW w:w="1063" w:type="dxa"/>
            <w:tcBorders>
              <w:top w:val="nil"/>
              <w:left w:val="nil"/>
              <w:bottom w:val="nil"/>
              <w:right w:val="nil"/>
            </w:tcBorders>
            <w:shd w:val="clear" w:color="000000" w:fill="7F7F7F"/>
            <w:noWrap/>
            <w:vAlign w:val="center"/>
            <w:hideMark/>
          </w:tcPr>
          <w:p w:rsidR="00F34AC3" w:rsidRPr="00E83408" w:rsidRDefault="00F34AC3" w:rsidP="00F34AC3">
            <w:pPr>
              <w:jc w:val="right"/>
              <w:rPr>
                <w:rFonts w:cs="Arial"/>
                <w:b/>
                <w:bCs/>
                <w:color w:val="FFFFFF"/>
                <w:szCs w:val="18"/>
                <w:lang w:eastAsia="en-AU"/>
              </w:rPr>
            </w:pPr>
            <w:r w:rsidRPr="00E83408">
              <w:rPr>
                <w:rFonts w:cs="Arial"/>
                <w:b/>
                <w:bCs/>
                <w:color w:val="FFFFFF"/>
                <w:szCs w:val="18"/>
                <w:lang w:eastAsia="en-AU"/>
              </w:rPr>
              <w:t>3,740,017</w:t>
            </w:r>
          </w:p>
        </w:tc>
        <w:tc>
          <w:tcPr>
            <w:tcW w:w="1063" w:type="dxa"/>
            <w:tcBorders>
              <w:top w:val="nil"/>
              <w:left w:val="nil"/>
              <w:bottom w:val="nil"/>
              <w:right w:val="nil"/>
            </w:tcBorders>
            <w:shd w:val="clear" w:color="000000" w:fill="7F7F7F"/>
            <w:noWrap/>
            <w:vAlign w:val="center"/>
            <w:hideMark/>
          </w:tcPr>
          <w:p w:rsidR="00F34AC3" w:rsidRPr="00E83408" w:rsidRDefault="00F34AC3" w:rsidP="00F34AC3">
            <w:pPr>
              <w:jc w:val="right"/>
              <w:rPr>
                <w:rFonts w:cs="Arial"/>
                <w:b/>
                <w:bCs/>
                <w:color w:val="FFFFFF"/>
                <w:szCs w:val="18"/>
                <w:lang w:eastAsia="en-AU"/>
              </w:rPr>
            </w:pPr>
            <w:r w:rsidRPr="00E83408">
              <w:rPr>
                <w:rFonts w:cs="Arial"/>
                <w:b/>
                <w:bCs/>
                <w:color w:val="FFFFFF"/>
                <w:szCs w:val="18"/>
                <w:lang w:eastAsia="en-AU"/>
              </w:rPr>
              <w:t>3,133,703</w:t>
            </w:r>
          </w:p>
        </w:tc>
        <w:tc>
          <w:tcPr>
            <w:tcW w:w="1063" w:type="dxa"/>
            <w:tcBorders>
              <w:top w:val="nil"/>
              <w:left w:val="nil"/>
              <w:bottom w:val="nil"/>
              <w:right w:val="nil"/>
            </w:tcBorders>
            <w:shd w:val="clear" w:color="000000" w:fill="7F7F7F"/>
            <w:noWrap/>
            <w:vAlign w:val="center"/>
            <w:hideMark/>
          </w:tcPr>
          <w:p w:rsidR="00F34AC3" w:rsidRPr="00E83408" w:rsidRDefault="00F34AC3" w:rsidP="00F34AC3">
            <w:pPr>
              <w:jc w:val="right"/>
              <w:rPr>
                <w:rFonts w:cs="Arial"/>
                <w:b/>
                <w:bCs/>
                <w:color w:val="FFFFFF"/>
                <w:szCs w:val="18"/>
                <w:lang w:eastAsia="en-AU"/>
              </w:rPr>
            </w:pPr>
            <w:r w:rsidRPr="00E83408">
              <w:rPr>
                <w:rFonts w:cs="Arial"/>
                <w:b/>
                <w:bCs/>
                <w:color w:val="FFFFFF"/>
                <w:szCs w:val="18"/>
                <w:lang w:eastAsia="en-AU"/>
              </w:rPr>
              <w:t>3,165,833</w:t>
            </w:r>
          </w:p>
        </w:tc>
        <w:tc>
          <w:tcPr>
            <w:tcW w:w="1064" w:type="dxa"/>
            <w:tcBorders>
              <w:top w:val="nil"/>
              <w:left w:val="nil"/>
              <w:bottom w:val="nil"/>
              <w:right w:val="nil"/>
            </w:tcBorders>
            <w:shd w:val="clear" w:color="000000" w:fill="7F7F7F"/>
            <w:noWrap/>
            <w:vAlign w:val="center"/>
            <w:hideMark/>
          </w:tcPr>
          <w:p w:rsidR="00F34AC3" w:rsidRPr="00E83408" w:rsidRDefault="00F34AC3" w:rsidP="00F34AC3">
            <w:pPr>
              <w:jc w:val="right"/>
              <w:rPr>
                <w:rFonts w:cs="Arial"/>
                <w:b/>
                <w:bCs/>
                <w:color w:val="FFFFFF"/>
                <w:szCs w:val="18"/>
                <w:lang w:eastAsia="en-AU"/>
              </w:rPr>
            </w:pPr>
            <w:r w:rsidRPr="00E83408">
              <w:rPr>
                <w:rFonts w:cs="Arial"/>
                <w:b/>
                <w:bCs/>
                <w:color w:val="FFFFFF"/>
                <w:szCs w:val="18"/>
                <w:lang w:eastAsia="en-AU"/>
              </w:rPr>
              <w:t>2,792,817</w:t>
            </w:r>
          </w:p>
        </w:tc>
      </w:tr>
    </w:tbl>
    <w:p w:rsidR="00F34AC3" w:rsidRPr="006B30C6" w:rsidRDefault="00F34AC3" w:rsidP="00F34AC3">
      <w:pPr>
        <w:rPr>
          <w:szCs w:val="18"/>
        </w:rPr>
      </w:pPr>
    </w:p>
    <w:p w:rsidR="00F34AC3" w:rsidRPr="006B30C6" w:rsidRDefault="00F34AC3" w:rsidP="00F34AC3">
      <w:pPr>
        <w:rPr>
          <w:color w:val="7F7F7F" w:themeColor="text2"/>
          <w:szCs w:val="18"/>
        </w:rPr>
      </w:pPr>
    </w:p>
    <w:tbl>
      <w:tblPr>
        <w:tblStyle w:val="TableGrid"/>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tblGrid>
      <w:tr w:rsidR="009F6B59" w:rsidTr="00FF6529">
        <w:tc>
          <w:tcPr>
            <w:tcW w:w="8364" w:type="dxa"/>
            <w:tcMar>
              <w:left w:w="0" w:type="dxa"/>
              <w:right w:w="0" w:type="dxa"/>
            </w:tcMar>
          </w:tcPr>
          <w:p w:rsidR="009F6B59" w:rsidRDefault="009F6B59" w:rsidP="00F34AC3">
            <w:pPr>
              <w:pStyle w:val="Quote"/>
              <w:tabs>
                <w:tab w:val="left" w:pos="1134"/>
              </w:tabs>
              <w:rPr>
                <w:b w:val="0"/>
                <w:color w:val="B41F22" w:themeColor="accent1"/>
              </w:rPr>
            </w:pPr>
            <w:r w:rsidRPr="00B25196">
              <w:rPr>
                <w:b w:val="0"/>
                <w:color w:val="B41F22" w:themeColor="accent1"/>
              </w:rPr>
              <w:t>Change in number of module enrolments in government subsidised accredited and pre-accredited training (half year)</w:t>
            </w:r>
          </w:p>
        </w:tc>
      </w:tr>
    </w:tbl>
    <w:tbl>
      <w:tblPr>
        <w:tblW w:w="8379" w:type="dxa"/>
        <w:tblInd w:w="93" w:type="dxa"/>
        <w:tblLayout w:type="fixed"/>
        <w:tblLook w:val="04A0" w:firstRow="1" w:lastRow="0" w:firstColumn="1" w:lastColumn="0" w:noHBand="0" w:noVBand="1"/>
      </w:tblPr>
      <w:tblGrid>
        <w:gridCol w:w="2600"/>
        <w:gridCol w:w="1155"/>
        <w:gridCol w:w="1156"/>
        <w:gridCol w:w="1156"/>
        <w:gridCol w:w="1156"/>
        <w:gridCol w:w="1156"/>
      </w:tblGrid>
      <w:tr w:rsidR="00F34AC3" w:rsidRPr="00E83408" w:rsidTr="00F34AC3">
        <w:trPr>
          <w:trHeight w:val="720"/>
        </w:trPr>
        <w:tc>
          <w:tcPr>
            <w:tcW w:w="2600" w:type="dxa"/>
            <w:tcBorders>
              <w:top w:val="nil"/>
              <w:left w:val="nil"/>
              <w:bottom w:val="nil"/>
              <w:right w:val="nil"/>
            </w:tcBorders>
            <w:shd w:val="clear" w:color="000000" w:fill="7F7F7F"/>
            <w:noWrap/>
            <w:vAlign w:val="center"/>
            <w:hideMark/>
          </w:tcPr>
          <w:p w:rsidR="00F34AC3" w:rsidRPr="00E83408" w:rsidRDefault="00F34AC3" w:rsidP="00F34AC3">
            <w:pPr>
              <w:rPr>
                <w:rFonts w:cs="Arial"/>
                <w:color w:val="FFFFFF"/>
                <w:szCs w:val="18"/>
                <w:lang w:eastAsia="en-AU"/>
              </w:rPr>
            </w:pPr>
            <w:r w:rsidRPr="00E83408">
              <w:rPr>
                <w:rFonts w:cs="Arial"/>
                <w:color w:val="FFFFFF"/>
                <w:szCs w:val="18"/>
                <w:lang w:eastAsia="en-AU"/>
              </w:rPr>
              <w:t> </w:t>
            </w:r>
          </w:p>
        </w:tc>
        <w:tc>
          <w:tcPr>
            <w:tcW w:w="1155" w:type="dxa"/>
            <w:tcBorders>
              <w:top w:val="nil"/>
              <w:left w:val="nil"/>
              <w:bottom w:val="nil"/>
              <w:right w:val="nil"/>
            </w:tcBorders>
            <w:shd w:val="clear" w:color="000000" w:fill="7F7F7F"/>
            <w:vAlign w:val="center"/>
            <w:hideMark/>
          </w:tcPr>
          <w:p w:rsidR="00F34AC3" w:rsidRPr="00E83408" w:rsidRDefault="00F34AC3" w:rsidP="00F34AC3">
            <w:pPr>
              <w:jc w:val="right"/>
              <w:rPr>
                <w:rFonts w:cs="Arial"/>
                <w:b/>
                <w:bCs/>
                <w:color w:val="FFFFFF"/>
                <w:szCs w:val="18"/>
                <w:lang w:eastAsia="en-AU"/>
              </w:rPr>
            </w:pPr>
            <w:r w:rsidRPr="00E83408">
              <w:rPr>
                <w:rFonts w:cs="Arial"/>
                <w:b/>
                <w:bCs/>
                <w:color w:val="FFFFFF"/>
                <w:szCs w:val="18"/>
                <w:lang w:eastAsia="en-AU"/>
              </w:rPr>
              <w:t>% change 2010 to 2015</w:t>
            </w:r>
          </w:p>
        </w:tc>
        <w:tc>
          <w:tcPr>
            <w:tcW w:w="1156" w:type="dxa"/>
            <w:tcBorders>
              <w:top w:val="nil"/>
              <w:left w:val="nil"/>
              <w:bottom w:val="nil"/>
              <w:right w:val="nil"/>
            </w:tcBorders>
            <w:shd w:val="clear" w:color="000000" w:fill="7F7F7F"/>
            <w:vAlign w:val="center"/>
            <w:hideMark/>
          </w:tcPr>
          <w:p w:rsidR="00F34AC3" w:rsidRPr="00E83408" w:rsidRDefault="00F34AC3" w:rsidP="00F34AC3">
            <w:pPr>
              <w:jc w:val="right"/>
              <w:rPr>
                <w:rFonts w:cs="Arial"/>
                <w:b/>
                <w:bCs/>
                <w:color w:val="FFFFFF"/>
                <w:szCs w:val="18"/>
                <w:lang w:eastAsia="en-AU"/>
              </w:rPr>
            </w:pPr>
            <w:r w:rsidRPr="00E83408">
              <w:rPr>
                <w:rFonts w:cs="Arial"/>
                <w:b/>
                <w:bCs/>
                <w:color w:val="FFFFFF"/>
                <w:szCs w:val="18"/>
                <w:lang w:eastAsia="en-AU"/>
              </w:rPr>
              <w:t>% change 2011 to 2015</w:t>
            </w:r>
          </w:p>
        </w:tc>
        <w:tc>
          <w:tcPr>
            <w:tcW w:w="1156" w:type="dxa"/>
            <w:tcBorders>
              <w:top w:val="nil"/>
              <w:left w:val="nil"/>
              <w:bottom w:val="nil"/>
              <w:right w:val="nil"/>
            </w:tcBorders>
            <w:shd w:val="clear" w:color="000000" w:fill="7F7F7F"/>
            <w:vAlign w:val="center"/>
            <w:hideMark/>
          </w:tcPr>
          <w:p w:rsidR="00F34AC3" w:rsidRPr="00E83408" w:rsidRDefault="00F34AC3" w:rsidP="00F34AC3">
            <w:pPr>
              <w:jc w:val="right"/>
              <w:rPr>
                <w:rFonts w:cs="Arial"/>
                <w:b/>
                <w:bCs/>
                <w:color w:val="FFFFFF"/>
                <w:szCs w:val="18"/>
                <w:lang w:eastAsia="en-AU"/>
              </w:rPr>
            </w:pPr>
            <w:r w:rsidRPr="00E83408">
              <w:rPr>
                <w:rFonts w:cs="Arial"/>
                <w:b/>
                <w:bCs/>
                <w:color w:val="FFFFFF"/>
                <w:szCs w:val="18"/>
                <w:lang w:eastAsia="en-AU"/>
              </w:rPr>
              <w:t>% change 2012 to 2015</w:t>
            </w:r>
          </w:p>
        </w:tc>
        <w:tc>
          <w:tcPr>
            <w:tcW w:w="1156" w:type="dxa"/>
            <w:tcBorders>
              <w:top w:val="nil"/>
              <w:left w:val="nil"/>
              <w:bottom w:val="nil"/>
              <w:right w:val="nil"/>
            </w:tcBorders>
            <w:shd w:val="clear" w:color="000000" w:fill="7F7F7F"/>
            <w:vAlign w:val="center"/>
            <w:hideMark/>
          </w:tcPr>
          <w:p w:rsidR="00F34AC3" w:rsidRPr="00E83408" w:rsidRDefault="00F34AC3" w:rsidP="00F34AC3">
            <w:pPr>
              <w:jc w:val="right"/>
              <w:rPr>
                <w:rFonts w:cs="Arial"/>
                <w:b/>
                <w:bCs/>
                <w:color w:val="FFFFFF"/>
                <w:szCs w:val="18"/>
                <w:lang w:eastAsia="en-AU"/>
              </w:rPr>
            </w:pPr>
            <w:r w:rsidRPr="00E83408">
              <w:rPr>
                <w:rFonts w:cs="Arial"/>
                <w:b/>
                <w:bCs/>
                <w:color w:val="FFFFFF"/>
                <w:szCs w:val="18"/>
                <w:lang w:eastAsia="en-AU"/>
              </w:rPr>
              <w:t>% change 2013 to 2015</w:t>
            </w:r>
          </w:p>
        </w:tc>
        <w:tc>
          <w:tcPr>
            <w:tcW w:w="1156" w:type="dxa"/>
            <w:tcBorders>
              <w:top w:val="nil"/>
              <w:left w:val="nil"/>
              <w:bottom w:val="nil"/>
              <w:right w:val="nil"/>
            </w:tcBorders>
            <w:shd w:val="clear" w:color="000000" w:fill="7F7F7F"/>
            <w:vAlign w:val="center"/>
            <w:hideMark/>
          </w:tcPr>
          <w:p w:rsidR="00F34AC3" w:rsidRPr="00E83408" w:rsidRDefault="00F34AC3" w:rsidP="00F34AC3">
            <w:pPr>
              <w:jc w:val="right"/>
              <w:rPr>
                <w:rFonts w:cs="Arial"/>
                <w:b/>
                <w:bCs/>
                <w:color w:val="FFFFFF"/>
                <w:szCs w:val="18"/>
                <w:lang w:eastAsia="en-AU"/>
              </w:rPr>
            </w:pPr>
            <w:r w:rsidRPr="00E83408">
              <w:rPr>
                <w:rFonts w:cs="Arial"/>
                <w:b/>
                <w:bCs/>
                <w:color w:val="FFFFFF"/>
                <w:szCs w:val="18"/>
                <w:lang w:eastAsia="en-AU"/>
              </w:rPr>
              <w:t>% change 2014 to 2015</w:t>
            </w:r>
          </w:p>
        </w:tc>
      </w:tr>
      <w:tr w:rsidR="00F34AC3" w:rsidRPr="00E83408" w:rsidTr="00F34AC3">
        <w:trPr>
          <w:trHeight w:val="300"/>
        </w:trPr>
        <w:tc>
          <w:tcPr>
            <w:tcW w:w="2600" w:type="dxa"/>
            <w:tcBorders>
              <w:top w:val="nil"/>
              <w:left w:val="nil"/>
              <w:bottom w:val="nil"/>
              <w:right w:val="nil"/>
            </w:tcBorders>
            <w:shd w:val="clear" w:color="auto" w:fill="auto"/>
            <w:noWrap/>
            <w:vAlign w:val="center"/>
            <w:hideMark/>
          </w:tcPr>
          <w:p w:rsidR="00F34AC3" w:rsidRPr="00E83408" w:rsidRDefault="00F34AC3" w:rsidP="00F34AC3">
            <w:pPr>
              <w:rPr>
                <w:rFonts w:cs="Arial"/>
                <w:color w:val="7F7F7F"/>
                <w:szCs w:val="18"/>
                <w:lang w:eastAsia="en-AU"/>
              </w:rPr>
            </w:pPr>
            <w:r w:rsidRPr="00E83408">
              <w:rPr>
                <w:rFonts w:cs="Arial"/>
                <w:color w:val="7F7F7F"/>
                <w:szCs w:val="18"/>
                <w:lang w:eastAsia="en-AU"/>
              </w:rPr>
              <w:t>Accredited</w:t>
            </w:r>
          </w:p>
        </w:tc>
        <w:tc>
          <w:tcPr>
            <w:tcW w:w="1155" w:type="dxa"/>
            <w:tcBorders>
              <w:top w:val="nil"/>
              <w:left w:val="nil"/>
              <w:bottom w:val="nil"/>
              <w:right w:val="nil"/>
            </w:tcBorders>
            <w:shd w:val="clear" w:color="auto" w:fill="auto"/>
            <w:noWrap/>
            <w:vAlign w:val="center"/>
            <w:hideMark/>
          </w:tcPr>
          <w:p w:rsidR="00F34AC3" w:rsidRPr="00E83408" w:rsidRDefault="00F34AC3" w:rsidP="00F34AC3">
            <w:pPr>
              <w:jc w:val="right"/>
              <w:rPr>
                <w:rFonts w:cs="Arial"/>
                <w:color w:val="7F7F7F"/>
                <w:szCs w:val="18"/>
                <w:lang w:eastAsia="en-AU"/>
              </w:rPr>
            </w:pPr>
            <w:r w:rsidRPr="00E83408">
              <w:rPr>
                <w:rFonts w:cs="Arial"/>
                <w:color w:val="7F7F7F"/>
                <w:szCs w:val="18"/>
                <w:lang w:eastAsia="en-AU"/>
              </w:rPr>
              <w:t>34%</w:t>
            </w:r>
          </w:p>
        </w:tc>
        <w:tc>
          <w:tcPr>
            <w:tcW w:w="1156" w:type="dxa"/>
            <w:tcBorders>
              <w:top w:val="nil"/>
              <w:left w:val="nil"/>
              <w:bottom w:val="nil"/>
              <w:right w:val="nil"/>
            </w:tcBorders>
            <w:shd w:val="clear" w:color="auto" w:fill="auto"/>
            <w:noWrap/>
            <w:vAlign w:val="center"/>
            <w:hideMark/>
          </w:tcPr>
          <w:p w:rsidR="00F34AC3" w:rsidRPr="00E83408" w:rsidRDefault="00F34AC3" w:rsidP="00F34AC3">
            <w:pPr>
              <w:jc w:val="right"/>
              <w:rPr>
                <w:rFonts w:cs="Arial"/>
                <w:color w:val="7F7F7F"/>
                <w:szCs w:val="18"/>
                <w:lang w:eastAsia="en-AU"/>
              </w:rPr>
            </w:pPr>
            <w:r w:rsidRPr="00E83408">
              <w:rPr>
                <w:rFonts w:cs="Arial"/>
                <w:color w:val="7F7F7F"/>
                <w:szCs w:val="18"/>
                <w:lang w:eastAsia="en-AU"/>
              </w:rPr>
              <w:t>1%</w:t>
            </w:r>
          </w:p>
        </w:tc>
        <w:tc>
          <w:tcPr>
            <w:tcW w:w="1156" w:type="dxa"/>
            <w:tcBorders>
              <w:top w:val="nil"/>
              <w:left w:val="nil"/>
              <w:bottom w:val="nil"/>
              <w:right w:val="nil"/>
            </w:tcBorders>
            <w:shd w:val="clear" w:color="auto" w:fill="auto"/>
            <w:noWrap/>
            <w:vAlign w:val="center"/>
            <w:hideMark/>
          </w:tcPr>
          <w:p w:rsidR="00F34AC3" w:rsidRPr="00E83408" w:rsidRDefault="00F34AC3" w:rsidP="00F34AC3">
            <w:pPr>
              <w:jc w:val="right"/>
              <w:rPr>
                <w:rFonts w:cs="Arial"/>
                <w:color w:val="7F7F7F"/>
                <w:szCs w:val="18"/>
                <w:lang w:eastAsia="en-AU"/>
              </w:rPr>
            </w:pPr>
            <w:r w:rsidRPr="00E83408">
              <w:rPr>
                <w:rFonts w:cs="Arial"/>
                <w:color w:val="7F7F7F"/>
                <w:szCs w:val="18"/>
                <w:lang w:eastAsia="en-AU"/>
              </w:rPr>
              <w:t>-25%</w:t>
            </w:r>
          </w:p>
        </w:tc>
        <w:tc>
          <w:tcPr>
            <w:tcW w:w="1156" w:type="dxa"/>
            <w:tcBorders>
              <w:top w:val="nil"/>
              <w:left w:val="nil"/>
              <w:bottom w:val="nil"/>
              <w:right w:val="nil"/>
            </w:tcBorders>
            <w:shd w:val="clear" w:color="auto" w:fill="auto"/>
            <w:noWrap/>
            <w:vAlign w:val="center"/>
            <w:hideMark/>
          </w:tcPr>
          <w:p w:rsidR="00F34AC3" w:rsidRPr="00E83408" w:rsidRDefault="00F34AC3" w:rsidP="00F34AC3">
            <w:pPr>
              <w:jc w:val="right"/>
              <w:rPr>
                <w:rFonts w:cs="Arial"/>
                <w:color w:val="7F7F7F"/>
                <w:szCs w:val="18"/>
                <w:lang w:eastAsia="en-AU"/>
              </w:rPr>
            </w:pPr>
            <w:r w:rsidRPr="00E83408">
              <w:rPr>
                <w:rFonts w:cs="Arial"/>
                <w:color w:val="7F7F7F"/>
                <w:szCs w:val="18"/>
                <w:lang w:eastAsia="en-AU"/>
              </w:rPr>
              <w:t>-11%</w:t>
            </w:r>
          </w:p>
        </w:tc>
        <w:tc>
          <w:tcPr>
            <w:tcW w:w="1156" w:type="dxa"/>
            <w:tcBorders>
              <w:top w:val="nil"/>
              <w:left w:val="nil"/>
              <w:bottom w:val="nil"/>
              <w:right w:val="nil"/>
            </w:tcBorders>
            <w:shd w:val="clear" w:color="auto" w:fill="auto"/>
            <w:noWrap/>
            <w:vAlign w:val="center"/>
            <w:hideMark/>
          </w:tcPr>
          <w:p w:rsidR="00F34AC3" w:rsidRPr="00E83408" w:rsidRDefault="00F34AC3" w:rsidP="00F34AC3">
            <w:pPr>
              <w:jc w:val="right"/>
              <w:rPr>
                <w:rFonts w:cs="Arial"/>
                <w:color w:val="7F7F7F"/>
                <w:szCs w:val="18"/>
                <w:lang w:eastAsia="en-AU"/>
              </w:rPr>
            </w:pPr>
            <w:r w:rsidRPr="00E83408">
              <w:rPr>
                <w:rFonts w:cs="Arial"/>
                <w:color w:val="7F7F7F"/>
                <w:szCs w:val="18"/>
                <w:lang w:eastAsia="en-AU"/>
              </w:rPr>
              <w:t>-12%</w:t>
            </w:r>
          </w:p>
        </w:tc>
      </w:tr>
      <w:tr w:rsidR="00F34AC3" w:rsidRPr="00E83408" w:rsidTr="00F34AC3">
        <w:trPr>
          <w:trHeight w:val="300"/>
        </w:trPr>
        <w:tc>
          <w:tcPr>
            <w:tcW w:w="2600" w:type="dxa"/>
            <w:tcBorders>
              <w:top w:val="nil"/>
              <w:left w:val="nil"/>
              <w:bottom w:val="nil"/>
              <w:right w:val="nil"/>
            </w:tcBorders>
            <w:shd w:val="clear" w:color="auto" w:fill="auto"/>
            <w:noWrap/>
            <w:vAlign w:val="center"/>
            <w:hideMark/>
          </w:tcPr>
          <w:p w:rsidR="00F34AC3" w:rsidRPr="00E83408" w:rsidRDefault="00F34AC3" w:rsidP="00F34AC3">
            <w:pPr>
              <w:rPr>
                <w:rFonts w:cs="Arial"/>
                <w:color w:val="7F7F7F"/>
                <w:szCs w:val="18"/>
                <w:lang w:eastAsia="en-AU"/>
              </w:rPr>
            </w:pPr>
            <w:r w:rsidRPr="00E83408">
              <w:rPr>
                <w:rFonts w:cs="Arial"/>
                <w:color w:val="7F7F7F"/>
                <w:szCs w:val="18"/>
                <w:lang w:eastAsia="en-AU"/>
              </w:rPr>
              <w:t>Pre-accredited</w:t>
            </w:r>
          </w:p>
        </w:tc>
        <w:tc>
          <w:tcPr>
            <w:tcW w:w="1155" w:type="dxa"/>
            <w:tcBorders>
              <w:top w:val="nil"/>
              <w:left w:val="nil"/>
              <w:bottom w:val="nil"/>
              <w:right w:val="nil"/>
            </w:tcBorders>
            <w:shd w:val="clear" w:color="auto" w:fill="auto"/>
            <w:noWrap/>
            <w:vAlign w:val="center"/>
            <w:hideMark/>
          </w:tcPr>
          <w:p w:rsidR="00F34AC3" w:rsidRPr="00E83408" w:rsidRDefault="00F34AC3" w:rsidP="00F34AC3">
            <w:pPr>
              <w:jc w:val="right"/>
              <w:rPr>
                <w:rFonts w:cs="Arial"/>
                <w:color w:val="7F7F7F"/>
                <w:szCs w:val="18"/>
                <w:lang w:eastAsia="en-AU"/>
              </w:rPr>
            </w:pPr>
            <w:r w:rsidRPr="00E83408">
              <w:rPr>
                <w:rFonts w:cs="Arial"/>
                <w:color w:val="7F7F7F"/>
                <w:szCs w:val="18"/>
                <w:lang w:eastAsia="en-AU"/>
              </w:rPr>
              <w:t>102%</w:t>
            </w:r>
          </w:p>
        </w:tc>
        <w:tc>
          <w:tcPr>
            <w:tcW w:w="1156" w:type="dxa"/>
            <w:tcBorders>
              <w:top w:val="nil"/>
              <w:left w:val="nil"/>
              <w:bottom w:val="nil"/>
              <w:right w:val="nil"/>
            </w:tcBorders>
            <w:shd w:val="clear" w:color="auto" w:fill="auto"/>
            <w:noWrap/>
            <w:vAlign w:val="center"/>
            <w:hideMark/>
          </w:tcPr>
          <w:p w:rsidR="00F34AC3" w:rsidRPr="00E83408" w:rsidRDefault="00F34AC3" w:rsidP="00F34AC3">
            <w:pPr>
              <w:jc w:val="right"/>
              <w:rPr>
                <w:rFonts w:cs="Arial"/>
                <w:color w:val="7F7F7F"/>
                <w:szCs w:val="18"/>
                <w:lang w:eastAsia="en-AU"/>
              </w:rPr>
            </w:pPr>
            <w:r w:rsidRPr="00E83408">
              <w:rPr>
                <w:rFonts w:cs="Arial"/>
                <w:color w:val="7F7F7F"/>
                <w:szCs w:val="18"/>
                <w:lang w:eastAsia="en-AU"/>
              </w:rPr>
              <w:t>42%</w:t>
            </w:r>
          </w:p>
        </w:tc>
        <w:tc>
          <w:tcPr>
            <w:tcW w:w="1156" w:type="dxa"/>
            <w:tcBorders>
              <w:top w:val="nil"/>
              <w:left w:val="nil"/>
              <w:bottom w:val="nil"/>
              <w:right w:val="nil"/>
            </w:tcBorders>
            <w:shd w:val="clear" w:color="auto" w:fill="auto"/>
            <w:noWrap/>
            <w:vAlign w:val="center"/>
            <w:hideMark/>
          </w:tcPr>
          <w:p w:rsidR="00F34AC3" w:rsidRPr="00E83408" w:rsidRDefault="00F34AC3" w:rsidP="00F34AC3">
            <w:pPr>
              <w:jc w:val="right"/>
              <w:rPr>
                <w:rFonts w:cs="Arial"/>
                <w:color w:val="7F7F7F"/>
                <w:szCs w:val="18"/>
                <w:lang w:eastAsia="en-AU"/>
              </w:rPr>
            </w:pPr>
            <w:r w:rsidRPr="00E83408">
              <w:rPr>
                <w:rFonts w:cs="Arial"/>
                <w:color w:val="7F7F7F"/>
                <w:szCs w:val="18"/>
                <w:lang w:eastAsia="en-AU"/>
              </w:rPr>
              <w:t>14%</w:t>
            </w:r>
          </w:p>
        </w:tc>
        <w:tc>
          <w:tcPr>
            <w:tcW w:w="1156" w:type="dxa"/>
            <w:tcBorders>
              <w:top w:val="nil"/>
              <w:left w:val="nil"/>
              <w:bottom w:val="nil"/>
              <w:right w:val="nil"/>
            </w:tcBorders>
            <w:shd w:val="clear" w:color="auto" w:fill="auto"/>
            <w:noWrap/>
            <w:vAlign w:val="center"/>
            <w:hideMark/>
          </w:tcPr>
          <w:p w:rsidR="00F34AC3" w:rsidRPr="00E83408" w:rsidRDefault="00F34AC3" w:rsidP="00F34AC3">
            <w:pPr>
              <w:jc w:val="right"/>
              <w:rPr>
                <w:rFonts w:cs="Arial"/>
                <w:color w:val="7F7F7F"/>
                <w:szCs w:val="18"/>
                <w:lang w:eastAsia="en-AU"/>
              </w:rPr>
            </w:pPr>
            <w:r w:rsidRPr="00E83408">
              <w:rPr>
                <w:rFonts w:cs="Arial"/>
                <w:color w:val="7F7F7F"/>
                <w:szCs w:val="18"/>
                <w:lang w:eastAsia="en-AU"/>
              </w:rPr>
              <w:t>-5%</w:t>
            </w:r>
          </w:p>
        </w:tc>
        <w:tc>
          <w:tcPr>
            <w:tcW w:w="1156" w:type="dxa"/>
            <w:tcBorders>
              <w:top w:val="nil"/>
              <w:left w:val="nil"/>
              <w:bottom w:val="nil"/>
              <w:right w:val="nil"/>
            </w:tcBorders>
            <w:shd w:val="clear" w:color="auto" w:fill="auto"/>
            <w:noWrap/>
            <w:vAlign w:val="center"/>
            <w:hideMark/>
          </w:tcPr>
          <w:p w:rsidR="00F34AC3" w:rsidRPr="00E83408" w:rsidRDefault="00F34AC3" w:rsidP="00F34AC3">
            <w:pPr>
              <w:jc w:val="right"/>
              <w:rPr>
                <w:rFonts w:cs="Arial"/>
                <w:color w:val="7F7F7F"/>
                <w:szCs w:val="18"/>
                <w:lang w:eastAsia="en-AU"/>
              </w:rPr>
            </w:pPr>
            <w:r w:rsidRPr="00E83408">
              <w:rPr>
                <w:rFonts w:cs="Arial"/>
                <w:color w:val="7F7F7F"/>
                <w:szCs w:val="18"/>
                <w:lang w:eastAsia="en-AU"/>
              </w:rPr>
              <w:t>-4%</w:t>
            </w:r>
          </w:p>
        </w:tc>
      </w:tr>
      <w:tr w:rsidR="00F34AC3" w:rsidRPr="00E83408" w:rsidTr="00F34AC3">
        <w:trPr>
          <w:trHeight w:val="300"/>
        </w:trPr>
        <w:tc>
          <w:tcPr>
            <w:tcW w:w="2600" w:type="dxa"/>
            <w:tcBorders>
              <w:top w:val="nil"/>
              <w:left w:val="nil"/>
              <w:bottom w:val="nil"/>
              <w:right w:val="nil"/>
            </w:tcBorders>
            <w:shd w:val="clear" w:color="000000" w:fill="7F7F7F"/>
            <w:noWrap/>
            <w:vAlign w:val="center"/>
            <w:hideMark/>
          </w:tcPr>
          <w:p w:rsidR="00F34AC3" w:rsidRPr="00E83408" w:rsidRDefault="00F34AC3" w:rsidP="00F34AC3">
            <w:pPr>
              <w:rPr>
                <w:rFonts w:cs="Arial"/>
                <w:b/>
                <w:bCs/>
                <w:color w:val="FFFFFF"/>
                <w:szCs w:val="18"/>
                <w:lang w:eastAsia="en-AU"/>
              </w:rPr>
            </w:pPr>
            <w:r w:rsidRPr="00E83408">
              <w:rPr>
                <w:rFonts w:cs="Arial"/>
                <w:b/>
                <w:bCs/>
                <w:color w:val="FFFFFF"/>
                <w:szCs w:val="18"/>
                <w:lang w:eastAsia="en-AU"/>
              </w:rPr>
              <w:t>Total</w:t>
            </w:r>
          </w:p>
        </w:tc>
        <w:tc>
          <w:tcPr>
            <w:tcW w:w="1155" w:type="dxa"/>
            <w:tcBorders>
              <w:top w:val="nil"/>
              <w:left w:val="nil"/>
              <w:bottom w:val="nil"/>
              <w:right w:val="nil"/>
            </w:tcBorders>
            <w:shd w:val="clear" w:color="000000" w:fill="7F7F7F"/>
            <w:noWrap/>
            <w:vAlign w:val="center"/>
            <w:hideMark/>
          </w:tcPr>
          <w:p w:rsidR="00F34AC3" w:rsidRPr="00E83408" w:rsidRDefault="00F34AC3" w:rsidP="00F34AC3">
            <w:pPr>
              <w:jc w:val="right"/>
              <w:rPr>
                <w:rFonts w:cs="Arial"/>
                <w:b/>
                <w:bCs/>
                <w:color w:val="FFFFFF"/>
                <w:szCs w:val="18"/>
                <w:lang w:eastAsia="en-AU"/>
              </w:rPr>
            </w:pPr>
            <w:r w:rsidRPr="00E83408">
              <w:rPr>
                <w:rFonts w:cs="Arial"/>
                <w:b/>
                <w:bCs/>
                <w:color w:val="FFFFFF"/>
                <w:szCs w:val="18"/>
                <w:lang w:eastAsia="en-AU"/>
              </w:rPr>
              <w:t>35%</w:t>
            </w:r>
          </w:p>
        </w:tc>
        <w:tc>
          <w:tcPr>
            <w:tcW w:w="1156" w:type="dxa"/>
            <w:tcBorders>
              <w:top w:val="nil"/>
              <w:left w:val="nil"/>
              <w:bottom w:val="nil"/>
              <w:right w:val="nil"/>
            </w:tcBorders>
            <w:shd w:val="clear" w:color="000000" w:fill="7F7F7F"/>
            <w:noWrap/>
            <w:vAlign w:val="center"/>
            <w:hideMark/>
          </w:tcPr>
          <w:p w:rsidR="00F34AC3" w:rsidRPr="00E83408" w:rsidRDefault="00F34AC3" w:rsidP="00F34AC3">
            <w:pPr>
              <w:jc w:val="right"/>
              <w:rPr>
                <w:rFonts w:cs="Arial"/>
                <w:b/>
                <w:bCs/>
                <w:color w:val="FFFFFF"/>
                <w:szCs w:val="18"/>
                <w:lang w:eastAsia="en-AU"/>
              </w:rPr>
            </w:pPr>
            <w:r w:rsidRPr="00E83408">
              <w:rPr>
                <w:rFonts w:cs="Arial"/>
                <w:b/>
                <w:bCs/>
                <w:color w:val="FFFFFF"/>
                <w:szCs w:val="18"/>
                <w:lang w:eastAsia="en-AU"/>
              </w:rPr>
              <w:t>2%</w:t>
            </w:r>
          </w:p>
        </w:tc>
        <w:tc>
          <w:tcPr>
            <w:tcW w:w="1156" w:type="dxa"/>
            <w:tcBorders>
              <w:top w:val="nil"/>
              <w:left w:val="nil"/>
              <w:bottom w:val="nil"/>
              <w:right w:val="nil"/>
            </w:tcBorders>
            <w:shd w:val="clear" w:color="000000" w:fill="7F7F7F"/>
            <w:noWrap/>
            <w:vAlign w:val="center"/>
            <w:hideMark/>
          </w:tcPr>
          <w:p w:rsidR="00F34AC3" w:rsidRPr="00E83408" w:rsidRDefault="00F34AC3" w:rsidP="00F34AC3">
            <w:pPr>
              <w:jc w:val="right"/>
              <w:rPr>
                <w:rFonts w:cs="Arial"/>
                <w:b/>
                <w:bCs/>
                <w:color w:val="FFFFFF"/>
                <w:szCs w:val="18"/>
                <w:lang w:eastAsia="en-AU"/>
              </w:rPr>
            </w:pPr>
            <w:r w:rsidRPr="00E83408">
              <w:rPr>
                <w:rFonts w:cs="Arial"/>
                <w:b/>
                <w:bCs/>
                <w:color w:val="FFFFFF"/>
                <w:szCs w:val="18"/>
                <w:lang w:eastAsia="en-AU"/>
              </w:rPr>
              <w:t>-25%</w:t>
            </w:r>
          </w:p>
        </w:tc>
        <w:tc>
          <w:tcPr>
            <w:tcW w:w="1156" w:type="dxa"/>
            <w:tcBorders>
              <w:top w:val="nil"/>
              <w:left w:val="nil"/>
              <w:bottom w:val="nil"/>
              <w:right w:val="nil"/>
            </w:tcBorders>
            <w:shd w:val="clear" w:color="000000" w:fill="7F7F7F"/>
            <w:noWrap/>
            <w:vAlign w:val="center"/>
            <w:hideMark/>
          </w:tcPr>
          <w:p w:rsidR="00F34AC3" w:rsidRPr="00E83408" w:rsidRDefault="00F34AC3" w:rsidP="00F34AC3">
            <w:pPr>
              <w:jc w:val="right"/>
              <w:rPr>
                <w:rFonts w:cs="Arial"/>
                <w:b/>
                <w:bCs/>
                <w:color w:val="FFFFFF"/>
                <w:szCs w:val="18"/>
                <w:lang w:eastAsia="en-AU"/>
              </w:rPr>
            </w:pPr>
            <w:r w:rsidRPr="00E83408">
              <w:rPr>
                <w:rFonts w:cs="Arial"/>
                <w:b/>
                <w:bCs/>
                <w:color w:val="FFFFFF"/>
                <w:szCs w:val="18"/>
                <w:lang w:eastAsia="en-AU"/>
              </w:rPr>
              <w:t>-11%</w:t>
            </w:r>
          </w:p>
        </w:tc>
        <w:tc>
          <w:tcPr>
            <w:tcW w:w="1156" w:type="dxa"/>
            <w:tcBorders>
              <w:top w:val="nil"/>
              <w:left w:val="nil"/>
              <w:bottom w:val="nil"/>
              <w:right w:val="nil"/>
            </w:tcBorders>
            <w:shd w:val="clear" w:color="000000" w:fill="7F7F7F"/>
            <w:noWrap/>
            <w:vAlign w:val="center"/>
            <w:hideMark/>
          </w:tcPr>
          <w:p w:rsidR="00F34AC3" w:rsidRPr="00E83408" w:rsidRDefault="00F34AC3" w:rsidP="00F34AC3">
            <w:pPr>
              <w:jc w:val="right"/>
              <w:rPr>
                <w:rFonts w:cs="Arial"/>
                <w:b/>
                <w:bCs/>
                <w:color w:val="FFFFFF"/>
                <w:szCs w:val="18"/>
                <w:lang w:eastAsia="en-AU"/>
              </w:rPr>
            </w:pPr>
            <w:r w:rsidRPr="00E83408">
              <w:rPr>
                <w:rFonts w:cs="Arial"/>
                <w:b/>
                <w:bCs/>
                <w:color w:val="FFFFFF"/>
                <w:szCs w:val="18"/>
                <w:lang w:eastAsia="en-AU"/>
              </w:rPr>
              <w:t>-12%</w:t>
            </w:r>
          </w:p>
        </w:tc>
      </w:tr>
    </w:tbl>
    <w:p w:rsidR="00F34AC3" w:rsidRPr="0021141C" w:rsidRDefault="00F34AC3" w:rsidP="00095538">
      <w:pPr>
        <w:spacing w:after="120"/>
        <w:rPr>
          <w:color w:val="7F7F7F" w:themeColor="text2"/>
        </w:rPr>
      </w:pPr>
    </w:p>
    <w:p w:rsidR="008F2DD8" w:rsidRDefault="008F2DD8" w:rsidP="00095538">
      <w:pPr>
        <w:pStyle w:val="Heading3"/>
        <w:spacing w:before="120" w:after="120"/>
        <w:rPr>
          <w:color w:val="7F7F7F" w:themeColor="text2"/>
        </w:rPr>
      </w:pPr>
      <w:r>
        <w:rPr>
          <w:color w:val="7F7F7F" w:themeColor="text2"/>
        </w:rPr>
        <w:br w:type="page"/>
      </w:r>
    </w:p>
    <w:p w:rsidR="00762CC7" w:rsidRPr="00DE7971" w:rsidRDefault="00762CC7" w:rsidP="00095538">
      <w:pPr>
        <w:pStyle w:val="Heading3"/>
        <w:spacing w:before="120" w:after="120"/>
        <w:rPr>
          <w:color w:val="7F7F7F" w:themeColor="text2"/>
        </w:rPr>
      </w:pPr>
      <w:r w:rsidRPr="00DE7971">
        <w:rPr>
          <w:color w:val="7F7F7F" w:themeColor="text2"/>
        </w:rPr>
        <w:lastRenderedPageBreak/>
        <w:t>Special caveats and notes</w:t>
      </w:r>
    </w:p>
    <w:p w:rsidR="009A3889" w:rsidRDefault="0063272E" w:rsidP="00095538">
      <w:pPr>
        <w:pStyle w:val="ListParagraph"/>
        <w:numPr>
          <w:ilvl w:val="0"/>
          <w:numId w:val="21"/>
        </w:numPr>
        <w:spacing w:after="120"/>
        <w:ind w:left="714" w:hanging="357"/>
        <w:contextualSpacing w:val="0"/>
        <w:rPr>
          <w:color w:val="7F7F7F" w:themeColor="text2"/>
        </w:rPr>
      </w:pPr>
      <w:r w:rsidRPr="0063272E">
        <w:rPr>
          <w:color w:val="7F7F7F" w:themeColor="text2"/>
        </w:rPr>
        <w:t>From 2014, al</w:t>
      </w:r>
      <w:r w:rsidR="00BA6635">
        <w:rPr>
          <w:color w:val="7F7F7F" w:themeColor="text2"/>
        </w:rPr>
        <w:t xml:space="preserve">l RTOs must collect and report </w:t>
      </w:r>
      <w:r w:rsidRPr="0063272E">
        <w:rPr>
          <w:color w:val="7F7F7F" w:themeColor="text2"/>
        </w:rPr>
        <w:t xml:space="preserve">Total VET Activity </w:t>
      </w:r>
      <w:r w:rsidR="00BA6635">
        <w:rPr>
          <w:color w:val="7F7F7F" w:themeColor="text2"/>
        </w:rPr>
        <w:t xml:space="preserve">(TVA) </w:t>
      </w:r>
      <w:r w:rsidRPr="0063272E">
        <w:rPr>
          <w:color w:val="7F7F7F" w:themeColor="text2"/>
        </w:rPr>
        <w:t>data. This includes full Australian Vocational Education and Training Management Information Statistical Standard (AVETMISS) data, in accordance with the National VET Provider Collection Data Requirements Policy.</w:t>
      </w:r>
    </w:p>
    <w:p w:rsidR="0097544A" w:rsidRPr="009A3889" w:rsidRDefault="0084117E" w:rsidP="009A3889">
      <w:pPr>
        <w:spacing w:after="120"/>
        <w:ind w:left="709"/>
        <w:rPr>
          <w:color w:val="7F7F7F" w:themeColor="text2"/>
        </w:rPr>
      </w:pPr>
      <w:r>
        <w:rPr>
          <w:color w:val="7F7F7F" w:themeColor="text2"/>
        </w:rPr>
        <w:t>Whilst some p</w:t>
      </w:r>
      <w:r w:rsidR="00646D11" w:rsidRPr="009A3889">
        <w:rPr>
          <w:color w:val="7F7F7F" w:themeColor="text2"/>
        </w:rPr>
        <w:t xml:space="preserve">rivate </w:t>
      </w:r>
      <w:r w:rsidR="00443748" w:rsidRPr="009A3889">
        <w:rPr>
          <w:color w:val="7F7F7F" w:themeColor="text2"/>
        </w:rPr>
        <w:t>Registered Training Organisations (</w:t>
      </w:r>
      <w:r w:rsidR="00646D11" w:rsidRPr="009A3889">
        <w:rPr>
          <w:color w:val="7F7F7F" w:themeColor="text2"/>
        </w:rPr>
        <w:t>RTOs</w:t>
      </w:r>
      <w:r w:rsidR="00443748" w:rsidRPr="009A3889">
        <w:rPr>
          <w:color w:val="7F7F7F" w:themeColor="text2"/>
        </w:rPr>
        <w:t>)</w:t>
      </w:r>
      <w:r w:rsidR="00646D11" w:rsidRPr="009A3889">
        <w:rPr>
          <w:color w:val="7F7F7F" w:themeColor="text2"/>
        </w:rPr>
        <w:t xml:space="preserve"> and Learn Local providers </w:t>
      </w:r>
      <w:r w:rsidR="00BA6635">
        <w:rPr>
          <w:color w:val="7F7F7F" w:themeColor="text2"/>
        </w:rPr>
        <w:t xml:space="preserve">may </w:t>
      </w:r>
      <w:r w:rsidR="0063272E" w:rsidRPr="009A3889">
        <w:rPr>
          <w:color w:val="7F7F7F" w:themeColor="text2"/>
        </w:rPr>
        <w:t xml:space="preserve">have </w:t>
      </w:r>
      <w:r w:rsidR="00646D11" w:rsidRPr="009A3889">
        <w:rPr>
          <w:color w:val="7F7F7F" w:themeColor="text2"/>
        </w:rPr>
        <w:t>submitted fee-for-service d</w:t>
      </w:r>
      <w:r>
        <w:rPr>
          <w:color w:val="7F7F7F" w:themeColor="text2"/>
        </w:rPr>
        <w:t>ata in the past, from 2014 all p</w:t>
      </w:r>
      <w:r w:rsidR="00646D11" w:rsidRPr="009A3889">
        <w:rPr>
          <w:color w:val="7F7F7F" w:themeColor="text2"/>
        </w:rPr>
        <w:t xml:space="preserve">rivate RTOs and Learn Local providers were required to submit this data. Hence, fee-for-service data for these providers </w:t>
      </w:r>
      <w:proofErr w:type="gramStart"/>
      <w:r w:rsidR="00646D11" w:rsidRPr="009A3889">
        <w:rPr>
          <w:color w:val="7F7F7F" w:themeColor="text2"/>
        </w:rPr>
        <w:t>are only shown</w:t>
      </w:r>
      <w:proofErr w:type="gramEnd"/>
      <w:r w:rsidR="00646D11" w:rsidRPr="009A3889">
        <w:rPr>
          <w:color w:val="7F7F7F" w:themeColor="text2"/>
        </w:rPr>
        <w:t xml:space="preserve"> from 2014.</w:t>
      </w:r>
    </w:p>
    <w:p w:rsidR="00BA5769" w:rsidRPr="001F4B45" w:rsidRDefault="00BA5769" w:rsidP="00BA5769">
      <w:pPr>
        <w:pStyle w:val="ListParagraph"/>
        <w:numPr>
          <w:ilvl w:val="0"/>
          <w:numId w:val="21"/>
        </w:numPr>
        <w:spacing w:after="120"/>
        <w:rPr>
          <w:color w:val="7F7F7F" w:themeColor="text2"/>
        </w:rPr>
      </w:pPr>
      <w:r w:rsidRPr="001F4B45">
        <w:rPr>
          <w:color w:val="7F7F7F" w:themeColor="text2"/>
        </w:rPr>
        <w:t xml:space="preserve">Following the review of the ‘Victoria’s Funded Courses Report’ by the Department in 2014, it was identified that </w:t>
      </w:r>
      <w:r w:rsidR="00E359A7">
        <w:rPr>
          <w:color w:val="7F7F7F" w:themeColor="text2"/>
        </w:rPr>
        <w:t>some</w:t>
      </w:r>
      <w:r w:rsidRPr="001F4B45">
        <w:rPr>
          <w:color w:val="7F7F7F" w:themeColor="text2"/>
        </w:rPr>
        <w:t xml:space="preserve"> RTOs </w:t>
      </w:r>
      <w:r w:rsidR="007C3FB2">
        <w:rPr>
          <w:color w:val="7F7F7F" w:themeColor="text2"/>
        </w:rPr>
        <w:t>have</w:t>
      </w:r>
      <w:r w:rsidRPr="001F4B45">
        <w:rPr>
          <w:color w:val="7F7F7F" w:themeColor="text2"/>
        </w:rPr>
        <w:t xml:space="preserve"> enrol</w:t>
      </w:r>
      <w:r w:rsidR="007C3FB2">
        <w:rPr>
          <w:color w:val="7F7F7F" w:themeColor="text2"/>
        </w:rPr>
        <w:t>led</w:t>
      </w:r>
      <w:r w:rsidRPr="001F4B45">
        <w:rPr>
          <w:color w:val="7F7F7F" w:themeColor="text2"/>
        </w:rPr>
        <w:t xml:space="preserve"> students in qualifications that had been superseded. </w:t>
      </w:r>
      <w:r w:rsidR="001F4B45" w:rsidRPr="001F4B45">
        <w:rPr>
          <w:color w:val="7F7F7F" w:themeColor="text2"/>
        </w:rPr>
        <w:t xml:space="preserve">In response, the Department </w:t>
      </w:r>
      <w:r w:rsidRPr="001F4B45">
        <w:rPr>
          <w:color w:val="7F7F7F" w:themeColor="text2"/>
        </w:rPr>
        <w:t xml:space="preserve">strengthened </w:t>
      </w:r>
      <w:r w:rsidR="001F4B45" w:rsidRPr="001F4B45">
        <w:rPr>
          <w:color w:val="7F7F7F" w:themeColor="text2"/>
        </w:rPr>
        <w:t xml:space="preserve">the </w:t>
      </w:r>
      <w:r w:rsidRPr="001F4B45">
        <w:rPr>
          <w:color w:val="7F7F7F" w:themeColor="text2"/>
        </w:rPr>
        <w:t>teach-out and transition requirements specified in the 2015 Standards for RTOs</w:t>
      </w:r>
      <w:r w:rsidR="001F4B45" w:rsidRPr="001F4B45">
        <w:rPr>
          <w:color w:val="7F7F7F" w:themeColor="text2"/>
        </w:rPr>
        <w:t xml:space="preserve"> and notified all RTOs that </w:t>
      </w:r>
      <w:proofErr w:type="gramStart"/>
      <w:r w:rsidR="001F4B45" w:rsidRPr="001F4B45">
        <w:rPr>
          <w:color w:val="7F7F7F" w:themeColor="text2"/>
        </w:rPr>
        <w:t xml:space="preserve">these </w:t>
      </w:r>
      <w:r w:rsidRPr="001F4B45">
        <w:rPr>
          <w:color w:val="7F7F7F" w:themeColor="text2"/>
        </w:rPr>
        <w:t>requirements would be applied by the Department for funding purposes</w:t>
      </w:r>
      <w:proofErr w:type="gramEnd"/>
      <w:r w:rsidR="001F4B45" w:rsidRPr="001F4B45">
        <w:rPr>
          <w:color w:val="7F7F7F" w:themeColor="text2"/>
        </w:rPr>
        <w:t xml:space="preserve">. The Victorian VET Student Statistical Collection Guidelines </w:t>
      </w:r>
      <w:proofErr w:type="gramStart"/>
      <w:r w:rsidR="001F4B45" w:rsidRPr="001F4B45">
        <w:rPr>
          <w:color w:val="7F7F7F" w:themeColor="text2"/>
        </w:rPr>
        <w:t>have been updated</w:t>
      </w:r>
      <w:proofErr w:type="gramEnd"/>
      <w:r w:rsidR="001F4B45" w:rsidRPr="001F4B45">
        <w:rPr>
          <w:color w:val="7F7F7F" w:themeColor="text2"/>
        </w:rPr>
        <w:t xml:space="preserve"> accordingly and will take effect from 2016.</w:t>
      </w:r>
      <w:r w:rsidR="001F4B45">
        <w:rPr>
          <w:color w:val="7F7F7F" w:themeColor="text2"/>
        </w:rPr>
        <w:t xml:space="preserve"> </w:t>
      </w:r>
      <w:r w:rsidR="001F4B45" w:rsidRPr="001F4B45">
        <w:rPr>
          <w:color w:val="7F7F7F" w:themeColor="text2"/>
        </w:rPr>
        <w:t>Th</w:t>
      </w:r>
      <w:r w:rsidR="00B43CFB">
        <w:rPr>
          <w:color w:val="7F7F7F" w:themeColor="text2"/>
        </w:rPr>
        <w:t xml:space="preserve">e changes </w:t>
      </w:r>
      <w:r w:rsidR="001F4B45" w:rsidRPr="001F4B45">
        <w:rPr>
          <w:color w:val="7F7F7F" w:themeColor="text2"/>
        </w:rPr>
        <w:t>w</w:t>
      </w:r>
      <w:r w:rsidR="001F4B45">
        <w:rPr>
          <w:color w:val="7F7F7F" w:themeColor="text2"/>
        </w:rPr>
        <w:t>ill</w:t>
      </w:r>
      <w:r w:rsidR="001F4B45" w:rsidRPr="001F4B45">
        <w:rPr>
          <w:color w:val="7F7F7F" w:themeColor="text2"/>
        </w:rPr>
        <w:t xml:space="preserve"> </w:t>
      </w:r>
      <w:r w:rsidRPr="001F4B45">
        <w:rPr>
          <w:color w:val="7F7F7F" w:themeColor="text2"/>
        </w:rPr>
        <w:t xml:space="preserve">ensure students </w:t>
      </w:r>
      <w:r w:rsidR="001F4B45">
        <w:rPr>
          <w:color w:val="7F7F7F" w:themeColor="text2"/>
        </w:rPr>
        <w:t>are</w:t>
      </w:r>
      <w:r w:rsidRPr="001F4B45">
        <w:rPr>
          <w:color w:val="7F7F7F" w:themeColor="text2"/>
        </w:rPr>
        <w:t xml:space="preserve"> undertaking the most up-to-date and relevant training</w:t>
      </w:r>
      <w:r w:rsidR="001F4B45">
        <w:rPr>
          <w:color w:val="7F7F7F" w:themeColor="text2"/>
        </w:rPr>
        <w:t xml:space="preserve"> and will allow </w:t>
      </w:r>
      <w:r w:rsidR="00B43CFB">
        <w:rPr>
          <w:color w:val="7F7F7F" w:themeColor="text2"/>
        </w:rPr>
        <w:t>superseded qualifications to be accurately captured and reported</w:t>
      </w:r>
      <w:r w:rsidRPr="001F4B45">
        <w:rPr>
          <w:color w:val="7F7F7F" w:themeColor="text2"/>
        </w:rPr>
        <w:t>.</w:t>
      </w:r>
    </w:p>
    <w:p w:rsidR="00BA5769" w:rsidRPr="00BA5769" w:rsidRDefault="00BA5769" w:rsidP="00BA5769">
      <w:pPr>
        <w:spacing w:after="120"/>
        <w:ind w:left="709"/>
        <w:rPr>
          <w:color w:val="7F7F7F" w:themeColor="text2"/>
        </w:rPr>
      </w:pPr>
      <w:r w:rsidRPr="00BA5769">
        <w:rPr>
          <w:color w:val="7F7F7F" w:themeColor="text2"/>
        </w:rPr>
        <w:t xml:space="preserve">It was estimated that for the first half of 2015, less than 1 per cent of government subsidised course enrolments were duplicate records as a result of superseded qualifications, </w:t>
      </w:r>
      <w:r w:rsidR="00E359A7">
        <w:rPr>
          <w:color w:val="7F7F7F" w:themeColor="text2"/>
        </w:rPr>
        <w:t>with</w:t>
      </w:r>
      <w:r w:rsidRPr="00BA5769">
        <w:rPr>
          <w:color w:val="7F7F7F" w:themeColor="text2"/>
        </w:rPr>
        <w:t xml:space="preserve"> more than 50% of these duplicate enrolments in apprenticeship qualifications.</w:t>
      </w:r>
      <w:r w:rsidR="00E359A7">
        <w:rPr>
          <w:color w:val="7F7F7F" w:themeColor="text2"/>
        </w:rPr>
        <w:t xml:space="preserve"> Due to this, information on new course commencements </w:t>
      </w:r>
      <w:proofErr w:type="gramStart"/>
      <w:r w:rsidR="00E359A7">
        <w:rPr>
          <w:color w:val="7F7F7F" w:themeColor="text2"/>
        </w:rPr>
        <w:t>has</w:t>
      </w:r>
      <w:r w:rsidR="007C3FB2">
        <w:rPr>
          <w:color w:val="7F7F7F" w:themeColor="text2"/>
        </w:rPr>
        <w:t xml:space="preserve"> been excluded</w:t>
      </w:r>
      <w:proofErr w:type="gramEnd"/>
      <w:r w:rsidR="007C3FB2">
        <w:rPr>
          <w:color w:val="7F7F7F" w:themeColor="text2"/>
        </w:rPr>
        <w:t xml:space="preserve"> from this report, but </w:t>
      </w:r>
      <w:r w:rsidR="00E359A7">
        <w:rPr>
          <w:color w:val="7F7F7F" w:themeColor="text2"/>
        </w:rPr>
        <w:t xml:space="preserve">will be included in the full year report following system changes that will more </w:t>
      </w:r>
      <w:r w:rsidR="00FE2A2A">
        <w:rPr>
          <w:color w:val="7F7F7F" w:themeColor="text2"/>
        </w:rPr>
        <w:t xml:space="preserve">accurately </w:t>
      </w:r>
      <w:r w:rsidR="00E359A7">
        <w:rPr>
          <w:color w:val="7F7F7F" w:themeColor="text2"/>
        </w:rPr>
        <w:t>account for superseded courses.</w:t>
      </w:r>
    </w:p>
    <w:p w:rsidR="0023377C" w:rsidRPr="0021141C" w:rsidRDefault="00C17726" w:rsidP="00095538">
      <w:pPr>
        <w:pStyle w:val="ListParagraph"/>
        <w:numPr>
          <w:ilvl w:val="0"/>
          <w:numId w:val="21"/>
        </w:numPr>
        <w:spacing w:after="120"/>
        <w:ind w:left="714" w:hanging="357"/>
        <w:contextualSpacing w:val="0"/>
        <w:rPr>
          <w:color w:val="7F7F7F" w:themeColor="text2"/>
        </w:rPr>
      </w:pPr>
      <w:r>
        <w:rPr>
          <w:color w:val="7F7F7F" w:themeColor="text2"/>
        </w:rPr>
        <w:t xml:space="preserve">In </w:t>
      </w:r>
      <w:proofErr w:type="gramStart"/>
      <w:r>
        <w:rPr>
          <w:color w:val="7F7F7F" w:themeColor="text2"/>
        </w:rPr>
        <w:t>2015</w:t>
      </w:r>
      <w:proofErr w:type="gramEnd"/>
      <w:r>
        <w:rPr>
          <w:color w:val="7F7F7F" w:themeColor="text2"/>
        </w:rPr>
        <w:t xml:space="preserve"> some minor issues were identified in data coded on the student’s prior education levels. Changes to the VET data system are currently in progress to correct these issues. The changes </w:t>
      </w:r>
      <w:proofErr w:type="gramStart"/>
      <w:r>
        <w:rPr>
          <w:color w:val="7F7F7F" w:themeColor="text2"/>
        </w:rPr>
        <w:t>will be reflected</w:t>
      </w:r>
      <w:proofErr w:type="gramEnd"/>
      <w:r>
        <w:rPr>
          <w:color w:val="7F7F7F" w:themeColor="text2"/>
        </w:rPr>
        <w:t xml:space="preserve"> in the final end-of-year report.</w:t>
      </w:r>
    </w:p>
    <w:p w:rsidR="00C01798" w:rsidRPr="0021141C" w:rsidRDefault="00B64BB5" w:rsidP="00FC03EB">
      <w:pPr>
        <w:pStyle w:val="ListParagraph"/>
        <w:numPr>
          <w:ilvl w:val="0"/>
          <w:numId w:val="21"/>
        </w:numPr>
        <w:spacing w:after="120"/>
        <w:contextualSpacing w:val="0"/>
        <w:rPr>
          <w:color w:val="7F7F7F" w:themeColor="text2"/>
        </w:rPr>
      </w:pPr>
      <w:r>
        <w:rPr>
          <w:color w:val="7F7F7F" w:themeColor="text2"/>
        </w:rPr>
        <w:t>I</w:t>
      </w:r>
      <w:r w:rsidR="00FC03EB" w:rsidRPr="0021141C">
        <w:rPr>
          <w:color w:val="7F7F7F" w:themeColor="text2"/>
        </w:rPr>
        <w:t xml:space="preserve">mproved measurement </w:t>
      </w:r>
      <w:proofErr w:type="gramStart"/>
      <w:r w:rsidR="00FC03EB" w:rsidRPr="0021141C">
        <w:rPr>
          <w:color w:val="7F7F7F" w:themeColor="text2"/>
        </w:rPr>
        <w:t>has been applied</w:t>
      </w:r>
      <w:proofErr w:type="gramEnd"/>
      <w:r w:rsidR="00FC03EB" w:rsidRPr="0021141C">
        <w:rPr>
          <w:color w:val="7F7F7F" w:themeColor="text2"/>
        </w:rPr>
        <w:t xml:space="preserve"> to the levels of pre-accredited enrolment activity, through two improvements to the counting rules. The first is the introduction of measurement of pre-accredited activity as ‘module’ enrolments, rather than course enrolments. In pre-accredited vocational training, a module, not a course, is the unit of activity. The second has strengthened the accuracy of pre-accredited data through applying a program filter, </w:t>
      </w:r>
      <w:r w:rsidR="00C17726">
        <w:rPr>
          <w:color w:val="7F7F7F" w:themeColor="text2"/>
        </w:rPr>
        <w:t>‘</w:t>
      </w:r>
      <w:r w:rsidR="00FC03EB" w:rsidRPr="0021141C">
        <w:rPr>
          <w:color w:val="7F7F7F" w:themeColor="text2"/>
        </w:rPr>
        <w:t>ACE Funded</w:t>
      </w:r>
      <w:r w:rsidR="00C17726">
        <w:rPr>
          <w:color w:val="7F7F7F" w:themeColor="text2"/>
        </w:rPr>
        <w:t>’</w:t>
      </w:r>
      <w:r w:rsidR="00FC03EB" w:rsidRPr="0021141C">
        <w:rPr>
          <w:color w:val="7F7F7F" w:themeColor="text2"/>
        </w:rPr>
        <w:t>.</w:t>
      </w:r>
    </w:p>
    <w:p w:rsidR="00CD5BF9" w:rsidRPr="0021141C" w:rsidRDefault="00CD5BF9" w:rsidP="00095538">
      <w:pPr>
        <w:pStyle w:val="ListParagraph"/>
        <w:numPr>
          <w:ilvl w:val="0"/>
          <w:numId w:val="21"/>
        </w:numPr>
        <w:spacing w:after="120"/>
        <w:ind w:left="714" w:hanging="357"/>
        <w:contextualSpacing w:val="0"/>
        <w:rPr>
          <w:color w:val="7F7F7F" w:themeColor="text2"/>
        </w:rPr>
      </w:pPr>
      <w:r w:rsidRPr="0021141C">
        <w:rPr>
          <w:color w:val="7F7F7F" w:themeColor="text2"/>
        </w:rPr>
        <w:t>For the purposes of this report</w:t>
      </w:r>
      <w:r w:rsidR="00826365">
        <w:rPr>
          <w:color w:val="7F7F7F" w:themeColor="text2"/>
        </w:rPr>
        <w:t>,</w:t>
      </w:r>
      <w:r w:rsidRPr="0021141C">
        <w:rPr>
          <w:color w:val="7F7F7F" w:themeColor="text2"/>
        </w:rPr>
        <w:t xml:space="preserve"> the term Learn Local </w:t>
      </w:r>
      <w:proofErr w:type="gramStart"/>
      <w:r w:rsidRPr="0021141C">
        <w:rPr>
          <w:color w:val="7F7F7F" w:themeColor="text2"/>
        </w:rPr>
        <w:t>is used</w:t>
      </w:r>
      <w:proofErr w:type="gramEnd"/>
      <w:r w:rsidRPr="0021141C">
        <w:rPr>
          <w:color w:val="7F7F7F" w:themeColor="text2"/>
        </w:rPr>
        <w:t xml:space="preserve"> interchangeably with Adult and Community Education (ACE). However, it </w:t>
      </w:r>
      <w:proofErr w:type="gramStart"/>
      <w:r w:rsidRPr="0021141C">
        <w:rPr>
          <w:color w:val="7F7F7F" w:themeColor="text2"/>
        </w:rPr>
        <w:t>should be noted</w:t>
      </w:r>
      <w:proofErr w:type="gramEnd"/>
      <w:r w:rsidRPr="0021141C">
        <w:rPr>
          <w:color w:val="7F7F7F" w:themeColor="text2"/>
        </w:rPr>
        <w:t xml:space="preserve"> that only Learn Local organisations report through to the Adult, Community and Further Education</w:t>
      </w:r>
      <w:r w:rsidR="00826365">
        <w:rPr>
          <w:color w:val="7F7F7F" w:themeColor="text2"/>
        </w:rPr>
        <w:t xml:space="preserve"> (ACFE)</w:t>
      </w:r>
      <w:r w:rsidRPr="0021141C">
        <w:rPr>
          <w:color w:val="7F7F7F" w:themeColor="text2"/>
        </w:rPr>
        <w:t xml:space="preserve"> Board</w:t>
      </w:r>
      <w:r w:rsidR="006C204A">
        <w:rPr>
          <w:color w:val="7F7F7F" w:themeColor="text2"/>
        </w:rPr>
        <w:t>.</w:t>
      </w:r>
      <w:r w:rsidRPr="0021141C">
        <w:rPr>
          <w:color w:val="7F7F7F" w:themeColor="text2"/>
        </w:rPr>
        <w:t xml:space="preserve"> ACE organisations are self-identified and are not required to report through to the Board. </w:t>
      </w:r>
      <w:r w:rsidR="00015819">
        <w:rPr>
          <w:color w:val="7F7F7F" w:themeColor="text2"/>
        </w:rPr>
        <w:t>T</w:t>
      </w:r>
      <w:r w:rsidRPr="0021141C">
        <w:rPr>
          <w:color w:val="7F7F7F" w:themeColor="text2"/>
        </w:rPr>
        <w:t xml:space="preserve">here were a very small number of Learn Local organisations </w:t>
      </w:r>
      <w:proofErr w:type="gramStart"/>
      <w:r w:rsidRPr="0021141C">
        <w:rPr>
          <w:color w:val="7F7F7F" w:themeColor="text2"/>
        </w:rPr>
        <w:t>that self-identified to SVTS as private RTO</w:t>
      </w:r>
      <w:r w:rsidR="00443748">
        <w:rPr>
          <w:color w:val="7F7F7F" w:themeColor="text2"/>
        </w:rPr>
        <w:t>s</w:t>
      </w:r>
      <w:r w:rsidRPr="0021141C">
        <w:rPr>
          <w:color w:val="7F7F7F" w:themeColor="text2"/>
        </w:rPr>
        <w:t xml:space="preserve"> and therefore are not included in the count of Learn Local organisations</w:t>
      </w:r>
      <w:proofErr w:type="gramEnd"/>
      <w:r w:rsidRPr="0021141C">
        <w:rPr>
          <w:color w:val="7F7F7F" w:themeColor="text2"/>
        </w:rPr>
        <w:t>.</w:t>
      </w:r>
    </w:p>
    <w:p w:rsidR="00C17726" w:rsidRPr="0021141C" w:rsidRDefault="00C17726" w:rsidP="00C17726">
      <w:pPr>
        <w:pStyle w:val="ListParagraph"/>
        <w:numPr>
          <w:ilvl w:val="0"/>
          <w:numId w:val="21"/>
        </w:numPr>
        <w:spacing w:after="120"/>
        <w:ind w:left="714" w:hanging="357"/>
        <w:contextualSpacing w:val="0"/>
        <w:rPr>
          <w:color w:val="7F7F7F" w:themeColor="text2"/>
        </w:rPr>
      </w:pPr>
      <w:r w:rsidRPr="0021141C">
        <w:rPr>
          <w:color w:val="7F7F7F" w:themeColor="text2"/>
        </w:rPr>
        <w:t xml:space="preserve">To ensure a degree of consistency of foundation courses in this report, any course that </w:t>
      </w:r>
      <w:proofErr w:type="gramStart"/>
      <w:r w:rsidRPr="0021141C">
        <w:rPr>
          <w:color w:val="7F7F7F" w:themeColor="text2"/>
        </w:rPr>
        <w:t>was identified</w:t>
      </w:r>
      <w:proofErr w:type="gramEnd"/>
      <w:r w:rsidRPr="0021141C">
        <w:rPr>
          <w:color w:val="7F7F7F" w:themeColor="text2"/>
        </w:rPr>
        <w:t xml:space="preserve"> in the foundation skills list of courses</w:t>
      </w:r>
      <w:r>
        <w:rPr>
          <w:color w:val="7F7F7F" w:themeColor="text2"/>
        </w:rPr>
        <w:t>,</w:t>
      </w:r>
      <w:r w:rsidRPr="0021141C">
        <w:rPr>
          <w:color w:val="7F7F7F" w:themeColor="text2"/>
        </w:rPr>
        <w:t xml:space="preserve"> whether in 201</w:t>
      </w:r>
      <w:r>
        <w:rPr>
          <w:color w:val="7F7F7F" w:themeColor="text2"/>
        </w:rPr>
        <w:t>5</w:t>
      </w:r>
      <w:r w:rsidRPr="0021141C">
        <w:rPr>
          <w:color w:val="7F7F7F" w:themeColor="text2"/>
        </w:rPr>
        <w:t xml:space="preserve"> or </w:t>
      </w:r>
      <w:r>
        <w:rPr>
          <w:color w:val="7F7F7F" w:themeColor="text2"/>
        </w:rPr>
        <w:t>previous years,</w:t>
      </w:r>
      <w:r w:rsidRPr="0021141C">
        <w:rPr>
          <w:color w:val="7F7F7F" w:themeColor="text2"/>
        </w:rPr>
        <w:t xml:space="preserve"> is considered for the purposes of this report as a foundation course.</w:t>
      </w:r>
    </w:p>
    <w:p w:rsidR="006451D5" w:rsidRPr="008500F7" w:rsidRDefault="008500F7" w:rsidP="00095538">
      <w:pPr>
        <w:pStyle w:val="ListParagraph"/>
        <w:numPr>
          <w:ilvl w:val="0"/>
          <w:numId w:val="21"/>
        </w:numPr>
        <w:spacing w:after="120"/>
        <w:ind w:left="714" w:hanging="357"/>
        <w:contextualSpacing w:val="0"/>
        <w:rPr>
          <w:color w:val="7F7F7F" w:themeColor="text2"/>
        </w:rPr>
      </w:pPr>
      <w:r w:rsidRPr="008500F7">
        <w:rPr>
          <w:color w:val="7F7F7F" w:themeColor="text2"/>
        </w:rPr>
        <w:t>A ‘-</w:t>
      </w:r>
      <w:proofErr w:type="gramStart"/>
      <w:r w:rsidRPr="008500F7">
        <w:rPr>
          <w:color w:val="7F7F7F" w:themeColor="text2"/>
        </w:rPr>
        <w:t>‘ shown</w:t>
      </w:r>
      <w:proofErr w:type="gramEnd"/>
      <w:r w:rsidRPr="008500F7">
        <w:rPr>
          <w:color w:val="7F7F7F" w:themeColor="text2"/>
        </w:rPr>
        <w:t xml:space="preserve"> in a table indicates that the figure was nil.</w:t>
      </w:r>
    </w:p>
    <w:p w:rsidR="00CF18AC" w:rsidRPr="00DE7971" w:rsidRDefault="00CF18AC" w:rsidP="00095538">
      <w:pPr>
        <w:pStyle w:val="Heading3"/>
        <w:spacing w:before="120" w:after="120"/>
        <w:rPr>
          <w:color w:val="7F7F7F" w:themeColor="text2"/>
        </w:rPr>
      </w:pPr>
      <w:r w:rsidRPr="00DE7971">
        <w:rPr>
          <w:color w:val="7F7F7F" w:themeColor="text2"/>
        </w:rPr>
        <w:t>Reporting scope</w:t>
      </w:r>
    </w:p>
    <w:p w:rsidR="00CF18AC" w:rsidRPr="0021141C" w:rsidRDefault="00CF18AC" w:rsidP="00095538">
      <w:pPr>
        <w:pStyle w:val="ListParagraph"/>
        <w:numPr>
          <w:ilvl w:val="0"/>
          <w:numId w:val="21"/>
        </w:numPr>
        <w:spacing w:after="120"/>
        <w:contextualSpacing w:val="0"/>
        <w:rPr>
          <w:color w:val="7F7F7F" w:themeColor="text2"/>
        </w:rPr>
      </w:pPr>
      <w:r w:rsidRPr="0021141C">
        <w:rPr>
          <w:color w:val="7F7F7F" w:themeColor="text2"/>
        </w:rPr>
        <w:t xml:space="preserve">This report includes government subsidised </w:t>
      </w:r>
      <w:r w:rsidR="0097544A" w:rsidRPr="0021141C">
        <w:rPr>
          <w:color w:val="7F7F7F" w:themeColor="text2"/>
        </w:rPr>
        <w:t xml:space="preserve">and fee-for-service </w:t>
      </w:r>
      <w:r w:rsidRPr="0021141C">
        <w:rPr>
          <w:color w:val="7F7F7F" w:themeColor="text2"/>
        </w:rPr>
        <w:t>activit</w:t>
      </w:r>
      <w:r w:rsidR="001E7593">
        <w:rPr>
          <w:color w:val="7F7F7F" w:themeColor="text2"/>
        </w:rPr>
        <w:t xml:space="preserve">y </w:t>
      </w:r>
      <w:r w:rsidRPr="0021141C">
        <w:rPr>
          <w:color w:val="7F7F7F" w:themeColor="text2"/>
        </w:rPr>
        <w:t>in all sectors</w:t>
      </w:r>
      <w:r w:rsidR="0097544A" w:rsidRPr="0021141C">
        <w:rPr>
          <w:color w:val="7F7F7F" w:themeColor="text2"/>
        </w:rPr>
        <w:t>.</w:t>
      </w:r>
    </w:p>
    <w:p w:rsidR="00331CA5" w:rsidRPr="0021141C" w:rsidRDefault="00C17726" w:rsidP="00095538">
      <w:pPr>
        <w:pStyle w:val="ListParagraph"/>
        <w:numPr>
          <w:ilvl w:val="0"/>
          <w:numId w:val="21"/>
        </w:numPr>
        <w:spacing w:after="120"/>
        <w:contextualSpacing w:val="0"/>
        <w:rPr>
          <w:color w:val="7F7F7F" w:themeColor="text2"/>
        </w:rPr>
      </w:pPr>
      <w:r>
        <w:rPr>
          <w:color w:val="7F7F7F" w:themeColor="text2"/>
        </w:rPr>
        <w:t xml:space="preserve">The previous approach of publishing reported completions </w:t>
      </w:r>
      <w:proofErr w:type="gramStart"/>
      <w:r>
        <w:rPr>
          <w:color w:val="7F7F7F" w:themeColor="text2"/>
        </w:rPr>
        <w:t xml:space="preserve">has been </w:t>
      </w:r>
      <w:r w:rsidR="00B64BB5">
        <w:rPr>
          <w:color w:val="7F7F7F" w:themeColor="text2"/>
        </w:rPr>
        <w:t>replaced</w:t>
      </w:r>
      <w:proofErr w:type="gramEnd"/>
      <w:r w:rsidR="00B64BB5">
        <w:rPr>
          <w:color w:val="7F7F7F" w:themeColor="text2"/>
        </w:rPr>
        <w:t xml:space="preserve"> by a </w:t>
      </w:r>
      <w:r>
        <w:rPr>
          <w:color w:val="7F7F7F" w:themeColor="text2"/>
        </w:rPr>
        <w:t xml:space="preserve">new methodology </w:t>
      </w:r>
      <w:r w:rsidR="00B64BB5">
        <w:rPr>
          <w:color w:val="7F7F7F" w:themeColor="text2"/>
        </w:rPr>
        <w:t xml:space="preserve">that more </w:t>
      </w:r>
      <w:r>
        <w:rPr>
          <w:color w:val="7F7F7F" w:themeColor="text2"/>
        </w:rPr>
        <w:t>accurately report</w:t>
      </w:r>
      <w:r w:rsidR="00B64BB5">
        <w:rPr>
          <w:color w:val="7F7F7F" w:themeColor="text2"/>
        </w:rPr>
        <w:t xml:space="preserve">s </w:t>
      </w:r>
      <w:r>
        <w:rPr>
          <w:color w:val="7F7F7F" w:themeColor="text2"/>
        </w:rPr>
        <w:t>VET course completion</w:t>
      </w:r>
      <w:r w:rsidR="00B64BB5">
        <w:rPr>
          <w:color w:val="7F7F7F" w:themeColor="text2"/>
        </w:rPr>
        <w:t>s</w:t>
      </w:r>
      <w:r>
        <w:rPr>
          <w:color w:val="7F7F7F" w:themeColor="text2"/>
        </w:rPr>
        <w:t xml:space="preserve"> </w:t>
      </w:r>
      <w:r w:rsidR="00B64BB5">
        <w:rPr>
          <w:color w:val="7F7F7F" w:themeColor="text2"/>
        </w:rPr>
        <w:t>and completion rates</w:t>
      </w:r>
      <w:r>
        <w:rPr>
          <w:color w:val="7F7F7F" w:themeColor="text2"/>
        </w:rPr>
        <w:t>.</w:t>
      </w:r>
    </w:p>
    <w:p w:rsidR="008038B4" w:rsidRPr="00DE7971" w:rsidRDefault="008038B4" w:rsidP="00095538">
      <w:pPr>
        <w:pStyle w:val="Heading3"/>
        <w:spacing w:before="120" w:after="120"/>
        <w:rPr>
          <w:color w:val="7F7F7F" w:themeColor="text2"/>
        </w:rPr>
      </w:pPr>
      <w:r w:rsidRPr="00DE7971">
        <w:rPr>
          <w:color w:val="7F7F7F" w:themeColor="text2"/>
        </w:rPr>
        <w:t>What’s new</w:t>
      </w:r>
    </w:p>
    <w:p w:rsidR="00C17726" w:rsidRDefault="00C17726" w:rsidP="00095538">
      <w:pPr>
        <w:pStyle w:val="ListParagraph"/>
        <w:numPr>
          <w:ilvl w:val="0"/>
          <w:numId w:val="21"/>
        </w:numPr>
        <w:spacing w:after="120"/>
        <w:contextualSpacing w:val="0"/>
        <w:rPr>
          <w:color w:val="7F7F7F" w:themeColor="text2"/>
        </w:rPr>
      </w:pPr>
      <w:r>
        <w:rPr>
          <w:color w:val="7F7F7F" w:themeColor="text2"/>
        </w:rPr>
        <w:t xml:space="preserve">Responding to changes in pre-accredited </w:t>
      </w:r>
      <w:proofErr w:type="gramStart"/>
      <w:r>
        <w:rPr>
          <w:color w:val="7F7F7F" w:themeColor="text2"/>
        </w:rPr>
        <w:t>reporting,</w:t>
      </w:r>
      <w:proofErr w:type="gramEnd"/>
      <w:r>
        <w:rPr>
          <w:color w:val="7F7F7F" w:themeColor="text2"/>
        </w:rPr>
        <w:t xml:space="preserve"> pre-accredited and accredited training data is now identified separately in this report.</w:t>
      </w:r>
    </w:p>
    <w:p w:rsidR="00C17726" w:rsidRDefault="00C17726" w:rsidP="00095538">
      <w:pPr>
        <w:pStyle w:val="ListParagraph"/>
        <w:numPr>
          <w:ilvl w:val="0"/>
          <w:numId w:val="21"/>
        </w:numPr>
        <w:spacing w:after="120"/>
        <w:contextualSpacing w:val="0"/>
        <w:rPr>
          <w:color w:val="7F7F7F" w:themeColor="text2"/>
        </w:rPr>
      </w:pPr>
      <w:r>
        <w:rPr>
          <w:color w:val="7F7F7F" w:themeColor="text2"/>
        </w:rPr>
        <w:lastRenderedPageBreak/>
        <w:t xml:space="preserve">Separate TAFE fee-for-service reporting across the report </w:t>
      </w:r>
      <w:proofErr w:type="gramStart"/>
      <w:r>
        <w:rPr>
          <w:color w:val="7F7F7F" w:themeColor="text2"/>
        </w:rPr>
        <w:t>has been removed and included in two specific sections</w:t>
      </w:r>
      <w:proofErr w:type="gramEnd"/>
      <w:r>
        <w:rPr>
          <w:color w:val="7F7F7F" w:themeColor="text2"/>
        </w:rPr>
        <w:t>: ‘Fee-for-Service’ and ‘</w:t>
      </w:r>
      <w:r w:rsidR="00C85325">
        <w:rPr>
          <w:color w:val="7F7F7F" w:themeColor="text2"/>
        </w:rPr>
        <w:t>TAFE Activity</w:t>
      </w:r>
      <w:r>
        <w:rPr>
          <w:color w:val="7F7F7F" w:themeColor="text2"/>
        </w:rPr>
        <w:t>’.</w:t>
      </w:r>
    </w:p>
    <w:p w:rsidR="00711730" w:rsidRPr="00C17726" w:rsidRDefault="0097544A" w:rsidP="00095538">
      <w:pPr>
        <w:pStyle w:val="ListParagraph"/>
        <w:numPr>
          <w:ilvl w:val="0"/>
          <w:numId w:val="21"/>
        </w:numPr>
        <w:spacing w:after="120"/>
        <w:contextualSpacing w:val="0"/>
        <w:rPr>
          <w:color w:val="7F7F7F" w:themeColor="text2"/>
        </w:rPr>
      </w:pPr>
      <w:r w:rsidRPr="00C17726">
        <w:rPr>
          <w:color w:val="7F7F7F" w:themeColor="text2"/>
        </w:rPr>
        <w:t>Fee-for-service data is now included for all sectors.</w:t>
      </w:r>
    </w:p>
    <w:p w:rsidR="00063107" w:rsidRDefault="00063107"/>
    <w:p w:rsidR="00063107" w:rsidRDefault="00063107"/>
    <w:p w:rsidR="00AB62FC" w:rsidRPr="00365EB2" w:rsidRDefault="00AB62FC">
      <w:r w:rsidRPr="00365EB2">
        <w:br w:type="page"/>
      </w:r>
    </w:p>
    <w:p w:rsidR="00FE2A45" w:rsidRDefault="00FE2A45">
      <w:pPr>
        <w:rPr>
          <w:rFonts w:cs="Arial"/>
          <w:bCs/>
          <w:color w:val="B41F22" w:themeColor="accent1"/>
          <w:kern w:val="32"/>
          <w:sz w:val="36"/>
          <w:szCs w:val="36"/>
        </w:rPr>
      </w:pPr>
      <w:r>
        <w:rPr>
          <w:color w:val="B41F22" w:themeColor="accent1"/>
        </w:rPr>
        <w:lastRenderedPageBreak/>
        <w:br w:type="page"/>
      </w:r>
    </w:p>
    <w:p w:rsidR="00AB62FC" w:rsidRPr="00612488" w:rsidRDefault="00AB62FC" w:rsidP="00AB62FC">
      <w:pPr>
        <w:pStyle w:val="Heading1"/>
        <w:numPr>
          <w:ilvl w:val="0"/>
          <w:numId w:val="0"/>
        </w:numPr>
        <w:ind w:left="646" w:hanging="646"/>
        <w:rPr>
          <w:color w:val="B41F22" w:themeColor="accent1"/>
        </w:rPr>
      </w:pPr>
      <w:bookmarkStart w:id="4" w:name="_Toc432758314"/>
      <w:r w:rsidRPr="00612488">
        <w:rPr>
          <w:color w:val="B41F22" w:themeColor="accent1"/>
        </w:rPr>
        <w:lastRenderedPageBreak/>
        <w:t>Glossary</w:t>
      </w:r>
      <w:bookmarkEnd w:id="4"/>
    </w:p>
    <w:tbl>
      <w:tblPr>
        <w:tblStyle w:val="TableGrid"/>
        <w:tblW w:w="80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2235"/>
        <w:gridCol w:w="5811"/>
      </w:tblGrid>
      <w:tr w:rsidR="00AB62FC" w:rsidRPr="00365EB2" w:rsidTr="0084117E">
        <w:trPr>
          <w:trHeight w:hRule="exact" w:val="567"/>
          <w:tblHeader/>
        </w:trPr>
        <w:tc>
          <w:tcPr>
            <w:tcW w:w="2235" w:type="dxa"/>
          </w:tcPr>
          <w:p w:rsidR="00AB62FC" w:rsidRPr="00DE7971" w:rsidRDefault="00AB62FC" w:rsidP="00AB62FC">
            <w:pPr>
              <w:pStyle w:val="Quote"/>
            </w:pPr>
            <w:r w:rsidRPr="00DE7971">
              <w:t>Term</w:t>
            </w:r>
          </w:p>
        </w:tc>
        <w:tc>
          <w:tcPr>
            <w:tcW w:w="5811" w:type="dxa"/>
          </w:tcPr>
          <w:p w:rsidR="00AB62FC" w:rsidRPr="00DE7971" w:rsidRDefault="00AB62FC" w:rsidP="00AB62FC">
            <w:pPr>
              <w:pStyle w:val="Quote"/>
            </w:pPr>
            <w:r w:rsidRPr="00DE7971">
              <w:t>Definition</w:t>
            </w:r>
          </w:p>
        </w:tc>
      </w:tr>
      <w:tr w:rsidR="00646D11" w:rsidRPr="00365EB2" w:rsidTr="00BC2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rPr>
          <w:trHeight w:val="1752"/>
        </w:trPr>
        <w:tc>
          <w:tcPr>
            <w:tcW w:w="2235" w:type="dxa"/>
            <w:tcBorders>
              <w:top w:val="nil"/>
              <w:left w:val="nil"/>
              <w:bottom w:val="nil"/>
              <w:right w:val="nil"/>
            </w:tcBorders>
          </w:tcPr>
          <w:p w:rsidR="00646D11" w:rsidRPr="00365EB2" w:rsidRDefault="00646D11" w:rsidP="0023377C">
            <w:r w:rsidRPr="00365EB2">
              <w:t>A</w:t>
            </w:r>
            <w:r w:rsidR="0023377C">
              <w:t>ccredited training</w:t>
            </w:r>
          </w:p>
        </w:tc>
        <w:tc>
          <w:tcPr>
            <w:tcW w:w="5811" w:type="dxa"/>
            <w:tcBorders>
              <w:top w:val="nil"/>
              <w:left w:val="nil"/>
              <w:bottom w:val="nil"/>
              <w:right w:val="nil"/>
            </w:tcBorders>
          </w:tcPr>
          <w:p w:rsidR="00646D11" w:rsidRPr="00365EB2" w:rsidRDefault="003A1059" w:rsidP="00AC1715">
            <w:proofErr w:type="gramStart"/>
            <w:r w:rsidRPr="003A1059">
              <w:t>An accredited program</w:t>
            </w:r>
            <w:proofErr w:type="gramEnd"/>
            <w:r w:rsidRPr="003A1059">
              <w:t xml:space="preserve"> of study that leads to vocational qualifications and credentials that are recognised across Australia. Only registered training organisations that meet government quality standards such as TAFE, private providers, enterprise registered training organisations and vocational divisions of universities can provide nationally recognised training. It includes accredited courses, endorsed training package qualifications and associated subjects.</w:t>
            </w:r>
          </w:p>
        </w:tc>
      </w:tr>
      <w:tr w:rsidR="0023377C" w:rsidRPr="00365EB2" w:rsidTr="009250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rPr>
          <w:trHeight w:val="1838"/>
        </w:trPr>
        <w:tc>
          <w:tcPr>
            <w:tcW w:w="2235" w:type="dxa"/>
            <w:tcBorders>
              <w:top w:val="nil"/>
              <w:left w:val="nil"/>
              <w:bottom w:val="nil"/>
              <w:right w:val="nil"/>
            </w:tcBorders>
          </w:tcPr>
          <w:p w:rsidR="0023377C" w:rsidRPr="00365EB2" w:rsidRDefault="0023377C" w:rsidP="00646D11">
            <w:r w:rsidRPr="00365EB2">
              <w:t>ACFE</w:t>
            </w:r>
          </w:p>
        </w:tc>
        <w:tc>
          <w:tcPr>
            <w:tcW w:w="5811" w:type="dxa"/>
            <w:tcBorders>
              <w:top w:val="nil"/>
              <w:left w:val="nil"/>
              <w:bottom w:val="nil"/>
              <w:right w:val="nil"/>
            </w:tcBorders>
          </w:tcPr>
          <w:p w:rsidR="0023377C" w:rsidRPr="00BB466D" w:rsidRDefault="0023377C" w:rsidP="004F03CC">
            <w:proofErr w:type="gramStart"/>
            <w:r w:rsidRPr="00BB466D">
              <w:t xml:space="preserve">Through the Adult, Community and Further Education (ACFE) Board, the Victorian Government provides funding to community-based organisations, known as </w:t>
            </w:r>
            <w:hyperlink r:id="rId19" w:history="1">
              <w:r w:rsidRPr="00BB466D">
                <w:rPr>
                  <w:rStyle w:val="Hyperlink"/>
                </w:rPr>
                <w:t>Learn Local organisations</w:t>
              </w:r>
            </w:hyperlink>
            <w:r w:rsidRPr="00BB466D">
              <w:t xml:space="preserve">, and two adult education institutions, the </w:t>
            </w:r>
            <w:hyperlink r:id="rId20" w:history="1">
              <w:r w:rsidR="004F03CC">
                <w:rPr>
                  <w:rStyle w:val="Hyperlink"/>
                </w:rPr>
                <w:t>Council of Adult Education (CAE)</w:t>
              </w:r>
            </w:hyperlink>
            <w:r w:rsidRPr="00BB466D">
              <w:t xml:space="preserve"> and </w:t>
            </w:r>
            <w:hyperlink r:id="rId21" w:history="1">
              <w:r w:rsidRPr="00BB466D">
                <w:rPr>
                  <w:rStyle w:val="Hyperlink"/>
                </w:rPr>
                <w:t>A</w:t>
              </w:r>
              <w:r w:rsidR="004F03CC">
                <w:rPr>
                  <w:rStyle w:val="Hyperlink"/>
                </w:rPr>
                <w:t>dult Migrant Education Services (A</w:t>
              </w:r>
              <w:r w:rsidRPr="00BB466D">
                <w:rPr>
                  <w:rStyle w:val="Hyperlink"/>
                </w:rPr>
                <w:t>MES</w:t>
              </w:r>
            </w:hyperlink>
            <w:r w:rsidR="004F03CC">
              <w:rPr>
                <w:rStyle w:val="Hyperlink"/>
              </w:rPr>
              <w:t>)</w:t>
            </w:r>
            <w:r w:rsidRPr="00BB466D">
              <w:t>, for delivery of education and training programs to a broad range of Victorians over compulsory school-leaving age - young people, older people, people with special needs, people from diverse cultural backgrounds – with a special focus on people who have had limited prior access to education.</w:t>
            </w:r>
            <w:proofErr w:type="gramEnd"/>
          </w:p>
        </w:tc>
      </w:tr>
      <w:tr w:rsidR="004C02FA" w:rsidRPr="00365EB2" w:rsidTr="009250F1">
        <w:tc>
          <w:tcPr>
            <w:tcW w:w="2235" w:type="dxa"/>
          </w:tcPr>
          <w:p w:rsidR="004C02FA" w:rsidRPr="00BB466D" w:rsidRDefault="004C02FA" w:rsidP="00E7343E">
            <w:r w:rsidRPr="00BB466D">
              <w:t>Australian Qualifications Framework (AQF)</w:t>
            </w:r>
          </w:p>
        </w:tc>
        <w:tc>
          <w:tcPr>
            <w:tcW w:w="5811" w:type="dxa"/>
          </w:tcPr>
          <w:p w:rsidR="004C02FA" w:rsidRPr="00BB466D" w:rsidRDefault="004C02FA" w:rsidP="00AB62FC">
            <w:r w:rsidRPr="00BB466D">
              <w:t xml:space="preserve">The Australian Qualifications Framework (commonly known as the AQF) is a unified system of national qualifications in schools, vocational education and training (TAFEs and private providers) and the higher education sector (mainly universities). </w:t>
            </w:r>
          </w:p>
        </w:tc>
      </w:tr>
      <w:tr w:rsidR="00136936" w:rsidRPr="00365EB2" w:rsidTr="009250F1">
        <w:tc>
          <w:tcPr>
            <w:tcW w:w="2235" w:type="dxa"/>
          </w:tcPr>
          <w:p w:rsidR="00136936" w:rsidRDefault="00136936" w:rsidP="00646D11">
            <w:r>
              <w:t>Domestic student</w:t>
            </w:r>
          </w:p>
        </w:tc>
        <w:tc>
          <w:tcPr>
            <w:tcW w:w="5811" w:type="dxa"/>
          </w:tcPr>
          <w:p w:rsidR="00136936" w:rsidRPr="00365EB2" w:rsidRDefault="00136936" w:rsidP="00AB62FC">
            <w:proofErr w:type="gramStart"/>
            <w:r>
              <w:t>A student that resides and undertakes training in Australia.</w:t>
            </w:r>
            <w:proofErr w:type="gramEnd"/>
          </w:p>
        </w:tc>
      </w:tr>
      <w:tr w:rsidR="00646D11" w:rsidRPr="00365EB2" w:rsidTr="009250F1">
        <w:tc>
          <w:tcPr>
            <w:tcW w:w="2235" w:type="dxa"/>
          </w:tcPr>
          <w:p w:rsidR="00646D11" w:rsidRPr="00BB466D" w:rsidRDefault="00646D11" w:rsidP="00646D11">
            <w:r>
              <w:t>Foundation</w:t>
            </w:r>
          </w:p>
        </w:tc>
        <w:tc>
          <w:tcPr>
            <w:tcW w:w="5811" w:type="dxa"/>
          </w:tcPr>
          <w:p w:rsidR="00646D11" w:rsidRPr="00BB466D" w:rsidRDefault="00646D11" w:rsidP="00F05396">
            <w:r w:rsidRPr="00365EB2">
              <w:t>Foundation skills courses help address basic skills gaps for vocational education and training students. Gaining these base level skills in literacy, numeracy and workforce preparation skills improve a student’s chances following training of employment, provide opportunities for further education and broader social participation.</w:t>
            </w:r>
          </w:p>
        </w:tc>
      </w:tr>
      <w:tr w:rsidR="00646D11" w:rsidRPr="00365EB2" w:rsidTr="009250F1">
        <w:tc>
          <w:tcPr>
            <w:tcW w:w="2235" w:type="dxa"/>
          </w:tcPr>
          <w:p w:rsidR="00646D11" w:rsidRPr="00BB466D" w:rsidRDefault="00646D11" w:rsidP="00AB62FC">
            <w:r w:rsidRPr="00365EB2">
              <w:t>Government subsidised</w:t>
            </w:r>
          </w:p>
        </w:tc>
        <w:tc>
          <w:tcPr>
            <w:tcW w:w="5811" w:type="dxa"/>
          </w:tcPr>
          <w:p w:rsidR="00646D11" w:rsidRPr="00BB466D" w:rsidRDefault="00646D11" w:rsidP="00AB62FC">
            <w:r w:rsidRPr="00365EB2">
              <w:t>Course or training activity that attracts a level of funding or subsidy from the Victorian Government, for example funding entitlement under the Victorian Training Guarantee</w:t>
            </w:r>
            <w:r w:rsidR="004F03CC">
              <w:t xml:space="preserve"> (VTG)</w:t>
            </w:r>
            <w:r w:rsidRPr="00365EB2">
              <w:t>.</w:t>
            </w:r>
          </w:p>
        </w:tc>
      </w:tr>
      <w:tr w:rsidR="00646D11" w:rsidRPr="00365EB2" w:rsidTr="009250F1">
        <w:tc>
          <w:tcPr>
            <w:tcW w:w="2235" w:type="dxa"/>
          </w:tcPr>
          <w:p w:rsidR="00646D11" w:rsidRPr="00BB466D" w:rsidRDefault="00646D11" w:rsidP="00AB62FC">
            <w:r w:rsidRPr="00BB466D">
              <w:t>Industry code (ANZSIC)</w:t>
            </w:r>
          </w:p>
        </w:tc>
        <w:tc>
          <w:tcPr>
            <w:tcW w:w="5811" w:type="dxa"/>
          </w:tcPr>
          <w:p w:rsidR="00646D11" w:rsidRPr="00BB466D" w:rsidRDefault="00646D11" w:rsidP="00AB62FC">
            <w:r w:rsidRPr="00BB466D">
              <w:t>The Australian and New Zealand Standard Industrial Classification (ANZSIC) is a classification that provides a framework for</w:t>
            </w:r>
            <w:r w:rsidRPr="00365EB2">
              <w:t xml:space="preserve"> organising</w:t>
            </w:r>
            <w:r w:rsidRPr="00BB466D">
              <w:t xml:space="preserve"> data about industry by grouping business units carrying out similar productive activities.</w:t>
            </w:r>
          </w:p>
        </w:tc>
      </w:tr>
      <w:tr w:rsidR="00136936" w:rsidRPr="00365EB2" w:rsidTr="009250F1">
        <w:tc>
          <w:tcPr>
            <w:tcW w:w="2235" w:type="dxa"/>
          </w:tcPr>
          <w:p w:rsidR="00136936" w:rsidRPr="00BB466D" w:rsidRDefault="00136936" w:rsidP="00AB62FC">
            <w:r>
              <w:t>International student</w:t>
            </w:r>
          </w:p>
        </w:tc>
        <w:tc>
          <w:tcPr>
            <w:tcW w:w="5811" w:type="dxa"/>
          </w:tcPr>
          <w:p w:rsidR="00136936" w:rsidRPr="00BB466D" w:rsidRDefault="00136936" w:rsidP="00AB62FC">
            <w:proofErr w:type="gramStart"/>
            <w:r>
              <w:t>An international student that undertakes training in Australia.</w:t>
            </w:r>
            <w:proofErr w:type="gramEnd"/>
          </w:p>
        </w:tc>
      </w:tr>
      <w:tr w:rsidR="00136936" w:rsidRPr="00136936" w:rsidTr="009250F1">
        <w:tc>
          <w:tcPr>
            <w:tcW w:w="2235" w:type="dxa"/>
          </w:tcPr>
          <w:p w:rsidR="00136936" w:rsidRPr="00136936" w:rsidRDefault="00136936" w:rsidP="00136936">
            <w:pPr>
              <w:rPr>
                <w:color w:val="7F7F7F" w:themeColor="text2"/>
              </w:rPr>
            </w:pPr>
            <w:r w:rsidRPr="00136936">
              <w:rPr>
                <w:color w:val="7F7F7F" w:themeColor="text2"/>
              </w:rPr>
              <w:t>Offshore</w:t>
            </w:r>
            <w:r>
              <w:rPr>
                <w:color w:val="7F7F7F" w:themeColor="text2"/>
              </w:rPr>
              <w:t xml:space="preserve"> student</w:t>
            </w:r>
          </w:p>
        </w:tc>
        <w:tc>
          <w:tcPr>
            <w:tcW w:w="5811" w:type="dxa"/>
          </w:tcPr>
          <w:p w:rsidR="00136936" w:rsidRPr="00136936" w:rsidRDefault="00136936" w:rsidP="0021141C">
            <w:pPr>
              <w:rPr>
                <w:color w:val="7F7F7F" w:themeColor="text2"/>
              </w:rPr>
            </w:pPr>
            <w:proofErr w:type="gramStart"/>
            <w:r>
              <w:rPr>
                <w:color w:val="7F7F7F" w:themeColor="text2"/>
              </w:rPr>
              <w:t>A student (Australian or non-Australian) that undertakes training outside of Australia.</w:t>
            </w:r>
            <w:proofErr w:type="gramEnd"/>
          </w:p>
        </w:tc>
      </w:tr>
      <w:tr w:rsidR="00C01798" w:rsidRPr="00365EB2" w:rsidTr="009250F1">
        <w:tc>
          <w:tcPr>
            <w:tcW w:w="2235" w:type="dxa"/>
          </w:tcPr>
          <w:p w:rsidR="00C01798" w:rsidRPr="00BB466D" w:rsidRDefault="00C01798" w:rsidP="00AB62FC">
            <w:r w:rsidRPr="00EE6171">
              <w:rPr>
                <w:color w:val="7F7F7F" w:themeColor="text2"/>
              </w:rPr>
              <w:t>Pre-accredited training</w:t>
            </w:r>
          </w:p>
        </w:tc>
        <w:tc>
          <w:tcPr>
            <w:tcW w:w="5811" w:type="dxa"/>
          </w:tcPr>
          <w:p w:rsidR="00C01798" w:rsidRPr="00BB466D" w:rsidRDefault="00FC03EB" w:rsidP="00F05396">
            <w:r w:rsidRPr="00EE6171">
              <w:rPr>
                <w:color w:val="7F7F7F" w:themeColor="text2"/>
              </w:rPr>
              <w:t>Pre-accredited programs are modular learning opportunities that provide re-engagement with learning and skill development. They can focus on foundation or vocational skills and are customised to meet the needs of the learner or learner group</w:t>
            </w:r>
            <w:r w:rsidR="00F05396">
              <w:rPr>
                <w:color w:val="7F7F7F" w:themeColor="text2"/>
              </w:rPr>
              <w:t>,</w:t>
            </w:r>
            <w:r w:rsidRPr="00EE6171">
              <w:rPr>
                <w:color w:val="7F7F7F" w:themeColor="text2"/>
              </w:rPr>
              <w:t xml:space="preserve"> but do</w:t>
            </w:r>
            <w:r w:rsidR="00F05396">
              <w:rPr>
                <w:color w:val="7F7F7F" w:themeColor="text2"/>
              </w:rPr>
              <w:t xml:space="preserve"> not</w:t>
            </w:r>
            <w:r w:rsidR="007D5B30">
              <w:rPr>
                <w:color w:val="7F7F7F" w:themeColor="text2"/>
              </w:rPr>
              <w:t xml:space="preserve"> </w:t>
            </w:r>
            <w:r w:rsidRPr="00EE6171">
              <w:rPr>
                <w:color w:val="7F7F7F" w:themeColor="text2"/>
              </w:rPr>
              <w:t>have formal assessment or a credential awarded.</w:t>
            </w:r>
          </w:p>
        </w:tc>
      </w:tr>
      <w:tr w:rsidR="00646D11" w:rsidRPr="00365EB2" w:rsidTr="009250F1">
        <w:tc>
          <w:tcPr>
            <w:tcW w:w="2235" w:type="dxa"/>
          </w:tcPr>
          <w:p w:rsidR="00646D11" w:rsidRPr="00BB466D" w:rsidRDefault="00646D11" w:rsidP="00AB62FC">
            <w:r w:rsidRPr="00EE6171">
              <w:rPr>
                <w:color w:val="7F7F7F" w:themeColor="text2"/>
              </w:rPr>
              <w:t>Region</w:t>
            </w:r>
          </w:p>
        </w:tc>
        <w:tc>
          <w:tcPr>
            <w:tcW w:w="5811" w:type="dxa"/>
          </w:tcPr>
          <w:p w:rsidR="00646D11" w:rsidRPr="00BB466D" w:rsidRDefault="00646D11" w:rsidP="00EE6171">
            <w:proofErr w:type="gramStart"/>
            <w:r w:rsidRPr="00EE6171">
              <w:rPr>
                <w:color w:val="7F7F7F" w:themeColor="text2"/>
              </w:rPr>
              <w:t xml:space="preserve">One of the </w:t>
            </w:r>
            <w:r w:rsidR="00095538" w:rsidRPr="00EE6171">
              <w:rPr>
                <w:color w:val="7F7F7F" w:themeColor="text2"/>
              </w:rPr>
              <w:t>four Departmental administrative regions or nine regional areas</w:t>
            </w:r>
            <w:r w:rsidRPr="00EE6171">
              <w:rPr>
                <w:color w:val="7F7F7F" w:themeColor="text2"/>
              </w:rPr>
              <w:t>.</w:t>
            </w:r>
            <w:proofErr w:type="gramEnd"/>
          </w:p>
        </w:tc>
      </w:tr>
      <w:tr w:rsidR="0084117E" w:rsidRPr="00365EB2" w:rsidTr="009250F1">
        <w:tc>
          <w:tcPr>
            <w:tcW w:w="2235" w:type="dxa"/>
          </w:tcPr>
          <w:p w:rsidR="0084117E" w:rsidRPr="00EE6171" w:rsidRDefault="0084117E" w:rsidP="00AB62FC">
            <w:pPr>
              <w:rPr>
                <w:color w:val="7F7F7F" w:themeColor="text2"/>
              </w:rPr>
            </w:pPr>
            <w:r>
              <w:rPr>
                <w:color w:val="7F7F7F" w:themeColor="text2"/>
              </w:rPr>
              <w:lastRenderedPageBreak/>
              <w:t>Total VET Activity (TVA)</w:t>
            </w:r>
          </w:p>
        </w:tc>
        <w:tc>
          <w:tcPr>
            <w:tcW w:w="5811" w:type="dxa"/>
          </w:tcPr>
          <w:p w:rsidR="0084117E" w:rsidRPr="00EE6171" w:rsidRDefault="0084117E" w:rsidP="0084117E">
            <w:pPr>
              <w:rPr>
                <w:color w:val="7F7F7F" w:themeColor="text2"/>
              </w:rPr>
            </w:pPr>
            <w:r>
              <w:rPr>
                <w:color w:val="7F7F7F" w:themeColor="text2"/>
              </w:rPr>
              <w:t>Following agreement by all Skills Ministers, a</w:t>
            </w:r>
            <w:r w:rsidRPr="0084117E">
              <w:rPr>
                <w:color w:val="7F7F7F" w:themeColor="text2"/>
              </w:rPr>
              <w:t>ll RTOs must collect and report 'Total VET Activity' data</w:t>
            </w:r>
            <w:r>
              <w:rPr>
                <w:color w:val="7F7F7F" w:themeColor="text2"/>
              </w:rPr>
              <w:t xml:space="preserve"> on funded and fee-for-service VET activity</w:t>
            </w:r>
            <w:r w:rsidRPr="0084117E">
              <w:rPr>
                <w:color w:val="7F7F7F" w:themeColor="text2"/>
              </w:rPr>
              <w:t>. This includes full Australian Vocational Education and Training Management Information Statistical Standard (AVETMISS) data, in accordance with the National VET Provider Collection Data Requirements Policy.</w:t>
            </w:r>
          </w:p>
        </w:tc>
      </w:tr>
    </w:tbl>
    <w:p w:rsidR="00234151" w:rsidRPr="00365EB2" w:rsidRDefault="003A373D">
      <w:r w:rsidRPr="00365EB2">
        <w:br w:type="page"/>
      </w:r>
    </w:p>
    <w:p w:rsidR="00A8197C" w:rsidRPr="00B40D16" w:rsidRDefault="00A8197C" w:rsidP="00B40D16">
      <w:pPr>
        <w:pStyle w:val="Heading1"/>
        <w:numPr>
          <w:ilvl w:val="0"/>
          <w:numId w:val="31"/>
        </w:numPr>
        <w:rPr>
          <w:color w:val="B41F22" w:themeColor="accent1"/>
        </w:rPr>
      </w:pPr>
      <w:bookmarkStart w:id="5" w:name="_Toc432758315"/>
      <w:r w:rsidRPr="00B40D16">
        <w:rPr>
          <w:color w:val="B41F22" w:themeColor="accent1"/>
        </w:rPr>
        <w:lastRenderedPageBreak/>
        <w:t>Vocational Training Summary</w:t>
      </w:r>
      <w:bookmarkEnd w:id="5"/>
    </w:p>
    <w:p w:rsidR="00A8197C" w:rsidRPr="00365EB2" w:rsidRDefault="00A8197C" w:rsidP="00AB4E4A"/>
    <w:p w:rsidR="00A8197C" w:rsidRPr="00612488" w:rsidRDefault="00A8197C" w:rsidP="00A8197C">
      <w:pPr>
        <w:pStyle w:val="Heading2"/>
        <w:rPr>
          <w:color w:val="B41F22" w:themeColor="accent1"/>
        </w:rPr>
      </w:pPr>
      <w:bookmarkStart w:id="6" w:name="_Toc432758316"/>
      <w:r w:rsidRPr="00612488">
        <w:rPr>
          <w:color w:val="B41F22" w:themeColor="accent1"/>
        </w:rPr>
        <w:t xml:space="preserve">Vocational Training by </w:t>
      </w:r>
      <w:r w:rsidR="00CD5CBF">
        <w:rPr>
          <w:color w:val="B41F22" w:themeColor="accent1"/>
        </w:rPr>
        <w:t>Accredited / Pre-Accredited Program</w:t>
      </w:r>
      <w:bookmarkEnd w:id="6"/>
    </w:p>
    <w:p w:rsidR="00A8197C" w:rsidRPr="00365EB2" w:rsidRDefault="00A8197C" w:rsidP="001C4B5C"/>
    <w:p w:rsidR="00A8197C" w:rsidRPr="00365EB2" w:rsidRDefault="00A8197C" w:rsidP="009D0570">
      <w:pPr>
        <w:spacing w:after="120"/>
      </w:pPr>
      <w:r w:rsidRPr="00365EB2">
        <w:t xml:space="preserve">This section provides an overview of training activity measured in terms of </w:t>
      </w:r>
      <w:r w:rsidR="00BE139C" w:rsidRPr="00365EB2">
        <w:t>student numbers</w:t>
      </w:r>
      <w:r w:rsidR="00834D5D">
        <w:t xml:space="preserve"> and</w:t>
      </w:r>
      <w:r w:rsidR="00BE139C" w:rsidRPr="00365EB2">
        <w:t xml:space="preserve"> </w:t>
      </w:r>
      <w:r w:rsidRPr="00365EB2">
        <w:t>course enrolments.</w:t>
      </w:r>
    </w:p>
    <w:p w:rsidR="00A8197C" w:rsidRDefault="00A8197C" w:rsidP="00CB11A4">
      <w:pPr>
        <w:pStyle w:val="Quote"/>
        <w:pBdr>
          <w:top w:val="single" w:sz="4" w:space="1" w:color="7F7F7F" w:themeColor="text2"/>
          <w:left w:val="single" w:sz="4" w:space="4" w:color="7F7F7F" w:themeColor="text2"/>
          <w:bottom w:val="single" w:sz="4" w:space="1" w:color="7F7F7F" w:themeColor="text2"/>
          <w:right w:val="single" w:sz="4" w:space="0" w:color="7F7F7F" w:themeColor="text2"/>
        </w:pBdr>
        <w:spacing w:before="120" w:after="120"/>
      </w:pPr>
      <w:r w:rsidRPr="00BB466D">
        <w:t>Key points</w:t>
      </w:r>
    </w:p>
    <w:p w:rsidR="00E72DE6" w:rsidRPr="003E1246" w:rsidRDefault="00E72DE6" w:rsidP="00CB11A4">
      <w:pPr>
        <w:pStyle w:val="Quote"/>
        <w:numPr>
          <w:ilvl w:val="0"/>
          <w:numId w:val="29"/>
        </w:numPr>
        <w:pBdr>
          <w:top w:val="single" w:sz="4" w:space="1" w:color="7F7F7F" w:themeColor="text2"/>
          <w:left w:val="single" w:sz="4" w:space="4" w:color="7F7F7F" w:themeColor="text2"/>
          <w:bottom w:val="single" w:sz="4" w:space="1" w:color="7F7F7F" w:themeColor="text2"/>
          <w:right w:val="single" w:sz="4" w:space="0" w:color="7F7F7F" w:themeColor="text2"/>
        </w:pBdr>
        <w:spacing w:before="120" w:after="120"/>
        <w:rPr>
          <w:sz w:val="18"/>
          <w:szCs w:val="18"/>
        </w:rPr>
      </w:pPr>
      <w:r w:rsidRPr="003E1246">
        <w:rPr>
          <w:b w:val="0"/>
          <w:sz w:val="18"/>
          <w:szCs w:val="18"/>
        </w:rPr>
        <w:t>There were 275,353 students enrolled in government subsidised training</w:t>
      </w:r>
      <w:r w:rsidR="007C3FB2">
        <w:rPr>
          <w:b w:val="0"/>
          <w:sz w:val="18"/>
          <w:szCs w:val="18"/>
        </w:rPr>
        <w:t xml:space="preserve"> (including both pre-accredited and accredited)</w:t>
      </w:r>
      <w:r w:rsidRPr="003E1246">
        <w:rPr>
          <w:b w:val="0"/>
          <w:sz w:val="18"/>
          <w:szCs w:val="18"/>
        </w:rPr>
        <w:t xml:space="preserve"> in 2015 (half year), this was 12 per cent lower than 2014 (half year)</w:t>
      </w:r>
      <w:r w:rsidR="006811B3">
        <w:rPr>
          <w:b w:val="0"/>
          <w:sz w:val="18"/>
          <w:szCs w:val="18"/>
        </w:rPr>
        <w:t>, but 27 per cent higher than the same period in 2010</w:t>
      </w:r>
      <w:r w:rsidRPr="003E1246">
        <w:rPr>
          <w:b w:val="0"/>
          <w:sz w:val="18"/>
          <w:szCs w:val="18"/>
        </w:rPr>
        <w:t>.</w:t>
      </w:r>
    </w:p>
    <w:p w:rsidR="00354213" w:rsidRPr="003E1246" w:rsidRDefault="00C1061B" w:rsidP="00CB11A4">
      <w:pPr>
        <w:pStyle w:val="Quote"/>
        <w:numPr>
          <w:ilvl w:val="0"/>
          <w:numId w:val="29"/>
        </w:numPr>
        <w:pBdr>
          <w:top w:val="single" w:sz="4" w:space="1" w:color="7F7F7F" w:themeColor="text2"/>
          <w:left w:val="single" w:sz="4" w:space="4" w:color="7F7F7F" w:themeColor="text2"/>
          <w:bottom w:val="single" w:sz="4" w:space="1" w:color="7F7F7F" w:themeColor="text2"/>
          <w:right w:val="single" w:sz="4" w:space="0" w:color="7F7F7F" w:themeColor="text2"/>
        </w:pBdr>
        <w:spacing w:before="120" w:after="120"/>
        <w:rPr>
          <w:sz w:val="18"/>
          <w:szCs w:val="18"/>
        </w:rPr>
      </w:pPr>
      <w:r w:rsidRPr="003E1246">
        <w:rPr>
          <w:b w:val="0"/>
          <w:sz w:val="18"/>
          <w:szCs w:val="18"/>
        </w:rPr>
        <w:t xml:space="preserve">The decrease in </w:t>
      </w:r>
      <w:r w:rsidR="00A2615A" w:rsidRPr="003E1246">
        <w:rPr>
          <w:b w:val="0"/>
          <w:sz w:val="18"/>
          <w:szCs w:val="18"/>
        </w:rPr>
        <w:t xml:space="preserve">the number of </w:t>
      </w:r>
      <w:r w:rsidRPr="003E1246">
        <w:rPr>
          <w:b w:val="0"/>
          <w:sz w:val="18"/>
          <w:szCs w:val="18"/>
        </w:rPr>
        <w:t xml:space="preserve">students in 2015 (half year) was </w:t>
      </w:r>
      <w:r w:rsidR="000407E3" w:rsidRPr="003E1246">
        <w:rPr>
          <w:b w:val="0"/>
          <w:sz w:val="18"/>
          <w:szCs w:val="18"/>
        </w:rPr>
        <w:t>due to a decline in both the number of s</w:t>
      </w:r>
      <w:r w:rsidRPr="003E1246">
        <w:rPr>
          <w:b w:val="0"/>
          <w:sz w:val="18"/>
          <w:szCs w:val="18"/>
        </w:rPr>
        <w:t>tudents undertaking accredited training (</w:t>
      </w:r>
      <w:r w:rsidR="00E72DE6" w:rsidRPr="003E1246">
        <w:rPr>
          <w:b w:val="0"/>
          <w:sz w:val="18"/>
          <w:szCs w:val="18"/>
        </w:rPr>
        <w:t xml:space="preserve">12 per cent lower than 2014 half year) and </w:t>
      </w:r>
      <w:r w:rsidRPr="003E1246">
        <w:rPr>
          <w:b w:val="0"/>
          <w:sz w:val="18"/>
          <w:szCs w:val="18"/>
        </w:rPr>
        <w:t>pre-accredited training (</w:t>
      </w:r>
      <w:r w:rsidR="00E72DE6" w:rsidRPr="003E1246">
        <w:rPr>
          <w:b w:val="0"/>
          <w:sz w:val="18"/>
          <w:szCs w:val="18"/>
        </w:rPr>
        <w:t>3</w:t>
      </w:r>
      <w:r w:rsidR="00A2615A" w:rsidRPr="003E1246">
        <w:rPr>
          <w:b w:val="0"/>
          <w:sz w:val="18"/>
          <w:szCs w:val="18"/>
        </w:rPr>
        <w:t xml:space="preserve"> per cent</w:t>
      </w:r>
      <w:r w:rsidR="00E72DE6" w:rsidRPr="003E1246">
        <w:rPr>
          <w:b w:val="0"/>
          <w:sz w:val="18"/>
          <w:szCs w:val="18"/>
        </w:rPr>
        <w:t xml:space="preserve"> lower than 2014 half year).</w:t>
      </w:r>
    </w:p>
    <w:p w:rsidR="00C1061B" w:rsidRPr="003E1246" w:rsidRDefault="00C1061B" w:rsidP="00CB11A4">
      <w:pPr>
        <w:pStyle w:val="Quote"/>
        <w:numPr>
          <w:ilvl w:val="0"/>
          <w:numId w:val="29"/>
        </w:numPr>
        <w:pBdr>
          <w:top w:val="single" w:sz="4" w:space="1" w:color="7F7F7F" w:themeColor="text2"/>
          <w:left w:val="single" w:sz="4" w:space="4" w:color="7F7F7F" w:themeColor="text2"/>
          <w:bottom w:val="single" w:sz="4" w:space="1" w:color="7F7F7F" w:themeColor="text2"/>
          <w:right w:val="single" w:sz="4" w:space="0" w:color="7F7F7F" w:themeColor="text2"/>
        </w:pBdr>
        <w:spacing w:before="120" w:after="120"/>
        <w:rPr>
          <w:sz w:val="18"/>
          <w:szCs w:val="18"/>
        </w:rPr>
      </w:pPr>
      <w:r w:rsidRPr="003E1246">
        <w:rPr>
          <w:b w:val="0"/>
          <w:sz w:val="18"/>
          <w:szCs w:val="18"/>
        </w:rPr>
        <w:t>The number of government subsidised course enrolments reported in 2015 (half year) was 324,994, this was 14 per cent lower than 2014 (half year)</w:t>
      </w:r>
      <w:r w:rsidR="006811B3">
        <w:rPr>
          <w:b w:val="0"/>
          <w:sz w:val="18"/>
          <w:szCs w:val="18"/>
        </w:rPr>
        <w:t>, but 27 per cent higher than the same period in 2010</w:t>
      </w:r>
      <w:r w:rsidRPr="003E1246">
        <w:rPr>
          <w:b w:val="0"/>
          <w:sz w:val="18"/>
          <w:szCs w:val="18"/>
        </w:rPr>
        <w:t>.</w:t>
      </w:r>
    </w:p>
    <w:p w:rsidR="00A2615A" w:rsidRPr="003E1246" w:rsidRDefault="00A2615A" w:rsidP="00B0377B">
      <w:pPr>
        <w:pStyle w:val="Quote"/>
        <w:numPr>
          <w:ilvl w:val="0"/>
          <w:numId w:val="29"/>
        </w:numPr>
        <w:pBdr>
          <w:top w:val="single" w:sz="4" w:space="1" w:color="7F7F7F" w:themeColor="text2"/>
          <w:left w:val="single" w:sz="4" w:space="4" w:color="7F7F7F" w:themeColor="text2"/>
          <w:bottom w:val="single" w:sz="4" w:space="1" w:color="7F7F7F" w:themeColor="text2"/>
          <w:right w:val="single" w:sz="4" w:space="0" w:color="7F7F7F" w:themeColor="text2"/>
        </w:pBdr>
        <w:spacing w:before="120"/>
        <w:ind w:left="357" w:hanging="357"/>
        <w:rPr>
          <w:sz w:val="18"/>
          <w:szCs w:val="18"/>
        </w:rPr>
      </w:pPr>
      <w:r w:rsidRPr="003E1246">
        <w:rPr>
          <w:b w:val="0"/>
          <w:sz w:val="18"/>
          <w:szCs w:val="18"/>
        </w:rPr>
        <w:t xml:space="preserve">The decrease in the number of course enrolments in 2015 (half year) was </w:t>
      </w:r>
      <w:r w:rsidR="000407E3" w:rsidRPr="003E1246">
        <w:rPr>
          <w:b w:val="0"/>
          <w:sz w:val="18"/>
          <w:szCs w:val="18"/>
        </w:rPr>
        <w:t xml:space="preserve">due to a decline in </w:t>
      </w:r>
      <w:r w:rsidRPr="003E1246">
        <w:rPr>
          <w:b w:val="0"/>
          <w:sz w:val="18"/>
          <w:szCs w:val="18"/>
        </w:rPr>
        <w:t>both accredited course enrolments (15 per cent lower than 2014 half year) and pre-accredited course enrolments (2 per cent lower than 2014 half year).</w:t>
      </w:r>
    </w:p>
    <w:p w:rsidR="00EE1DF8" w:rsidRPr="006B30C6" w:rsidRDefault="00EE1DF8" w:rsidP="00CB11A4">
      <w:pPr>
        <w:pStyle w:val="Quote"/>
        <w:pBdr>
          <w:top w:val="single" w:sz="4" w:space="1" w:color="7F7F7F" w:themeColor="text2"/>
          <w:left w:val="single" w:sz="4" w:space="4" w:color="7F7F7F" w:themeColor="text2"/>
          <w:bottom w:val="single" w:sz="4" w:space="1" w:color="7F7F7F" w:themeColor="text2"/>
          <w:right w:val="single" w:sz="4" w:space="0" w:color="7F7F7F" w:themeColor="text2"/>
        </w:pBdr>
        <w:rPr>
          <w:sz w:val="18"/>
          <w:szCs w:val="18"/>
        </w:rPr>
      </w:pPr>
    </w:p>
    <w:p w:rsidR="001F6F2E" w:rsidRPr="006B30C6" w:rsidRDefault="001F6F2E" w:rsidP="006B30C6">
      <w:pPr>
        <w:rPr>
          <w:color w:val="7F7F7F" w:themeColor="text2"/>
          <w:szCs w:val="18"/>
        </w:rPr>
      </w:pPr>
    </w:p>
    <w:p w:rsidR="00A2615A" w:rsidRPr="006B30C6" w:rsidRDefault="00A2615A">
      <w:pPr>
        <w:rPr>
          <w:color w:val="7F7F7F" w:themeColor="text2"/>
          <w:szCs w:val="18"/>
        </w:rPr>
      </w:pPr>
    </w:p>
    <w:tbl>
      <w:tblPr>
        <w:tblStyle w:val="TableGrid"/>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230"/>
      </w:tblGrid>
      <w:tr w:rsidR="006B30C6" w:rsidTr="007803F5">
        <w:tc>
          <w:tcPr>
            <w:tcW w:w="1134" w:type="dxa"/>
            <w:tcMar>
              <w:left w:w="0" w:type="dxa"/>
              <w:right w:w="0" w:type="dxa"/>
            </w:tcMar>
          </w:tcPr>
          <w:p w:rsidR="006B30C6" w:rsidRDefault="006B30C6" w:rsidP="00AB1331">
            <w:pPr>
              <w:pStyle w:val="Quote"/>
              <w:tabs>
                <w:tab w:val="left" w:pos="1134"/>
              </w:tabs>
              <w:rPr>
                <w:b w:val="0"/>
                <w:color w:val="B41F22" w:themeColor="accent1"/>
              </w:rPr>
            </w:pPr>
            <w:r>
              <w:rPr>
                <w:b w:val="0"/>
                <w:color w:val="B41F22" w:themeColor="accent1"/>
              </w:rPr>
              <w:t>Table 1.</w:t>
            </w:r>
            <w:r w:rsidR="007C3FB2">
              <w:rPr>
                <w:b w:val="0"/>
                <w:color w:val="B41F22" w:themeColor="accent1"/>
              </w:rPr>
              <w:t>1</w:t>
            </w:r>
            <w:r>
              <w:rPr>
                <w:b w:val="0"/>
                <w:color w:val="B41F22" w:themeColor="accent1"/>
              </w:rPr>
              <w:t>.1</w:t>
            </w:r>
            <w:r w:rsidR="00657F88">
              <w:rPr>
                <w:b w:val="0"/>
                <w:color w:val="B41F22" w:themeColor="accent1"/>
              </w:rPr>
              <w:t>:</w:t>
            </w:r>
          </w:p>
        </w:tc>
        <w:tc>
          <w:tcPr>
            <w:tcW w:w="7230" w:type="dxa"/>
            <w:tcMar>
              <w:left w:w="0" w:type="dxa"/>
              <w:right w:w="0" w:type="dxa"/>
            </w:tcMar>
          </w:tcPr>
          <w:p w:rsidR="006B30C6" w:rsidRDefault="006B30C6" w:rsidP="00A75442">
            <w:pPr>
              <w:pStyle w:val="Quote"/>
              <w:tabs>
                <w:tab w:val="left" w:pos="1134"/>
              </w:tabs>
              <w:rPr>
                <w:b w:val="0"/>
                <w:color w:val="B41F22" w:themeColor="accent1"/>
              </w:rPr>
            </w:pPr>
            <w:r w:rsidRPr="00B25196">
              <w:rPr>
                <w:b w:val="0"/>
                <w:color w:val="B41F22" w:themeColor="accent1"/>
              </w:rPr>
              <w:t>Students in government subsidised accredited and pre-accredited training, 2010 to 2015 (half year)</w:t>
            </w:r>
          </w:p>
        </w:tc>
      </w:tr>
    </w:tbl>
    <w:tbl>
      <w:tblPr>
        <w:tblW w:w="8379" w:type="dxa"/>
        <w:tblInd w:w="93" w:type="dxa"/>
        <w:tblLayout w:type="fixed"/>
        <w:tblLook w:val="04A0" w:firstRow="1" w:lastRow="0" w:firstColumn="1" w:lastColumn="0" w:noHBand="0" w:noVBand="1"/>
      </w:tblPr>
      <w:tblGrid>
        <w:gridCol w:w="2000"/>
        <w:gridCol w:w="1063"/>
        <w:gridCol w:w="1063"/>
        <w:gridCol w:w="1063"/>
        <w:gridCol w:w="1063"/>
        <w:gridCol w:w="1063"/>
        <w:gridCol w:w="1064"/>
      </w:tblGrid>
      <w:tr w:rsidR="00E83408" w:rsidRPr="00E83408" w:rsidTr="00E83408">
        <w:trPr>
          <w:trHeight w:val="300"/>
        </w:trPr>
        <w:tc>
          <w:tcPr>
            <w:tcW w:w="2000" w:type="dxa"/>
            <w:tcBorders>
              <w:top w:val="nil"/>
              <w:left w:val="nil"/>
              <w:bottom w:val="nil"/>
              <w:right w:val="nil"/>
            </w:tcBorders>
            <w:shd w:val="clear" w:color="000000" w:fill="7F7F7F"/>
            <w:noWrap/>
            <w:vAlign w:val="center"/>
            <w:hideMark/>
          </w:tcPr>
          <w:p w:rsidR="00E83408" w:rsidRPr="00E83408" w:rsidRDefault="00E83408" w:rsidP="00E83408">
            <w:pPr>
              <w:rPr>
                <w:rFonts w:cs="Arial"/>
                <w:color w:val="FFFFFF"/>
                <w:szCs w:val="18"/>
                <w:lang w:eastAsia="en-AU"/>
              </w:rPr>
            </w:pPr>
            <w:r w:rsidRPr="00E83408">
              <w:rPr>
                <w:rFonts w:cs="Arial"/>
                <w:color w:val="FFFFFF"/>
                <w:szCs w:val="18"/>
                <w:lang w:eastAsia="en-AU"/>
              </w:rPr>
              <w:t> </w:t>
            </w:r>
          </w:p>
        </w:tc>
        <w:tc>
          <w:tcPr>
            <w:tcW w:w="1063" w:type="dxa"/>
            <w:tcBorders>
              <w:top w:val="nil"/>
              <w:left w:val="nil"/>
              <w:bottom w:val="nil"/>
              <w:right w:val="nil"/>
            </w:tcBorders>
            <w:shd w:val="clear" w:color="000000" w:fill="7F7F7F"/>
            <w:noWrap/>
            <w:vAlign w:val="center"/>
            <w:hideMark/>
          </w:tcPr>
          <w:p w:rsidR="00E83408" w:rsidRPr="00E83408" w:rsidRDefault="00E83408" w:rsidP="00E83408">
            <w:pPr>
              <w:jc w:val="right"/>
              <w:rPr>
                <w:rFonts w:cs="Arial"/>
                <w:b/>
                <w:bCs/>
                <w:color w:val="FFFFFF"/>
                <w:szCs w:val="18"/>
                <w:lang w:eastAsia="en-AU"/>
              </w:rPr>
            </w:pPr>
            <w:r w:rsidRPr="00E83408">
              <w:rPr>
                <w:rFonts w:cs="Arial"/>
                <w:b/>
                <w:bCs/>
                <w:color w:val="FFFFFF"/>
                <w:szCs w:val="18"/>
                <w:lang w:eastAsia="en-AU"/>
              </w:rPr>
              <w:t>2010</w:t>
            </w:r>
          </w:p>
        </w:tc>
        <w:tc>
          <w:tcPr>
            <w:tcW w:w="1063" w:type="dxa"/>
            <w:tcBorders>
              <w:top w:val="nil"/>
              <w:left w:val="nil"/>
              <w:bottom w:val="nil"/>
              <w:right w:val="nil"/>
            </w:tcBorders>
            <w:shd w:val="clear" w:color="000000" w:fill="7F7F7F"/>
            <w:noWrap/>
            <w:vAlign w:val="center"/>
            <w:hideMark/>
          </w:tcPr>
          <w:p w:rsidR="00E83408" w:rsidRPr="00E83408" w:rsidRDefault="00E83408" w:rsidP="00E83408">
            <w:pPr>
              <w:jc w:val="right"/>
              <w:rPr>
                <w:rFonts w:cs="Arial"/>
                <w:b/>
                <w:bCs/>
                <w:color w:val="FFFFFF"/>
                <w:szCs w:val="18"/>
                <w:lang w:eastAsia="en-AU"/>
              </w:rPr>
            </w:pPr>
            <w:r w:rsidRPr="00E83408">
              <w:rPr>
                <w:rFonts w:cs="Arial"/>
                <w:b/>
                <w:bCs/>
                <w:color w:val="FFFFFF"/>
                <w:szCs w:val="18"/>
                <w:lang w:eastAsia="en-AU"/>
              </w:rPr>
              <w:t>2011</w:t>
            </w:r>
          </w:p>
        </w:tc>
        <w:tc>
          <w:tcPr>
            <w:tcW w:w="1063" w:type="dxa"/>
            <w:tcBorders>
              <w:top w:val="nil"/>
              <w:left w:val="nil"/>
              <w:bottom w:val="nil"/>
              <w:right w:val="nil"/>
            </w:tcBorders>
            <w:shd w:val="clear" w:color="000000" w:fill="7F7F7F"/>
            <w:noWrap/>
            <w:vAlign w:val="center"/>
            <w:hideMark/>
          </w:tcPr>
          <w:p w:rsidR="00E83408" w:rsidRPr="00E83408" w:rsidRDefault="00E83408" w:rsidP="00E83408">
            <w:pPr>
              <w:jc w:val="right"/>
              <w:rPr>
                <w:rFonts w:cs="Arial"/>
                <w:b/>
                <w:bCs/>
                <w:color w:val="FFFFFF"/>
                <w:szCs w:val="18"/>
                <w:lang w:eastAsia="en-AU"/>
              </w:rPr>
            </w:pPr>
            <w:r w:rsidRPr="00E83408">
              <w:rPr>
                <w:rFonts w:cs="Arial"/>
                <w:b/>
                <w:bCs/>
                <w:color w:val="FFFFFF"/>
                <w:szCs w:val="18"/>
                <w:lang w:eastAsia="en-AU"/>
              </w:rPr>
              <w:t>2012</w:t>
            </w:r>
          </w:p>
        </w:tc>
        <w:tc>
          <w:tcPr>
            <w:tcW w:w="1063" w:type="dxa"/>
            <w:tcBorders>
              <w:top w:val="nil"/>
              <w:left w:val="nil"/>
              <w:bottom w:val="nil"/>
              <w:right w:val="nil"/>
            </w:tcBorders>
            <w:shd w:val="clear" w:color="000000" w:fill="7F7F7F"/>
            <w:noWrap/>
            <w:vAlign w:val="center"/>
            <w:hideMark/>
          </w:tcPr>
          <w:p w:rsidR="00E83408" w:rsidRPr="00E83408" w:rsidRDefault="00E83408" w:rsidP="00E83408">
            <w:pPr>
              <w:jc w:val="right"/>
              <w:rPr>
                <w:rFonts w:cs="Arial"/>
                <w:b/>
                <w:bCs/>
                <w:color w:val="FFFFFF"/>
                <w:szCs w:val="18"/>
                <w:lang w:eastAsia="en-AU"/>
              </w:rPr>
            </w:pPr>
            <w:r w:rsidRPr="00E83408">
              <w:rPr>
                <w:rFonts w:cs="Arial"/>
                <w:b/>
                <w:bCs/>
                <w:color w:val="FFFFFF"/>
                <w:szCs w:val="18"/>
                <w:lang w:eastAsia="en-AU"/>
              </w:rPr>
              <w:t>2013</w:t>
            </w:r>
          </w:p>
        </w:tc>
        <w:tc>
          <w:tcPr>
            <w:tcW w:w="1063" w:type="dxa"/>
            <w:tcBorders>
              <w:top w:val="nil"/>
              <w:left w:val="nil"/>
              <w:bottom w:val="nil"/>
              <w:right w:val="nil"/>
            </w:tcBorders>
            <w:shd w:val="clear" w:color="000000" w:fill="7F7F7F"/>
            <w:noWrap/>
            <w:vAlign w:val="center"/>
            <w:hideMark/>
          </w:tcPr>
          <w:p w:rsidR="00E83408" w:rsidRPr="00E83408" w:rsidRDefault="00E83408" w:rsidP="00E83408">
            <w:pPr>
              <w:jc w:val="right"/>
              <w:rPr>
                <w:rFonts w:cs="Arial"/>
                <w:b/>
                <w:bCs/>
                <w:color w:val="FFFFFF"/>
                <w:szCs w:val="18"/>
                <w:lang w:eastAsia="en-AU"/>
              </w:rPr>
            </w:pPr>
            <w:r w:rsidRPr="00E83408">
              <w:rPr>
                <w:rFonts w:cs="Arial"/>
                <w:b/>
                <w:bCs/>
                <w:color w:val="FFFFFF"/>
                <w:szCs w:val="18"/>
                <w:lang w:eastAsia="en-AU"/>
              </w:rPr>
              <w:t>2014</w:t>
            </w:r>
          </w:p>
        </w:tc>
        <w:tc>
          <w:tcPr>
            <w:tcW w:w="1064" w:type="dxa"/>
            <w:tcBorders>
              <w:top w:val="nil"/>
              <w:left w:val="nil"/>
              <w:bottom w:val="nil"/>
              <w:right w:val="nil"/>
            </w:tcBorders>
            <w:shd w:val="clear" w:color="000000" w:fill="7F7F7F"/>
            <w:noWrap/>
            <w:vAlign w:val="center"/>
            <w:hideMark/>
          </w:tcPr>
          <w:p w:rsidR="00E83408" w:rsidRPr="00E83408" w:rsidRDefault="00E83408" w:rsidP="00E83408">
            <w:pPr>
              <w:jc w:val="right"/>
              <w:rPr>
                <w:rFonts w:cs="Arial"/>
                <w:b/>
                <w:bCs/>
                <w:color w:val="FFFFFF"/>
                <w:szCs w:val="18"/>
                <w:lang w:eastAsia="en-AU"/>
              </w:rPr>
            </w:pPr>
            <w:r w:rsidRPr="00E83408">
              <w:rPr>
                <w:rFonts w:cs="Arial"/>
                <w:b/>
                <w:bCs/>
                <w:color w:val="FFFFFF"/>
                <w:szCs w:val="18"/>
                <w:lang w:eastAsia="en-AU"/>
              </w:rPr>
              <w:t>2015</w:t>
            </w:r>
          </w:p>
        </w:tc>
      </w:tr>
      <w:tr w:rsidR="00E83408" w:rsidRPr="00E83408" w:rsidTr="00E83408">
        <w:trPr>
          <w:trHeight w:val="300"/>
        </w:trPr>
        <w:tc>
          <w:tcPr>
            <w:tcW w:w="2000" w:type="dxa"/>
            <w:tcBorders>
              <w:top w:val="nil"/>
              <w:left w:val="nil"/>
              <w:bottom w:val="nil"/>
              <w:right w:val="nil"/>
            </w:tcBorders>
            <w:shd w:val="clear" w:color="auto" w:fill="auto"/>
            <w:noWrap/>
            <w:vAlign w:val="center"/>
            <w:hideMark/>
          </w:tcPr>
          <w:p w:rsidR="00E83408" w:rsidRPr="00E83408" w:rsidRDefault="00E83408" w:rsidP="00E83408">
            <w:pPr>
              <w:rPr>
                <w:rFonts w:cs="Arial"/>
                <w:color w:val="7F7F7F"/>
                <w:szCs w:val="18"/>
                <w:lang w:eastAsia="en-AU"/>
              </w:rPr>
            </w:pPr>
            <w:r w:rsidRPr="00E83408">
              <w:rPr>
                <w:rFonts w:cs="Arial"/>
                <w:color w:val="7F7F7F"/>
                <w:szCs w:val="18"/>
                <w:lang w:eastAsia="en-AU"/>
              </w:rPr>
              <w:t>Accredited</w:t>
            </w:r>
          </w:p>
        </w:tc>
        <w:tc>
          <w:tcPr>
            <w:tcW w:w="1063" w:type="dxa"/>
            <w:tcBorders>
              <w:top w:val="nil"/>
              <w:left w:val="nil"/>
              <w:bottom w:val="nil"/>
              <w:right w:val="nil"/>
            </w:tcBorders>
            <w:shd w:val="clear" w:color="auto" w:fill="auto"/>
            <w:noWrap/>
            <w:vAlign w:val="center"/>
            <w:hideMark/>
          </w:tcPr>
          <w:p w:rsidR="00E83408" w:rsidRPr="00E83408" w:rsidRDefault="00E83408" w:rsidP="00E83408">
            <w:pPr>
              <w:jc w:val="right"/>
              <w:rPr>
                <w:rFonts w:cs="Arial"/>
                <w:color w:val="7F7F7F"/>
                <w:szCs w:val="18"/>
                <w:lang w:eastAsia="en-AU"/>
              </w:rPr>
            </w:pPr>
            <w:r w:rsidRPr="00E83408">
              <w:rPr>
                <w:rFonts w:cs="Arial"/>
                <w:color w:val="7F7F7F"/>
                <w:szCs w:val="18"/>
                <w:lang w:eastAsia="en-AU"/>
              </w:rPr>
              <w:t>211,528</w:t>
            </w:r>
          </w:p>
        </w:tc>
        <w:tc>
          <w:tcPr>
            <w:tcW w:w="1063" w:type="dxa"/>
            <w:tcBorders>
              <w:top w:val="nil"/>
              <w:left w:val="nil"/>
              <w:bottom w:val="nil"/>
              <w:right w:val="nil"/>
            </w:tcBorders>
            <w:shd w:val="clear" w:color="auto" w:fill="auto"/>
            <w:noWrap/>
            <w:vAlign w:val="center"/>
            <w:hideMark/>
          </w:tcPr>
          <w:p w:rsidR="00E83408" w:rsidRPr="00E83408" w:rsidRDefault="00E83408" w:rsidP="00E83408">
            <w:pPr>
              <w:jc w:val="right"/>
              <w:rPr>
                <w:rFonts w:cs="Arial"/>
                <w:color w:val="7F7F7F"/>
                <w:szCs w:val="18"/>
                <w:lang w:eastAsia="en-AU"/>
              </w:rPr>
            </w:pPr>
            <w:r w:rsidRPr="00E83408">
              <w:rPr>
                <w:rFonts w:cs="Arial"/>
                <w:color w:val="7F7F7F"/>
                <w:szCs w:val="18"/>
                <w:lang w:eastAsia="en-AU"/>
              </w:rPr>
              <w:t>260,287</w:t>
            </w:r>
          </w:p>
        </w:tc>
        <w:tc>
          <w:tcPr>
            <w:tcW w:w="1063" w:type="dxa"/>
            <w:tcBorders>
              <w:top w:val="nil"/>
              <w:left w:val="nil"/>
              <w:bottom w:val="nil"/>
              <w:right w:val="nil"/>
            </w:tcBorders>
            <w:shd w:val="clear" w:color="auto" w:fill="auto"/>
            <w:noWrap/>
            <w:vAlign w:val="center"/>
            <w:hideMark/>
          </w:tcPr>
          <w:p w:rsidR="00E83408" w:rsidRPr="00E83408" w:rsidRDefault="00E83408" w:rsidP="00E83408">
            <w:pPr>
              <w:jc w:val="right"/>
              <w:rPr>
                <w:rFonts w:cs="Arial"/>
                <w:color w:val="7F7F7F"/>
                <w:szCs w:val="18"/>
                <w:lang w:eastAsia="en-AU"/>
              </w:rPr>
            </w:pPr>
            <w:r w:rsidRPr="00E83408">
              <w:rPr>
                <w:rFonts w:cs="Arial"/>
                <w:color w:val="7F7F7F"/>
                <w:szCs w:val="18"/>
                <w:lang w:eastAsia="en-AU"/>
              </w:rPr>
              <w:t>347,186</w:t>
            </w:r>
          </w:p>
        </w:tc>
        <w:tc>
          <w:tcPr>
            <w:tcW w:w="1063" w:type="dxa"/>
            <w:tcBorders>
              <w:top w:val="nil"/>
              <w:left w:val="nil"/>
              <w:bottom w:val="nil"/>
              <w:right w:val="nil"/>
            </w:tcBorders>
            <w:shd w:val="clear" w:color="auto" w:fill="auto"/>
            <w:noWrap/>
            <w:vAlign w:val="center"/>
            <w:hideMark/>
          </w:tcPr>
          <w:p w:rsidR="00E83408" w:rsidRPr="00E83408" w:rsidRDefault="00E83408" w:rsidP="00E83408">
            <w:pPr>
              <w:jc w:val="right"/>
              <w:rPr>
                <w:rFonts w:cs="Arial"/>
                <w:color w:val="7F7F7F"/>
                <w:szCs w:val="18"/>
                <w:lang w:eastAsia="en-AU"/>
              </w:rPr>
            </w:pPr>
            <w:r w:rsidRPr="00E83408">
              <w:rPr>
                <w:rFonts w:cs="Arial"/>
                <w:color w:val="7F7F7F"/>
                <w:szCs w:val="18"/>
                <w:lang w:eastAsia="en-AU"/>
              </w:rPr>
              <w:t>297,659</w:t>
            </w:r>
          </w:p>
        </w:tc>
        <w:tc>
          <w:tcPr>
            <w:tcW w:w="1063" w:type="dxa"/>
            <w:tcBorders>
              <w:top w:val="nil"/>
              <w:left w:val="nil"/>
              <w:bottom w:val="nil"/>
              <w:right w:val="nil"/>
            </w:tcBorders>
            <w:shd w:val="clear" w:color="auto" w:fill="auto"/>
            <w:noWrap/>
            <w:vAlign w:val="center"/>
            <w:hideMark/>
          </w:tcPr>
          <w:p w:rsidR="00E83408" w:rsidRPr="00E83408" w:rsidRDefault="00E83408" w:rsidP="00E83408">
            <w:pPr>
              <w:jc w:val="right"/>
              <w:rPr>
                <w:rFonts w:cs="Arial"/>
                <w:color w:val="7F7F7F"/>
                <w:szCs w:val="18"/>
                <w:lang w:eastAsia="en-AU"/>
              </w:rPr>
            </w:pPr>
            <w:r w:rsidRPr="00E83408">
              <w:rPr>
                <w:rFonts w:cs="Arial"/>
                <w:color w:val="7F7F7F"/>
                <w:szCs w:val="18"/>
                <w:lang w:eastAsia="en-AU"/>
              </w:rPr>
              <w:t>301,453</w:t>
            </w:r>
          </w:p>
        </w:tc>
        <w:tc>
          <w:tcPr>
            <w:tcW w:w="1064" w:type="dxa"/>
            <w:tcBorders>
              <w:top w:val="nil"/>
              <w:left w:val="nil"/>
              <w:bottom w:val="nil"/>
              <w:right w:val="nil"/>
            </w:tcBorders>
            <w:shd w:val="clear" w:color="auto" w:fill="auto"/>
            <w:noWrap/>
            <w:vAlign w:val="center"/>
            <w:hideMark/>
          </w:tcPr>
          <w:p w:rsidR="00E83408" w:rsidRPr="00E83408" w:rsidRDefault="00E83408" w:rsidP="00E83408">
            <w:pPr>
              <w:jc w:val="right"/>
              <w:rPr>
                <w:rFonts w:cs="Arial"/>
                <w:color w:val="7F7F7F"/>
                <w:szCs w:val="18"/>
                <w:lang w:eastAsia="en-AU"/>
              </w:rPr>
            </w:pPr>
            <w:r w:rsidRPr="00E83408">
              <w:rPr>
                <w:rFonts w:cs="Arial"/>
                <w:color w:val="7F7F7F"/>
                <w:szCs w:val="18"/>
                <w:lang w:eastAsia="en-AU"/>
              </w:rPr>
              <w:t>265,244</w:t>
            </w:r>
          </w:p>
        </w:tc>
      </w:tr>
      <w:tr w:rsidR="00E83408" w:rsidRPr="00E83408" w:rsidTr="00E83408">
        <w:trPr>
          <w:trHeight w:val="300"/>
        </w:trPr>
        <w:tc>
          <w:tcPr>
            <w:tcW w:w="2000" w:type="dxa"/>
            <w:tcBorders>
              <w:top w:val="nil"/>
              <w:left w:val="nil"/>
              <w:bottom w:val="nil"/>
              <w:right w:val="nil"/>
            </w:tcBorders>
            <w:shd w:val="clear" w:color="auto" w:fill="auto"/>
            <w:noWrap/>
            <w:vAlign w:val="center"/>
            <w:hideMark/>
          </w:tcPr>
          <w:p w:rsidR="00E83408" w:rsidRPr="00E83408" w:rsidRDefault="00E83408" w:rsidP="00E83408">
            <w:pPr>
              <w:rPr>
                <w:rFonts w:cs="Arial"/>
                <w:color w:val="7F7F7F"/>
                <w:szCs w:val="18"/>
                <w:lang w:eastAsia="en-AU"/>
              </w:rPr>
            </w:pPr>
            <w:r w:rsidRPr="00E83408">
              <w:rPr>
                <w:rFonts w:cs="Arial"/>
                <w:color w:val="7F7F7F"/>
                <w:szCs w:val="18"/>
                <w:lang w:eastAsia="en-AU"/>
              </w:rPr>
              <w:t>Pre-accredited</w:t>
            </w:r>
          </w:p>
        </w:tc>
        <w:tc>
          <w:tcPr>
            <w:tcW w:w="1063" w:type="dxa"/>
            <w:tcBorders>
              <w:top w:val="nil"/>
              <w:left w:val="nil"/>
              <w:bottom w:val="nil"/>
              <w:right w:val="nil"/>
            </w:tcBorders>
            <w:shd w:val="clear" w:color="auto" w:fill="auto"/>
            <w:noWrap/>
            <w:vAlign w:val="center"/>
            <w:hideMark/>
          </w:tcPr>
          <w:p w:rsidR="00E83408" w:rsidRPr="00E83408" w:rsidRDefault="00E83408" w:rsidP="00E83408">
            <w:pPr>
              <w:jc w:val="right"/>
              <w:rPr>
                <w:rFonts w:cs="Arial"/>
                <w:color w:val="7F7F7F"/>
                <w:szCs w:val="18"/>
                <w:lang w:eastAsia="en-AU"/>
              </w:rPr>
            </w:pPr>
            <w:r w:rsidRPr="00E83408">
              <w:rPr>
                <w:rFonts w:cs="Arial"/>
                <w:color w:val="7F7F7F"/>
                <w:szCs w:val="18"/>
                <w:lang w:eastAsia="en-AU"/>
              </w:rPr>
              <w:t>5,835</w:t>
            </w:r>
          </w:p>
        </w:tc>
        <w:tc>
          <w:tcPr>
            <w:tcW w:w="1063" w:type="dxa"/>
            <w:tcBorders>
              <w:top w:val="nil"/>
              <w:left w:val="nil"/>
              <w:bottom w:val="nil"/>
              <w:right w:val="nil"/>
            </w:tcBorders>
            <w:shd w:val="clear" w:color="auto" w:fill="auto"/>
            <w:noWrap/>
            <w:vAlign w:val="center"/>
            <w:hideMark/>
          </w:tcPr>
          <w:p w:rsidR="00E83408" w:rsidRPr="00E83408" w:rsidRDefault="00E83408" w:rsidP="00E83408">
            <w:pPr>
              <w:jc w:val="right"/>
              <w:rPr>
                <w:rFonts w:cs="Arial"/>
                <w:color w:val="7F7F7F"/>
                <w:szCs w:val="18"/>
                <w:lang w:eastAsia="en-AU"/>
              </w:rPr>
            </w:pPr>
            <w:r w:rsidRPr="00E83408">
              <w:rPr>
                <w:rFonts w:cs="Arial"/>
                <w:color w:val="7F7F7F"/>
                <w:szCs w:val="18"/>
                <w:lang w:eastAsia="en-AU"/>
              </w:rPr>
              <w:t>8,491</w:t>
            </w:r>
          </w:p>
        </w:tc>
        <w:tc>
          <w:tcPr>
            <w:tcW w:w="1063" w:type="dxa"/>
            <w:tcBorders>
              <w:top w:val="nil"/>
              <w:left w:val="nil"/>
              <w:bottom w:val="nil"/>
              <w:right w:val="nil"/>
            </w:tcBorders>
            <w:shd w:val="clear" w:color="auto" w:fill="auto"/>
            <w:noWrap/>
            <w:vAlign w:val="center"/>
            <w:hideMark/>
          </w:tcPr>
          <w:p w:rsidR="00E83408" w:rsidRPr="00E83408" w:rsidRDefault="00E83408" w:rsidP="00E83408">
            <w:pPr>
              <w:jc w:val="right"/>
              <w:rPr>
                <w:rFonts w:cs="Arial"/>
                <w:color w:val="7F7F7F"/>
                <w:szCs w:val="18"/>
                <w:lang w:eastAsia="en-AU"/>
              </w:rPr>
            </w:pPr>
            <w:r w:rsidRPr="00E83408">
              <w:rPr>
                <w:rFonts w:cs="Arial"/>
                <w:color w:val="7F7F7F"/>
                <w:szCs w:val="18"/>
                <w:lang w:eastAsia="en-AU"/>
              </w:rPr>
              <w:t>10,895</w:t>
            </w:r>
          </w:p>
        </w:tc>
        <w:tc>
          <w:tcPr>
            <w:tcW w:w="1063" w:type="dxa"/>
            <w:tcBorders>
              <w:top w:val="nil"/>
              <w:left w:val="nil"/>
              <w:bottom w:val="nil"/>
              <w:right w:val="nil"/>
            </w:tcBorders>
            <w:shd w:val="clear" w:color="auto" w:fill="auto"/>
            <w:noWrap/>
            <w:vAlign w:val="center"/>
            <w:hideMark/>
          </w:tcPr>
          <w:p w:rsidR="00E83408" w:rsidRPr="00E83408" w:rsidRDefault="00E83408" w:rsidP="00E83408">
            <w:pPr>
              <w:jc w:val="right"/>
              <w:rPr>
                <w:rFonts w:cs="Arial"/>
                <w:color w:val="7F7F7F"/>
                <w:szCs w:val="18"/>
                <w:lang w:eastAsia="en-AU"/>
              </w:rPr>
            </w:pPr>
            <w:r w:rsidRPr="00E83408">
              <w:rPr>
                <w:rFonts w:cs="Arial"/>
                <w:color w:val="7F7F7F"/>
                <w:szCs w:val="18"/>
                <w:lang w:eastAsia="en-AU"/>
              </w:rPr>
              <w:t>11,698</w:t>
            </w:r>
          </w:p>
        </w:tc>
        <w:tc>
          <w:tcPr>
            <w:tcW w:w="1063" w:type="dxa"/>
            <w:tcBorders>
              <w:top w:val="nil"/>
              <w:left w:val="nil"/>
              <w:bottom w:val="nil"/>
              <w:right w:val="nil"/>
            </w:tcBorders>
            <w:shd w:val="clear" w:color="auto" w:fill="auto"/>
            <w:noWrap/>
            <w:vAlign w:val="center"/>
            <w:hideMark/>
          </w:tcPr>
          <w:p w:rsidR="00E83408" w:rsidRPr="00E83408" w:rsidRDefault="00E83408" w:rsidP="00E83408">
            <w:pPr>
              <w:jc w:val="right"/>
              <w:rPr>
                <w:rFonts w:cs="Arial"/>
                <w:color w:val="7F7F7F"/>
                <w:szCs w:val="18"/>
                <w:lang w:eastAsia="en-AU"/>
              </w:rPr>
            </w:pPr>
            <w:r w:rsidRPr="00E83408">
              <w:rPr>
                <w:rFonts w:cs="Arial"/>
                <w:color w:val="7F7F7F"/>
                <w:szCs w:val="18"/>
                <w:lang w:eastAsia="en-AU"/>
              </w:rPr>
              <w:t>11,984</w:t>
            </w:r>
          </w:p>
        </w:tc>
        <w:tc>
          <w:tcPr>
            <w:tcW w:w="1064" w:type="dxa"/>
            <w:tcBorders>
              <w:top w:val="nil"/>
              <w:left w:val="nil"/>
              <w:bottom w:val="nil"/>
              <w:right w:val="nil"/>
            </w:tcBorders>
            <w:shd w:val="clear" w:color="auto" w:fill="auto"/>
            <w:noWrap/>
            <w:vAlign w:val="center"/>
            <w:hideMark/>
          </w:tcPr>
          <w:p w:rsidR="00E83408" w:rsidRPr="00E83408" w:rsidRDefault="00E83408" w:rsidP="00E83408">
            <w:pPr>
              <w:jc w:val="right"/>
              <w:rPr>
                <w:rFonts w:cs="Arial"/>
                <w:color w:val="7F7F7F"/>
                <w:szCs w:val="18"/>
                <w:lang w:eastAsia="en-AU"/>
              </w:rPr>
            </w:pPr>
            <w:r w:rsidRPr="00E83408">
              <w:rPr>
                <w:rFonts w:cs="Arial"/>
                <w:color w:val="7F7F7F"/>
                <w:szCs w:val="18"/>
                <w:lang w:eastAsia="en-AU"/>
              </w:rPr>
              <w:t>11,593</w:t>
            </w:r>
          </w:p>
        </w:tc>
      </w:tr>
      <w:tr w:rsidR="00E83408" w:rsidRPr="00E83408" w:rsidTr="00E83408">
        <w:trPr>
          <w:trHeight w:val="315"/>
        </w:trPr>
        <w:tc>
          <w:tcPr>
            <w:tcW w:w="2000" w:type="dxa"/>
            <w:tcBorders>
              <w:top w:val="nil"/>
              <w:left w:val="nil"/>
              <w:bottom w:val="single" w:sz="12" w:space="0" w:color="FFFFFF"/>
              <w:right w:val="nil"/>
            </w:tcBorders>
            <w:shd w:val="clear" w:color="000000" w:fill="7F7F7F"/>
            <w:noWrap/>
            <w:vAlign w:val="center"/>
            <w:hideMark/>
          </w:tcPr>
          <w:p w:rsidR="00E83408" w:rsidRPr="00E83408" w:rsidRDefault="00E83408" w:rsidP="00E83408">
            <w:pPr>
              <w:rPr>
                <w:rFonts w:cs="Arial"/>
                <w:b/>
                <w:bCs/>
                <w:color w:val="FFFFFF"/>
                <w:szCs w:val="18"/>
                <w:lang w:eastAsia="en-AU"/>
              </w:rPr>
            </w:pPr>
            <w:r w:rsidRPr="00E83408">
              <w:rPr>
                <w:rFonts w:cs="Arial"/>
                <w:b/>
                <w:bCs/>
                <w:color w:val="FFFFFF"/>
                <w:szCs w:val="18"/>
                <w:lang w:eastAsia="en-AU"/>
              </w:rPr>
              <w:t>Total*</w:t>
            </w:r>
          </w:p>
        </w:tc>
        <w:tc>
          <w:tcPr>
            <w:tcW w:w="1063" w:type="dxa"/>
            <w:tcBorders>
              <w:top w:val="nil"/>
              <w:left w:val="nil"/>
              <w:bottom w:val="single" w:sz="12" w:space="0" w:color="FFFFFF"/>
              <w:right w:val="nil"/>
            </w:tcBorders>
            <w:shd w:val="clear" w:color="000000" w:fill="7F7F7F"/>
            <w:noWrap/>
            <w:vAlign w:val="center"/>
            <w:hideMark/>
          </w:tcPr>
          <w:p w:rsidR="00E83408" w:rsidRPr="00E83408" w:rsidRDefault="00E83408" w:rsidP="00E83408">
            <w:pPr>
              <w:jc w:val="right"/>
              <w:rPr>
                <w:rFonts w:cs="Arial"/>
                <w:b/>
                <w:bCs/>
                <w:color w:val="FFFFFF"/>
                <w:szCs w:val="18"/>
                <w:lang w:eastAsia="en-AU"/>
              </w:rPr>
            </w:pPr>
            <w:r w:rsidRPr="00E83408">
              <w:rPr>
                <w:rFonts w:cs="Arial"/>
                <w:b/>
                <w:bCs/>
                <w:color w:val="FFFFFF"/>
                <w:szCs w:val="18"/>
                <w:lang w:eastAsia="en-AU"/>
              </w:rPr>
              <w:t>216,884</w:t>
            </w:r>
          </w:p>
        </w:tc>
        <w:tc>
          <w:tcPr>
            <w:tcW w:w="1063" w:type="dxa"/>
            <w:tcBorders>
              <w:top w:val="nil"/>
              <w:left w:val="nil"/>
              <w:bottom w:val="single" w:sz="12" w:space="0" w:color="FFFFFF"/>
              <w:right w:val="nil"/>
            </w:tcBorders>
            <w:shd w:val="clear" w:color="000000" w:fill="7F7F7F"/>
            <w:noWrap/>
            <w:vAlign w:val="center"/>
            <w:hideMark/>
          </w:tcPr>
          <w:p w:rsidR="00E83408" w:rsidRPr="00E83408" w:rsidRDefault="00E83408" w:rsidP="00E83408">
            <w:pPr>
              <w:jc w:val="right"/>
              <w:rPr>
                <w:rFonts w:cs="Arial"/>
                <w:b/>
                <w:bCs/>
                <w:color w:val="FFFFFF"/>
                <w:szCs w:val="18"/>
                <w:lang w:eastAsia="en-AU"/>
              </w:rPr>
            </w:pPr>
            <w:r w:rsidRPr="00E83408">
              <w:rPr>
                <w:rFonts w:cs="Arial"/>
                <w:b/>
                <w:bCs/>
                <w:color w:val="FFFFFF"/>
                <w:szCs w:val="18"/>
                <w:lang w:eastAsia="en-AU"/>
              </w:rPr>
              <w:t>267,959</w:t>
            </w:r>
          </w:p>
        </w:tc>
        <w:tc>
          <w:tcPr>
            <w:tcW w:w="1063" w:type="dxa"/>
            <w:tcBorders>
              <w:top w:val="nil"/>
              <w:left w:val="nil"/>
              <w:bottom w:val="single" w:sz="12" w:space="0" w:color="FFFFFF"/>
              <w:right w:val="nil"/>
            </w:tcBorders>
            <w:shd w:val="clear" w:color="000000" w:fill="7F7F7F"/>
            <w:noWrap/>
            <w:vAlign w:val="center"/>
            <w:hideMark/>
          </w:tcPr>
          <w:p w:rsidR="00E83408" w:rsidRPr="00E83408" w:rsidRDefault="00E83408" w:rsidP="00E83408">
            <w:pPr>
              <w:jc w:val="right"/>
              <w:rPr>
                <w:rFonts w:cs="Arial"/>
                <w:b/>
                <w:bCs/>
                <w:color w:val="FFFFFF"/>
                <w:szCs w:val="18"/>
                <w:lang w:eastAsia="en-AU"/>
              </w:rPr>
            </w:pPr>
            <w:r w:rsidRPr="00E83408">
              <w:rPr>
                <w:rFonts w:cs="Arial"/>
                <w:b/>
                <w:bCs/>
                <w:color w:val="FFFFFF"/>
                <w:szCs w:val="18"/>
                <w:lang w:eastAsia="en-AU"/>
              </w:rPr>
              <w:t>356,858</w:t>
            </w:r>
          </w:p>
        </w:tc>
        <w:tc>
          <w:tcPr>
            <w:tcW w:w="1063" w:type="dxa"/>
            <w:tcBorders>
              <w:top w:val="nil"/>
              <w:left w:val="nil"/>
              <w:bottom w:val="single" w:sz="12" w:space="0" w:color="FFFFFF"/>
              <w:right w:val="nil"/>
            </w:tcBorders>
            <w:shd w:val="clear" w:color="000000" w:fill="7F7F7F"/>
            <w:noWrap/>
            <w:vAlign w:val="center"/>
            <w:hideMark/>
          </w:tcPr>
          <w:p w:rsidR="00E83408" w:rsidRPr="00E83408" w:rsidRDefault="00E83408" w:rsidP="00E83408">
            <w:pPr>
              <w:jc w:val="right"/>
              <w:rPr>
                <w:rFonts w:cs="Arial"/>
                <w:b/>
                <w:bCs/>
                <w:color w:val="FFFFFF"/>
                <w:szCs w:val="18"/>
                <w:lang w:eastAsia="en-AU"/>
              </w:rPr>
            </w:pPr>
            <w:r w:rsidRPr="00E83408">
              <w:rPr>
                <w:rFonts w:cs="Arial"/>
                <w:b/>
                <w:bCs/>
                <w:color w:val="FFFFFF"/>
                <w:szCs w:val="18"/>
                <w:lang w:eastAsia="en-AU"/>
              </w:rPr>
              <w:t>307,787</w:t>
            </w:r>
          </w:p>
        </w:tc>
        <w:tc>
          <w:tcPr>
            <w:tcW w:w="1063" w:type="dxa"/>
            <w:tcBorders>
              <w:top w:val="nil"/>
              <w:left w:val="nil"/>
              <w:bottom w:val="single" w:sz="12" w:space="0" w:color="FFFFFF"/>
              <w:right w:val="nil"/>
            </w:tcBorders>
            <w:shd w:val="clear" w:color="000000" w:fill="7F7F7F"/>
            <w:noWrap/>
            <w:vAlign w:val="center"/>
            <w:hideMark/>
          </w:tcPr>
          <w:p w:rsidR="00E83408" w:rsidRPr="00E83408" w:rsidRDefault="00E83408" w:rsidP="00E83408">
            <w:pPr>
              <w:jc w:val="right"/>
              <w:rPr>
                <w:rFonts w:cs="Arial"/>
                <w:b/>
                <w:bCs/>
                <w:color w:val="FFFFFF"/>
                <w:szCs w:val="18"/>
                <w:lang w:eastAsia="en-AU"/>
              </w:rPr>
            </w:pPr>
            <w:r w:rsidRPr="00E83408">
              <w:rPr>
                <w:rFonts w:cs="Arial"/>
                <w:b/>
                <w:bCs/>
                <w:color w:val="FFFFFF"/>
                <w:szCs w:val="18"/>
                <w:lang w:eastAsia="en-AU"/>
              </w:rPr>
              <w:t>311,933</w:t>
            </w:r>
          </w:p>
        </w:tc>
        <w:tc>
          <w:tcPr>
            <w:tcW w:w="1064" w:type="dxa"/>
            <w:tcBorders>
              <w:top w:val="nil"/>
              <w:left w:val="nil"/>
              <w:bottom w:val="single" w:sz="12" w:space="0" w:color="FFFFFF"/>
              <w:right w:val="nil"/>
            </w:tcBorders>
            <w:shd w:val="clear" w:color="000000" w:fill="7F7F7F"/>
            <w:noWrap/>
            <w:vAlign w:val="center"/>
            <w:hideMark/>
          </w:tcPr>
          <w:p w:rsidR="00E83408" w:rsidRPr="00E83408" w:rsidRDefault="00E83408" w:rsidP="00E83408">
            <w:pPr>
              <w:jc w:val="right"/>
              <w:rPr>
                <w:rFonts w:cs="Arial"/>
                <w:b/>
                <w:bCs/>
                <w:color w:val="FFFFFF"/>
                <w:szCs w:val="18"/>
                <w:lang w:eastAsia="en-AU"/>
              </w:rPr>
            </w:pPr>
            <w:r w:rsidRPr="00E83408">
              <w:rPr>
                <w:rFonts w:cs="Arial"/>
                <w:b/>
                <w:bCs/>
                <w:color w:val="FFFFFF"/>
                <w:szCs w:val="18"/>
                <w:lang w:eastAsia="en-AU"/>
              </w:rPr>
              <w:t>275,353</w:t>
            </w:r>
          </w:p>
        </w:tc>
      </w:tr>
    </w:tbl>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4A0" w:firstRow="1" w:lastRow="0" w:firstColumn="1" w:lastColumn="0" w:noHBand="0" w:noVBand="1"/>
      </w:tblPr>
      <w:tblGrid>
        <w:gridCol w:w="431"/>
        <w:gridCol w:w="8041"/>
      </w:tblGrid>
      <w:tr w:rsidR="008174E3" w:rsidRPr="00913551" w:rsidTr="007477B7">
        <w:tc>
          <w:tcPr>
            <w:tcW w:w="431" w:type="dxa"/>
            <w:tcMar>
              <w:left w:w="0" w:type="dxa"/>
              <w:right w:w="28" w:type="dxa"/>
            </w:tcMar>
          </w:tcPr>
          <w:p w:rsidR="008174E3" w:rsidRPr="00913551" w:rsidRDefault="008174E3" w:rsidP="00AB4E4A">
            <w:pPr>
              <w:spacing w:after="0" w:line="240" w:lineRule="auto"/>
              <w:jc w:val="right"/>
              <w:rPr>
                <w:color w:val="7F7F7F" w:themeColor="text2"/>
                <w:sz w:val="16"/>
                <w:szCs w:val="16"/>
              </w:rPr>
            </w:pPr>
            <w:r w:rsidRPr="00913551">
              <w:rPr>
                <w:color w:val="7F7F7F" w:themeColor="text2"/>
                <w:sz w:val="16"/>
                <w:szCs w:val="16"/>
              </w:rPr>
              <w:t>*</w:t>
            </w:r>
            <w:r w:rsidR="00AB4E4A" w:rsidRPr="00913551">
              <w:rPr>
                <w:color w:val="7F7F7F" w:themeColor="text2"/>
                <w:sz w:val="16"/>
                <w:szCs w:val="16"/>
              </w:rPr>
              <w:t xml:space="preserve"> </w:t>
            </w:r>
          </w:p>
        </w:tc>
        <w:tc>
          <w:tcPr>
            <w:tcW w:w="8041" w:type="dxa"/>
            <w:tcMar>
              <w:left w:w="0" w:type="dxa"/>
              <w:right w:w="28" w:type="dxa"/>
            </w:tcMar>
          </w:tcPr>
          <w:p w:rsidR="008174E3" w:rsidRPr="00913551" w:rsidRDefault="001651B8" w:rsidP="001651B8">
            <w:pPr>
              <w:spacing w:after="0" w:line="240" w:lineRule="auto"/>
              <w:rPr>
                <w:color w:val="7F7F7F" w:themeColor="text2"/>
                <w:sz w:val="16"/>
                <w:szCs w:val="16"/>
              </w:rPr>
            </w:pPr>
            <w:r>
              <w:rPr>
                <w:i/>
                <w:sz w:val="16"/>
                <w:szCs w:val="16"/>
              </w:rPr>
              <w:t>A s</w:t>
            </w:r>
            <w:r w:rsidR="008174E3" w:rsidRPr="00913551">
              <w:rPr>
                <w:i/>
                <w:sz w:val="16"/>
                <w:szCs w:val="16"/>
              </w:rPr>
              <w:t>tudent</w:t>
            </w:r>
            <w:r>
              <w:rPr>
                <w:i/>
                <w:sz w:val="16"/>
                <w:szCs w:val="16"/>
              </w:rPr>
              <w:t xml:space="preserve"> can enrol in both accredited and pre-accredited training. </w:t>
            </w:r>
            <w:r w:rsidR="008174E3" w:rsidRPr="00913551">
              <w:rPr>
                <w:i/>
                <w:sz w:val="16"/>
                <w:szCs w:val="16"/>
              </w:rPr>
              <w:t xml:space="preserve">The total has eliminated </w:t>
            </w:r>
            <w:r>
              <w:rPr>
                <w:i/>
                <w:sz w:val="16"/>
                <w:szCs w:val="16"/>
              </w:rPr>
              <w:t>any</w:t>
            </w:r>
            <w:r w:rsidR="008174E3" w:rsidRPr="00913551">
              <w:rPr>
                <w:i/>
                <w:sz w:val="16"/>
                <w:szCs w:val="16"/>
              </w:rPr>
              <w:t xml:space="preserve"> duplicates.</w:t>
            </w:r>
          </w:p>
        </w:tc>
      </w:tr>
    </w:tbl>
    <w:p w:rsidR="00B25196" w:rsidRPr="006B30C6" w:rsidRDefault="00B25196">
      <w:pPr>
        <w:rPr>
          <w:color w:val="7F7F7F" w:themeColor="text2"/>
          <w:szCs w:val="18"/>
        </w:rPr>
      </w:pPr>
    </w:p>
    <w:p w:rsidR="00E83408" w:rsidRPr="006B30C6" w:rsidRDefault="00E83408">
      <w:pPr>
        <w:rPr>
          <w:color w:val="7F7F7F" w:themeColor="text2"/>
          <w:szCs w:val="18"/>
        </w:rPr>
      </w:pPr>
    </w:p>
    <w:tbl>
      <w:tblPr>
        <w:tblStyle w:val="TableGrid"/>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230"/>
      </w:tblGrid>
      <w:tr w:rsidR="007803F5" w:rsidTr="007803F5">
        <w:tc>
          <w:tcPr>
            <w:tcW w:w="1134" w:type="dxa"/>
            <w:tcMar>
              <w:left w:w="0" w:type="dxa"/>
              <w:right w:w="0" w:type="dxa"/>
            </w:tcMar>
          </w:tcPr>
          <w:p w:rsidR="007803F5" w:rsidRDefault="007803F5" w:rsidP="00AB1331">
            <w:pPr>
              <w:pStyle w:val="Quote"/>
              <w:tabs>
                <w:tab w:val="left" w:pos="1134"/>
              </w:tabs>
              <w:rPr>
                <w:b w:val="0"/>
                <w:color w:val="B41F22" w:themeColor="accent1"/>
              </w:rPr>
            </w:pPr>
            <w:r>
              <w:rPr>
                <w:b w:val="0"/>
                <w:color w:val="B41F22" w:themeColor="accent1"/>
              </w:rPr>
              <w:t>Table 1.</w:t>
            </w:r>
            <w:r w:rsidR="007C3FB2">
              <w:rPr>
                <w:b w:val="0"/>
                <w:color w:val="B41F22" w:themeColor="accent1"/>
              </w:rPr>
              <w:t>1</w:t>
            </w:r>
            <w:r>
              <w:rPr>
                <w:b w:val="0"/>
                <w:color w:val="B41F22" w:themeColor="accent1"/>
              </w:rPr>
              <w:t>.2:</w:t>
            </w:r>
          </w:p>
        </w:tc>
        <w:tc>
          <w:tcPr>
            <w:tcW w:w="7230" w:type="dxa"/>
            <w:tcMar>
              <w:left w:w="0" w:type="dxa"/>
              <w:right w:w="0" w:type="dxa"/>
            </w:tcMar>
          </w:tcPr>
          <w:p w:rsidR="007803F5" w:rsidRDefault="007803F5" w:rsidP="00A75442">
            <w:pPr>
              <w:pStyle w:val="Quote"/>
              <w:tabs>
                <w:tab w:val="left" w:pos="1134"/>
              </w:tabs>
              <w:rPr>
                <w:b w:val="0"/>
                <w:color w:val="B41F22" w:themeColor="accent1"/>
              </w:rPr>
            </w:pPr>
            <w:r w:rsidRPr="00B25196">
              <w:rPr>
                <w:b w:val="0"/>
                <w:color w:val="B41F22" w:themeColor="accent1"/>
              </w:rPr>
              <w:t>Change in number of students in government subsidised accredited and pre-accredited training (half year)</w:t>
            </w:r>
          </w:p>
        </w:tc>
      </w:tr>
    </w:tbl>
    <w:tbl>
      <w:tblPr>
        <w:tblW w:w="8379" w:type="dxa"/>
        <w:tblInd w:w="93" w:type="dxa"/>
        <w:tblLayout w:type="fixed"/>
        <w:tblLook w:val="04A0" w:firstRow="1" w:lastRow="0" w:firstColumn="1" w:lastColumn="0" w:noHBand="0" w:noVBand="1"/>
      </w:tblPr>
      <w:tblGrid>
        <w:gridCol w:w="2600"/>
        <w:gridCol w:w="1155"/>
        <w:gridCol w:w="1156"/>
        <w:gridCol w:w="1156"/>
        <w:gridCol w:w="1156"/>
        <w:gridCol w:w="1156"/>
      </w:tblGrid>
      <w:tr w:rsidR="00E83408" w:rsidRPr="00E83408" w:rsidTr="00E83408">
        <w:trPr>
          <w:trHeight w:val="720"/>
        </w:trPr>
        <w:tc>
          <w:tcPr>
            <w:tcW w:w="2600" w:type="dxa"/>
            <w:tcBorders>
              <w:top w:val="nil"/>
              <w:left w:val="nil"/>
              <w:bottom w:val="nil"/>
              <w:right w:val="nil"/>
            </w:tcBorders>
            <w:shd w:val="clear" w:color="000000" w:fill="7F7F7F"/>
            <w:noWrap/>
            <w:vAlign w:val="center"/>
            <w:hideMark/>
          </w:tcPr>
          <w:p w:rsidR="00E83408" w:rsidRPr="00E83408" w:rsidRDefault="00E83408" w:rsidP="00E83408">
            <w:pPr>
              <w:rPr>
                <w:rFonts w:cs="Arial"/>
                <w:color w:val="FFFFFF"/>
                <w:szCs w:val="18"/>
                <w:lang w:eastAsia="en-AU"/>
              </w:rPr>
            </w:pPr>
            <w:r w:rsidRPr="00E83408">
              <w:rPr>
                <w:rFonts w:cs="Arial"/>
                <w:color w:val="FFFFFF"/>
                <w:szCs w:val="18"/>
                <w:lang w:eastAsia="en-AU"/>
              </w:rPr>
              <w:t> </w:t>
            </w:r>
          </w:p>
        </w:tc>
        <w:tc>
          <w:tcPr>
            <w:tcW w:w="1155" w:type="dxa"/>
            <w:tcBorders>
              <w:top w:val="nil"/>
              <w:left w:val="nil"/>
              <w:bottom w:val="nil"/>
              <w:right w:val="nil"/>
            </w:tcBorders>
            <w:shd w:val="clear" w:color="000000" w:fill="7F7F7F"/>
            <w:vAlign w:val="center"/>
            <w:hideMark/>
          </w:tcPr>
          <w:p w:rsidR="00E83408" w:rsidRPr="00E83408" w:rsidRDefault="00E83408" w:rsidP="00E83408">
            <w:pPr>
              <w:jc w:val="right"/>
              <w:rPr>
                <w:rFonts w:cs="Arial"/>
                <w:b/>
                <w:bCs/>
                <w:color w:val="FFFFFF"/>
                <w:szCs w:val="18"/>
                <w:lang w:eastAsia="en-AU"/>
              </w:rPr>
            </w:pPr>
            <w:r w:rsidRPr="00E83408">
              <w:rPr>
                <w:rFonts w:cs="Arial"/>
                <w:b/>
                <w:bCs/>
                <w:color w:val="FFFFFF"/>
                <w:szCs w:val="18"/>
                <w:lang w:eastAsia="en-AU"/>
              </w:rPr>
              <w:t>% change 2010 to 2015</w:t>
            </w:r>
          </w:p>
        </w:tc>
        <w:tc>
          <w:tcPr>
            <w:tcW w:w="1156" w:type="dxa"/>
            <w:tcBorders>
              <w:top w:val="nil"/>
              <w:left w:val="nil"/>
              <w:bottom w:val="nil"/>
              <w:right w:val="nil"/>
            </w:tcBorders>
            <w:shd w:val="clear" w:color="000000" w:fill="7F7F7F"/>
            <w:vAlign w:val="center"/>
            <w:hideMark/>
          </w:tcPr>
          <w:p w:rsidR="00E83408" w:rsidRPr="00E83408" w:rsidRDefault="00E83408" w:rsidP="00E83408">
            <w:pPr>
              <w:jc w:val="right"/>
              <w:rPr>
                <w:rFonts w:cs="Arial"/>
                <w:b/>
                <w:bCs/>
                <w:color w:val="FFFFFF"/>
                <w:szCs w:val="18"/>
                <w:lang w:eastAsia="en-AU"/>
              </w:rPr>
            </w:pPr>
            <w:r w:rsidRPr="00E83408">
              <w:rPr>
                <w:rFonts w:cs="Arial"/>
                <w:b/>
                <w:bCs/>
                <w:color w:val="FFFFFF"/>
                <w:szCs w:val="18"/>
                <w:lang w:eastAsia="en-AU"/>
              </w:rPr>
              <w:t>% change 2011 to 2015</w:t>
            </w:r>
          </w:p>
        </w:tc>
        <w:tc>
          <w:tcPr>
            <w:tcW w:w="1156" w:type="dxa"/>
            <w:tcBorders>
              <w:top w:val="nil"/>
              <w:left w:val="nil"/>
              <w:bottom w:val="nil"/>
              <w:right w:val="nil"/>
            </w:tcBorders>
            <w:shd w:val="clear" w:color="000000" w:fill="7F7F7F"/>
            <w:vAlign w:val="center"/>
            <w:hideMark/>
          </w:tcPr>
          <w:p w:rsidR="00E83408" w:rsidRPr="00E83408" w:rsidRDefault="00E83408" w:rsidP="00E83408">
            <w:pPr>
              <w:jc w:val="right"/>
              <w:rPr>
                <w:rFonts w:cs="Arial"/>
                <w:b/>
                <w:bCs/>
                <w:color w:val="FFFFFF"/>
                <w:szCs w:val="18"/>
                <w:lang w:eastAsia="en-AU"/>
              </w:rPr>
            </w:pPr>
            <w:r w:rsidRPr="00E83408">
              <w:rPr>
                <w:rFonts w:cs="Arial"/>
                <w:b/>
                <w:bCs/>
                <w:color w:val="FFFFFF"/>
                <w:szCs w:val="18"/>
                <w:lang w:eastAsia="en-AU"/>
              </w:rPr>
              <w:t>% change 2012 to 2015</w:t>
            </w:r>
          </w:p>
        </w:tc>
        <w:tc>
          <w:tcPr>
            <w:tcW w:w="1156" w:type="dxa"/>
            <w:tcBorders>
              <w:top w:val="nil"/>
              <w:left w:val="nil"/>
              <w:bottom w:val="nil"/>
              <w:right w:val="nil"/>
            </w:tcBorders>
            <w:shd w:val="clear" w:color="000000" w:fill="7F7F7F"/>
            <w:vAlign w:val="center"/>
            <w:hideMark/>
          </w:tcPr>
          <w:p w:rsidR="00E83408" w:rsidRPr="00E83408" w:rsidRDefault="00E83408" w:rsidP="00E83408">
            <w:pPr>
              <w:jc w:val="right"/>
              <w:rPr>
                <w:rFonts w:cs="Arial"/>
                <w:b/>
                <w:bCs/>
                <w:color w:val="FFFFFF"/>
                <w:szCs w:val="18"/>
                <w:lang w:eastAsia="en-AU"/>
              </w:rPr>
            </w:pPr>
            <w:r w:rsidRPr="00E83408">
              <w:rPr>
                <w:rFonts w:cs="Arial"/>
                <w:b/>
                <w:bCs/>
                <w:color w:val="FFFFFF"/>
                <w:szCs w:val="18"/>
                <w:lang w:eastAsia="en-AU"/>
              </w:rPr>
              <w:t>% change 2013 to 2015</w:t>
            </w:r>
          </w:p>
        </w:tc>
        <w:tc>
          <w:tcPr>
            <w:tcW w:w="1156" w:type="dxa"/>
            <w:tcBorders>
              <w:top w:val="nil"/>
              <w:left w:val="nil"/>
              <w:bottom w:val="nil"/>
              <w:right w:val="nil"/>
            </w:tcBorders>
            <w:shd w:val="clear" w:color="000000" w:fill="7F7F7F"/>
            <w:vAlign w:val="center"/>
            <w:hideMark/>
          </w:tcPr>
          <w:p w:rsidR="00E83408" w:rsidRPr="00E83408" w:rsidRDefault="00E83408" w:rsidP="00E83408">
            <w:pPr>
              <w:jc w:val="right"/>
              <w:rPr>
                <w:rFonts w:cs="Arial"/>
                <w:b/>
                <w:bCs/>
                <w:color w:val="FFFFFF"/>
                <w:szCs w:val="18"/>
                <w:lang w:eastAsia="en-AU"/>
              </w:rPr>
            </w:pPr>
            <w:r w:rsidRPr="00E83408">
              <w:rPr>
                <w:rFonts w:cs="Arial"/>
                <w:b/>
                <w:bCs/>
                <w:color w:val="FFFFFF"/>
                <w:szCs w:val="18"/>
                <w:lang w:eastAsia="en-AU"/>
              </w:rPr>
              <w:t>% change 2014 to 2015</w:t>
            </w:r>
          </w:p>
        </w:tc>
      </w:tr>
      <w:tr w:rsidR="00E83408" w:rsidRPr="00E83408" w:rsidTr="00E83408">
        <w:trPr>
          <w:trHeight w:val="300"/>
        </w:trPr>
        <w:tc>
          <w:tcPr>
            <w:tcW w:w="2600" w:type="dxa"/>
            <w:tcBorders>
              <w:top w:val="nil"/>
              <w:left w:val="nil"/>
              <w:bottom w:val="nil"/>
              <w:right w:val="nil"/>
            </w:tcBorders>
            <w:shd w:val="clear" w:color="auto" w:fill="auto"/>
            <w:noWrap/>
            <w:vAlign w:val="center"/>
            <w:hideMark/>
          </w:tcPr>
          <w:p w:rsidR="00E83408" w:rsidRPr="00E83408" w:rsidRDefault="00E83408" w:rsidP="00E83408">
            <w:pPr>
              <w:rPr>
                <w:rFonts w:cs="Arial"/>
                <w:color w:val="7F7F7F"/>
                <w:szCs w:val="18"/>
                <w:lang w:eastAsia="en-AU"/>
              </w:rPr>
            </w:pPr>
            <w:r w:rsidRPr="00E83408">
              <w:rPr>
                <w:rFonts w:cs="Arial"/>
                <w:color w:val="7F7F7F"/>
                <w:szCs w:val="18"/>
                <w:lang w:eastAsia="en-AU"/>
              </w:rPr>
              <w:t>Accredited</w:t>
            </w:r>
          </w:p>
        </w:tc>
        <w:tc>
          <w:tcPr>
            <w:tcW w:w="1155" w:type="dxa"/>
            <w:tcBorders>
              <w:top w:val="nil"/>
              <w:left w:val="nil"/>
              <w:bottom w:val="nil"/>
              <w:right w:val="nil"/>
            </w:tcBorders>
            <w:shd w:val="clear" w:color="auto" w:fill="auto"/>
            <w:noWrap/>
            <w:vAlign w:val="center"/>
            <w:hideMark/>
          </w:tcPr>
          <w:p w:rsidR="00E83408" w:rsidRPr="00E83408" w:rsidRDefault="00E83408" w:rsidP="00E83408">
            <w:pPr>
              <w:jc w:val="right"/>
              <w:rPr>
                <w:rFonts w:cs="Arial"/>
                <w:color w:val="7F7F7F"/>
                <w:szCs w:val="18"/>
                <w:lang w:eastAsia="en-AU"/>
              </w:rPr>
            </w:pPr>
            <w:r w:rsidRPr="00E83408">
              <w:rPr>
                <w:rFonts w:cs="Arial"/>
                <w:color w:val="7F7F7F"/>
                <w:szCs w:val="18"/>
                <w:lang w:eastAsia="en-AU"/>
              </w:rPr>
              <w:t>25%</w:t>
            </w:r>
          </w:p>
        </w:tc>
        <w:tc>
          <w:tcPr>
            <w:tcW w:w="1156" w:type="dxa"/>
            <w:tcBorders>
              <w:top w:val="nil"/>
              <w:left w:val="nil"/>
              <w:bottom w:val="nil"/>
              <w:right w:val="nil"/>
            </w:tcBorders>
            <w:shd w:val="clear" w:color="auto" w:fill="auto"/>
            <w:noWrap/>
            <w:vAlign w:val="center"/>
            <w:hideMark/>
          </w:tcPr>
          <w:p w:rsidR="00E83408" w:rsidRPr="00E83408" w:rsidRDefault="00E83408" w:rsidP="00E83408">
            <w:pPr>
              <w:jc w:val="right"/>
              <w:rPr>
                <w:rFonts w:cs="Arial"/>
                <w:color w:val="7F7F7F"/>
                <w:szCs w:val="18"/>
                <w:lang w:eastAsia="en-AU"/>
              </w:rPr>
            </w:pPr>
            <w:r w:rsidRPr="00E83408">
              <w:rPr>
                <w:rFonts w:cs="Arial"/>
                <w:color w:val="7F7F7F"/>
                <w:szCs w:val="18"/>
                <w:lang w:eastAsia="en-AU"/>
              </w:rPr>
              <w:t>2%</w:t>
            </w:r>
          </w:p>
        </w:tc>
        <w:tc>
          <w:tcPr>
            <w:tcW w:w="1156" w:type="dxa"/>
            <w:tcBorders>
              <w:top w:val="nil"/>
              <w:left w:val="nil"/>
              <w:bottom w:val="nil"/>
              <w:right w:val="nil"/>
            </w:tcBorders>
            <w:shd w:val="clear" w:color="auto" w:fill="auto"/>
            <w:noWrap/>
            <w:vAlign w:val="center"/>
            <w:hideMark/>
          </w:tcPr>
          <w:p w:rsidR="00E83408" w:rsidRPr="00E83408" w:rsidRDefault="00E83408" w:rsidP="00E83408">
            <w:pPr>
              <w:jc w:val="right"/>
              <w:rPr>
                <w:rFonts w:cs="Arial"/>
                <w:color w:val="7F7F7F"/>
                <w:szCs w:val="18"/>
                <w:lang w:eastAsia="en-AU"/>
              </w:rPr>
            </w:pPr>
            <w:r w:rsidRPr="00E83408">
              <w:rPr>
                <w:rFonts w:cs="Arial"/>
                <w:color w:val="7F7F7F"/>
                <w:szCs w:val="18"/>
                <w:lang w:eastAsia="en-AU"/>
              </w:rPr>
              <w:t>-24%</w:t>
            </w:r>
          </w:p>
        </w:tc>
        <w:tc>
          <w:tcPr>
            <w:tcW w:w="1156" w:type="dxa"/>
            <w:tcBorders>
              <w:top w:val="nil"/>
              <w:left w:val="nil"/>
              <w:bottom w:val="nil"/>
              <w:right w:val="nil"/>
            </w:tcBorders>
            <w:shd w:val="clear" w:color="auto" w:fill="auto"/>
            <w:noWrap/>
            <w:vAlign w:val="center"/>
            <w:hideMark/>
          </w:tcPr>
          <w:p w:rsidR="00E83408" w:rsidRPr="00E83408" w:rsidRDefault="00E83408" w:rsidP="00E83408">
            <w:pPr>
              <w:jc w:val="right"/>
              <w:rPr>
                <w:rFonts w:cs="Arial"/>
                <w:color w:val="7F7F7F"/>
                <w:szCs w:val="18"/>
                <w:lang w:eastAsia="en-AU"/>
              </w:rPr>
            </w:pPr>
            <w:r w:rsidRPr="00E83408">
              <w:rPr>
                <w:rFonts w:cs="Arial"/>
                <w:color w:val="7F7F7F"/>
                <w:szCs w:val="18"/>
                <w:lang w:eastAsia="en-AU"/>
              </w:rPr>
              <w:t>-11%</w:t>
            </w:r>
          </w:p>
        </w:tc>
        <w:tc>
          <w:tcPr>
            <w:tcW w:w="1156" w:type="dxa"/>
            <w:tcBorders>
              <w:top w:val="nil"/>
              <w:left w:val="nil"/>
              <w:bottom w:val="nil"/>
              <w:right w:val="nil"/>
            </w:tcBorders>
            <w:shd w:val="clear" w:color="auto" w:fill="auto"/>
            <w:noWrap/>
            <w:vAlign w:val="center"/>
            <w:hideMark/>
          </w:tcPr>
          <w:p w:rsidR="00E83408" w:rsidRPr="00E83408" w:rsidRDefault="00E83408" w:rsidP="00E83408">
            <w:pPr>
              <w:jc w:val="right"/>
              <w:rPr>
                <w:rFonts w:cs="Arial"/>
                <w:color w:val="7F7F7F"/>
                <w:szCs w:val="18"/>
                <w:lang w:eastAsia="en-AU"/>
              </w:rPr>
            </w:pPr>
            <w:r w:rsidRPr="00E83408">
              <w:rPr>
                <w:rFonts w:cs="Arial"/>
                <w:color w:val="7F7F7F"/>
                <w:szCs w:val="18"/>
                <w:lang w:eastAsia="en-AU"/>
              </w:rPr>
              <w:t>-12%</w:t>
            </w:r>
          </w:p>
        </w:tc>
      </w:tr>
      <w:tr w:rsidR="00E83408" w:rsidRPr="00E83408" w:rsidTr="00E83408">
        <w:trPr>
          <w:trHeight w:val="300"/>
        </w:trPr>
        <w:tc>
          <w:tcPr>
            <w:tcW w:w="2600" w:type="dxa"/>
            <w:tcBorders>
              <w:top w:val="nil"/>
              <w:left w:val="nil"/>
              <w:bottom w:val="nil"/>
              <w:right w:val="nil"/>
            </w:tcBorders>
            <w:shd w:val="clear" w:color="auto" w:fill="auto"/>
            <w:noWrap/>
            <w:vAlign w:val="center"/>
            <w:hideMark/>
          </w:tcPr>
          <w:p w:rsidR="00E83408" w:rsidRPr="00E83408" w:rsidRDefault="00E83408" w:rsidP="00E83408">
            <w:pPr>
              <w:rPr>
                <w:rFonts w:cs="Arial"/>
                <w:color w:val="7F7F7F"/>
                <w:szCs w:val="18"/>
                <w:lang w:eastAsia="en-AU"/>
              </w:rPr>
            </w:pPr>
            <w:r w:rsidRPr="00E83408">
              <w:rPr>
                <w:rFonts w:cs="Arial"/>
                <w:color w:val="7F7F7F"/>
                <w:szCs w:val="18"/>
                <w:lang w:eastAsia="en-AU"/>
              </w:rPr>
              <w:t>Pre-accredited</w:t>
            </w:r>
          </w:p>
        </w:tc>
        <w:tc>
          <w:tcPr>
            <w:tcW w:w="1155" w:type="dxa"/>
            <w:tcBorders>
              <w:top w:val="nil"/>
              <w:left w:val="nil"/>
              <w:bottom w:val="nil"/>
              <w:right w:val="nil"/>
            </w:tcBorders>
            <w:shd w:val="clear" w:color="auto" w:fill="auto"/>
            <w:noWrap/>
            <w:vAlign w:val="center"/>
            <w:hideMark/>
          </w:tcPr>
          <w:p w:rsidR="00E83408" w:rsidRPr="00E83408" w:rsidRDefault="00E83408" w:rsidP="00E83408">
            <w:pPr>
              <w:jc w:val="right"/>
              <w:rPr>
                <w:rFonts w:cs="Arial"/>
                <w:color w:val="7F7F7F"/>
                <w:szCs w:val="18"/>
                <w:lang w:eastAsia="en-AU"/>
              </w:rPr>
            </w:pPr>
            <w:r w:rsidRPr="00E83408">
              <w:rPr>
                <w:rFonts w:cs="Arial"/>
                <w:color w:val="7F7F7F"/>
                <w:szCs w:val="18"/>
                <w:lang w:eastAsia="en-AU"/>
              </w:rPr>
              <w:t>99%</w:t>
            </w:r>
          </w:p>
        </w:tc>
        <w:tc>
          <w:tcPr>
            <w:tcW w:w="1156" w:type="dxa"/>
            <w:tcBorders>
              <w:top w:val="nil"/>
              <w:left w:val="nil"/>
              <w:bottom w:val="nil"/>
              <w:right w:val="nil"/>
            </w:tcBorders>
            <w:shd w:val="clear" w:color="auto" w:fill="auto"/>
            <w:noWrap/>
            <w:vAlign w:val="center"/>
            <w:hideMark/>
          </w:tcPr>
          <w:p w:rsidR="00E83408" w:rsidRPr="00E83408" w:rsidRDefault="00E83408" w:rsidP="00E83408">
            <w:pPr>
              <w:jc w:val="right"/>
              <w:rPr>
                <w:rFonts w:cs="Arial"/>
                <w:color w:val="7F7F7F"/>
                <w:szCs w:val="18"/>
                <w:lang w:eastAsia="en-AU"/>
              </w:rPr>
            </w:pPr>
            <w:r w:rsidRPr="00E83408">
              <w:rPr>
                <w:rFonts w:cs="Arial"/>
                <w:color w:val="7F7F7F"/>
                <w:szCs w:val="18"/>
                <w:lang w:eastAsia="en-AU"/>
              </w:rPr>
              <w:t>37%</w:t>
            </w:r>
          </w:p>
        </w:tc>
        <w:tc>
          <w:tcPr>
            <w:tcW w:w="1156" w:type="dxa"/>
            <w:tcBorders>
              <w:top w:val="nil"/>
              <w:left w:val="nil"/>
              <w:bottom w:val="nil"/>
              <w:right w:val="nil"/>
            </w:tcBorders>
            <w:shd w:val="clear" w:color="auto" w:fill="auto"/>
            <w:noWrap/>
            <w:vAlign w:val="center"/>
            <w:hideMark/>
          </w:tcPr>
          <w:p w:rsidR="00E83408" w:rsidRPr="00E83408" w:rsidRDefault="00E83408" w:rsidP="00E83408">
            <w:pPr>
              <w:jc w:val="right"/>
              <w:rPr>
                <w:rFonts w:cs="Arial"/>
                <w:color w:val="7F7F7F"/>
                <w:szCs w:val="18"/>
                <w:lang w:eastAsia="en-AU"/>
              </w:rPr>
            </w:pPr>
            <w:r w:rsidRPr="00E83408">
              <w:rPr>
                <w:rFonts w:cs="Arial"/>
                <w:color w:val="7F7F7F"/>
                <w:szCs w:val="18"/>
                <w:lang w:eastAsia="en-AU"/>
              </w:rPr>
              <w:t>6%</w:t>
            </w:r>
          </w:p>
        </w:tc>
        <w:tc>
          <w:tcPr>
            <w:tcW w:w="1156" w:type="dxa"/>
            <w:tcBorders>
              <w:top w:val="nil"/>
              <w:left w:val="nil"/>
              <w:bottom w:val="nil"/>
              <w:right w:val="nil"/>
            </w:tcBorders>
            <w:shd w:val="clear" w:color="auto" w:fill="auto"/>
            <w:noWrap/>
            <w:vAlign w:val="center"/>
            <w:hideMark/>
          </w:tcPr>
          <w:p w:rsidR="00E83408" w:rsidRPr="00E83408" w:rsidRDefault="00E83408" w:rsidP="00E83408">
            <w:pPr>
              <w:jc w:val="right"/>
              <w:rPr>
                <w:rFonts w:cs="Arial"/>
                <w:color w:val="7F7F7F"/>
                <w:szCs w:val="18"/>
                <w:lang w:eastAsia="en-AU"/>
              </w:rPr>
            </w:pPr>
            <w:r w:rsidRPr="00E83408">
              <w:rPr>
                <w:rFonts w:cs="Arial"/>
                <w:color w:val="7F7F7F"/>
                <w:szCs w:val="18"/>
                <w:lang w:eastAsia="en-AU"/>
              </w:rPr>
              <w:t>-1%</w:t>
            </w:r>
          </w:p>
        </w:tc>
        <w:tc>
          <w:tcPr>
            <w:tcW w:w="1156" w:type="dxa"/>
            <w:tcBorders>
              <w:top w:val="nil"/>
              <w:left w:val="nil"/>
              <w:bottom w:val="nil"/>
              <w:right w:val="nil"/>
            </w:tcBorders>
            <w:shd w:val="clear" w:color="auto" w:fill="auto"/>
            <w:noWrap/>
            <w:vAlign w:val="center"/>
            <w:hideMark/>
          </w:tcPr>
          <w:p w:rsidR="00E83408" w:rsidRPr="00E83408" w:rsidRDefault="00E83408" w:rsidP="00E83408">
            <w:pPr>
              <w:jc w:val="right"/>
              <w:rPr>
                <w:rFonts w:cs="Arial"/>
                <w:color w:val="7F7F7F"/>
                <w:szCs w:val="18"/>
                <w:lang w:eastAsia="en-AU"/>
              </w:rPr>
            </w:pPr>
            <w:r w:rsidRPr="00E83408">
              <w:rPr>
                <w:rFonts w:cs="Arial"/>
                <w:color w:val="7F7F7F"/>
                <w:szCs w:val="18"/>
                <w:lang w:eastAsia="en-AU"/>
              </w:rPr>
              <w:t>-3%</w:t>
            </w:r>
          </w:p>
        </w:tc>
      </w:tr>
      <w:tr w:rsidR="00E83408" w:rsidRPr="00E83408" w:rsidTr="00E83408">
        <w:trPr>
          <w:trHeight w:val="315"/>
        </w:trPr>
        <w:tc>
          <w:tcPr>
            <w:tcW w:w="2600" w:type="dxa"/>
            <w:tcBorders>
              <w:top w:val="nil"/>
              <w:left w:val="nil"/>
              <w:bottom w:val="single" w:sz="12" w:space="0" w:color="FFFFFF"/>
              <w:right w:val="nil"/>
            </w:tcBorders>
            <w:shd w:val="clear" w:color="000000" w:fill="7F7F7F"/>
            <w:noWrap/>
            <w:vAlign w:val="center"/>
            <w:hideMark/>
          </w:tcPr>
          <w:p w:rsidR="00E83408" w:rsidRPr="00E83408" w:rsidRDefault="00E83408" w:rsidP="00E83408">
            <w:pPr>
              <w:rPr>
                <w:rFonts w:cs="Arial"/>
                <w:b/>
                <w:bCs/>
                <w:color w:val="FFFFFF"/>
                <w:szCs w:val="18"/>
                <w:lang w:eastAsia="en-AU"/>
              </w:rPr>
            </w:pPr>
            <w:r w:rsidRPr="00E83408">
              <w:rPr>
                <w:rFonts w:cs="Arial"/>
                <w:b/>
                <w:bCs/>
                <w:color w:val="FFFFFF"/>
                <w:szCs w:val="18"/>
                <w:lang w:eastAsia="en-AU"/>
              </w:rPr>
              <w:t>Total*</w:t>
            </w:r>
          </w:p>
        </w:tc>
        <w:tc>
          <w:tcPr>
            <w:tcW w:w="1155" w:type="dxa"/>
            <w:tcBorders>
              <w:top w:val="nil"/>
              <w:left w:val="nil"/>
              <w:bottom w:val="single" w:sz="12" w:space="0" w:color="FFFFFF"/>
              <w:right w:val="nil"/>
            </w:tcBorders>
            <w:shd w:val="clear" w:color="000000" w:fill="7F7F7F"/>
            <w:noWrap/>
            <w:vAlign w:val="center"/>
            <w:hideMark/>
          </w:tcPr>
          <w:p w:rsidR="00E83408" w:rsidRPr="00E83408" w:rsidRDefault="00E83408" w:rsidP="00E83408">
            <w:pPr>
              <w:jc w:val="right"/>
              <w:rPr>
                <w:rFonts w:cs="Arial"/>
                <w:b/>
                <w:bCs/>
                <w:color w:val="FFFFFF"/>
                <w:szCs w:val="18"/>
                <w:lang w:eastAsia="en-AU"/>
              </w:rPr>
            </w:pPr>
            <w:r w:rsidRPr="00E83408">
              <w:rPr>
                <w:rFonts w:cs="Arial"/>
                <w:b/>
                <w:bCs/>
                <w:color w:val="FFFFFF"/>
                <w:szCs w:val="18"/>
                <w:lang w:eastAsia="en-AU"/>
              </w:rPr>
              <w:t>27%</w:t>
            </w:r>
          </w:p>
        </w:tc>
        <w:tc>
          <w:tcPr>
            <w:tcW w:w="1156" w:type="dxa"/>
            <w:tcBorders>
              <w:top w:val="nil"/>
              <w:left w:val="nil"/>
              <w:bottom w:val="single" w:sz="12" w:space="0" w:color="FFFFFF"/>
              <w:right w:val="nil"/>
            </w:tcBorders>
            <w:shd w:val="clear" w:color="000000" w:fill="7F7F7F"/>
            <w:noWrap/>
            <w:vAlign w:val="center"/>
            <w:hideMark/>
          </w:tcPr>
          <w:p w:rsidR="00E83408" w:rsidRPr="00E83408" w:rsidRDefault="00E83408" w:rsidP="00E83408">
            <w:pPr>
              <w:jc w:val="right"/>
              <w:rPr>
                <w:rFonts w:cs="Arial"/>
                <w:b/>
                <w:bCs/>
                <w:color w:val="FFFFFF"/>
                <w:szCs w:val="18"/>
                <w:lang w:eastAsia="en-AU"/>
              </w:rPr>
            </w:pPr>
            <w:r w:rsidRPr="00E83408">
              <w:rPr>
                <w:rFonts w:cs="Arial"/>
                <w:b/>
                <w:bCs/>
                <w:color w:val="FFFFFF"/>
                <w:szCs w:val="18"/>
                <w:lang w:eastAsia="en-AU"/>
              </w:rPr>
              <w:t>3%</w:t>
            </w:r>
          </w:p>
        </w:tc>
        <w:tc>
          <w:tcPr>
            <w:tcW w:w="1156" w:type="dxa"/>
            <w:tcBorders>
              <w:top w:val="nil"/>
              <w:left w:val="nil"/>
              <w:bottom w:val="single" w:sz="12" w:space="0" w:color="FFFFFF"/>
              <w:right w:val="nil"/>
            </w:tcBorders>
            <w:shd w:val="clear" w:color="000000" w:fill="7F7F7F"/>
            <w:noWrap/>
            <w:vAlign w:val="center"/>
            <w:hideMark/>
          </w:tcPr>
          <w:p w:rsidR="00E83408" w:rsidRPr="00E83408" w:rsidRDefault="00E83408" w:rsidP="00E83408">
            <w:pPr>
              <w:jc w:val="right"/>
              <w:rPr>
                <w:rFonts w:cs="Arial"/>
                <w:b/>
                <w:bCs/>
                <w:color w:val="FFFFFF"/>
                <w:szCs w:val="18"/>
                <w:lang w:eastAsia="en-AU"/>
              </w:rPr>
            </w:pPr>
            <w:r w:rsidRPr="00E83408">
              <w:rPr>
                <w:rFonts w:cs="Arial"/>
                <w:b/>
                <w:bCs/>
                <w:color w:val="FFFFFF"/>
                <w:szCs w:val="18"/>
                <w:lang w:eastAsia="en-AU"/>
              </w:rPr>
              <w:t>-23%</w:t>
            </w:r>
          </w:p>
        </w:tc>
        <w:tc>
          <w:tcPr>
            <w:tcW w:w="1156" w:type="dxa"/>
            <w:tcBorders>
              <w:top w:val="nil"/>
              <w:left w:val="nil"/>
              <w:bottom w:val="single" w:sz="12" w:space="0" w:color="FFFFFF"/>
              <w:right w:val="nil"/>
            </w:tcBorders>
            <w:shd w:val="clear" w:color="000000" w:fill="7F7F7F"/>
            <w:noWrap/>
            <w:vAlign w:val="center"/>
            <w:hideMark/>
          </w:tcPr>
          <w:p w:rsidR="00E83408" w:rsidRPr="00E83408" w:rsidRDefault="00E83408" w:rsidP="00E83408">
            <w:pPr>
              <w:jc w:val="right"/>
              <w:rPr>
                <w:rFonts w:cs="Arial"/>
                <w:b/>
                <w:bCs/>
                <w:color w:val="FFFFFF"/>
                <w:szCs w:val="18"/>
                <w:lang w:eastAsia="en-AU"/>
              </w:rPr>
            </w:pPr>
            <w:r w:rsidRPr="00E83408">
              <w:rPr>
                <w:rFonts w:cs="Arial"/>
                <w:b/>
                <w:bCs/>
                <w:color w:val="FFFFFF"/>
                <w:szCs w:val="18"/>
                <w:lang w:eastAsia="en-AU"/>
              </w:rPr>
              <w:t>-11%</w:t>
            </w:r>
          </w:p>
        </w:tc>
        <w:tc>
          <w:tcPr>
            <w:tcW w:w="1156" w:type="dxa"/>
            <w:tcBorders>
              <w:top w:val="nil"/>
              <w:left w:val="nil"/>
              <w:bottom w:val="single" w:sz="12" w:space="0" w:color="FFFFFF"/>
              <w:right w:val="nil"/>
            </w:tcBorders>
            <w:shd w:val="clear" w:color="000000" w:fill="7F7F7F"/>
            <w:noWrap/>
            <w:vAlign w:val="center"/>
            <w:hideMark/>
          </w:tcPr>
          <w:p w:rsidR="00E83408" w:rsidRPr="00E83408" w:rsidRDefault="00E83408" w:rsidP="00E83408">
            <w:pPr>
              <w:jc w:val="right"/>
              <w:rPr>
                <w:rFonts w:cs="Arial"/>
                <w:b/>
                <w:bCs/>
                <w:color w:val="FFFFFF"/>
                <w:szCs w:val="18"/>
                <w:lang w:eastAsia="en-AU"/>
              </w:rPr>
            </w:pPr>
            <w:r w:rsidRPr="00E83408">
              <w:rPr>
                <w:rFonts w:cs="Arial"/>
                <w:b/>
                <w:bCs/>
                <w:color w:val="FFFFFF"/>
                <w:szCs w:val="18"/>
                <w:lang w:eastAsia="en-AU"/>
              </w:rPr>
              <w:t>-12%</w:t>
            </w:r>
          </w:p>
        </w:tc>
      </w:tr>
    </w:tbl>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4A0" w:firstRow="1" w:lastRow="0" w:firstColumn="1" w:lastColumn="0" w:noHBand="0" w:noVBand="1"/>
      </w:tblPr>
      <w:tblGrid>
        <w:gridCol w:w="431"/>
        <w:gridCol w:w="8041"/>
      </w:tblGrid>
      <w:tr w:rsidR="00AB4E4A" w:rsidRPr="00913551" w:rsidTr="007477B7">
        <w:tc>
          <w:tcPr>
            <w:tcW w:w="431" w:type="dxa"/>
            <w:tcMar>
              <w:left w:w="0" w:type="dxa"/>
              <w:right w:w="28" w:type="dxa"/>
            </w:tcMar>
          </w:tcPr>
          <w:p w:rsidR="00AB4E4A" w:rsidRPr="00913551" w:rsidRDefault="00AB4E4A" w:rsidP="007477B7">
            <w:pPr>
              <w:spacing w:after="0" w:line="240" w:lineRule="auto"/>
              <w:jc w:val="right"/>
              <w:rPr>
                <w:color w:val="7F7F7F" w:themeColor="text2"/>
                <w:sz w:val="16"/>
                <w:szCs w:val="16"/>
              </w:rPr>
            </w:pPr>
            <w:r w:rsidRPr="00913551">
              <w:rPr>
                <w:color w:val="7F7F7F" w:themeColor="text2"/>
                <w:sz w:val="16"/>
                <w:szCs w:val="16"/>
              </w:rPr>
              <w:t xml:space="preserve">* </w:t>
            </w:r>
          </w:p>
        </w:tc>
        <w:tc>
          <w:tcPr>
            <w:tcW w:w="8041" w:type="dxa"/>
            <w:tcMar>
              <w:left w:w="0" w:type="dxa"/>
              <w:right w:w="28" w:type="dxa"/>
            </w:tcMar>
          </w:tcPr>
          <w:p w:rsidR="00AB4E4A" w:rsidRPr="00913551" w:rsidRDefault="001651B8" w:rsidP="007477B7">
            <w:pPr>
              <w:spacing w:after="0" w:line="240" w:lineRule="auto"/>
              <w:rPr>
                <w:color w:val="7F7F7F" w:themeColor="text2"/>
                <w:sz w:val="16"/>
                <w:szCs w:val="16"/>
              </w:rPr>
            </w:pPr>
            <w:r>
              <w:rPr>
                <w:i/>
                <w:sz w:val="16"/>
                <w:szCs w:val="16"/>
              </w:rPr>
              <w:t>A s</w:t>
            </w:r>
            <w:r w:rsidRPr="00913551">
              <w:rPr>
                <w:i/>
                <w:sz w:val="16"/>
                <w:szCs w:val="16"/>
              </w:rPr>
              <w:t>tudent</w:t>
            </w:r>
            <w:r>
              <w:rPr>
                <w:i/>
                <w:sz w:val="16"/>
                <w:szCs w:val="16"/>
              </w:rPr>
              <w:t xml:space="preserve"> can enrol in both accredited and pre-accredited training. </w:t>
            </w:r>
            <w:r w:rsidRPr="00913551">
              <w:rPr>
                <w:i/>
                <w:sz w:val="16"/>
                <w:szCs w:val="16"/>
              </w:rPr>
              <w:t xml:space="preserve">The total has eliminated </w:t>
            </w:r>
            <w:r>
              <w:rPr>
                <w:i/>
                <w:sz w:val="16"/>
                <w:szCs w:val="16"/>
              </w:rPr>
              <w:t>any</w:t>
            </w:r>
            <w:r w:rsidRPr="00913551">
              <w:rPr>
                <w:i/>
                <w:sz w:val="16"/>
                <w:szCs w:val="16"/>
              </w:rPr>
              <w:t xml:space="preserve"> duplicates</w:t>
            </w:r>
            <w:r w:rsidR="00AB4E4A" w:rsidRPr="00913551">
              <w:rPr>
                <w:i/>
                <w:sz w:val="16"/>
                <w:szCs w:val="16"/>
              </w:rPr>
              <w:t>.</w:t>
            </w:r>
          </w:p>
        </w:tc>
      </w:tr>
    </w:tbl>
    <w:p w:rsidR="00AB4E4A" w:rsidRDefault="00AB4E4A">
      <w:pPr>
        <w:rPr>
          <w:i/>
        </w:rPr>
      </w:pPr>
      <w:r>
        <w:rPr>
          <w:i/>
        </w:rPr>
        <w:br w:type="page"/>
      </w:r>
    </w:p>
    <w:tbl>
      <w:tblPr>
        <w:tblStyle w:val="TableGrid"/>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230"/>
      </w:tblGrid>
      <w:tr w:rsidR="007803F5" w:rsidTr="007803F5">
        <w:tc>
          <w:tcPr>
            <w:tcW w:w="1134" w:type="dxa"/>
            <w:tcMar>
              <w:left w:w="0" w:type="dxa"/>
              <w:right w:w="0" w:type="dxa"/>
            </w:tcMar>
          </w:tcPr>
          <w:p w:rsidR="007803F5" w:rsidRDefault="007803F5" w:rsidP="007803F5">
            <w:pPr>
              <w:pStyle w:val="Quote"/>
              <w:tabs>
                <w:tab w:val="left" w:pos="1134"/>
              </w:tabs>
              <w:rPr>
                <w:b w:val="0"/>
                <w:color w:val="B41F22" w:themeColor="accent1"/>
              </w:rPr>
            </w:pPr>
            <w:r>
              <w:rPr>
                <w:b w:val="0"/>
                <w:color w:val="B41F22" w:themeColor="accent1"/>
              </w:rPr>
              <w:lastRenderedPageBreak/>
              <w:t>Figure 1.1:</w:t>
            </w:r>
          </w:p>
        </w:tc>
        <w:tc>
          <w:tcPr>
            <w:tcW w:w="7230" w:type="dxa"/>
            <w:tcMar>
              <w:left w:w="0" w:type="dxa"/>
              <w:right w:w="0" w:type="dxa"/>
            </w:tcMar>
          </w:tcPr>
          <w:p w:rsidR="007803F5" w:rsidRDefault="007803F5" w:rsidP="008174E3">
            <w:pPr>
              <w:pStyle w:val="Quote"/>
              <w:tabs>
                <w:tab w:val="left" w:pos="1134"/>
              </w:tabs>
              <w:rPr>
                <w:b w:val="0"/>
                <w:color w:val="B41F22" w:themeColor="accent1"/>
              </w:rPr>
            </w:pPr>
            <w:r w:rsidRPr="00B25196">
              <w:rPr>
                <w:b w:val="0"/>
                <w:color w:val="B41F22" w:themeColor="accent1"/>
              </w:rPr>
              <w:t>Students enrolled in government subsidised accredited and pre-accredited training, 2010 to 2015 (half year)</w:t>
            </w:r>
          </w:p>
        </w:tc>
      </w:tr>
    </w:tbl>
    <w:p w:rsidR="00CC6CA5" w:rsidRPr="00CC6CA5" w:rsidRDefault="00472F62" w:rsidP="00CC6CA5">
      <w:pPr>
        <w:rPr>
          <w:color w:val="7F7F7F" w:themeColor="text2"/>
          <w:sz w:val="19"/>
          <w:szCs w:val="19"/>
        </w:rPr>
      </w:pPr>
      <w:r>
        <w:rPr>
          <w:noProof/>
          <w:color w:val="7F7F7F" w:themeColor="text2"/>
          <w:sz w:val="19"/>
          <w:szCs w:val="19"/>
          <w:lang w:eastAsia="en-AU"/>
        </w:rPr>
        <w:drawing>
          <wp:inline distT="0" distB="0" distL="0" distR="0" wp14:anchorId="46F3D638" wp14:editId="136DF990">
            <wp:extent cx="5220000" cy="313126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20000" cy="3131269"/>
                    </a:xfrm>
                    <a:prstGeom prst="rect">
                      <a:avLst/>
                    </a:prstGeom>
                    <a:noFill/>
                  </pic:spPr>
                </pic:pic>
              </a:graphicData>
            </a:graphic>
          </wp:inline>
        </w:drawing>
      </w:r>
    </w:p>
    <w:p w:rsidR="00CC6CA5" w:rsidRPr="006B30C6" w:rsidRDefault="00CC6CA5" w:rsidP="00CC6CA5">
      <w:pPr>
        <w:rPr>
          <w:color w:val="7F7F7F" w:themeColor="text2"/>
          <w:szCs w:val="18"/>
        </w:rPr>
      </w:pPr>
    </w:p>
    <w:p w:rsidR="006B30C6" w:rsidRDefault="006B30C6" w:rsidP="00CC6CA5">
      <w:pPr>
        <w:rPr>
          <w:color w:val="7F7F7F" w:themeColor="text2"/>
          <w:szCs w:val="18"/>
        </w:rPr>
      </w:pPr>
    </w:p>
    <w:tbl>
      <w:tblPr>
        <w:tblStyle w:val="TableGrid"/>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230"/>
      </w:tblGrid>
      <w:tr w:rsidR="007803F5" w:rsidTr="007803F5">
        <w:tc>
          <w:tcPr>
            <w:tcW w:w="1134" w:type="dxa"/>
            <w:tcMar>
              <w:left w:w="0" w:type="dxa"/>
              <w:right w:w="0" w:type="dxa"/>
            </w:tcMar>
          </w:tcPr>
          <w:p w:rsidR="007803F5" w:rsidRDefault="007803F5" w:rsidP="00AB1331">
            <w:pPr>
              <w:pStyle w:val="Quote"/>
              <w:tabs>
                <w:tab w:val="left" w:pos="1134"/>
              </w:tabs>
              <w:rPr>
                <w:b w:val="0"/>
                <w:color w:val="B41F22" w:themeColor="accent1"/>
              </w:rPr>
            </w:pPr>
            <w:r>
              <w:rPr>
                <w:b w:val="0"/>
                <w:color w:val="B41F22" w:themeColor="accent1"/>
              </w:rPr>
              <w:t>Table 1.</w:t>
            </w:r>
            <w:r w:rsidR="00AB6FB0">
              <w:rPr>
                <w:b w:val="0"/>
                <w:color w:val="B41F22" w:themeColor="accent1"/>
              </w:rPr>
              <w:t>2</w:t>
            </w:r>
            <w:r>
              <w:rPr>
                <w:b w:val="0"/>
                <w:color w:val="B41F22" w:themeColor="accent1"/>
              </w:rPr>
              <w:t>.1:</w:t>
            </w:r>
          </w:p>
        </w:tc>
        <w:tc>
          <w:tcPr>
            <w:tcW w:w="7230" w:type="dxa"/>
            <w:tcMar>
              <w:left w:w="0" w:type="dxa"/>
              <w:right w:w="0" w:type="dxa"/>
            </w:tcMar>
          </w:tcPr>
          <w:p w:rsidR="007803F5" w:rsidRDefault="007803F5" w:rsidP="008174E3">
            <w:pPr>
              <w:pStyle w:val="Quote"/>
              <w:tabs>
                <w:tab w:val="left" w:pos="1134"/>
              </w:tabs>
              <w:rPr>
                <w:b w:val="0"/>
                <w:color w:val="B41F22" w:themeColor="accent1"/>
              </w:rPr>
            </w:pPr>
            <w:r>
              <w:rPr>
                <w:b w:val="0"/>
                <w:color w:val="B41F22" w:themeColor="accent1"/>
              </w:rPr>
              <w:t>C</w:t>
            </w:r>
            <w:r w:rsidRPr="00B25196">
              <w:rPr>
                <w:b w:val="0"/>
                <w:color w:val="B41F22" w:themeColor="accent1"/>
              </w:rPr>
              <w:t>ourse enrolments in government subsidised accredited and pre-accredited training, 2010 to 2015 (half year)</w:t>
            </w:r>
          </w:p>
        </w:tc>
      </w:tr>
    </w:tbl>
    <w:tbl>
      <w:tblPr>
        <w:tblW w:w="8379" w:type="dxa"/>
        <w:tblInd w:w="93" w:type="dxa"/>
        <w:tblLayout w:type="fixed"/>
        <w:tblLook w:val="04A0" w:firstRow="1" w:lastRow="0" w:firstColumn="1" w:lastColumn="0" w:noHBand="0" w:noVBand="1"/>
      </w:tblPr>
      <w:tblGrid>
        <w:gridCol w:w="2000"/>
        <w:gridCol w:w="1063"/>
        <w:gridCol w:w="1063"/>
        <w:gridCol w:w="1063"/>
        <w:gridCol w:w="1063"/>
        <w:gridCol w:w="1063"/>
        <w:gridCol w:w="1064"/>
      </w:tblGrid>
      <w:tr w:rsidR="00E83408" w:rsidRPr="00E83408" w:rsidTr="00E83408">
        <w:trPr>
          <w:trHeight w:val="300"/>
        </w:trPr>
        <w:tc>
          <w:tcPr>
            <w:tcW w:w="2000" w:type="dxa"/>
            <w:tcBorders>
              <w:top w:val="nil"/>
              <w:left w:val="nil"/>
              <w:bottom w:val="nil"/>
              <w:right w:val="nil"/>
            </w:tcBorders>
            <w:shd w:val="clear" w:color="000000" w:fill="7F7F7F"/>
            <w:noWrap/>
            <w:vAlign w:val="center"/>
            <w:hideMark/>
          </w:tcPr>
          <w:p w:rsidR="00E83408" w:rsidRPr="00E83408" w:rsidRDefault="00E83408" w:rsidP="00E83408">
            <w:pPr>
              <w:rPr>
                <w:rFonts w:cs="Arial"/>
                <w:color w:val="FFFFFF"/>
                <w:szCs w:val="18"/>
                <w:lang w:eastAsia="en-AU"/>
              </w:rPr>
            </w:pPr>
            <w:r w:rsidRPr="00E83408">
              <w:rPr>
                <w:rFonts w:cs="Arial"/>
                <w:color w:val="FFFFFF"/>
                <w:szCs w:val="18"/>
                <w:lang w:eastAsia="en-AU"/>
              </w:rPr>
              <w:t> </w:t>
            </w:r>
          </w:p>
        </w:tc>
        <w:tc>
          <w:tcPr>
            <w:tcW w:w="1063" w:type="dxa"/>
            <w:tcBorders>
              <w:top w:val="nil"/>
              <w:left w:val="nil"/>
              <w:bottom w:val="nil"/>
              <w:right w:val="nil"/>
            </w:tcBorders>
            <w:shd w:val="clear" w:color="000000" w:fill="7F7F7F"/>
            <w:noWrap/>
            <w:vAlign w:val="center"/>
            <w:hideMark/>
          </w:tcPr>
          <w:p w:rsidR="00E83408" w:rsidRPr="00E83408" w:rsidRDefault="00E83408" w:rsidP="00E83408">
            <w:pPr>
              <w:jc w:val="right"/>
              <w:rPr>
                <w:rFonts w:cs="Arial"/>
                <w:b/>
                <w:bCs/>
                <w:color w:val="FFFFFF"/>
                <w:szCs w:val="18"/>
                <w:lang w:eastAsia="en-AU"/>
              </w:rPr>
            </w:pPr>
            <w:r w:rsidRPr="00E83408">
              <w:rPr>
                <w:rFonts w:cs="Arial"/>
                <w:b/>
                <w:bCs/>
                <w:color w:val="FFFFFF"/>
                <w:szCs w:val="18"/>
                <w:lang w:eastAsia="en-AU"/>
              </w:rPr>
              <w:t>2010</w:t>
            </w:r>
          </w:p>
        </w:tc>
        <w:tc>
          <w:tcPr>
            <w:tcW w:w="1063" w:type="dxa"/>
            <w:tcBorders>
              <w:top w:val="nil"/>
              <w:left w:val="nil"/>
              <w:bottom w:val="nil"/>
              <w:right w:val="nil"/>
            </w:tcBorders>
            <w:shd w:val="clear" w:color="000000" w:fill="7F7F7F"/>
            <w:noWrap/>
            <w:vAlign w:val="center"/>
            <w:hideMark/>
          </w:tcPr>
          <w:p w:rsidR="00E83408" w:rsidRPr="00E83408" w:rsidRDefault="00E83408" w:rsidP="00E83408">
            <w:pPr>
              <w:jc w:val="right"/>
              <w:rPr>
                <w:rFonts w:cs="Arial"/>
                <w:b/>
                <w:bCs/>
                <w:color w:val="FFFFFF"/>
                <w:szCs w:val="18"/>
                <w:lang w:eastAsia="en-AU"/>
              </w:rPr>
            </w:pPr>
            <w:r w:rsidRPr="00E83408">
              <w:rPr>
                <w:rFonts w:cs="Arial"/>
                <w:b/>
                <w:bCs/>
                <w:color w:val="FFFFFF"/>
                <w:szCs w:val="18"/>
                <w:lang w:eastAsia="en-AU"/>
              </w:rPr>
              <w:t>2011</w:t>
            </w:r>
          </w:p>
        </w:tc>
        <w:tc>
          <w:tcPr>
            <w:tcW w:w="1063" w:type="dxa"/>
            <w:tcBorders>
              <w:top w:val="nil"/>
              <w:left w:val="nil"/>
              <w:bottom w:val="nil"/>
              <w:right w:val="nil"/>
            </w:tcBorders>
            <w:shd w:val="clear" w:color="000000" w:fill="7F7F7F"/>
            <w:noWrap/>
            <w:vAlign w:val="center"/>
            <w:hideMark/>
          </w:tcPr>
          <w:p w:rsidR="00E83408" w:rsidRPr="00E83408" w:rsidRDefault="00E83408" w:rsidP="00E83408">
            <w:pPr>
              <w:jc w:val="right"/>
              <w:rPr>
                <w:rFonts w:cs="Arial"/>
                <w:b/>
                <w:bCs/>
                <w:color w:val="FFFFFF"/>
                <w:szCs w:val="18"/>
                <w:lang w:eastAsia="en-AU"/>
              </w:rPr>
            </w:pPr>
            <w:r w:rsidRPr="00E83408">
              <w:rPr>
                <w:rFonts w:cs="Arial"/>
                <w:b/>
                <w:bCs/>
                <w:color w:val="FFFFFF"/>
                <w:szCs w:val="18"/>
                <w:lang w:eastAsia="en-AU"/>
              </w:rPr>
              <w:t>2012</w:t>
            </w:r>
          </w:p>
        </w:tc>
        <w:tc>
          <w:tcPr>
            <w:tcW w:w="1063" w:type="dxa"/>
            <w:tcBorders>
              <w:top w:val="nil"/>
              <w:left w:val="nil"/>
              <w:bottom w:val="nil"/>
              <w:right w:val="nil"/>
            </w:tcBorders>
            <w:shd w:val="clear" w:color="000000" w:fill="7F7F7F"/>
            <w:noWrap/>
            <w:vAlign w:val="center"/>
            <w:hideMark/>
          </w:tcPr>
          <w:p w:rsidR="00E83408" w:rsidRPr="00E83408" w:rsidRDefault="00E83408" w:rsidP="00E83408">
            <w:pPr>
              <w:jc w:val="right"/>
              <w:rPr>
                <w:rFonts w:cs="Arial"/>
                <w:b/>
                <w:bCs/>
                <w:color w:val="FFFFFF"/>
                <w:szCs w:val="18"/>
                <w:lang w:eastAsia="en-AU"/>
              </w:rPr>
            </w:pPr>
            <w:r w:rsidRPr="00E83408">
              <w:rPr>
                <w:rFonts w:cs="Arial"/>
                <w:b/>
                <w:bCs/>
                <w:color w:val="FFFFFF"/>
                <w:szCs w:val="18"/>
                <w:lang w:eastAsia="en-AU"/>
              </w:rPr>
              <w:t>2013</w:t>
            </w:r>
          </w:p>
        </w:tc>
        <w:tc>
          <w:tcPr>
            <w:tcW w:w="1063" w:type="dxa"/>
            <w:tcBorders>
              <w:top w:val="nil"/>
              <w:left w:val="nil"/>
              <w:bottom w:val="nil"/>
              <w:right w:val="nil"/>
            </w:tcBorders>
            <w:shd w:val="clear" w:color="000000" w:fill="7F7F7F"/>
            <w:noWrap/>
            <w:vAlign w:val="center"/>
            <w:hideMark/>
          </w:tcPr>
          <w:p w:rsidR="00E83408" w:rsidRPr="00E83408" w:rsidRDefault="00E83408" w:rsidP="00E83408">
            <w:pPr>
              <w:jc w:val="right"/>
              <w:rPr>
                <w:rFonts w:cs="Arial"/>
                <w:b/>
                <w:bCs/>
                <w:color w:val="FFFFFF"/>
                <w:szCs w:val="18"/>
                <w:lang w:eastAsia="en-AU"/>
              </w:rPr>
            </w:pPr>
            <w:r w:rsidRPr="00E83408">
              <w:rPr>
                <w:rFonts w:cs="Arial"/>
                <w:b/>
                <w:bCs/>
                <w:color w:val="FFFFFF"/>
                <w:szCs w:val="18"/>
                <w:lang w:eastAsia="en-AU"/>
              </w:rPr>
              <w:t>2014</w:t>
            </w:r>
          </w:p>
        </w:tc>
        <w:tc>
          <w:tcPr>
            <w:tcW w:w="1064" w:type="dxa"/>
            <w:tcBorders>
              <w:top w:val="nil"/>
              <w:left w:val="nil"/>
              <w:bottom w:val="nil"/>
              <w:right w:val="nil"/>
            </w:tcBorders>
            <w:shd w:val="clear" w:color="000000" w:fill="7F7F7F"/>
            <w:noWrap/>
            <w:vAlign w:val="center"/>
            <w:hideMark/>
          </w:tcPr>
          <w:p w:rsidR="00E83408" w:rsidRPr="00E83408" w:rsidRDefault="00E83408" w:rsidP="00E83408">
            <w:pPr>
              <w:jc w:val="right"/>
              <w:rPr>
                <w:rFonts w:cs="Arial"/>
                <w:b/>
                <w:bCs/>
                <w:color w:val="FFFFFF"/>
                <w:szCs w:val="18"/>
                <w:lang w:eastAsia="en-AU"/>
              </w:rPr>
            </w:pPr>
            <w:r w:rsidRPr="00E83408">
              <w:rPr>
                <w:rFonts w:cs="Arial"/>
                <w:b/>
                <w:bCs/>
                <w:color w:val="FFFFFF"/>
                <w:szCs w:val="18"/>
                <w:lang w:eastAsia="en-AU"/>
              </w:rPr>
              <w:t>2015</w:t>
            </w:r>
          </w:p>
        </w:tc>
      </w:tr>
      <w:tr w:rsidR="00E83408" w:rsidRPr="00E83408" w:rsidTr="00E83408">
        <w:trPr>
          <w:trHeight w:val="300"/>
        </w:trPr>
        <w:tc>
          <w:tcPr>
            <w:tcW w:w="2000" w:type="dxa"/>
            <w:tcBorders>
              <w:top w:val="nil"/>
              <w:left w:val="nil"/>
              <w:bottom w:val="nil"/>
              <w:right w:val="nil"/>
            </w:tcBorders>
            <w:shd w:val="clear" w:color="auto" w:fill="auto"/>
            <w:noWrap/>
            <w:vAlign w:val="center"/>
            <w:hideMark/>
          </w:tcPr>
          <w:p w:rsidR="00E83408" w:rsidRPr="00E83408" w:rsidRDefault="00E83408" w:rsidP="00E83408">
            <w:pPr>
              <w:rPr>
                <w:rFonts w:cs="Arial"/>
                <w:color w:val="7F7F7F"/>
                <w:szCs w:val="18"/>
                <w:lang w:eastAsia="en-AU"/>
              </w:rPr>
            </w:pPr>
            <w:r w:rsidRPr="00E83408">
              <w:rPr>
                <w:rFonts w:cs="Arial"/>
                <w:color w:val="7F7F7F"/>
                <w:szCs w:val="18"/>
                <w:lang w:eastAsia="en-AU"/>
              </w:rPr>
              <w:t>Accredited</w:t>
            </w:r>
          </w:p>
        </w:tc>
        <w:tc>
          <w:tcPr>
            <w:tcW w:w="1063" w:type="dxa"/>
            <w:tcBorders>
              <w:top w:val="nil"/>
              <w:left w:val="nil"/>
              <w:bottom w:val="nil"/>
              <w:right w:val="nil"/>
            </w:tcBorders>
            <w:shd w:val="clear" w:color="auto" w:fill="auto"/>
            <w:noWrap/>
            <w:vAlign w:val="center"/>
            <w:hideMark/>
          </w:tcPr>
          <w:p w:rsidR="00E83408" w:rsidRPr="00E83408" w:rsidRDefault="00E83408" w:rsidP="00E83408">
            <w:pPr>
              <w:jc w:val="right"/>
              <w:rPr>
                <w:rFonts w:cs="Arial"/>
                <w:color w:val="7F7F7F"/>
                <w:szCs w:val="18"/>
                <w:lang w:eastAsia="en-AU"/>
              </w:rPr>
            </w:pPr>
            <w:r w:rsidRPr="00E83408">
              <w:rPr>
                <w:rFonts w:cs="Arial"/>
                <w:color w:val="7F7F7F"/>
                <w:szCs w:val="18"/>
                <w:lang w:eastAsia="en-AU"/>
              </w:rPr>
              <w:t>247,685</w:t>
            </w:r>
          </w:p>
        </w:tc>
        <w:tc>
          <w:tcPr>
            <w:tcW w:w="1063" w:type="dxa"/>
            <w:tcBorders>
              <w:top w:val="nil"/>
              <w:left w:val="nil"/>
              <w:bottom w:val="nil"/>
              <w:right w:val="nil"/>
            </w:tcBorders>
            <w:shd w:val="clear" w:color="auto" w:fill="auto"/>
            <w:noWrap/>
            <w:vAlign w:val="center"/>
            <w:hideMark/>
          </w:tcPr>
          <w:p w:rsidR="00E83408" w:rsidRPr="00E83408" w:rsidRDefault="00E83408" w:rsidP="00E83408">
            <w:pPr>
              <w:jc w:val="right"/>
              <w:rPr>
                <w:rFonts w:cs="Arial"/>
                <w:color w:val="7F7F7F"/>
                <w:szCs w:val="18"/>
                <w:lang w:eastAsia="en-AU"/>
              </w:rPr>
            </w:pPr>
            <w:r w:rsidRPr="00E83408">
              <w:rPr>
                <w:rFonts w:cs="Arial"/>
                <w:color w:val="7F7F7F"/>
                <w:szCs w:val="18"/>
                <w:lang w:eastAsia="en-AU"/>
              </w:rPr>
              <w:t>309,420</w:t>
            </w:r>
          </w:p>
        </w:tc>
        <w:tc>
          <w:tcPr>
            <w:tcW w:w="1063" w:type="dxa"/>
            <w:tcBorders>
              <w:top w:val="nil"/>
              <w:left w:val="nil"/>
              <w:bottom w:val="nil"/>
              <w:right w:val="nil"/>
            </w:tcBorders>
            <w:shd w:val="clear" w:color="auto" w:fill="auto"/>
            <w:noWrap/>
            <w:vAlign w:val="center"/>
            <w:hideMark/>
          </w:tcPr>
          <w:p w:rsidR="00E83408" w:rsidRPr="00E83408" w:rsidRDefault="00E83408" w:rsidP="00E83408">
            <w:pPr>
              <w:jc w:val="right"/>
              <w:rPr>
                <w:rFonts w:cs="Arial"/>
                <w:color w:val="7F7F7F"/>
                <w:szCs w:val="18"/>
                <w:lang w:eastAsia="en-AU"/>
              </w:rPr>
            </w:pPr>
            <w:r w:rsidRPr="00E83408">
              <w:rPr>
                <w:rFonts w:cs="Arial"/>
                <w:color w:val="7F7F7F"/>
                <w:szCs w:val="18"/>
                <w:lang w:eastAsia="en-AU"/>
              </w:rPr>
              <w:t>444,501</w:t>
            </w:r>
          </w:p>
        </w:tc>
        <w:tc>
          <w:tcPr>
            <w:tcW w:w="1063" w:type="dxa"/>
            <w:tcBorders>
              <w:top w:val="nil"/>
              <w:left w:val="nil"/>
              <w:bottom w:val="nil"/>
              <w:right w:val="nil"/>
            </w:tcBorders>
            <w:shd w:val="clear" w:color="auto" w:fill="auto"/>
            <w:noWrap/>
            <w:vAlign w:val="center"/>
            <w:hideMark/>
          </w:tcPr>
          <w:p w:rsidR="00E83408" w:rsidRPr="00E83408" w:rsidRDefault="00E83408" w:rsidP="00E83408">
            <w:pPr>
              <w:jc w:val="right"/>
              <w:rPr>
                <w:rFonts w:cs="Arial"/>
                <w:color w:val="7F7F7F"/>
                <w:szCs w:val="18"/>
                <w:lang w:eastAsia="en-AU"/>
              </w:rPr>
            </w:pPr>
            <w:r w:rsidRPr="00E83408">
              <w:rPr>
                <w:rFonts w:cs="Arial"/>
                <w:color w:val="7F7F7F"/>
                <w:szCs w:val="18"/>
                <w:lang w:eastAsia="en-AU"/>
              </w:rPr>
              <w:t>383,963</w:t>
            </w:r>
          </w:p>
        </w:tc>
        <w:tc>
          <w:tcPr>
            <w:tcW w:w="1063" w:type="dxa"/>
            <w:tcBorders>
              <w:top w:val="nil"/>
              <w:left w:val="nil"/>
              <w:bottom w:val="nil"/>
              <w:right w:val="nil"/>
            </w:tcBorders>
            <w:shd w:val="clear" w:color="auto" w:fill="auto"/>
            <w:noWrap/>
            <w:vAlign w:val="center"/>
            <w:hideMark/>
          </w:tcPr>
          <w:p w:rsidR="00E83408" w:rsidRPr="00E83408" w:rsidRDefault="00E83408" w:rsidP="00E83408">
            <w:pPr>
              <w:jc w:val="right"/>
              <w:rPr>
                <w:rFonts w:cs="Arial"/>
                <w:color w:val="7F7F7F"/>
                <w:szCs w:val="18"/>
                <w:lang w:eastAsia="en-AU"/>
              </w:rPr>
            </w:pPr>
            <w:r w:rsidRPr="00E83408">
              <w:rPr>
                <w:rFonts w:cs="Arial"/>
                <w:color w:val="7F7F7F"/>
                <w:szCs w:val="18"/>
                <w:lang w:eastAsia="en-AU"/>
              </w:rPr>
              <w:t>362,784</w:t>
            </w:r>
          </w:p>
        </w:tc>
        <w:tc>
          <w:tcPr>
            <w:tcW w:w="1064" w:type="dxa"/>
            <w:tcBorders>
              <w:top w:val="nil"/>
              <w:left w:val="nil"/>
              <w:bottom w:val="nil"/>
              <w:right w:val="nil"/>
            </w:tcBorders>
            <w:shd w:val="clear" w:color="auto" w:fill="auto"/>
            <w:noWrap/>
            <w:vAlign w:val="center"/>
            <w:hideMark/>
          </w:tcPr>
          <w:p w:rsidR="00E83408" w:rsidRPr="00E83408" w:rsidRDefault="00E83408" w:rsidP="00E83408">
            <w:pPr>
              <w:jc w:val="right"/>
              <w:rPr>
                <w:rFonts w:cs="Arial"/>
                <w:color w:val="7F7F7F"/>
                <w:szCs w:val="18"/>
                <w:lang w:eastAsia="en-AU"/>
              </w:rPr>
            </w:pPr>
            <w:r w:rsidRPr="00E83408">
              <w:rPr>
                <w:rFonts w:cs="Arial"/>
                <w:color w:val="7F7F7F"/>
                <w:szCs w:val="18"/>
                <w:lang w:eastAsia="en-AU"/>
              </w:rPr>
              <w:t>310,089</w:t>
            </w:r>
          </w:p>
        </w:tc>
      </w:tr>
      <w:tr w:rsidR="00E83408" w:rsidRPr="00E83408" w:rsidTr="00E83408">
        <w:trPr>
          <w:trHeight w:val="300"/>
        </w:trPr>
        <w:tc>
          <w:tcPr>
            <w:tcW w:w="2000" w:type="dxa"/>
            <w:tcBorders>
              <w:top w:val="nil"/>
              <w:left w:val="nil"/>
              <w:bottom w:val="nil"/>
              <w:right w:val="nil"/>
            </w:tcBorders>
            <w:shd w:val="clear" w:color="auto" w:fill="auto"/>
            <w:noWrap/>
            <w:vAlign w:val="center"/>
            <w:hideMark/>
          </w:tcPr>
          <w:p w:rsidR="00E83408" w:rsidRPr="00E83408" w:rsidRDefault="00E83408" w:rsidP="00E83408">
            <w:pPr>
              <w:rPr>
                <w:rFonts w:cs="Arial"/>
                <w:color w:val="7F7F7F"/>
                <w:szCs w:val="18"/>
                <w:lang w:eastAsia="en-AU"/>
              </w:rPr>
            </w:pPr>
            <w:r w:rsidRPr="00E83408">
              <w:rPr>
                <w:rFonts w:cs="Arial"/>
                <w:color w:val="7F7F7F"/>
                <w:szCs w:val="18"/>
                <w:lang w:eastAsia="en-AU"/>
              </w:rPr>
              <w:t>Pre-accredited</w:t>
            </w:r>
          </w:p>
        </w:tc>
        <w:tc>
          <w:tcPr>
            <w:tcW w:w="1063" w:type="dxa"/>
            <w:tcBorders>
              <w:top w:val="nil"/>
              <w:left w:val="nil"/>
              <w:bottom w:val="nil"/>
              <w:right w:val="nil"/>
            </w:tcBorders>
            <w:shd w:val="clear" w:color="auto" w:fill="auto"/>
            <w:noWrap/>
            <w:vAlign w:val="center"/>
            <w:hideMark/>
          </w:tcPr>
          <w:p w:rsidR="00E83408" w:rsidRPr="00E83408" w:rsidRDefault="00E83408" w:rsidP="00E83408">
            <w:pPr>
              <w:jc w:val="right"/>
              <w:rPr>
                <w:rFonts w:cs="Arial"/>
                <w:color w:val="7F7F7F"/>
                <w:szCs w:val="18"/>
                <w:lang w:eastAsia="en-AU"/>
              </w:rPr>
            </w:pPr>
            <w:r w:rsidRPr="00E83408">
              <w:rPr>
                <w:rFonts w:cs="Arial"/>
                <w:color w:val="7F7F7F"/>
                <w:szCs w:val="18"/>
                <w:lang w:eastAsia="en-AU"/>
              </w:rPr>
              <w:t>7,939</w:t>
            </w:r>
          </w:p>
        </w:tc>
        <w:tc>
          <w:tcPr>
            <w:tcW w:w="1063" w:type="dxa"/>
            <w:tcBorders>
              <w:top w:val="nil"/>
              <w:left w:val="nil"/>
              <w:bottom w:val="nil"/>
              <w:right w:val="nil"/>
            </w:tcBorders>
            <w:shd w:val="clear" w:color="auto" w:fill="auto"/>
            <w:noWrap/>
            <w:vAlign w:val="center"/>
            <w:hideMark/>
          </w:tcPr>
          <w:p w:rsidR="00E83408" w:rsidRPr="00E83408" w:rsidRDefault="00E83408" w:rsidP="00E83408">
            <w:pPr>
              <w:jc w:val="right"/>
              <w:rPr>
                <w:rFonts w:cs="Arial"/>
                <w:color w:val="7F7F7F"/>
                <w:szCs w:val="18"/>
                <w:lang w:eastAsia="en-AU"/>
              </w:rPr>
            </w:pPr>
            <w:r w:rsidRPr="00E83408">
              <w:rPr>
                <w:rFonts w:cs="Arial"/>
                <w:color w:val="7F7F7F"/>
                <w:szCs w:val="18"/>
                <w:lang w:eastAsia="en-AU"/>
              </w:rPr>
              <w:t>10,976</w:t>
            </w:r>
          </w:p>
        </w:tc>
        <w:tc>
          <w:tcPr>
            <w:tcW w:w="1063" w:type="dxa"/>
            <w:tcBorders>
              <w:top w:val="nil"/>
              <w:left w:val="nil"/>
              <w:bottom w:val="nil"/>
              <w:right w:val="nil"/>
            </w:tcBorders>
            <w:shd w:val="clear" w:color="auto" w:fill="auto"/>
            <w:noWrap/>
            <w:vAlign w:val="center"/>
            <w:hideMark/>
          </w:tcPr>
          <w:p w:rsidR="00E83408" w:rsidRPr="00E83408" w:rsidRDefault="00E83408" w:rsidP="00E83408">
            <w:pPr>
              <w:jc w:val="right"/>
              <w:rPr>
                <w:rFonts w:cs="Arial"/>
                <w:color w:val="7F7F7F"/>
                <w:szCs w:val="18"/>
                <w:lang w:eastAsia="en-AU"/>
              </w:rPr>
            </w:pPr>
            <w:r w:rsidRPr="00E83408">
              <w:rPr>
                <w:rFonts w:cs="Arial"/>
                <w:color w:val="7F7F7F"/>
                <w:szCs w:val="18"/>
                <w:lang w:eastAsia="en-AU"/>
              </w:rPr>
              <w:t>13,594</w:t>
            </w:r>
          </w:p>
        </w:tc>
        <w:tc>
          <w:tcPr>
            <w:tcW w:w="1063" w:type="dxa"/>
            <w:tcBorders>
              <w:top w:val="nil"/>
              <w:left w:val="nil"/>
              <w:bottom w:val="nil"/>
              <w:right w:val="nil"/>
            </w:tcBorders>
            <w:shd w:val="clear" w:color="auto" w:fill="auto"/>
            <w:noWrap/>
            <w:vAlign w:val="center"/>
            <w:hideMark/>
          </w:tcPr>
          <w:p w:rsidR="00E83408" w:rsidRPr="00E83408" w:rsidRDefault="00E83408" w:rsidP="00E83408">
            <w:pPr>
              <w:jc w:val="right"/>
              <w:rPr>
                <w:rFonts w:cs="Arial"/>
                <w:color w:val="7F7F7F"/>
                <w:szCs w:val="18"/>
                <w:lang w:eastAsia="en-AU"/>
              </w:rPr>
            </w:pPr>
            <w:r w:rsidRPr="00E83408">
              <w:rPr>
                <w:rFonts w:cs="Arial"/>
                <w:color w:val="7F7F7F"/>
                <w:szCs w:val="18"/>
                <w:lang w:eastAsia="en-AU"/>
              </w:rPr>
              <w:t>15,197</w:t>
            </w:r>
          </w:p>
        </w:tc>
        <w:tc>
          <w:tcPr>
            <w:tcW w:w="1063" w:type="dxa"/>
            <w:tcBorders>
              <w:top w:val="nil"/>
              <w:left w:val="nil"/>
              <w:bottom w:val="nil"/>
              <w:right w:val="nil"/>
            </w:tcBorders>
            <w:shd w:val="clear" w:color="auto" w:fill="auto"/>
            <w:noWrap/>
            <w:vAlign w:val="center"/>
            <w:hideMark/>
          </w:tcPr>
          <w:p w:rsidR="00E83408" w:rsidRPr="00E83408" w:rsidRDefault="00E83408" w:rsidP="00E83408">
            <w:pPr>
              <w:jc w:val="right"/>
              <w:rPr>
                <w:rFonts w:cs="Arial"/>
                <w:color w:val="7F7F7F"/>
                <w:szCs w:val="18"/>
                <w:lang w:eastAsia="en-AU"/>
              </w:rPr>
            </w:pPr>
            <w:r w:rsidRPr="00E83408">
              <w:rPr>
                <w:rFonts w:cs="Arial"/>
                <w:color w:val="7F7F7F"/>
                <w:szCs w:val="18"/>
                <w:lang w:eastAsia="en-AU"/>
              </w:rPr>
              <w:t>15,257</w:t>
            </w:r>
          </w:p>
        </w:tc>
        <w:tc>
          <w:tcPr>
            <w:tcW w:w="1064" w:type="dxa"/>
            <w:tcBorders>
              <w:top w:val="nil"/>
              <w:left w:val="nil"/>
              <w:bottom w:val="nil"/>
              <w:right w:val="nil"/>
            </w:tcBorders>
            <w:shd w:val="clear" w:color="auto" w:fill="auto"/>
            <w:noWrap/>
            <w:vAlign w:val="center"/>
            <w:hideMark/>
          </w:tcPr>
          <w:p w:rsidR="00E83408" w:rsidRPr="00E83408" w:rsidRDefault="00E83408" w:rsidP="00E83408">
            <w:pPr>
              <w:jc w:val="right"/>
              <w:rPr>
                <w:rFonts w:cs="Arial"/>
                <w:color w:val="7F7F7F"/>
                <w:szCs w:val="18"/>
                <w:lang w:eastAsia="en-AU"/>
              </w:rPr>
            </w:pPr>
            <w:r w:rsidRPr="00E83408">
              <w:rPr>
                <w:rFonts w:cs="Arial"/>
                <w:color w:val="7F7F7F"/>
                <w:szCs w:val="18"/>
                <w:lang w:eastAsia="en-AU"/>
              </w:rPr>
              <w:t>14,905</w:t>
            </w:r>
          </w:p>
        </w:tc>
      </w:tr>
      <w:tr w:rsidR="00E83408" w:rsidRPr="00E83408" w:rsidTr="00E83408">
        <w:trPr>
          <w:trHeight w:val="315"/>
        </w:trPr>
        <w:tc>
          <w:tcPr>
            <w:tcW w:w="2000" w:type="dxa"/>
            <w:tcBorders>
              <w:top w:val="nil"/>
              <w:left w:val="nil"/>
              <w:bottom w:val="single" w:sz="12" w:space="0" w:color="FFFFFF"/>
              <w:right w:val="nil"/>
            </w:tcBorders>
            <w:shd w:val="clear" w:color="000000" w:fill="7F7F7F"/>
            <w:noWrap/>
            <w:vAlign w:val="center"/>
            <w:hideMark/>
          </w:tcPr>
          <w:p w:rsidR="00E83408" w:rsidRPr="00E83408" w:rsidRDefault="00E83408" w:rsidP="00E83408">
            <w:pPr>
              <w:rPr>
                <w:rFonts w:cs="Arial"/>
                <w:b/>
                <w:bCs/>
                <w:color w:val="FFFFFF"/>
                <w:szCs w:val="18"/>
                <w:lang w:eastAsia="en-AU"/>
              </w:rPr>
            </w:pPr>
            <w:r w:rsidRPr="00E83408">
              <w:rPr>
                <w:rFonts w:cs="Arial"/>
                <w:b/>
                <w:bCs/>
                <w:color w:val="FFFFFF"/>
                <w:szCs w:val="18"/>
                <w:lang w:eastAsia="en-AU"/>
              </w:rPr>
              <w:t>Total</w:t>
            </w:r>
          </w:p>
        </w:tc>
        <w:tc>
          <w:tcPr>
            <w:tcW w:w="1063" w:type="dxa"/>
            <w:tcBorders>
              <w:top w:val="nil"/>
              <w:left w:val="nil"/>
              <w:bottom w:val="single" w:sz="12" w:space="0" w:color="FFFFFF"/>
              <w:right w:val="nil"/>
            </w:tcBorders>
            <w:shd w:val="clear" w:color="000000" w:fill="7F7F7F"/>
            <w:noWrap/>
            <w:vAlign w:val="center"/>
            <w:hideMark/>
          </w:tcPr>
          <w:p w:rsidR="00E83408" w:rsidRPr="00E83408" w:rsidRDefault="00E83408" w:rsidP="00E83408">
            <w:pPr>
              <w:jc w:val="right"/>
              <w:rPr>
                <w:rFonts w:cs="Arial"/>
                <w:b/>
                <w:bCs/>
                <w:color w:val="FFFFFF"/>
                <w:szCs w:val="18"/>
                <w:lang w:eastAsia="en-AU"/>
              </w:rPr>
            </w:pPr>
            <w:r w:rsidRPr="00E83408">
              <w:rPr>
                <w:rFonts w:cs="Arial"/>
                <w:b/>
                <w:bCs/>
                <w:color w:val="FFFFFF"/>
                <w:szCs w:val="18"/>
                <w:lang w:eastAsia="en-AU"/>
              </w:rPr>
              <w:t>255,614</w:t>
            </w:r>
          </w:p>
        </w:tc>
        <w:tc>
          <w:tcPr>
            <w:tcW w:w="1063" w:type="dxa"/>
            <w:tcBorders>
              <w:top w:val="nil"/>
              <w:left w:val="nil"/>
              <w:bottom w:val="single" w:sz="12" w:space="0" w:color="FFFFFF"/>
              <w:right w:val="nil"/>
            </w:tcBorders>
            <w:shd w:val="clear" w:color="000000" w:fill="7F7F7F"/>
            <w:noWrap/>
            <w:vAlign w:val="center"/>
            <w:hideMark/>
          </w:tcPr>
          <w:p w:rsidR="00E83408" w:rsidRPr="00E83408" w:rsidRDefault="00E83408" w:rsidP="00E83408">
            <w:pPr>
              <w:jc w:val="right"/>
              <w:rPr>
                <w:rFonts w:cs="Arial"/>
                <w:b/>
                <w:bCs/>
                <w:color w:val="FFFFFF"/>
                <w:szCs w:val="18"/>
                <w:lang w:eastAsia="en-AU"/>
              </w:rPr>
            </w:pPr>
            <w:r w:rsidRPr="00E83408">
              <w:rPr>
                <w:rFonts w:cs="Arial"/>
                <w:b/>
                <w:bCs/>
                <w:color w:val="FFFFFF"/>
                <w:szCs w:val="18"/>
                <w:lang w:eastAsia="en-AU"/>
              </w:rPr>
              <w:t>320,396</w:t>
            </w:r>
          </w:p>
        </w:tc>
        <w:tc>
          <w:tcPr>
            <w:tcW w:w="1063" w:type="dxa"/>
            <w:tcBorders>
              <w:top w:val="nil"/>
              <w:left w:val="nil"/>
              <w:bottom w:val="single" w:sz="12" w:space="0" w:color="FFFFFF"/>
              <w:right w:val="nil"/>
            </w:tcBorders>
            <w:shd w:val="clear" w:color="000000" w:fill="7F7F7F"/>
            <w:noWrap/>
            <w:vAlign w:val="center"/>
            <w:hideMark/>
          </w:tcPr>
          <w:p w:rsidR="00E83408" w:rsidRPr="00E83408" w:rsidRDefault="00E83408" w:rsidP="00E83408">
            <w:pPr>
              <w:jc w:val="right"/>
              <w:rPr>
                <w:rFonts w:cs="Arial"/>
                <w:b/>
                <w:bCs/>
                <w:color w:val="FFFFFF"/>
                <w:szCs w:val="18"/>
                <w:lang w:eastAsia="en-AU"/>
              </w:rPr>
            </w:pPr>
            <w:r w:rsidRPr="00E83408">
              <w:rPr>
                <w:rFonts w:cs="Arial"/>
                <w:b/>
                <w:bCs/>
                <w:color w:val="FFFFFF"/>
                <w:szCs w:val="18"/>
                <w:lang w:eastAsia="en-AU"/>
              </w:rPr>
              <w:t>458,094</w:t>
            </w:r>
          </w:p>
        </w:tc>
        <w:tc>
          <w:tcPr>
            <w:tcW w:w="1063" w:type="dxa"/>
            <w:tcBorders>
              <w:top w:val="nil"/>
              <w:left w:val="nil"/>
              <w:bottom w:val="single" w:sz="12" w:space="0" w:color="FFFFFF"/>
              <w:right w:val="nil"/>
            </w:tcBorders>
            <w:shd w:val="clear" w:color="000000" w:fill="7F7F7F"/>
            <w:noWrap/>
            <w:vAlign w:val="center"/>
            <w:hideMark/>
          </w:tcPr>
          <w:p w:rsidR="00E83408" w:rsidRPr="00E83408" w:rsidRDefault="00E83408" w:rsidP="00E83408">
            <w:pPr>
              <w:jc w:val="right"/>
              <w:rPr>
                <w:rFonts w:cs="Arial"/>
                <w:b/>
                <w:bCs/>
                <w:color w:val="FFFFFF"/>
                <w:szCs w:val="18"/>
                <w:lang w:eastAsia="en-AU"/>
              </w:rPr>
            </w:pPr>
            <w:r w:rsidRPr="00E83408">
              <w:rPr>
                <w:rFonts w:cs="Arial"/>
                <w:b/>
                <w:bCs/>
                <w:color w:val="FFFFFF"/>
                <w:szCs w:val="18"/>
                <w:lang w:eastAsia="en-AU"/>
              </w:rPr>
              <w:t>399,159</w:t>
            </w:r>
          </w:p>
        </w:tc>
        <w:tc>
          <w:tcPr>
            <w:tcW w:w="1063" w:type="dxa"/>
            <w:tcBorders>
              <w:top w:val="nil"/>
              <w:left w:val="nil"/>
              <w:bottom w:val="single" w:sz="12" w:space="0" w:color="FFFFFF"/>
              <w:right w:val="nil"/>
            </w:tcBorders>
            <w:shd w:val="clear" w:color="000000" w:fill="7F7F7F"/>
            <w:noWrap/>
            <w:vAlign w:val="center"/>
            <w:hideMark/>
          </w:tcPr>
          <w:p w:rsidR="00E83408" w:rsidRPr="00E83408" w:rsidRDefault="00E83408" w:rsidP="00E83408">
            <w:pPr>
              <w:jc w:val="right"/>
              <w:rPr>
                <w:rFonts w:cs="Arial"/>
                <w:b/>
                <w:bCs/>
                <w:color w:val="FFFFFF"/>
                <w:szCs w:val="18"/>
                <w:lang w:eastAsia="en-AU"/>
              </w:rPr>
            </w:pPr>
            <w:r w:rsidRPr="00E83408">
              <w:rPr>
                <w:rFonts w:cs="Arial"/>
                <w:b/>
                <w:bCs/>
                <w:color w:val="FFFFFF"/>
                <w:szCs w:val="18"/>
                <w:lang w:eastAsia="en-AU"/>
              </w:rPr>
              <w:t>378,040</w:t>
            </w:r>
          </w:p>
        </w:tc>
        <w:tc>
          <w:tcPr>
            <w:tcW w:w="1064" w:type="dxa"/>
            <w:tcBorders>
              <w:top w:val="nil"/>
              <w:left w:val="nil"/>
              <w:bottom w:val="single" w:sz="12" w:space="0" w:color="FFFFFF"/>
              <w:right w:val="nil"/>
            </w:tcBorders>
            <w:shd w:val="clear" w:color="000000" w:fill="7F7F7F"/>
            <w:noWrap/>
            <w:vAlign w:val="center"/>
            <w:hideMark/>
          </w:tcPr>
          <w:p w:rsidR="00E83408" w:rsidRPr="00E83408" w:rsidRDefault="00E83408" w:rsidP="00E83408">
            <w:pPr>
              <w:jc w:val="right"/>
              <w:rPr>
                <w:rFonts w:cs="Arial"/>
                <w:b/>
                <w:bCs/>
                <w:color w:val="FFFFFF"/>
                <w:szCs w:val="18"/>
                <w:lang w:eastAsia="en-AU"/>
              </w:rPr>
            </w:pPr>
            <w:r w:rsidRPr="00E83408">
              <w:rPr>
                <w:rFonts w:cs="Arial"/>
                <w:b/>
                <w:bCs/>
                <w:color w:val="FFFFFF"/>
                <w:szCs w:val="18"/>
                <w:lang w:eastAsia="en-AU"/>
              </w:rPr>
              <w:t>324,994</w:t>
            </w:r>
          </w:p>
        </w:tc>
      </w:tr>
    </w:tbl>
    <w:p w:rsidR="00CC6CA5" w:rsidRPr="006B30C6" w:rsidRDefault="00CC6CA5" w:rsidP="00CC6CA5">
      <w:pPr>
        <w:rPr>
          <w:szCs w:val="18"/>
        </w:rPr>
      </w:pPr>
    </w:p>
    <w:p w:rsidR="00CC6CA5" w:rsidRPr="006B30C6" w:rsidRDefault="00CC6CA5" w:rsidP="00CC6CA5">
      <w:pPr>
        <w:rPr>
          <w:color w:val="7F7F7F" w:themeColor="text2"/>
          <w:szCs w:val="18"/>
        </w:rPr>
      </w:pPr>
    </w:p>
    <w:tbl>
      <w:tblPr>
        <w:tblStyle w:val="TableGrid"/>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230"/>
      </w:tblGrid>
      <w:tr w:rsidR="007803F5" w:rsidTr="007803F5">
        <w:tc>
          <w:tcPr>
            <w:tcW w:w="1134" w:type="dxa"/>
            <w:tcMar>
              <w:left w:w="0" w:type="dxa"/>
              <w:right w:w="0" w:type="dxa"/>
            </w:tcMar>
          </w:tcPr>
          <w:p w:rsidR="007803F5" w:rsidRDefault="007803F5" w:rsidP="00AB1331">
            <w:pPr>
              <w:pStyle w:val="Quote"/>
              <w:tabs>
                <w:tab w:val="left" w:pos="1134"/>
              </w:tabs>
              <w:rPr>
                <w:b w:val="0"/>
                <w:color w:val="B41F22" w:themeColor="accent1"/>
              </w:rPr>
            </w:pPr>
            <w:r>
              <w:rPr>
                <w:b w:val="0"/>
                <w:color w:val="B41F22" w:themeColor="accent1"/>
              </w:rPr>
              <w:t>Table 1.</w:t>
            </w:r>
            <w:r w:rsidR="00AB6FB0">
              <w:rPr>
                <w:b w:val="0"/>
                <w:color w:val="B41F22" w:themeColor="accent1"/>
              </w:rPr>
              <w:t>2</w:t>
            </w:r>
            <w:r>
              <w:rPr>
                <w:b w:val="0"/>
                <w:color w:val="B41F22" w:themeColor="accent1"/>
              </w:rPr>
              <w:t>.2:</w:t>
            </w:r>
          </w:p>
        </w:tc>
        <w:tc>
          <w:tcPr>
            <w:tcW w:w="7230" w:type="dxa"/>
            <w:tcMar>
              <w:left w:w="0" w:type="dxa"/>
              <w:right w:w="0" w:type="dxa"/>
            </w:tcMar>
          </w:tcPr>
          <w:p w:rsidR="007803F5" w:rsidRDefault="007803F5" w:rsidP="008174E3">
            <w:pPr>
              <w:pStyle w:val="Quote"/>
              <w:tabs>
                <w:tab w:val="left" w:pos="1134"/>
              </w:tabs>
              <w:rPr>
                <w:b w:val="0"/>
                <w:color w:val="B41F22" w:themeColor="accent1"/>
              </w:rPr>
            </w:pPr>
            <w:r w:rsidRPr="00B25196">
              <w:rPr>
                <w:b w:val="0"/>
                <w:color w:val="B41F22" w:themeColor="accent1"/>
              </w:rPr>
              <w:t>Change in number of course enrolments in government subsidised accredited and pre-accredited training (half year)</w:t>
            </w:r>
          </w:p>
        </w:tc>
      </w:tr>
    </w:tbl>
    <w:tbl>
      <w:tblPr>
        <w:tblW w:w="8379" w:type="dxa"/>
        <w:tblInd w:w="93" w:type="dxa"/>
        <w:tblLayout w:type="fixed"/>
        <w:tblLook w:val="04A0" w:firstRow="1" w:lastRow="0" w:firstColumn="1" w:lastColumn="0" w:noHBand="0" w:noVBand="1"/>
      </w:tblPr>
      <w:tblGrid>
        <w:gridCol w:w="2600"/>
        <w:gridCol w:w="1155"/>
        <w:gridCol w:w="1156"/>
        <w:gridCol w:w="1156"/>
        <w:gridCol w:w="1156"/>
        <w:gridCol w:w="1156"/>
      </w:tblGrid>
      <w:tr w:rsidR="00E83408" w:rsidRPr="00E83408" w:rsidTr="006B30C6">
        <w:trPr>
          <w:trHeight w:val="720"/>
        </w:trPr>
        <w:tc>
          <w:tcPr>
            <w:tcW w:w="2600" w:type="dxa"/>
            <w:tcBorders>
              <w:top w:val="nil"/>
              <w:left w:val="nil"/>
              <w:bottom w:val="nil"/>
              <w:right w:val="nil"/>
            </w:tcBorders>
            <w:shd w:val="clear" w:color="000000" w:fill="7F7F7F"/>
            <w:noWrap/>
            <w:vAlign w:val="center"/>
            <w:hideMark/>
          </w:tcPr>
          <w:p w:rsidR="00E83408" w:rsidRPr="00E83408" w:rsidRDefault="00E83408" w:rsidP="00E83408">
            <w:pPr>
              <w:rPr>
                <w:rFonts w:cs="Arial"/>
                <w:color w:val="FFFFFF"/>
                <w:szCs w:val="18"/>
                <w:lang w:eastAsia="en-AU"/>
              </w:rPr>
            </w:pPr>
            <w:r w:rsidRPr="00E83408">
              <w:rPr>
                <w:rFonts w:cs="Arial"/>
                <w:color w:val="FFFFFF"/>
                <w:szCs w:val="18"/>
                <w:lang w:eastAsia="en-AU"/>
              </w:rPr>
              <w:t> </w:t>
            </w:r>
          </w:p>
        </w:tc>
        <w:tc>
          <w:tcPr>
            <w:tcW w:w="1155" w:type="dxa"/>
            <w:tcBorders>
              <w:top w:val="nil"/>
              <w:left w:val="nil"/>
              <w:bottom w:val="nil"/>
              <w:right w:val="nil"/>
            </w:tcBorders>
            <w:shd w:val="clear" w:color="000000" w:fill="7F7F7F"/>
            <w:vAlign w:val="center"/>
            <w:hideMark/>
          </w:tcPr>
          <w:p w:rsidR="00E83408" w:rsidRPr="00E83408" w:rsidRDefault="00E83408" w:rsidP="00E83408">
            <w:pPr>
              <w:jc w:val="right"/>
              <w:rPr>
                <w:rFonts w:cs="Arial"/>
                <w:b/>
                <w:bCs/>
                <w:color w:val="FFFFFF"/>
                <w:szCs w:val="18"/>
                <w:lang w:eastAsia="en-AU"/>
              </w:rPr>
            </w:pPr>
            <w:r w:rsidRPr="00E83408">
              <w:rPr>
                <w:rFonts w:cs="Arial"/>
                <w:b/>
                <w:bCs/>
                <w:color w:val="FFFFFF"/>
                <w:szCs w:val="18"/>
                <w:lang w:eastAsia="en-AU"/>
              </w:rPr>
              <w:t>% change 2010 to 2015</w:t>
            </w:r>
          </w:p>
        </w:tc>
        <w:tc>
          <w:tcPr>
            <w:tcW w:w="1156" w:type="dxa"/>
            <w:tcBorders>
              <w:top w:val="nil"/>
              <w:left w:val="nil"/>
              <w:bottom w:val="nil"/>
              <w:right w:val="nil"/>
            </w:tcBorders>
            <w:shd w:val="clear" w:color="000000" w:fill="7F7F7F"/>
            <w:vAlign w:val="center"/>
            <w:hideMark/>
          </w:tcPr>
          <w:p w:rsidR="00E83408" w:rsidRPr="00E83408" w:rsidRDefault="00E83408" w:rsidP="00E83408">
            <w:pPr>
              <w:jc w:val="right"/>
              <w:rPr>
                <w:rFonts w:cs="Arial"/>
                <w:b/>
                <w:bCs/>
                <w:color w:val="FFFFFF"/>
                <w:szCs w:val="18"/>
                <w:lang w:eastAsia="en-AU"/>
              </w:rPr>
            </w:pPr>
            <w:r w:rsidRPr="00E83408">
              <w:rPr>
                <w:rFonts w:cs="Arial"/>
                <w:b/>
                <w:bCs/>
                <w:color w:val="FFFFFF"/>
                <w:szCs w:val="18"/>
                <w:lang w:eastAsia="en-AU"/>
              </w:rPr>
              <w:t>% change 2011 to 2015</w:t>
            </w:r>
          </w:p>
        </w:tc>
        <w:tc>
          <w:tcPr>
            <w:tcW w:w="1156" w:type="dxa"/>
            <w:tcBorders>
              <w:top w:val="nil"/>
              <w:left w:val="nil"/>
              <w:bottom w:val="nil"/>
              <w:right w:val="nil"/>
            </w:tcBorders>
            <w:shd w:val="clear" w:color="000000" w:fill="7F7F7F"/>
            <w:vAlign w:val="center"/>
            <w:hideMark/>
          </w:tcPr>
          <w:p w:rsidR="00E83408" w:rsidRPr="00E83408" w:rsidRDefault="00E83408" w:rsidP="00E83408">
            <w:pPr>
              <w:jc w:val="right"/>
              <w:rPr>
                <w:rFonts w:cs="Arial"/>
                <w:b/>
                <w:bCs/>
                <w:color w:val="FFFFFF"/>
                <w:szCs w:val="18"/>
                <w:lang w:eastAsia="en-AU"/>
              </w:rPr>
            </w:pPr>
            <w:r w:rsidRPr="00E83408">
              <w:rPr>
                <w:rFonts w:cs="Arial"/>
                <w:b/>
                <w:bCs/>
                <w:color w:val="FFFFFF"/>
                <w:szCs w:val="18"/>
                <w:lang w:eastAsia="en-AU"/>
              </w:rPr>
              <w:t>% change 2012 to 2015</w:t>
            </w:r>
          </w:p>
        </w:tc>
        <w:tc>
          <w:tcPr>
            <w:tcW w:w="1156" w:type="dxa"/>
            <w:tcBorders>
              <w:top w:val="nil"/>
              <w:left w:val="nil"/>
              <w:bottom w:val="nil"/>
              <w:right w:val="nil"/>
            </w:tcBorders>
            <w:shd w:val="clear" w:color="000000" w:fill="7F7F7F"/>
            <w:vAlign w:val="center"/>
            <w:hideMark/>
          </w:tcPr>
          <w:p w:rsidR="00E83408" w:rsidRPr="00E83408" w:rsidRDefault="00E83408" w:rsidP="00E83408">
            <w:pPr>
              <w:jc w:val="right"/>
              <w:rPr>
                <w:rFonts w:cs="Arial"/>
                <w:b/>
                <w:bCs/>
                <w:color w:val="FFFFFF"/>
                <w:szCs w:val="18"/>
                <w:lang w:eastAsia="en-AU"/>
              </w:rPr>
            </w:pPr>
            <w:r w:rsidRPr="00E83408">
              <w:rPr>
                <w:rFonts w:cs="Arial"/>
                <w:b/>
                <w:bCs/>
                <w:color w:val="FFFFFF"/>
                <w:szCs w:val="18"/>
                <w:lang w:eastAsia="en-AU"/>
              </w:rPr>
              <w:t>% change 2013 to 2015</w:t>
            </w:r>
          </w:p>
        </w:tc>
        <w:tc>
          <w:tcPr>
            <w:tcW w:w="1156" w:type="dxa"/>
            <w:tcBorders>
              <w:top w:val="nil"/>
              <w:left w:val="nil"/>
              <w:bottom w:val="nil"/>
              <w:right w:val="nil"/>
            </w:tcBorders>
            <w:shd w:val="clear" w:color="000000" w:fill="7F7F7F"/>
            <w:vAlign w:val="center"/>
            <w:hideMark/>
          </w:tcPr>
          <w:p w:rsidR="00E83408" w:rsidRPr="00E83408" w:rsidRDefault="00E83408" w:rsidP="00E83408">
            <w:pPr>
              <w:jc w:val="right"/>
              <w:rPr>
                <w:rFonts w:cs="Arial"/>
                <w:b/>
                <w:bCs/>
                <w:color w:val="FFFFFF"/>
                <w:szCs w:val="18"/>
                <w:lang w:eastAsia="en-AU"/>
              </w:rPr>
            </w:pPr>
            <w:r w:rsidRPr="00E83408">
              <w:rPr>
                <w:rFonts w:cs="Arial"/>
                <w:b/>
                <w:bCs/>
                <w:color w:val="FFFFFF"/>
                <w:szCs w:val="18"/>
                <w:lang w:eastAsia="en-AU"/>
              </w:rPr>
              <w:t>% change 2014 to 2015</w:t>
            </w:r>
          </w:p>
        </w:tc>
      </w:tr>
      <w:tr w:rsidR="00E83408" w:rsidRPr="00E83408" w:rsidTr="006B30C6">
        <w:trPr>
          <w:trHeight w:val="300"/>
        </w:trPr>
        <w:tc>
          <w:tcPr>
            <w:tcW w:w="2600" w:type="dxa"/>
            <w:tcBorders>
              <w:top w:val="nil"/>
              <w:left w:val="nil"/>
              <w:bottom w:val="nil"/>
              <w:right w:val="nil"/>
            </w:tcBorders>
            <w:shd w:val="clear" w:color="auto" w:fill="auto"/>
            <w:noWrap/>
            <w:vAlign w:val="center"/>
            <w:hideMark/>
          </w:tcPr>
          <w:p w:rsidR="00E83408" w:rsidRPr="00E83408" w:rsidRDefault="00E83408" w:rsidP="00E83408">
            <w:pPr>
              <w:rPr>
                <w:rFonts w:cs="Arial"/>
                <w:color w:val="7F7F7F"/>
                <w:szCs w:val="18"/>
                <w:lang w:eastAsia="en-AU"/>
              </w:rPr>
            </w:pPr>
            <w:r w:rsidRPr="00E83408">
              <w:rPr>
                <w:rFonts w:cs="Arial"/>
                <w:color w:val="7F7F7F"/>
                <w:szCs w:val="18"/>
                <w:lang w:eastAsia="en-AU"/>
              </w:rPr>
              <w:t>Accredited</w:t>
            </w:r>
          </w:p>
        </w:tc>
        <w:tc>
          <w:tcPr>
            <w:tcW w:w="1155" w:type="dxa"/>
            <w:tcBorders>
              <w:top w:val="nil"/>
              <w:left w:val="nil"/>
              <w:bottom w:val="nil"/>
              <w:right w:val="nil"/>
            </w:tcBorders>
            <w:shd w:val="clear" w:color="auto" w:fill="auto"/>
            <w:noWrap/>
            <w:vAlign w:val="center"/>
            <w:hideMark/>
          </w:tcPr>
          <w:p w:rsidR="00E83408" w:rsidRPr="00E83408" w:rsidRDefault="00E83408" w:rsidP="00E83408">
            <w:pPr>
              <w:jc w:val="right"/>
              <w:rPr>
                <w:rFonts w:cs="Arial"/>
                <w:color w:val="7F7F7F"/>
                <w:szCs w:val="18"/>
                <w:lang w:eastAsia="en-AU"/>
              </w:rPr>
            </w:pPr>
            <w:r w:rsidRPr="00E83408">
              <w:rPr>
                <w:rFonts w:cs="Arial"/>
                <w:color w:val="7F7F7F"/>
                <w:szCs w:val="18"/>
                <w:lang w:eastAsia="en-AU"/>
              </w:rPr>
              <w:t>25%</w:t>
            </w:r>
          </w:p>
        </w:tc>
        <w:tc>
          <w:tcPr>
            <w:tcW w:w="1156" w:type="dxa"/>
            <w:tcBorders>
              <w:top w:val="nil"/>
              <w:left w:val="nil"/>
              <w:bottom w:val="nil"/>
              <w:right w:val="nil"/>
            </w:tcBorders>
            <w:shd w:val="clear" w:color="auto" w:fill="auto"/>
            <w:noWrap/>
            <w:vAlign w:val="center"/>
            <w:hideMark/>
          </w:tcPr>
          <w:p w:rsidR="00E83408" w:rsidRPr="00E83408" w:rsidRDefault="00E83408" w:rsidP="00E83408">
            <w:pPr>
              <w:jc w:val="right"/>
              <w:rPr>
                <w:rFonts w:cs="Arial"/>
                <w:color w:val="7F7F7F"/>
                <w:szCs w:val="18"/>
                <w:lang w:eastAsia="en-AU"/>
              </w:rPr>
            </w:pPr>
            <w:r w:rsidRPr="00E83408">
              <w:rPr>
                <w:rFonts w:cs="Arial"/>
                <w:color w:val="7F7F7F"/>
                <w:szCs w:val="18"/>
                <w:lang w:eastAsia="en-AU"/>
              </w:rPr>
              <w:t>0%</w:t>
            </w:r>
          </w:p>
        </w:tc>
        <w:tc>
          <w:tcPr>
            <w:tcW w:w="1156" w:type="dxa"/>
            <w:tcBorders>
              <w:top w:val="nil"/>
              <w:left w:val="nil"/>
              <w:bottom w:val="nil"/>
              <w:right w:val="nil"/>
            </w:tcBorders>
            <w:shd w:val="clear" w:color="auto" w:fill="auto"/>
            <w:noWrap/>
            <w:vAlign w:val="center"/>
            <w:hideMark/>
          </w:tcPr>
          <w:p w:rsidR="00E83408" w:rsidRPr="00E83408" w:rsidRDefault="00E83408" w:rsidP="00E83408">
            <w:pPr>
              <w:jc w:val="right"/>
              <w:rPr>
                <w:rFonts w:cs="Arial"/>
                <w:color w:val="7F7F7F"/>
                <w:szCs w:val="18"/>
                <w:lang w:eastAsia="en-AU"/>
              </w:rPr>
            </w:pPr>
            <w:r w:rsidRPr="00E83408">
              <w:rPr>
                <w:rFonts w:cs="Arial"/>
                <w:color w:val="7F7F7F"/>
                <w:szCs w:val="18"/>
                <w:lang w:eastAsia="en-AU"/>
              </w:rPr>
              <w:t>-30%</w:t>
            </w:r>
          </w:p>
        </w:tc>
        <w:tc>
          <w:tcPr>
            <w:tcW w:w="1156" w:type="dxa"/>
            <w:tcBorders>
              <w:top w:val="nil"/>
              <w:left w:val="nil"/>
              <w:bottom w:val="nil"/>
              <w:right w:val="nil"/>
            </w:tcBorders>
            <w:shd w:val="clear" w:color="auto" w:fill="auto"/>
            <w:noWrap/>
            <w:vAlign w:val="center"/>
            <w:hideMark/>
          </w:tcPr>
          <w:p w:rsidR="00E83408" w:rsidRPr="00E83408" w:rsidRDefault="00E83408" w:rsidP="00E83408">
            <w:pPr>
              <w:jc w:val="right"/>
              <w:rPr>
                <w:rFonts w:cs="Arial"/>
                <w:color w:val="7F7F7F"/>
                <w:szCs w:val="18"/>
                <w:lang w:eastAsia="en-AU"/>
              </w:rPr>
            </w:pPr>
            <w:r w:rsidRPr="00E83408">
              <w:rPr>
                <w:rFonts w:cs="Arial"/>
                <w:color w:val="7F7F7F"/>
                <w:szCs w:val="18"/>
                <w:lang w:eastAsia="en-AU"/>
              </w:rPr>
              <w:t>-19%</w:t>
            </w:r>
          </w:p>
        </w:tc>
        <w:tc>
          <w:tcPr>
            <w:tcW w:w="1156" w:type="dxa"/>
            <w:tcBorders>
              <w:top w:val="nil"/>
              <w:left w:val="nil"/>
              <w:bottom w:val="nil"/>
              <w:right w:val="nil"/>
            </w:tcBorders>
            <w:shd w:val="clear" w:color="auto" w:fill="auto"/>
            <w:noWrap/>
            <w:vAlign w:val="center"/>
            <w:hideMark/>
          </w:tcPr>
          <w:p w:rsidR="00E83408" w:rsidRPr="00E83408" w:rsidRDefault="00E83408" w:rsidP="00E83408">
            <w:pPr>
              <w:jc w:val="right"/>
              <w:rPr>
                <w:rFonts w:cs="Arial"/>
                <w:color w:val="7F7F7F"/>
                <w:szCs w:val="18"/>
                <w:lang w:eastAsia="en-AU"/>
              </w:rPr>
            </w:pPr>
            <w:r w:rsidRPr="00E83408">
              <w:rPr>
                <w:rFonts w:cs="Arial"/>
                <w:color w:val="7F7F7F"/>
                <w:szCs w:val="18"/>
                <w:lang w:eastAsia="en-AU"/>
              </w:rPr>
              <w:t>-15%</w:t>
            </w:r>
          </w:p>
        </w:tc>
      </w:tr>
      <w:tr w:rsidR="00E83408" w:rsidRPr="00E83408" w:rsidTr="006B30C6">
        <w:trPr>
          <w:trHeight w:val="300"/>
        </w:trPr>
        <w:tc>
          <w:tcPr>
            <w:tcW w:w="2600" w:type="dxa"/>
            <w:tcBorders>
              <w:top w:val="nil"/>
              <w:left w:val="nil"/>
              <w:bottom w:val="nil"/>
              <w:right w:val="nil"/>
            </w:tcBorders>
            <w:shd w:val="clear" w:color="auto" w:fill="auto"/>
            <w:noWrap/>
            <w:vAlign w:val="center"/>
            <w:hideMark/>
          </w:tcPr>
          <w:p w:rsidR="00E83408" w:rsidRPr="00E83408" w:rsidRDefault="00E83408" w:rsidP="00E83408">
            <w:pPr>
              <w:rPr>
                <w:rFonts w:cs="Arial"/>
                <w:color w:val="7F7F7F"/>
                <w:szCs w:val="18"/>
                <w:lang w:eastAsia="en-AU"/>
              </w:rPr>
            </w:pPr>
            <w:r w:rsidRPr="00E83408">
              <w:rPr>
                <w:rFonts w:cs="Arial"/>
                <w:color w:val="7F7F7F"/>
                <w:szCs w:val="18"/>
                <w:lang w:eastAsia="en-AU"/>
              </w:rPr>
              <w:t>Pre-accredited</w:t>
            </w:r>
          </w:p>
        </w:tc>
        <w:tc>
          <w:tcPr>
            <w:tcW w:w="1155" w:type="dxa"/>
            <w:tcBorders>
              <w:top w:val="nil"/>
              <w:left w:val="nil"/>
              <w:bottom w:val="nil"/>
              <w:right w:val="nil"/>
            </w:tcBorders>
            <w:shd w:val="clear" w:color="auto" w:fill="auto"/>
            <w:noWrap/>
            <w:vAlign w:val="center"/>
            <w:hideMark/>
          </w:tcPr>
          <w:p w:rsidR="00E83408" w:rsidRPr="00E83408" w:rsidRDefault="00E83408" w:rsidP="00E83408">
            <w:pPr>
              <w:jc w:val="right"/>
              <w:rPr>
                <w:rFonts w:cs="Arial"/>
                <w:color w:val="7F7F7F"/>
                <w:szCs w:val="18"/>
                <w:lang w:eastAsia="en-AU"/>
              </w:rPr>
            </w:pPr>
            <w:r w:rsidRPr="00E83408">
              <w:rPr>
                <w:rFonts w:cs="Arial"/>
                <w:color w:val="7F7F7F"/>
                <w:szCs w:val="18"/>
                <w:lang w:eastAsia="en-AU"/>
              </w:rPr>
              <w:t>88%</w:t>
            </w:r>
          </w:p>
        </w:tc>
        <w:tc>
          <w:tcPr>
            <w:tcW w:w="1156" w:type="dxa"/>
            <w:tcBorders>
              <w:top w:val="nil"/>
              <w:left w:val="nil"/>
              <w:bottom w:val="nil"/>
              <w:right w:val="nil"/>
            </w:tcBorders>
            <w:shd w:val="clear" w:color="auto" w:fill="auto"/>
            <w:noWrap/>
            <w:vAlign w:val="center"/>
            <w:hideMark/>
          </w:tcPr>
          <w:p w:rsidR="00E83408" w:rsidRPr="00E83408" w:rsidRDefault="00E83408" w:rsidP="00E83408">
            <w:pPr>
              <w:jc w:val="right"/>
              <w:rPr>
                <w:rFonts w:cs="Arial"/>
                <w:color w:val="7F7F7F"/>
                <w:szCs w:val="18"/>
                <w:lang w:eastAsia="en-AU"/>
              </w:rPr>
            </w:pPr>
            <w:r w:rsidRPr="00E83408">
              <w:rPr>
                <w:rFonts w:cs="Arial"/>
                <w:color w:val="7F7F7F"/>
                <w:szCs w:val="18"/>
                <w:lang w:eastAsia="en-AU"/>
              </w:rPr>
              <w:t>36%</w:t>
            </w:r>
          </w:p>
        </w:tc>
        <w:tc>
          <w:tcPr>
            <w:tcW w:w="1156" w:type="dxa"/>
            <w:tcBorders>
              <w:top w:val="nil"/>
              <w:left w:val="nil"/>
              <w:bottom w:val="nil"/>
              <w:right w:val="nil"/>
            </w:tcBorders>
            <w:shd w:val="clear" w:color="auto" w:fill="auto"/>
            <w:noWrap/>
            <w:vAlign w:val="center"/>
            <w:hideMark/>
          </w:tcPr>
          <w:p w:rsidR="00E83408" w:rsidRPr="00E83408" w:rsidRDefault="00E83408" w:rsidP="00E83408">
            <w:pPr>
              <w:jc w:val="right"/>
              <w:rPr>
                <w:rFonts w:cs="Arial"/>
                <w:color w:val="7F7F7F"/>
                <w:szCs w:val="18"/>
                <w:lang w:eastAsia="en-AU"/>
              </w:rPr>
            </w:pPr>
            <w:r w:rsidRPr="00E83408">
              <w:rPr>
                <w:rFonts w:cs="Arial"/>
                <w:color w:val="7F7F7F"/>
                <w:szCs w:val="18"/>
                <w:lang w:eastAsia="en-AU"/>
              </w:rPr>
              <w:t>10%</w:t>
            </w:r>
          </w:p>
        </w:tc>
        <w:tc>
          <w:tcPr>
            <w:tcW w:w="1156" w:type="dxa"/>
            <w:tcBorders>
              <w:top w:val="nil"/>
              <w:left w:val="nil"/>
              <w:bottom w:val="nil"/>
              <w:right w:val="nil"/>
            </w:tcBorders>
            <w:shd w:val="clear" w:color="auto" w:fill="auto"/>
            <w:noWrap/>
            <w:vAlign w:val="center"/>
            <w:hideMark/>
          </w:tcPr>
          <w:p w:rsidR="00E83408" w:rsidRPr="00E83408" w:rsidRDefault="00E83408" w:rsidP="00E83408">
            <w:pPr>
              <w:jc w:val="right"/>
              <w:rPr>
                <w:rFonts w:cs="Arial"/>
                <w:color w:val="7F7F7F"/>
                <w:szCs w:val="18"/>
                <w:lang w:eastAsia="en-AU"/>
              </w:rPr>
            </w:pPr>
            <w:r w:rsidRPr="00E83408">
              <w:rPr>
                <w:rFonts w:cs="Arial"/>
                <w:color w:val="7F7F7F"/>
                <w:szCs w:val="18"/>
                <w:lang w:eastAsia="en-AU"/>
              </w:rPr>
              <w:t>-2%</w:t>
            </w:r>
          </w:p>
        </w:tc>
        <w:tc>
          <w:tcPr>
            <w:tcW w:w="1156" w:type="dxa"/>
            <w:tcBorders>
              <w:top w:val="nil"/>
              <w:left w:val="nil"/>
              <w:bottom w:val="nil"/>
              <w:right w:val="nil"/>
            </w:tcBorders>
            <w:shd w:val="clear" w:color="auto" w:fill="auto"/>
            <w:noWrap/>
            <w:vAlign w:val="center"/>
            <w:hideMark/>
          </w:tcPr>
          <w:p w:rsidR="00E83408" w:rsidRPr="00E83408" w:rsidRDefault="00E83408" w:rsidP="00E83408">
            <w:pPr>
              <w:jc w:val="right"/>
              <w:rPr>
                <w:rFonts w:cs="Arial"/>
                <w:color w:val="7F7F7F"/>
                <w:szCs w:val="18"/>
                <w:lang w:eastAsia="en-AU"/>
              </w:rPr>
            </w:pPr>
            <w:r w:rsidRPr="00E83408">
              <w:rPr>
                <w:rFonts w:cs="Arial"/>
                <w:color w:val="7F7F7F"/>
                <w:szCs w:val="18"/>
                <w:lang w:eastAsia="en-AU"/>
              </w:rPr>
              <w:t>-2%</w:t>
            </w:r>
          </w:p>
        </w:tc>
      </w:tr>
      <w:tr w:rsidR="00E83408" w:rsidRPr="00E83408" w:rsidTr="006B30C6">
        <w:trPr>
          <w:trHeight w:val="315"/>
        </w:trPr>
        <w:tc>
          <w:tcPr>
            <w:tcW w:w="2600" w:type="dxa"/>
            <w:tcBorders>
              <w:top w:val="nil"/>
              <w:left w:val="nil"/>
              <w:bottom w:val="single" w:sz="12" w:space="0" w:color="FFFFFF"/>
              <w:right w:val="nil"/>
            </w:tcBorders>
            <w:shd w:val="clear" w:color="000000" w:fill="7F7F7F"/>
            <w:noWrap/>
            <w:vAlign w:val="center"/>
            <w:hideMark/>
          </w:tcPr>
          <w:p w:rsidR="00E83408" w:rsidRPr="00E83408" w:rsidRDefault="00E83408" w:rsidP="00E83408">
            <w:pPr>
              <w:rPr>
                <w:rFonts w:cs="Arial"/>
                <w:b/>
                <w:bCs/>
                <w:color w:val="FFFFFF"/>
                <w:szCs w:val="18"/>
                <w:lang w:eastAsia="en-AU"/>
              </w:rPr>
            </w:pPr>
            <w:r w:rsidRPr="00E83408">
              <w:rPr>
                <w:rFonts w:cs="Arial"/>
                <w:b/>
                <w:bCs/>
                <w:color w:val="FFFFFF"/>
                <w:szCs w:val="18"/>
                <w:lang w:eastAsia="en-AU"/>
              </w:rPr>
              <w:t>Total</w:t>
            </w:r>
          </w:p>
        </w:tc>
        <w:tc>
          <w:tcPr>
            <w:tcW w:w="1155" w:type="dxa"/>
            <w:tcBorders>
              <w:top w:val="nil"/>
              <w:left w:val="nil"/>
              <w:bottom w:val="single" w:sz="12" w:space="0" w:color="FFFFFF"/>
              <w:right w:val="nil"/>
            </w:tcBorders>
            <w:shd w:val="clear" w:color="000000" w:fill="7F7F7F"/>
            <w:noWrap/>
            <w:vAlign w:val="center"/>
            <w:hideMark/>
          </w:tcPr>
          <w:p w:rsidR="00E83408" w:rsidRPr="00E83408" w:rsidRDefault="00E83408" w:rsidP="00E83408">
            <w:pPr>
              <w:jc w:val="right"/>
              <w:rPr>
                <w:rFonts w:cs="Arial"/>
                <w:b/>
                <w:bCs/>
                <w:color w:val="FFFFFF"/>
                <w:szCs w:val="18"/>
                <w:lang w:eastAsia="en-AU"/>
              </w:rPr>
            </w:pPr>
            <w:r w:rsidRPr="00E83408">
              <w:rPr>
                <w:rFonts w:cs="Arial"/>
                <w:b/>
                <w:bCs/>
                <w:color w:val="FFFFFF"/>
                <w:szCs w:val="18"/>
                <w:lang w:eastAsia="en-AU"/>
              </w:rPr>
              <w:t>27%</w:t>
            </w:r>
          </w:p>
        </w:tc>
        <w:tc>
          <w:tcPr>
            <w:tcW w:w="1156" w:type="dxa"/>
            <w:tcBorders>
              <w:top w:val="nil"/>
              <w:left w:val="nil"/>
              <w:bottom w:val="single" w:sz="12" w:space="0" w:color="FFFFFF"/>
              <w:right w:val="nil"/>
            </w:tcBorders>
            <w:shd w:val="clear" w:color="000000" w:fill="7F7F7F"/>
            <w:noWrap/>
            <w:vAlign w:val="center"/>
            <w:hideMark/>
          </w:tcPr>
          <w:p w:rsidR="00E83408" w:rsidRPr="00E83408" w:rsidRDefault="00E83408" w:rsidP="00E83408">
            <w:pPr>
              <w:jc w:val="right"/>
              <w:rPr>
                <w:rFonts w:cs="Arial"/>
                <w:b/>
                <w:bCs/>
                <w:color w:val="FFFFFF"/>
                <w:szCs w:val="18"/>
                <w:lang w:eastAsia="en-AU"/>
              </w:rPr>
            </w:pPr>
            <w:r w:rsidRPr="00E83408">
              <w:rPr>
                <w:rFonts w:cs="Arial"/>
                <w:b/>
                <w:bCs/>
                <w:color w:val="FFFFFF"/>
                <w:szCs w:val="18"/>
                <w:lang w:eastAsia="en-AU"/>
              </w:rPr>
              <w:t>1%</w:t>
            </w:r>
          </w:p>
        </w:tc>
        <w:tc>
          <w:tcPr>
            <w:tcW w:w="1156" w:type="dxa"/>
            <w:tcBorders>
              <w:top w:val="nil"/>
              <w:left w:val="nil"/>
              <w:bottom w:val="single" w:sz="12" w:space="0" w:color="FFFFFF"/>
              <w:right w:val="nil"/>
            </w:tcBorders>
            <w:shd w:val="clear" w:color="000000" w:fill="7F7F7F"/>
            <w:noWrap/>
            <w:vAlign w:val="center"/>
            <w:hideMark/>
          </w:tcPr>
          <w:p w:rsidR="00E83408" w:rsidRPr="00E83408" w:rsidRDefault="00E83408" w:rsidP="00E83408">
            <w:pPr>
              <w:jc w:val="right"/>
              <w:rPr>
                <w:rFonts w:cs="Arial"/>
                <w:b/>
                <w:bCs/>
                <w:color w:val="FFFFFF"/>
                <w:szCs w:val="18"/>
                <w:lang w:eastAsia="en-AU"/>
              </w:rPr>
            </w:pPr>
            <w:r w:rsidRPr="00E83408">
              <w:rPr>
                <w:rFonts w:cs="Arial"/>
                <w:b/>
                <w:bCs/>
                <w:color w:val="FFFFFF"/>
                <w:szCs w:val="18"/>
                <w:lang w:eastAsia="en-AU"/>
              </w:rPr>
              <w:t>-29%</w:t>
            </w:r>
          </w:p>
        </w:tc>
        <w:tc>
          <w:tcPr>
            <w:tcW w:w="1156" w:type="dxa"/>
            <w:tcBorders>
              <w:top w:val="nil"/>
              <w:left w:val="nil"/>
              <w:bottom w:val="single" w:sz="12" w:space="0" w:color="FFFFFF"/>
              <w:right w:val="nil"/>
            </w:tcBorders>
            <w:shd w:val="clear" w:color="000000" w:fill="7F7F7F"/>
            <w:noWrap/>
            <w:vAlign w:val="center"/>
            <w:hideMark/>
          </w:tcPr>
          <w:p w:rsidR="00E83408" w:rsidRPr="00E83408" w:rsidRDefault="00E83408" w:rsidP="00E83408">
            <w:pPr>
              <w:jc w:val="right"/>
              <w:rPr>
                <w:rFonts w:cs="Arial"/>
                <w:b/>
                <w:bCs/>
                <w:color w:val="FFFFFF"/>
                <w:szCs w:val="18"/>
                <w:lang w:eastAsia="en-AU"/>
              </w:rPr>
            </w:pPr>
            <w:r w:rsidRPr="00E83408">
              <w:rPr>
                <w:rFonts w:cs="Arial"/>
                <w:b/>
                <w:bCs/>
                <w:color w:val="FFFFFF"/>
                <w:szCs w:val="18"/>
                <w:lang w:eastAsia="en-AU"/>
              </w:rPr>
              <w:t>-19%</w:t>
            </w:r>
          </w:p>
        </w:tc>
        <w:tc>
          <w:tcPr>
            <w:tcW w:w="1156" w:type="dxa"/>
            <w:tcBorders>
              <w:top w:val="nil"/>
              <w:left w:val="nil"/>
              <w:bottom w:val="single" w:sz="12" w:space="0" w:color="FFFFFF"/>
              <w:right w:val="nil"/>
            </w:tcBorders>
            <w:shd w:val="clear" w:color="000000" w:fill="7F7F7F"/>
            <w:noWrap/>
            <w:vAlign w:val="center"/>
            <w:hideMark/>
          </w:tcPr>
          <w:p w:rsidR="00E83408" w:rsidRPr="00E83408" w:rsidRDefault="00E83408" w:rsidP="00E83408">
            <w:pPr>
              <w:jc w:val="right"/>
              <w:rPr>
                <w:rFonts w:cs="Arial"/>
                <w:b/>
                <w:bCs/>
                <w:color w:val="FFFFFF"/>
                <w:szCs w:val="18"/>
                <w:lang w:eastAsia="en-AU"/>
              </w:rPr>
            </w:pPr>
            <w:r w:rsidRPr="00E83408">
              <w:rPr>
                <w:rFonts w:cs="Arial"/>
                <w:b/>
                <w:bCs/>
                <w:color w:val="FFFFFF"/>
                <w:szCs w:val="18"/>
                <w:lang w:eastAsia="en-AU"/>
              </w:rPr>
              <w:t>-14%</w:t>
            </w:r>
          </w:p>
        </w:tc>
      </w:tr>
    </w:tbl>
    <w:p w:rsidR="00CC6CA5" w:rsidRPr="006B30C6" w:rsidRDefault="00CC6CA5" w:rsidP="00CC6CA5">
      <w:pPr>
        <w:rPr>
          <w:color w:val="7F7F7F" w:themeColor="text2"/>
          <w:szCs w:val="18"/>
        </w:rPr>
      </w:pPr>
    </w:p>
    <w:p w:rsidR="00CC6CA5" w:rsidRPr="006B30C6" w:rsidRDefault="00CC6CA5" w:rsidP="00CC6CA5">
      <w:pPr>
        <w:rPr>
          <w:color w:val="7F7F7F" w:themeColor="text2"/>
          <w:szCs w:val="18"/>
        </w:rPr>
      </w:pPr>
    </w:p>
    <w:p w:rsidR="006B30C6" w:rsidRPr="006B30C6" w:rsidRDefault="006B30C6">
      <w:pPr>
        <w:rPr>
          <w:color w:val="7F7F7F" w:themeColor="text2"/>
          <w:sz w:val="19"/>
          <w:szCs w:val="19"/>
        </w:rPr>
      </w:pPr>
      <w:r>
        <w:rPr>
          <w:b/>
          <w:color w:val="B41F22" w:themeColor="accent1"/>
        </w:rPr>
        <w:br w:type="page"/>
      </w:r>
    </w:p>
    <w:tbl>
      <w:tblPr>
        <w:tblStyle w:val="TableGrid"/>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230"/>
      </w:tblGrid>
      <w:tr w:rsidR="008174E3" w:rsidTr="008174E3">
        <w:tc>
          <w:tcPr>
            <w:tcW w:w="1134" w:type="dxa"/>
            <w:tcMar>
              <w:left w:w="0" w:type="dxa"/>
              <w:right w:w="0" w:type="dxa"/>
            </w:tcMar>
          </w:tcPr>
          <w:p w:rsidR="008174E3" w:rsidRDefault="008174E3" w:rsidP="008174E3">
            <w:pPr>
              <w:pStyle w:val="Quote"/>
              <w:tabs>
                <w:tab w:val="left" w:pos="1134"/>
              </w:tabs>
              <w:rPr>
                <w:b w:val="0"/>
                <w:color w:val="B41F22" w:themeColor="accent1"/>
              </w:rPr>
            </w:pPr>
            <w:r>
              <w:rPr>
                <w:b w:val="0"/>
                <w:color w:val="B41F22" w:themeColor="accent1"/>
              </w:rPr>
              <w:lastRenderedPageBreak/>
              <w:t>Figure 1.2:</w:t>
            </w:r>
          </w:p>
        </w:tc>
        <w:tc>
          <w:tcPr>
            <w:tcW w:w="7230" w:type="dxa"/>
            <w:tcMar>
              <w:left w:w="0" w:type="dxa"/>
              <w:right w:w="0" w:type="dxa"/>
            </w:tcMar>
          </w:tcPr>
          <w:p w:rsidR="008174E3" w:rsidRDefault="008174E3" w:rsidP="008174E3">
            <w:pPr>
              <w:pStyle w:val="Quote"/>
              <w:tabs>
                <w:tab w:val="left" w:pos="1134"/>
              </w:tabs>
              <w:rPr>
                <w:b w:val="0"/>
                <w:color w:val="B41F22" w:themeColor="accent1"/>
              </w:rPr>
            </w:pPr>
            <w:r w:rsidRPr="00B25196">
              <w:rPr>
                <w:b w:val="0"/>
                <w:color w:val="B41F22" w:themeColor="accent1"/>
              </w:rPr>
              <w:t>Course enrolments in government subsidised accredited and pre-accredited training, 2010 to 2015 (half year)</w:t>
            </w:r>
          </w:p>
        </w:tc>
      </w:tr>
    </w:tbl>
    <w:p w:rsidR="00CC6CA5" w:rsidRPr="00CC6CA5" w:rsidRDefault="00472F62" w:rsidP="00CC6CA5">
      <w:pPr>
        <w:rPr>
          <w:color w:val="7F7F7F" w:themeColor="text2"/>
          <w:sz w:val="19"/>
          <w:szCs w:val="19"/>
        </w:rPr>
      </w:pPr>
      <w:r>
        <w:rPr>
          <w:noProof/>
          <w:color w:val="7F7F7F" w:themeColor="text2"/>
          <w:sz w:val="19"/>
          <w:szCs w:val="19"/>
          <w:lang w:eastAsia="en-AU"/>
        </w:rPr>
        <w:drawing>
          <wp:inline distT="0" distB="0" distL="0" distR="0" wp14:anchorId="7D0BCD45" wp14:editId="48CEC69A">
            <wp:extent cx="5220000" cy="313126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20000" cy="3131269"/>
                    </a:xfrm>
                    <a:prstGeom prst="rect">
                      <a:avLst/>
                    </a:prstGeom>
                    <a:noFill/>
                  </pic:spPr>
                </pic:pic>
              </a:graphicData>
            </a:graphic>
          </wp:inline>
        </w:drawing>
      </w:r>
    </w:p>
    <w:p w:rsidR="00CC6CA5" w:rsidRPr="006B30C6" w:rsidRDefault="00CC6CA5" w:rsidP="00CC6CA5">
      <w:pPr>
        <w:rPr>
          <w:color w:val="7F7F7F" w:themeColor="text2"/>
          <w:szCs w:val="18"/>
        </w:rPr>
      </w:pPr>
    </w:p>
    <w:p w:rsidR="00CC6CA5" w:rsidRPr="006B30C6" w:rsidRDefault="00CC6CA5" w:rsidP="00CC6CA5">
      <w:pPr>
        <w:rPr>
          <w:color w:val="7F7F7F" w:themeColor="text2"/>
          <w:szCs w:val="18"/>
        </w:rPr>
      </w:pPr>
    </w:p>
    <w:p w:rsidR="00974A48" w:rsidRPr="00FE2971" w:rsidRDefault="00974A48" w:rsidP="00FE2971">
      <w:pPr>
        <w:rPr>
          <w:rFonts w:cs="Arial"/>
          <w:bCs/>
          <w:iCs/>
          <w:color w:val="7F7F7F" w:themeColor="text2"/>
          <w:szCs w:val="18"/>
        </w:rPr>
      </w:pPr>
      <w:r w:rsidRPr="00FE2971">
        <w:rPr>
          <w:szCs w:val="18"/>
        </w:rPr>
        <w:br w:type="page"/>
      </w:r>
    </w:p>
    <w:p w:rsidR="008D4258" w:rsidRPr="00083FC2" w:rsidRDefault="00E4188E" w:rsidP="009C17FE">
      <w:pPr>
        <w:pStyle w:val="Heading2"/>
        <w:rPr>
          <w:color w:val="B41F22" w:themeColor="accent1"/>
        </w:rPr>
      </w:pPr>
      <w:bookmarkStart w:id="7" w:name="_Toc432758317"/>
      <w:r w:rsidRPr="00083FC2">
        <w:rPr>
          <w:color w:val="B41F22" w:themeColor="accent1"/>
        </w:rPr>
        <w:lastRenderedPageBreak/>
        <w:t>Qualification L</w:t>
      </w:r>
      <w:r w:rsidR="009C17FE" w:rsidRPr="00083FC2">
        <w:rPr>
          <w:color w:val="B41F22" w:themeColor="accent1"/>
        </w:rPr>
        <w:t>evels</w:t>
      </w:r>
      <w:bookmarkEnd w:id="7"/>
    </w:p>
    <w:p w:rsidR="009C17FE" w:rsidRPr="00AD7BB0" w:rsidRDefault="009C17FE"/>
    <w:p w:rsidR="00384CFF" w:rsidRPr="002F6569" w:rsidRDefault="00384CFF" w:rsidP="009D0570">
      <w:pPr>
        <w:spacing w:after="120"/>
        <w:rPr>
          <w:rFonts w:cs="Arial"/>
          <w:color w:val="7F7F7F" w:themeColor="text2"/>
        </w:rPr>
      </w:pPr>
      <w:r w:rsidRPr="002F6569">
        <w:rPr>
          <w:rFonts w:cs="Arial"/>
          <w:color w:val="7F7F7F" w:themeColor="text2"/>
        </w:rPr>
        <w:t xml:space="preserve">Lower level qualifications such as Certificate I and II provide literacy, numeracy and work preparation skills to people without post-school qualifications so that they have the opportunity to go on to further study or </w:t>
      </w:r>
      <w:r w:rsidR="00764C31" w:rsidRPr="002F6569">
        <w:rPr>
          <w:rFonts w:cs="Arial"/>
          <w:color w:val="7F7F7F" w:themeColor="text2"/>
        </w:rPr>
        <w:t>secure</w:t>
      </w:r>
      <w:r w:rsidRPr="002F6569">
        <w:rPr>
          <w:rFonts w:cs="Arial"/>
          <w:color w:val="7F7F7F" w:themeColor="text2"/>
        </w:rPr>
        <w:t xml:space="preserve"> employment. Mid-level skills are essential to the Victorian economy and help drive economic activity across the stat</w:t>
      </w:r>
      <w:r w:rsidR="007F580B" w:rsidRPr="002F6569">
        <w:rPr>
          <w:rFonts w:cs="Arial"/>
          <w:color w:val="7F7F7F" w:themeColor="text2"/>
        </w:rPr>
        <w:t>e.</w:t>
      </w:r>
    </w:p>
    <w:p w:rsidR="00E41CCA" w:rsidRDefault="00E41CCA" w:rsidP="00B24EDC">
      <w:pPr>
        <w:pStyle w:val="Heading3"/>
        <w:spacing w:before="120" w:after="120"/>
        <w:rPr>
          <w:color w:val="7F7F7F" w:themeColor="text2"/>
        </w:rPr>
      </w:pPr>
      <w:r w:rsidRPr="00DE7971">
        <w:rPr>
          <w:color w:val="7F7F7F" w:themeColor="text2"/>
        </w:rPr>
        <w:t xml:space="preserve">Government </w:t>
      </w:r>
      <w:r w:rsidR="00CC641F" w:rsidRPr="00DE7971">
        <w:rPr>
          <w:color w:val="7F7F7F" w:themeColor="text2"/>
        </w:rPr>
        <w:t>S</w:t>
      </w:r>
      <w:r w:rsidRPr="00DE7971">
        <w:rPr>
          <w:color w:val="7F7F7F" w:themeColor="text2"/>
        </w:rPr>
        <w:t xml:space="preserve">ubsidised </w:t>
      </w:r>
      <w:r w:rsidR="000407E3" w:rsidRPr="00DE7971">
        <w:rPr>
          <w:color w:val="7F7F7F" w:themeColor="text2"/>
        </w:rPr>
        <w:t xml:space="preserve">Accredited </w:t>
      </w:r>
      <w:r w:rsidR="00CC641F" w:rsidRPr="00DE7971">
        <w:rPr>
          <w:color w:val="7F7F7F" w:themeColor="text2"/>
        </w:rPr>
        <w:t>C</w:t>
      </w:r>
      <w:r w:rsidRPr="00DE7971">
        <w:rPr>
          <w:color w:val="7F7F7F" w:themeColor="text2"/>
        </w:rPr>
        <w:t xml:space="preserve">ourse </w:t>
      </w:r>
      <w:r w:rsidR="00CC641F" w:rsidRPr="00DE7971">
        <w:rPr>
          <w:color w:val="7F7F7F" w:themeColor="text2"/>
        </w:rPr>
        <w:t>E</w:t>
      </w:r>
      <w:r w:rsidRPr="00DE7971">
        <w:rPr>
          <w:color w:val="7F7F7F" w:themeColor="text2"/>
        </w:rPr>
        <w:t>nrolments</w:t>
      </w:r>
    </w:p>
    <w:p w:rsidR="009C17FE" w:rsidRPr="00365EB2" w:rsidRDefault="009C17FE" w:rsidP="00B24EDC">
      <w:pPr>
        <w:pStyle w:val="Quote"/>
        <w:pBdr>
          <w:top w:val="single" w:sz="4" w:space="1" w:color="7F7F7F" w:themeColor="text2"/>
          <w:left w:val="single" w:sz="4" w:space="4" w:color="7F7F7F" w:themeColor="text2"/>
          <w:bottom w:val="single" w:sz="4" w:space="1" w:color="7F7F7F" w:themeColor="text2"/>
          <w:right w:val="single" w:sz="4" w:space="4" w:color="7F7F7F" w:themeColor="text2"/>
        </w:pBdr>
        <w:spacing w:before="120" w:after="120"/>
      </w:pPr>
      <w:r w:rsidRPr="00BB466D">
        <w:t>Key points</w:t>
      </w:r>
    </w:p>
    <w:p w:rsidR="004F21C5" w:rsidRDefault="00875C48" w:rsidP="00B24EDC">
      <w:pPr>
        <w:pStyle w:val="ListParagraph"/>
        <w:numPr>
          <w:ilvl w:val="0"/>
          <w:numId w:val="18"/>
        </w:numPr>
        <w:pBdr>
          <w:top w:val="single" w:sz="4" w:space="1" w:color="7F7F7F" w:themeColor="text2"/>
          <w:left w:val="single" w:sz="4" w:space="4" w:color="7F7F7F" w:themeColor="text2"/>
          <w:bottom w:val="single" w:sz="4" w:space="1" w:color="7F7F7F" w:themeColor="text2"/>
          <w:right w:val="single" w:sz="4" w:space="4" w:color="7F7F7F" w:themeColor="text2"/>
        </w:pBdr>
        <w:spacing w:before="120" w:after="120"/>
        <w:ind w:left="426" w:hanging="426"/>
        <w:contextualSpacing w:val="0"/>
        <w:rPr>
          <w:color w:val="7F7F7F" w:themeColor="text2"/>
        </w:rPr>
      </w:pPr>
      <w:r>
        <w:rPr>
          <w:color w:val="7F7F7F" w:themeColor="text2"/>
        </w:rPr>
        <w:t>From 2014 (half year) to 2015 (half year), enrolments have declined across all qualification levels except Diploma and above and Module only.</w:t>
      </w:r>
      <w:r w:rsidR="004F21C5">
        <w:rPr>
          <w:color w:val="7F7F7F" w:themeColor="text2"/>
        </w:rPr>
        <w:t xml:space="preserve"> </w:t>
      </w:r>
    </w:p>
    <w:p w:rsidR="00875C48" w:rsidRDefault="00875C48" w:rsidP="00B24EDC">
      <w:pPr>
        <w:pStyle w:val="ListParagraph"/>
        <w:numPr>
          <w:ilvl w:val="0"/>
          <w:numId w:val="18"/>
        </w:numPr>
        <w:pBdr>
          <w:top w:val="single" w:sz="4" w:space="1" w:color="7F7F7F" w:themeColor="text2"/>
          <w:left w:val="single" w:sz="4" w:space="4" w:color="7F7F7F" w:themeColor="text2"/>
          <w:bottom w:val="single" w:sz="4" w:space="1" w:color="7F7F7F" w:themeColor="text2"/>
          <w:right w:val="single" w:sz="4" w:space="4" w:color="7F7F7F" w:themeColor="text2"/>
        </w:pBdr>
        <w:spacing w:before="120" w:after="120"/>
        <w:ind w:left="426" w:hanging="426"/>
        <w:contextualSpacing w:val="0"/>
        <w:rPr>
          <w:color w:val="7F7F7F" w:themeColor="text2"/>
        </w:rPr>
      </w:pPr>
      <w:r w:rsidRPr="002F6569">
        <w:rPr>
          <w:color w:val="7F7F7F" w:themeColor="text2"/>
        </w:rPr>
        <w:t>In 2015 (half year), there were 50,167 government subsidised enrolments in accredited training at the Diploma and above qualification level, this was higher than 2014 (half year) by 5 per cent</w:t>
      </w:r>
      <w:r w:rsidR="0084117E">
        <w:rPr>
          <w:color w:val="7F7F7F" w:themeColor="text2"/>
        </w:rPr>
        <w:t>.</w:t>
      </w:r>
    </w:p>
    <w:p w:rsidR="007C274D" w:rsidRPr="002F6569" w:rsidRDefault="0073361B" w:rsidP="00B24EDC">
      <w:pPr>
        <w:pStyle w:val="ListParagraph"/>
        <w:numPr>
          <w:ilvl w:val="0"/>
          <w:numId w:val="18"/>
        </w:numPr>
        <w:pBdr>
          <w:top w:val="single" w:sz="4" w:space="1" w:color="7F7F7F" w:themeColor="text2"/>
          <w:left w:val="single" w:sz="4" w:space="4" w:color="7F7F7F" w:themeColor="text2"/>
          <w:bottom w:val="single" w:sz="4" w:space="1" w:color="7F7F7F" w:themeColor="text2"/>
          <w:right w:val="single" w:sz="4" w:space="4" w:color="7F7F7F" w:themeColor="text2"/>
        </w:pBdr>
        <w:spacing w:before="120" w:after="120"/>
        <w:ind w:left="426" w:hanging="426"/>
        <w:contextualSpacing w:val="0"/>
        <w:rPr>
          <w:color w:val="7F7F7F" w:themeColor="text2"/>
        </w:rPr>
      </w:pPr>
      <w:r w:rsidRPr="002F6569">
        <w:rPr>
          <w:color w:val="7F7F7F" w:themeColor="text2"/>
        </w:rPr>
        <w:t>The 201</w:t>
      </w:r>
      <w:r w:rsidR="00ED3753" w:rsidRPr="002F6569">
        <w:rPr>
          <w:color w:val="7F7F7F" w:themeColor="text2"/>
        </w:rPr>
        <w:t>5 (half year)</w:t>
      </w:r>
      <w:r w:rsidRPr="002F6569">
        <w:rPr>
          <w:color w:val="7F7F7F" w:themeColor="text2"/>
        </w:rPr>
        <w:t xml:space="preserve"> data shows that th</w:t>
      </w:r>
      <w:r w:rsidR="0026794D" w:rsidRPr="002F6569">
        <w:rPr>
          <w:color w:val="7F7F7F" w:themeColor="text2"/>
        </w:rPr>
        <w:t>e</w:t>
      </w:r>
      <w:r w:rsidR="007C274D" w:rsidRPr="002F6569">
        <w:rPr>
          <w:color w:val="7F7F7F" w:themeColor="text2"/>
        </w:rPr>
        <w:t xml:space="preserve">re were </w:t>
      </w:r>
      <w:r w:rsidR="00ED3753" w:rsidRPr="002F6569">
        <w:rPr>
          <w:color w:val="7F7F7F" w:themeColor="text2"/>
        </w:rPr>
        <w:t>208</w:t>
      </w:r>
      <w:r w:rsidR="007C274D" w:rsidRPr="002F6569">
        <w:rPr>
          <w:color w:val="7F7F7F" w:themeColor="text2"/>
        </w:rPr>
        <w:t>,</w:t>
      </w:r>
      <w:r w:rsidR="00ED3753" w:rsidRPr="002F6569">
        <w:rPr>
          <w:color w:val="7F7F7F" w:themeColor="text2"/>
        </w:rPr>
        <w:t>293</w:t>
      </w:r>
      <w:r w:rsidR="007C274D" w:rsidRPr="002F6569">
        <w:rPr>
          <w:color w:val="7F7F7F" w:themeColor="text2"/>
        </w:rPr>
        <w:t xml:space="preserve"> government subsidised course enrolments </w:t>
      </w:r>
      <w:r w:rsidR="00ED3753" w:rsidRPr="002F6569">
        <w:rPr>
          <w:color w:val="7F7F7F" w:themeColor="text2"/>
        </w:rPr>
        <w:t xml:space="preserve">in accredited training </w:t>
      </w:r>
      <w:r w:rsidR="007C274D" w:rsidRPr="002F6569">
        <w:rPr>
          <w:color w:val="7F7F7F" w:themeColor="text2"/>
        </w:rPr>
        <w:t xml:space="preserve">at the Certificate </w:t>
      </w:r>
      <w:r w:rsidR="00EB601E" w:rsidRPr="002F6569">
        <w:rPr>
          <w:color w:val="7F7F7F" w:themeColor="text2"/>
        </w:rPr>
        <w:t>III</w:t>
      </w:r>
      <w:r w:rsidR="007C274D" w:rsidRPr="002F6569">
        <w:rPr>
          <w:color w:val="7F7F7F" w:themeColor="text2"/>
        </w:rPr>
        <w:t xml:space="preserve"> to </w:t>
      </w:r>
      <w:r w:rsidR="00EB601E" w:rsidRPr="002F6569">
        <w:rPr>
          <w:color w:val="7F7F7F" w:themeColor="text2"/>
        </w:rPr>
        <w:t>IV</w:t>
      </w:r>
      <w:r w:rsidR="007C274D" w:rsidRPr="002F6569">
        <w:rPr>
          <w:color w:val="7F7F7F" w:themeColor="text2"/>
        </w:rPr>
        <w:t xml:space="preserve"> levels</w:t>
      </w:r>
      <w:r w:rsidR="00875C48">
        <w:rPr>
          <w:color w:val="7F7F7F" w:themeColor="text2"/>
        </w:rPr>
        <w:t>, a decline of 13 per cent from the same period in 2014.</w:t>
      </w:r>
      <w:r w:rsidR="007C274D" w:rsidRPr="002F6569">
        <w:rPr>
          <w:color w:val="7F7F7F" w:themeColor="text2"/>
        </w:rPr>
        <w:t xml:space="preserve"> </w:t>
      </w:r>
      <w:r w:rsidR="00875C48">
        <w:rPr>
          <w:color w:val="7F7F7F" w:themeColor="text2"/>
        </w:rPr>
        <w:t xml:space="preserve">In 2015 (half year), the share of Certificate III to IV enrolments was </w:t>
      </w:r>
      <w:r w:rsidR="007C274D" w:rsidRPr="002F6569">
        <w:rPr>
          <w:color w:val="7F7F7F" w:themeColor="text2"/>
        </w:rPr>
        <w:t>6</w:t>
      </w:r>
      <w:r w:rsidR="00ED3753" w:rsidRPr="002F6569">
        <w:rPr>
          <w:color w:val="7F7F7F" w:themeColor="text2"/>
        </w:rPr>
        <w:t>7</w:t>
      </w:r>
      <w:r w:rsidR="007C274D" w:rsidRPr="002F6569">
        <w:rPr>
          <w:color w:val="7F7F7F" w:themeColor="text2"/>
        </w:rPr>
        <w:t xml:space="preserve"> per cent of all government subsidised </w:t>
      </w:r>
      <w:r w:rsidR="000407E3" w:rsidRPr="002F6569">
        <w:rPr>
          <w:color w:val="7F7F7F" w:themeColor="text2"/>
        </w:rPr>
        <w:t xml:space="preserve">accredited </w:t>
      </w:r>
      <w:r w:rsidR="007C274D" w:rsidRPr="002F6569">
        <w:rPr>
          <w:color w:val="7F7F7F" w:themeColor="text2"/>
        </w:rPr>
        <w:t>enrolments.</w:t>
      </w:r>
    </w:p>
    <w:p w:rsidR="0073361B" w:rsidRPr="002F6569" w:rsidRDefault="007C274D" w:rsidP="00875C48">
      <w:pPr>
        <w:pStyle w:val="ListParagraph"/>
        <w:numPr>
          <w:ilvl w:val="0"/>
          <w:numId w:val="18"/>
        </w:numPr>
        <w:pBdr>
          <w:top w:val="single" w:sz="4" w:space="1" w:color="7F7F7F" w:themeColor="text2"/>
          <w:left w:val="single" w:sz="4" w:space="4" w:color="7F7F7F" w:themeColor="text2"/>
          <w:bottom w:val="single" w:sz="4" w:space="1" w:color="7F7F7F" w:themeColor="text2"/>
          <w:right w:val="single" w:sz="4" w:space="4" w:color="7F7F7F" w:themeColor="text2"/>
        </w:pBdr>
        <w:spacing w:before="120"/>
        <w:ind w:left="425" w:hanging="425"/>
        <w:contextualSpacing w:val="0"/>
        <w:rPr>
          <w:color w:val="7F7F7F" w:themeColor="text2"/>
        </w:rPr>
      </w:pPr>
      <w:r w:rsidRPr="002F6569">
        <w:rPr>
          <w:color w:val="7F7F7F" w:themeColor="text2"/>
        </w:rPr>
        <w:t>Government subsidised course enro</w:t>
      </w:r>
      <w:r w:rsidR="00EB601E" w:rsidRPr="002F6569">
        <w:rPr>
          <w:color w:val="7F7F7F" w:themeColor="text2"/>
        </w:rPr>
        <w:t xml:space="preserve">lments </w:t>
      </w:r>
      <w:r w:rsidR="000407E3" w:rsidRPr="002F6569">
        <w:rPr>
          <w:color w:val="7F7F7F" w:themeColor="text2"/>
        </w:rPr>
        <w:t xml:space="preserve">in accredited training </w:t>
      </w:r>
      <w:r w:rsidR="00EB601E" w:rsidRPr="002F6569">
        <w:rPr>
          <w:color w:val="7F7F7F" w:themeColor="text2"/>
        </w:rPr>
        <w:t>at the Certificate I to II</w:t>
      </w:r>
      <w:r w:rsidRPr="002F6569">
        <w:rPr>
          <w:color w:val="7F7F7F" w:themeColor="text2"/>
        </w:rPr>
        <w:t xml:space="preserve"> levels </w:t>
      </w:r>
      <w:r w:rsidR="005D2153" w:rsidRPr="002F6569">
        <w:rPr>
          <w:color w:val="7F7F7F" w:themeColor="text2"/>
        </w:rPr>
        <w:t xml:space="preserve">were lower </w:t>
      </w:r>
      <w:r w:rsidR="00001E67" w:rsidRPr="002F6569">
        <w:rPr>
          <w:color w:val="7F7F7F" w:themeColor="text2"/>
        </w:rPr>
        <w:t>in 201</w:t>
      </w:r>
      <w:r w:rsidR="00ED3753" w:rsidRPr="002F6569">
        <w:rPr>
          <w:color w:val="7F7F7F" w:themeColor="text2"/>
        </w:rPr>
        <w:t>5</w:t>
      </w:r>
      <w:r w:rsidR="00001E67" w:rsidRPr="002F6569">
        <w:rPr>
          <w:color w:val="7F7F7F" w:themeColor="text2"/>
        </w:rPr>
        <w:t xml:space="preserve"> </w:t>
      </w:r>
      <w:r w:rsidR="005D2153" w:rsidRPr="002F6569">
        <w:rPr>
          <w:color w:val="7F7F7F" w:themeColor="text2"/>
        </w:rPr>
        <w:t>than 201</w:t>
      </w:r>
      <w:r w:rsidR="00ED3753" w:rsidRPr="002F6569">
        <w:rPr>
          <w:color w:val="7F7F7F" w:themeColor="text2"/>
        </w:rPr>
        <w:t>4</w:t>
      </w:r>
      <w:r w:rsidR="00C728B8" w:rsidRPr="002F6569">
        <w:rPr>
          <w:color w:val="7F7F7F" w:themeColor="text2"/>
        </w:rPr>
        <w:t xml:space="preserve"> by </w:t>
      </w:r>
      <w:r w:rsidR="00ED3753" w:rsidRPr="002F6569">
        <w:rPr>
          <w:color w:val="7F7F7F" w:themeColor="text2"/>
        </w:rPr>
        <w:t>34</w:t>
      </w:r>
      <w:r w:rsidR="00C728B8" w:rsidRPr="002F6569">
        <w:rPr>
          <w:color w:val="7F7F7F" w:themeColor="text2"/>
        </w:rPr>
        <w:t xml:space="preserve"> per cent</w:t>
      </w:r>
      <w:r w:rsidR="005D2153" w:rsidRPr="002F6569">
        <w:rPr>
          <w:color w:val="7F7F7F" w:themeColor="text2"/>
        </w:rPr>
        <w:t>.</w:t>
      </w:r>
    </w:p>
    <w:p w:rsidR="00B24EDC" w:rsidRPr="008174E3" w:rsidRDefault="00B24EDC" w:rsidP="008174E3">
      <w:pPr>
        <w:pBdr>
          <w:top w:val="single" w:sz="4" w:space="1" w:color="7F7F7F" w:themeColor="text2"/>
          <w:left w:val="single" w:sz="4" w:space="4" w:color="7F7F7F" w:themeColor="text2"/>
          <w:bottom w:val="single" w:sz="4" w:space="1" w:color="7F7F7F" w:themeColor="text2"/>
          <w:right w:val="single" w:sz="4" w:space="4" w:color="7F7F7F" w:themeColor="text2"/>
        </w:pBdr>
        <w:rPr>
          <w:color w:val="7F7F7F" w:themeColor="text2"/>
          <w:szCs w:val="18"/>
        </w:rPr>
      </w:pPr>
    </w:p>
    <w:p w:rsidR="009C17FE" w:rsidRPr="00913551" w:rsidRDefault="009C17FE" w:rsidP="008174E3">
      <w:pPr>
        <w:rPr>
          <w:color w:val="7F7F7F" w:themeColor="text2"/>
          <w:szCs w:val="18"/>
        </w:rPr>
      </w:pPr>
    </w:p>
    <w:p w:rsidR="008174E3" w:rsidRPr="00913551" w:rsidRDefault="008174E3" w:rsidP="008174E3">
      <w:pPr>
        <w:rPr>
          <w:color w:val="7F7F7F" w:themeColor="text2"/>
          <w:szCs w:val="18"/>
        </w:rPr>
      </w:pP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7477B7" w:rsidTr="007477B7">
        <w:tc>
          <w:tcPr>
            <w:tcW w:w="1134" w:type="dxa"/>
            <w:tcMar>
              <w:left w:w="0" w:type="dxa"/>
              <w:right w:w="0" w:type="dxa"/>
            </w:tcMar>
          </w:tcPr>
          <w:p w:rsidR="007477B7" w:rsidRDefault="007477B7" w:rsidP="00CB6C79">
            <w:pPr>
              <w:pStyle w:val="Quote"/>
              <w:tabs>
                <w:tab w:val="left" w:pos="1134"/>
              </w:tabs>
              <w:rPr>
                <w:b w:val="0"/>
                <w:color w:val="B41F22" w:themeColor="accent1"/>
              </w:rPr>
            </w:pPr>
            <w:r>
              <w:rPr>
                <w:b w:val="0"/>
                <w:color w:val="B41F22" w:themeColor="accent1"/>
              </w:rPr>
              <w:t>Table 1.</w:t>
            </w:r>
            <w:r w:rsidR="00CB6C79">
              <w:rPr>
                <w:b w:val="0"/>
                <w:color w:val="B41F22" w:themeColor="accent1"/>
              </w:rPr>
              <w:t>3</w:t>
            </w:r>
            <w:r>
              <w:rPr>
                <w:b w:val="0"/>
                <w:color w:val="B41F22" w:themeColor="accent1"/>
              </w:rPr>
              <w:t>.1:</w:t>
            </w:r>
          </w:p>
        </w:tc>
        <w:tc>
          <w:tcPr>
            <w:tcW w:w="6946" w:type="dxa"/>
            <w:tcMar>
              <w:left w:w="0" w:type="dxa"/>
              <w:right w:w="0" w:type="dxa"/>
            </w:tcMar>
          </w:tcPr>
          <w:p w:rsidR="007477B7" w:rsidRDefault="007477B7" w:rsidP="007477B7">
            <w:pPr>
              <w:pStyle w:val="Quote"/>
              <w:tabs>
                <w:tab w:val="left" w:pos="1134"/>
              </w:tabs>
              <w:rPr>
                <w:b w:val="0"/>
                <w:color w:val="B41F22" w:themeColor="accent1"/>
              </w:rPr>
            </w:pPr>
            <w:r w:rsidRPr="007343D8">
              <w:rPr>
                <w:b w:val="0"/>
                <w:color w:val="B41F22" w:themeColor="accent1"/>
              </w:rPr>
              <w:t>Government subsidised course enrolments in accredited training by qualification level, 2010 to 2015 (half year)</w:t>
            </w:r>
          </w:p>
        </w:tc>
      </w:tr>
    </w:tbl>
    <w:tbl>
      <w:tblPr>
        <w:tblW w:w="8095" w:type="dxa"/>
        <w:tblInd w:w="93" w:type="dxa"/>
        <w:tblLayout w:type="fixed"/>
        <w:tblLook w:val="04A0" w:firstRow="1" w:lastRow="0" w:firstColumn="1" w:lastColumn="0" w:noHBand="0" w:noVBand="1"/>
      </w:tblPr>
      <w:tblGrid>
        <w:gridCol w:w="2142"/>
        <w:gridCol w:w="992"/>
        <w:gridCol w:w="992"/>
        <w:gridCol w:w="992"/>
        <w:gridCol w:w="992"/>
        <w:gridCol w:w="992"/>
        <w:gridCol w:w="993"/>
      </w:tblGrid>
      <w:tr w:rsidR="007343D8" w:rsidRPr="007343D8" w:rsidTr="007477B7">
        <w:trPr>
          <w:trHeight w:val="300"/>
        </w:trPr>
        <w:tc>
          <w:tcPr>
            <w:tcW w:w="2142" w:type="dxa"/>
            <w:tcBorders>
              <w:top w:val="nil"/>
              <w:left w:val="nil"/>
              <w:bottom w:val="nil"/>
              <w:right w:val="nil"/>
            </w:tcBorders>
            <w:shd w:val="clear" w:color="000000" w:fill="7F7F7F"/>
            <w:noWrap/>
            <w:vAlign w:val="center"/>
            <w:hideMark/>
          </w:tcPr>
          <w:p w:rsidR="007343D8" w:rsidRPr="007343D8" w:rsidRDefault="007343D8" w:rsidP="007343D8">
            <w:pPr>
              <w:rPr>
                <w:rFonts w:cs="Arial"/>
                <w:color w:val="FFFFFF"/>
                <w:szCs w:val="18"/>
                <w:lang w:eastAsia="en-AU"/>
              </w:rPr>
            </w:pPr>
            <w:r w:rsidRPr="007343D8">
              <w:rPr>
                <w:rFonts w:cs="Arial"/>
                <w:color w:val="FFFFFF"/>
                <w:szCs w:val="18"/>
                <w:lang w:eastAsia="en-AU"/>
              </w:rPr>
              <w:t> </w:t>
            </w:r>
          </w:p>
        </w:tc>
        <w:tc>
          <w:tcPr>
            <w:tcW w:w="992" w:type="dxa"/>
            <w:tcBorders>
              <w:top w:val="nil"/>
              <w:left w:val="nil"/>
              <w:bottom w:val="nil"/>
              <w:right w:val="nil"/>
            </w:tcBorders>
            <w:shd w:val="clear" w:color="000000" w:fill="7F7F7F"/>
            <w:noWrap/>
            <w:vAlign w:val="center"/>
            <w:hideMark/>
          </w:tcPr>
          <w:p w:rsidR="007343D8" w:rsidRPr="007343D8" w:rsidRDefault="007343D8" w:rsidP="007343D8">
            <w:pPr>
              <w:jc w:val="right"/>
              <w:rPr>
                <w:rFonts w:cs="Arial"/>
                <w:b/>
                <w:bCs/>
                <w:color w:val="FFFFFF"/>
                <w:szCs w:val="18"/>
                <w:lang w:eastAsia="en-AU"/>
              </w:rPr>
            </w:pPr>
            <w:r w:rsidRPr="007343D8">
              <w:rPr>
                <w:rFonts w:cs="Arial"/>
                <w:b/>
                <w:bCs/>
                <w:color w:val="FFFFFF"/>
                <w:szCs w:val="18"/>
                <w:lang w:eastAsia="en-AU"/>
              </w:rPr>
              <w:t>2010</w:t>
            </w:r>
          </w:p>
        </w:tc>
        <w:tc>
          <w:tcPr>
            <w:tcW w:w="992" w:type="dxa"/>
            <w:tcBorders>
              <w:top w:val="nil"/>
              <w:left w:val="nil"/>
              <w:bottom w:val="nil"/>
              <w:right w:val="nil"/>
            </w:tcBorders>
            <w:shd w:val="clear" w:color="000000" w:fill="7F7F7F"/>
            <w:noWrap/>
            <w:vAlign w:val="center"/>
            <w:hideMark/>
          </w:tcPr>
          <w:p w:rsidR="007343D8" w:rsidRPr="007343D8" w:rsidRDefault="007343D8" w:rsidP="007343D8">
            <w:pPr>
              <w:jc w:val="right"/>
              <w:rPr>
                <w:rFonts w:cs="Arial"/>
                <w:b/>
                <w:bCs/>
                <w:color w:val="FFFFFF"/>
                <w:szCs w:val="18"/>
                <w:lang w:eastAsia="en-AU"/>
              </w:rPr>
            </w:pPr>
            <w:r w:rsidRPr="007343D8">
              <w:rPr>
                <w:rFonts w:cs="Arial"/>
                <w:b/>
                <w:bCs/>
                <w:color w:val="FFFFFF"/>
                <w:szCs w:val="18"/>
                <w:lang w:eastAsia="en-AU"/>
              </w:rPr>
              <w:t>2011</w:t>
            </w:r>
          </w:p>
        </w:tc>
        <w:tc>
          <w:tcPr>
            <w:tcW w:w="992" w:type="dxa"/>
            <w:tcBorders>
              <w:top w:val="nil"/>
              <w:left w:val="nil"/>
              <w:bottom w:val="nil"/>
              <w:right w:val="nil"/>
            </w:tcBorders>
            <w:shd w:val="clear" w:color="000000" w:fill="7F7F7F"/>
            <w:noWrap/>
            <w:vAlign w:val="center"/>
            <w:hideMark/>
          </w:tcPr>
          <w:p w:rsidR="007343D8" w:rsidRPr="007343D8" w:rsidRDefault="007343D8" w:rsidP="007343D8">
            <w:pPr>
              <w:jc w:val="right"/>
              <w:rPr>
                <w:rFonts w:cs="Arial"/>
                <w:b/>
                <w:bCs/>
                <w:color w:val="FFFFFF"/>
                <w:szCs w:val="18"/>
                <w:lang w:eastAsia="en-AU"/>
              </w:rPr>
            </w:pPr>
            <w:r w:rsidRPr="007343D8">
              <w:rPr>
                <w:rFonts w:cs="Arial"/>
                <w:b/>
                <w:bCs/>
                <w:color w:val="FFFFFF"/>
                <w:szCs w:val="18"/>
                <w:lang w:eastAsia="en-AU"/>
              </w:rPr>
              <w:t>2012</w:t>
            </w:r>
          </w:p>
        </w:tc>
        <w:tc>
          <w:tcPr>
            <w:tcW w:w="992" w:type="dxa"/>
            <w:tcBorders>
              <w:top w:val="nil"/>
              <w:left w:val="nil"/>
              <w:bottom w:val="nil"/>
              <w:right w:val="nil"/>
            </w:tcBorders>
            <w:shd w:val="clear" w:color="000000" w:fill="7F7F7F"/>
            <w:noWrap/>
            <w:vAlign w:val="center"/>
            <w:hideMark/>
          </w:tcPr>
          <w:p w:rsidR="007343D8" w:rsidRPr="007343D8" w:rsidRDefault="007343D8" w:rsidP="007343D8">
            <w:pPr>
              <w:jc w:val="right"/>
              <w:rPr>
                <w:rFonts w:cs="Arial"/>
                <w:b/>
                <w:bCs/>
                <w:color w:val="FFFFFF"/>
                <w:szCs w:val="18"/>
                <w:lang w:eastAsia="en-AU"/>
              </w:rPr>
            </w:pPr>
            <w:r w:rsidRPr="007343D8">
              <w:rPr>
                <w:rFonts w:cs="Arial"/>
                <w:b/>
                <w:bCs/>
                <w:color w:val="FFFFFF"/>
                <w:szCs w:val="18"/>
                <w:lang w:eastAsia="en-AU"/>
              </w:rPr>
              <w:t>2013</w:t>
            </w:r>
          </w:p>
        </w:tc>
        <w:tc>
          <w:tcPr>
            <w:tcW w:w="992" w:type="dxa"/>
            <w:tcBorders>
              <w:top w:val="nil"/>
              <w:left w:val="nil"/>
              <w:bottom w:val="nil"/>
              <w:right w:val="nil"/>
            </w:tcBorders>
            <w:shd w:val="clear" w:color="000000" w:fill="7F7F7F"/>
            <w:noWrap/>
            <w:vAlign w:val="center"/>
            <w:hideMark/>
          </w:tcPr>
          <w:p w:rsidR="007343D8" w:rsidRPr="007343D8" w:rsidRDefault="007343D8" w:rsidP="007343D8">
            <w:pPr>
              <w:jc w:val="right"/>
              <w:rPr>
                <w:rFonts w:cs="Arial"/>
                <w:b/>
                <w:bCs/>
                <w:color w:val="FFFFFF"/>
                <w:szCs w:val="18"/>
                <w:lang w:eastAsia="en-AU"/>
              </w:rPr>
            </w:pPr>
            <w:r w:rsidRPr="007343D8">
              <w:rPr>
                <w:rFonts w:cs="Arial"/>
                <w:b/>
                <w:bCs/>
                <w:color w:val="FFFFFF"/>
                <w:szCs w:val="18"/>
                <w:lang w:eastAsia="en-AU"/>
              </w:rPr>
              <w:t>2014</w:t>
            </w:r>
          </w:p>
        </w:tc>
        <w:tc>
          <w:tcPr>
            <w:tcW w:w="993" w:type="dxa"/>
            <w:tcBorders>
              <w:top w:val="nil"/>
              <w:left w:val="nil"/>
              <w:bottom w:val="nil"/>
              <w:right w:val="nil"/>
            </w:tcBorders>
            <w:shd w:val="clear" w:color="000000" w:fill="7F7F7F"/>
            <w:noWrap/>
            <w:vAlign w:val="center"/>
            <w:hideMark/>
          </w:tcPr>
          <w:p w:rsidR="007343D8" w:rsidRPr="007343D8" w:rsidRDefault="007343D8" w:rsidP="007343D8">
            <w:pPr>
              <w:jc w:val="right"/>
              <w:rPr>
                <w:rFonts w:cs="Arial"/>
                <w:b/>
                <w:bCs/>
                <w:color w:val="FFFFFF"/>
                <w:szCs w:val="18"/>
                <w:lang w:eastAsia="en-AU"/>
              </w:rPr>
            </w:pPr>
            <w:r w:rsidRPr="007343D8">
              <w:rPr>
                <w:rFonts w:cs="Arial"/>
                <w:b/>
                <w:bCs/>
                <w:color w:val="FFFFFF"/>
                <w:szCs w:val="18"/>
                <w:lang w:eastAsia="en-AU"/>
              </w:rPr>
              <w:t>2015</w:t>
            </w:r>
          </w:p>
        </w:tc>
      </w:tr>
      <w:tr w:rsidR="007343D8" w:rsidRPr="007343D8" w:rsidTr="007477B7">
        <w:trPr>
          <w:trHeight w:val="300"/>
        </w:trPr>
        <w:tc>
          <w:tcPr>
            <w:tcW w:w="2142" w:type="dxa"/>
            <w:tcBorders>
              <w:top w:val="nil"/>
              <w:left w:val="nil"/>
              <w:bottom w:val="nil"/>
              <w:right w:val="nil"/>
            </w:tcBorders>
            <w:shd w:val="clear" w:color="auto" w:fill="auto"/>
            <w:noWrap/>
            <w:vAlign w:val="center"/>
            <w:hideMark/>
          </w:tcPr>
          <w:p w:rsidR="007343D8" w:rsidRPr="007343D8" w:rsidRDefault="007343D8" w:rsidP="007343D8">
            <w:pPr>
              <w:rPr>
                <w:rFonts w:cs="Arial"/>
                <w:color w:val="7F7F7F"/>
                <w:szCs w:val="18"/>
                <w:lang w:eastAsia="en-AU"/>
              </w:rPr>
            </w:pPr>
            <w:r w:rsidRPr="007343D8">
              <w:rPr>
                <w:rFonts w:cs="Arial"/>
                <w:color w:val="7F7F7F"/>
                <w:szCs w:val="18"/>
                <w:lang w:eastAsia="en-AU"/>
              </w:rPr>
              <w:t>Cert I/II</w:t>
            </w:r>
          </w:p>
        </w:tc>
        <w:tc>
          <w:tcPr>
            <w:tcW w:w="992" w:type="dxa"/>
            <w:tcBorders>
              <w:top w:val="nil"/>
              <w:left w:val="nil"/>
              <w:bottom w:val="nil"/>
              <w:right w:val="nil"/>
            </w:tcBorders>
            <w:shd w:val="clear" w:color="auto" w:fill="auto"/>
            <w:noWrap/>
            <w:vAlign w:val="center"/>
            <w:hideMark/>
          </w:tcPr>
          <w:p w:rsidR="007343D8" w:rsidRPr="007343D8" w:rsidRDefault="007343D8" w:rsidP="007343D8">
            <w:pPr>
              <w:jc w:val="right"/>
              <w:rPr>
                <w:rFonts w:cs="Arial"/>
                <w:color w:val="7F7F7F"/>
                <w:szCs w:val="18"/>
                <w:lang w:eastAsia="en-AU"/>
              </w:rPr>
            </w:pPr>
            <w:r w:rsidRPr="007343D8">
              <w:rPr>
                <w:rFonts w:cs="Arial"/>
                <w:color w:val="7F7F7F"/>
                <w:szCs w:val="18"/>
                <w:lang w:eastAsia="en-AU"/>
              </w:rPr>
              <w:t>49,464</w:t>
            </w:r>
          </w:p>
        </w:tc>
        <w:tc>
          <w:tcPr>
            <w:tcW w:w="992" w:type="dxa"/>
            <w:tcBorders>
              <w:top w:val="nil"/>
              <w:left w:val="nil"/>
              <w:bottom w:val="nil"/>
              <w:right w:val="nil"/>
            </w:tcBorders>
            <w:shd w:val="clear" w:color="auto" w:fill="auto"/>
            <w:noWrap/>
            <w:vAlign w:val="center"/>
            <w:hideMark/>
          </w:tcPr>
          <w:p w:rsidR="007343D8" w:rsidRPr="007343D8" w:rsidRDefault="007343D8" w:rsidP="007343D8">
            <w:pPr>
              <w:jc w:val="right"/>
              <w:rPr>
                <w:rFonts w:cs="Arial"/>
                <w:color w:val="7F7F7F"/>
                <w:szCs w:val="18"/>
                <w:lang w:eastAsia="en-AU"/>
              </w:rPr>
            </w:pPr>
            <w:r w:rsidRPr="007343D8">
              <w:rPr>
                <w:rFonts w:cs="Arial"/>
                <w:color w:val="7F7F7F"/>
                <w:szCs w:val="18"/>
                <w:lang w:eastAsia="en-AU"/>
              </w:rPr>
              <w:t>64,171</w:t>
            </w:r>
          </w:p>
        </w:tc>
        <w:tc>
          <w:tcPr>
            <w:tcW w:w="992" w:type="dxa"/>
            <w:tcBorders>
              <w:top w:val="nil"/>
              <w:left w:val="nil"/>
              <w:bottom w:val="nil"/>
              <w:right w:val="nil"/>
            </w:tcBorders>
            <w:shd w:val="clear" w:color="auto" w:fill="auto"/>
            <w:noWrap/>
            <w:vAlign w:val="center"/>
            <w:hideMark/>
          </w:tcPr>
          <w:p w:rsidR="007343D8" w:rsidRPr="007343D8" w:rsidRDefault="007343D8" w:rsidP="007343D8">
            <w:pPr>
              <w:jc w:val="right"/>
              <w:rPr>
                <w:rFonts w:cs="Arial"/>
                <w:color w:val="7F7F7F"/>
                <w:szCs w:val="18"/>
                <w:lang w:eastAsia="en-AU"/>
              </w:rPr>
            </w:pPr>
            <w:r w:rsidRPr="007343D8">
              <w:rPr>
                <w:rFonts w:cs="Arial"/>
                <w:color w:val="7F7F7F"/>
                <w:szCs w:val="18"/>
                <w:lang w:eastAsia="en-AU"/>
              </w:rPr>
              <w:t>100,982</w:t>
            </w:r>
          </w:p>
        </w:tc>
        <w:tc>
          <w:tcPr>
            <w:tcW w:w="992" w:type="dxa"/>
            <w:tcBorders>
              <w:top w:val="nil"/>
              <w:left w:val="nil"/>
              <w:bottom w:val="nil"/>
              <w:right w:val="nil"/>
            </w:tcBorders>
            <w:shd w:val="clear" w:color="auto" w:fill="auto"/>
            <w:noWrap/>
            <w:vAlign w:val="center"/>
            <w:hideMark/>
          </w:tcPr>
          <w:p w:rsidR="007343D8" w:rsidRPr="007343D8" w:rsidRDefault="007343D8" w:rsidP="007343D8">
            <w:pPr>
              <w:jc w:val="right"/>
              <w:rPr>
                <w:rFonts w:cs="Arial"/>
                <w:color w:val="7F7F7F"/>
                <w:szCs w:val="18"/>
                <w:lang w:eastAsia="en-AU"/>
              </w:rPr>
            </w:pPr>
            <w:r w:rsidRPr="007343D8">
              <w:rPr>
                <w:rFonts w:cs="Arial"/>
                <w:color w:val="7F7F7F"/>
                <w:szCs w:val="18"/>
                <w:lang w:eastAsia="en-AU"/>
              </w:rPr>
              <w:t>102,604</w:t>
            </w:r>
          </w:p>
        </w:tc>
        <w:tc>
          <w:tcPr>
            <w:tcW w:w="992" w:type="dxa"/>
            <w:tcBorders>
              <w:top w:val="nil"/>
              <w:left w:val="nil"/>
              <w:bottom w:val="nil"/>
              <w:right w:val="nil"/>
            </w:tcBorders>
            <w:shd w:val="clear" w:color="auto" w:fill="auto"/>
            <w:noWrap/>
            <w:vAlign w:val="center"/>
            <w:hideMark/>
          </w:tcPr>
          <w:p w:rsidR="007343D8" w:rsidRPr="007343D8" w:rsidRDefault="007343D8" w:rsidP="007343D8">
            <w:pPr>
              <w:jc w:val="right"/>
              <w:rPr>
                <w:rFonts w:cs="Arial"/>
                <w:color w:val="7F7F7F"/>
                <w:szCs w:val="18"/>
                <w:lang w:eastAsia="en-AU"/>
              </w:rPr>
            </w:pPr>
            <w:r w:rsidRPr="007343D8">
              <w:rPr>
                <w:rFonts w:cs="Arial"/>
                <w:color w:val="7F7F7F"/>
                <w:szCs w:val="18"/>
                <w:lang w:eastAsia="en-AU"/>
              </w:rPr>
              <w:t>58,244</w:t>
            </w:r>
          </w:p>
        </w:tc>
        <w:tc>
          <w:tcPr>
            <w:tcW w:w="993" w:type="dxa"/>
            <w:tcBorders>
              <w:top w:val="nil"/>
              <w:left w:val="nil"/>
              <w:bottom w:val="nil"/>
              <w:right w:val="nil"/>
            </w:tcBorders>
            <w:shd w:val="clear" w:color="auto" w:fill="auto"/>
            <w:noWrap/>
            <w:vAlign w:val="center"/>
            <w:hideMark/>
          </w:tcPr>
          <w:p w:rsidR="007343D8" w:rsidRPr="007343D8" w:rsidRDefault="007343D8" w:rsidP="007343D8">
            <w:pPr>
              <w:jc w:val="right"/>
              <w:rPr>
                <w:rFonts w:cs="Arial"/>
                <w:color w:val="7F7F7F"/>
                <w:szCs w:val="18"/>
                <w:lang w:eastAsia="en-AU"/>
              </w:rPr>
            </w:pPr>
            <w:r w:rsidRPr="007343D8">
              <w:rPr>
                <w:rFonts w:cs="Arial"/>
                <w:color w:val="7F7F7F"/>
                <w:szCs w:val="18"/>
                <w:lang w:eastAsia="en-AU"/>
              </w:rPr>
              <w:t>38,613</w:t>
            </w:r>
          </w:p>
        </w:tc>
      </w:tr>
      <w:tr w:rsidR="007343D8" w:rsidRPr="007343D8" w:rsidTr="007477B7">
        <w:trPr>
          <w:trHeight w:val="300"/>
        </w:trPr>
        <w:tc>
          <w:tcPr>
            <w:tcW w:w="2142" w:type="dxa"/>
            <w:tcBorders>
              <w:top w:val="nil"/>
              <w:left w:val="nil"/>
              <w:bottom w:val="nil"/>
              <w:right w:val="nil"/>
            </w:tcBorders>
            <w:shd w:val="clear" w:color="auto" w:fill="auto"/>
            <w:noWrap/>
            <w:vAlign w:val="center"/>
            <w:hideMark/>
          </w:tcPr>
          <w:p w:rsidR="007343D8" w:rsidRPr="007343D8" w:rsidRDefault="007343D8" w:rsidP="007343D8">
            <w:pPr>
              <w:rPr>
                <w:rFonts w:cs="Arial"/>
                <w:color w:val="7F7F7F"/>
                <w:szCs w:val="18"/>
                <w:lang w:eastAsia="en-AU"/>
              </w:rPr>
            </w:pPr>
            <w:r w:rsidRPr="007343D8">
              <w:rPr>
                <w:rFonts w:cs="Arial"/>
                <w:color w:val="7F7F7F"/>
                <w:szCs w:val="18"/>
                <w:lang w:eastAsia="en-AU"/>
              </w:rPr>
              <w:t>Cert III/IV</w:t>
            </w:r>
          </w:p>
        </w:tc>
        <w:tc>
          <w:tcPr>
            <w:tcW w:w="992" w:type="dxa"/>
            <w:tcBorders>
              <w:top w:val="nil"/>
              <w:left w:val="nil"/>
              <w:bottom w:val="nil"/>
              <w:right w:val="nil"/>
            </w:tcBorders>
            <w:shd w:val="clear" w:color="auto" w:fill="auto"/>
            <w:noWrap/>
            <w:vAlign w:val="center"/>
            <w:hideMark/>
          </w:tcPr>
          <w:p w:rsidR="007343D8" w:rsidRPr="007343D8" w:rsidRDefault="007343D8" w:rsidP="007343D8">
            <w:pPr>
              <w:jc w:val="right"/>
              <w:rPr>
                <w:rFonts w:cs="Arial"/>
                <w:color w:val="7F7F7F"/>
                <w:szCs w:val="18"/>
                <w:lang w:eastAsia="en-AU"/>
              </w:rPr>
            </w:pPr>
            <w:r w:rsidRPr="007343D8">
              <w:rPr>
                <w:rFonts w:cs="Arial"/>
                <w:color w:val="7F7F7F"/>
                <w:szCs w:val="18"/>
                <w:lang w:eastAsia="en-AU"/>
              </w:rPr>
              <w:t>125,027</w:t>
            </w:r>
          </w:p>
        </w:tc>
        <w:tc>
          <w:tcPr>
            <w:tcW w:w="992" w:type="dxa"/>
            <w:tcBorders>
              <w:top w:val="nil"/>
              <w:left w:val="nil"/>
              <w:bottom w:val="nil"/>
              <w:right w:val="nil"/>
            </w:tcBorders>
            <w:shd w:val="clear" w:color="auto" w:fill="auto"/>
            <w:noWrap/>
            <w:vAlign w:val="center"/>
            <w:hideMark/>
          </w:tcPr>
          <w:p w:rsidR="007343D8" w:rsidRPr="007343D8" w:rsidRDefault="007343D8" w:rsidP="007343D8">
            <w:pPr>
              <w:jc w:val="right"/>
              <w:rPr>
                <w:rFonts w:cs="Arial"/>
                <w:color w:val="7F7F7F"/>
                <w:szCs w:val="18"/>
                <w:lang w:eastAsia="en-AU"/>
              </w:rPr>
            </w:pPr>
            <w:r w:rsidRPr="007343D8">
              <w:rPr>
                <w:rFonts w:cs="Arial"/>
                <w:color w:val="7F7F7F"/>
                <w:szCs w:val="18"/>
                <w:lang w:eastAsia="en-AU"/>
              </w:rPr>
              <w:t>168,436</w:t>
            </w:r>
          </w:p>
        </w:tc>
        <w:tc>
          <w:tcPr>
            <w:tcW w:w="992" w:type="dxa"/>
            <w:tcBorders>
              <w:top w:val="nil"/>
              <w:left w:val="nil"/>
              <w:bottom w:val="nil"/>
              <w:right w:val="nil"/>
            </w:tcBorders>
            <w:shd w:val="clear" w:color="auto" w:fill="auto"/>
            <w:noWrap/>
            <w:vAlign w:val="center"/>
            <w:hideMark/>
          </w:tcPr>
          <w:p w:rsidR="007343D8" w:rsidRPr="007343D8" w:rsidRDefault="007343D8" w:rsidP="007343D8">
            <w:pPr>
              <w:jc w:val="right"/>
              <w:rPr>
                <w:rFonts w:cs="Arial"/>
                <w:color w:val="7F7F7F"/>
                <w:szCs w:val="18"/>
                <w:lang w:eastAsia="en-AU"/>
              </w:rPr>
            </w:pPr>
            <w:r w:rsidRPr="007343D8">
              <w:rPr>
                <w:rFonts w:cs="Arial"/>
                <w:color w:val="7F7F7F"/>
                <w:szCs w:val="18"/>
                <w:lang w:eastAsia="en-AU"/>
              </w:rPr>
              <w:t>251,713</w:t>
            </w:r>
          </w:p>
        </w:tc>
        <w:tc>
          <w:tcPr>
            <w:tcW w:w="992" w:type="dxa"/>
            <w:tcBorders>
              <w:top w:val="nil"/>
              <w:left w:val="nil"/>
              <w:bottom w:val="nil"/>
              <w:right w:val="nil"/>
            </w:tcBorders>
            <w:shd w:val="clear" w:color="auto" w:fill="auto"/>
            <w:noWrap/>
            <w:vAlign w:val="center"/>
            <w:hideMark/>
          </w:tcPr>
          <w:p w:rsidR="007343D8" w:rsidRPr="007343D8" w:rsidRDefault="007343D8" w:rsidP="007343D8">
            <w:pPr>
              <w:jc w:val="right"/>
              <w:rPr>
                <w:rFonts w:cs="Arial"/>
                <w:color w:val="7F7F7F"/>
                <w:szCs w:val="18"/>
                <w:lang w:eastAsia="en-AU"/>
              </w:rPr>
            </w:pPr>
            <w:r w:rsidRPr="007343D8">
              <w:rPr>
                <w:rFonts w:cs="Arial"/>
                <w:color w:val="7F7F7F"/>
                <w:szCs w:val="18"/>
                <w:lang w:eastAsia="en-AU"/>
              </w:rPr>
              <w:t>215,642</w:t>
            </w:r>
          </w:p>
        </w:tc>
        <w:tc>
          <w:tcPr>
            <w:tcW w:w="992" w:type="dxa"/>
            <w:tcBorders>
              <w:top w:val="nil"/>
              <w:left w:val="nil"/>
              <w:bottom w:val="nil"/>
              <w:right w:val="nil"/>
            </w:tcBorders>
            <w:shd w:val="clear" w:color="auto" w:fill="auto"/>
            <w:noWrap/>
            <w:vAlign w:val="center"/>
            <w:hideMark/>
          </w:tcPr>
          <w:p w:rsidR="007343D8" w:rsidRPr="007343D8" w:rsidRDefault="007343D8" w:rsidP="007343D8">
            <w:pPr>
              <w:jc w:val="right"/>
              <w:rPr>
                <w:rFonts w:cs="Arial"/>
                <w:color w:val="7F7F7F"/>
                <w:szCs w:val="18"/>
                <w:lang w:eastAsia="en-AU"/>
              </w:rPr>
            </w:pPr>
            <w:r w:rsidRPr="007343D8">
              <w:rPr>
                <w:rFonts w:cs="Arial"/>
                <w:color w:val="7F7F7F"/>
                <w:szCs w:val="18"/>
                <w:lang w:eastAsia="en-AU"/>
              </w:rPr>
              <w:t>240,455</w:t>
            </w:r>
          </w:p>
        </w:tc>
        <w:tc>
          <w:tcPr>
            <w:tcW w:w="993" w:type="dxa"/>
            <w:tcBorders>
              <w:top w:val="nil"/>
              <w:left w:val="nil"/>
              <w:bottom w:val="nil"/>
              <w:right w:val="nil"/>
            </w:tcBorders>
            <w:shd w:val="clear" w:color="auto" w:fill="auto"/>
            <w:noWrap/>
            <w:vAlign w:val="center"/>
            <w:hideMark/>
          </w:tcPr>
          <w:p w:rsidR="007343D8" w:rsidRPr="007343D8" w:rsidRDefault="007343D8" w:rsidP="007343D8">
            <w:pPr>
              <w:jc w:val="right"/>
              <w:rPr>
                <w:rFonts w:cs="Arial"/>
                <w:color w:val="7F7F7F"/>
                <w:szCs w:val="18"/>
                <w:lang w:eastAsia="en-AU"/>
              </w:rPr>
            </w:pPr>
            <w:r w:rsidRPr="007343D8">
              <w:rPr>
                <w:rFonts w:cs="Arial"/>
                <w:color w:val="7F7F7F"/>
                <w:szCs w:val="18"/>
                <w:lang w:eastAsia="en-AU"/>
              </w:rPr>
              <w:t>208,293</w:t>
            </w:r>
          </w:p>
        </w:tc>
      </w:tr>
      <w:tr w:rsidR="007343D8" w:rsidRPr="007343D8" w:rsidTr="007477B7">
        <w:trPr>
          <w:trHeight w:val="300"/>
        </w:trPr>
        <w:tc>
          <w:tcPr>
            <w:tcW w:w="2142" w:type="dxa"/>
            <w:tcBorders>
              <w:top w:val="nil"/>
              <w:left w:val="nil"/>
              <w:bottom w:val="nil"/>
              <w:right w:val="nil"/>
            </w:tcBorders>
            <w:shd w:val="clear" w:color="auto" w:fill="auto"/>
            <w:noWrap/>
            <w:vAlign w:val="center"/>
            <w:hideMark/>
          </w:tcPr>
          <w:p w:rsidR="007343D8" w:rsidRPr="007343D8" w:rsidRDefault="007343D8" w:rsidP="007343D8">
            <w:pPr>
              <w:rPr>
                <w:rFonts w:cs="Arial"/>
                <w:color w:val="7F7F7F"/>
                <w:szCs w:val="18"/>
                <w:lang w:eastAsia="en-AU"/>
              </w:rPr>
            </w:pPr>
            <w:r w:rsidRPr="007343D8">
              <w:rPr>
                <w:rFonts w:cs="Arial"/>
                <w:color w:val="7F7F7F"/>
                <w:szCs w:val="18"/>
                <w:lang w:eastAsia="en-AU"/>
              </w:rPr>
              <w:t>Diploma &amp; Above</w:t>
            </w:r>
          </w:p>
        </w:tc>
        <w:tc>
          <w:tcPr>
            <w:tcW w:w="992" w:type="dxa"/>
            <w:tcBorders>
              <w:top w:val="nil"/>
              <w:left w:val="nil"/>
              <w:bottom w:val="nil"/>
              <w:right w:val="nil"/>
            </w:tcBorders>
            <w:shd w:val="clear" w:color="auto" w:fill="auto"/>
            <w:noWrap/>
            <w:vAlign w:val="center"/>
            <w:hideMark/>
          </w:tcPr>
          <w:p w:rsidR="007343D8" w:rsidRPr="007343D8" w:rsidRDefault="007343D8" w:rsidP="007343D8">
            <w:pPr>
              <w:jc w:val="right"/>
              <w:rPr>
                <w:rFonts w:cs="Arial"/>
                <w:color w:val="7F7F7F"/>
                <w:szCs w:val="18"/>
                <w:lang w:eastAsia="en-AU"/>
              </w:rPr>
            </w:pPr>
            <w:r w:rsidRPr="007343D8">
              <w:rPr>
                <w:rFonts w:cs="Arial"/>
                <w:color w:val="7F7F7F"/>
                <w:szCs w:val="18"/>
                <w:lang w:eastAsia="en-AU"/>
              </w:rPr>
              <w:t>50,010</w:t>
            </w:r>
          </w:p>
        </w:tc>
        <w:tc>
          <w:tcPr>
            <w:tcW w:w="992" w:type="dxa"/>
            <w:tcBorders>
              <w:top w:val="nil"/>
              <w:left w:val="nil"/>
              <w:bottom w:val="nil"/>
              <w:right w:val="nil"/>
            </w:tcBorders>
            <w:shd w:val="clear" w:color="auto" w:fill="auto"/>
            <w:noWrap/>
            <w:vAlign w:val="center"/>
            <w:hideMark/>
          </w:tcPr>
          <w:p w:rsidR="007343D8" w:rsidRPr="007343D8" w:rsidRDefault="007343D8" w:rsidP="007343D8">
            <w:pPr>
              <w:jc w:val="right"/>
              <w:rPr>
                <w:rFonts w:cs="Arial"/>
                <w:color w:val="7F7F7F"/>
                <w:szCs w:val="18"/>
                <w:lang w:eastAsia="en-AU"/>
              </w:rPr>
            </w:pPr>
            <w:r w:rsidRPr="007343D8">
              <w:rPr>
                <w:rFonts w:cs="Arial"/>
                <w:color w:val="7F7F7F"/>
                <w:szCs w:val="18"/>
                <w:lang w:eastAsia="en-AU"/>
              </w:rPr>
              <w:t>62,882</w:t>
            </w:r>
          </w:p>
        </w:tc>
        <w:tc>
          <w:tcPr>
            <w:tcW w:w="992" w:type="dxa"/>
            <w:tcBorders>
              <w:top w:val="nil"/>
              <w:left w:val="nil"/>
              <w:bottom w:val="nil"/>
              <w:right w:val="nil"/>
            </w:tcBorders>
            <w:shd w:val="clear" w:color="auto" w:fill="auto"/>
            <w:noWrap/>
            <w:vAlign w:val="center"/>
            <w:hideMark/>
          </w:tcPr>
          <w:p w:rsidR="007343D8" w:rsidRPr="007343D8" w:rsidRDefault="007343D8" w:rsidP="007343D8">
            <w:pPr>
              <w:jc w:val="right"/>
              <w:rPr>
                <w:rFonts w:cs="Arial"/>
                <w:color w:val="7F7F7F"/>
                <w:szCs w:val="18"/>
                <w:lang w:eastAsia="en-AU"/>
              </w:rPr>
            </w:pPr>
            <w:r w:rsidRPr="007343D8">
              <w:rPr>
                <w:rFonts w:cs="Arial"/>
                <w:color w:val="7F7F7F"/>
                <w:szCs w:val="18"/>
                <w:lang w:eastAsia="en-AU"/>
              </w:rPr>
              <w:t>76,953</w:t>
            </w:r>
          </w:p>
        </w:tc>
        <w:tc>
          <w:tcPr>
            <w:tcW w:w="992" w:type="dxa"/>
            <w:tcBorders>
              <w:top w:val="nil"/>
              <w:left w:val="nil"/>
              <w:bottom w:val="nil"/>
              <w:right w:val="nil"/>
            </w:tcBorders>
            <w:shd w:val="clear" w:color="auto" w:fill="auto"/>
            <w:noWrap/>
            <w:vAlign w:val="center"/>
            <w:hideMark/>
          </w:tcPr>
          <w:p w:rsidR="007343D8" w:rsidRPr="007343D8" w:rsidRDefault="007343D8" w:rsidP="007343D8">
            <w:pPr>
              <w:jc w:val="right"/>
              <w:rPr>
                <w:rFonts w:cs="Arial"/>
                <w:color w:val="7F7F7F"/>
                <w:szCs w:val="18"/>
                <w:lang w:eastAsia="en-AU"/>
              </w:rPr>
            </w:pPr>
            <w:r w:rsidRPr="007343D8">
              <w:rPr>
                <w:rFonts w:cs="Arial"/>
                <w:color w:val="7F7F7F"/>
                <w:szCs w:val="18"/>
                <w:lang w:eastAsia="en-AU"/>
              </w:rPr>
              <w:t>53,662</w:t>
            </w:r>
          </w:p>
        </w:tc>
        <w:tc>
          <w:tcPr>
            <w:tcW w:w="992" w:type="dxa"/>
            <w:tcBorders>
              <w:top w:val="nil"/>
              <w:left w:val="nil"/>
              <w:bottom w:val="nil"/>
              <w:right w:val="nil"/>
            </w:tcBorders>
            <w:shd w:val="clear" w:color="auto" w:fill="auto"/>
            <w:noWrap/>
            <w:vAlign w:val="center"/>
            <w:hideMark/>
          </w:tcPr>
          <w:p w:rsidR="007343D8" w:rsidRPr="007343D8" w:rsidRDefault="007343D8" w:rsidP="007343D8">
            <w:pPr>
              <w:jc w:val="right"/>
              <w:rPr>
                <w:rFonts w:cs="Arial"/>
                <w:color w:val="7F7F7F"/>
                <w:szCs w:val="18"/>
                <w:lang w:eastAsia="en-AU"/>
              </w:rPr>
            </w:pPr>
            <w:r w:rsidRPr="007343D8">
              <w:rPr>
                <w:rFonts w:cs="Arial"/>
                <w:color w:val="7F7F7F"/>
                <w:szCs w:val="18"/>
                <w:lang w:eastAsia="en-AU"/>
              </w:rPr>
              <w:t>47,961</w:t>
            </w:r>
          </w:p>
        </w:tc>
        <w:tc>
          <w:tcPr>
            <w:tcW w:w="993" w:type="dxa"/>
            <w:tcBorders>
              <w:top w:val="nil"/>
              <w:left w:val="nil"/>
              <w:bottom w:val="nil"/>
              <w:right w:val="nil"/>
            </w:tcBorders>
            <w:shd w:val="clear" w:color="auto" w:fill="auto"/>
            <w:noWrap/>
            <w:vAlign w:val="center"/>
            <w:hideMark/>
          </w:tcPr>
          <w:p w:rsidR="007343D8" w:rsidRPr="007343D8" w:rsidRDefault="007343D8" w:rsidP="007343D8">
            <w:pPr>
              <w:jc w:val="right"/>
              <w:rPr>
                <w:rFonts w:cs="Arial"/>
                <w:color w:val="7F7F7F"/>
                <w:szCs w:val="18"/>
                <w:lang w:eastAsia="en-AU"/>
              </w:rPr>
            </w:pPr>
            <w:r w:rsidRPr="007343D8">
              <w:rPr>
                <w:rFonts w:cs="Arial"/>
                <w:color w:val="7F7F7F"/>
                <w:szCs w:val="18"/>
                <w:lang w:eastAsia="en-AU"/>
              </w:rPr>
              <w:t>50,167</w:t>
            </w:r>
          </w:p>
        </w:tc>
      </w:tr>
      <w:tr w:rsidR="007343D8" w:rsidRPr="007343D8" w:rsidTr="007477B7">
        <w:trPr>
          <w:trHeight w:val="300"/>
        </w:trPr>
        <w:tc>
          <w:tcPr>
            <w:tcW w:w="2142" w:type="dxa"/>
            <w:tcBorders>
              <w:top w:val="nil"/>
              <w:left w:val="nil"/>
              <w:bottom w:val="nil"/>
              <w:right w:val="nil"/>
            </w:tcBorders>
            <w:shd w:val="clear" w:color="auto" w:fill="auto"/>
            <w:noWrap/>
            <w:vAlign w:val="center"/>
            <w:hideMark/>
          </w:tcPr>
          <w:p w:rsidR="007343D8" w:rsidRPr="007343D8" w:rsidRDefault="007343D8" w:rsidP="007343D8">
            <w:pPr>
              <w:rPr>
                <w:rFonts w:cs="Arial"/>
                <w:i/>
                <w:iCs/>
                <w:color w:val="7F7F7F"/>
                <w:szCs w:val="18"/>
                <w:lang w:eastAsia="en-AU"/>
              </w:rPr>
            </w:pPr>
            <w:r w:rsidRPr="007343D8">
              <w:rPr>
                <w:rFonts w:cs="Arial"/>
                <w:i/>
                <w:iCs/>
                <w:color w:val="7F7F7F"/>
                <w:szCs w:val="18"/>
                <w:lang w:eastAsia="en-AU"/>
              </w:rPr>
              <w:t xml:space="preserve">     VET FEE-HELP*</w:t>
            </w:r>
          </w:p>
        </w:tc>
        <w:tc>
          <w:tcPr>
            <w:tcW w:w="992" w:type="dxa"/>
            <w:tcBorders>
              <w:top w:val="nil"/>
              <w:left w:val="nil"/>
              <w:bottom w:val="nil"/>
              <w:right w:val="nil"/>
            </w:tcBorders>
            <w:shd w:val="clear" w:color="auto" w:fill="auto"/>
            <w:noWrap/>
            <w:vAlign w:val="center"/>
            <w:hideMark/>
          </w:tcPr>
          <w:p w:rsidR="007343D8" w:rsidRPr="007343D8" w:rsidRDefault="007343D8" w:rsidP="007343D8">
            <w:pPr>
              <w:jc w:val="right"/>
              <w:rPr>
                <w:rFonts w:cs="Arial"/>
                <w:i/>
                <w:iCs/>
                <w:color w:val="7F7F7F"/>
                <w:szCs w:val="18"/>
                <w:lang w:eastAsia="en-AU"/>
              </w:rPr>
            </w:pPr>
            <w:r w:rsidRPr="007343D8">
              <w:rPr>
                <w:rFonts w:cs="Arial"/>
                <w:i/>
                <w:iCs/>
                <w:color w:val="7F7F7F"/>
                <w:szCs w:val="18"/>
                <w:lang w:eastAsia="en-AU"/>
              </w:rPr>
              <w:t>7,452</w:t>
            </w:r>
          </w:p>
        </w:tc>
        <w:tc>
          <w:tcPr>
            <w:tcW w:w="992" w:type="dxa"/>
            <w:tcBorders>
              <w:top w:val="nil"/>
              <w:left w:val="nil"/>
              <w:bottom w:val="nil"/>
              <w:right w:val="nil"/>
            </w:tcBorders>
            <w:shd w:val="clear" w:color="auto" w:fill="auto"/>
            <w:noWrap/>
            <w:vAlign w:val="center"/>
            <w:hideMark/>
          </w:tcPr>
          <w:p w:rsidR="007343D8" w:rsidRPr="007343D8" w:rsidRDefault="007343D8" w:rsidP="007343D8">
            <w:pPr>
              <w:jc w:val="right"/>
              <w:rPr>
                <w:rFonts w:cs="Arial"/>
                <w:i/>
                <w:iCs/>
                <w:color w:val="7F7F7F"/>
                <w:szCs w:val="18"/>
                <w:lang w:eastAsia="en-AU"/>
              </w:rPr>
            </w:pPr>
            <w:r w:rsidRPr="007343D8">
              <w:rPr>
                <w:rFonts w:cs="Arial"/>
                <w:i/>
                <w:iCs/>
                <w:color w:val="7F7F7F"/>
                <w:szCs w:val="18"/>
                <w:lang w:eastAsia="en-AU"/>
              </w:rPr>
              <w:t>9,630</w:t>
            </w:r>
          </w:p>
        </w:tc>
        <w:tc>
          <w:tcPr>
            <w:tcW w:w="992" w:type="dxa"/>
            <w:tcBorders>
              <w:top w:val="nil"/>
              <w:left w:val="nil"/>
              <w:bottom w:val="nil"/>
              <w:right w:val="nil"/>
            </w:tcBorders>
            <w:shd w:val="clear" w:color="auto" w:fill="auto"/>
            <w:noWrap/>
            <w:vAlign w:val="center"/>
            <w:hideMark/>
          </w:tcPr>
          <w:p w:rsidR="007343D8" w:rsidRPr="007343D8" w:rsidRDefault="007343D8" w:rsidP="007343D8">
            <w:pPr>
              <w:jc w:val="right"/>
              <w:rPr>
                <w:rFonts w:cs="Arial"/>
                <w:i/>
                <w:iCs/>
                <w:color w:val="7F7F7F"/>
                <w:szCs w:val="18"/>
                <w:lang w:eastAsia="en-AU"/>
              </w:rPr>
            </w:pPr>
            <w:r w:rsidRPr="007343D8">
              <w:rPr>
                <w:rFonts w:cs="Arial"/>
                <w:i/>
                <w:iCs/>
                <w:color w:val="7F7F7F"/>
                <w:szCs w:val="18"/>
                <w:lang w:eastAsia="en-AU"/>
              </w:rPr>
              <w:t>9,732</w:t>
            </w:r>
          </w:p>
        </w:tc>
        <w:tc>
          <w:tcPr>
            <w:tcW w:w="992" w:type="dxa"/>
            <w:tcBorders>
              <w:top w:val="nil"/>
              <w:left w:val="nil"/>
              <w:bottom w:val="nil"/>
              <w:right w:val="nil"/>
            </w:tcBorders>
            <w:shd w:val="clear" w:color="auto" w:fill="auto"/>
            <w:noWrap/>
            <w:vAlign w:val="center"/>
            <w:hideMark/>
          </w:tcPr>
          <w:p w:rsidR="007343D8" w:rsidRPr="007343D8" w:rsidRDefault="007343D8" w:rsidP="007343D8">
            <w:pPr>
              <w:jc w:val="right"/>
              <w:rPr>
                <w:rFonts w:cs="Arial"/>
                <w:i/>
                <w:iCs/>
                <w:color w:val="7F7F7F"/>
                <w:szCs w:val="18"/>
                <w:lang w:eastAsia="en-AU"/>
              </w:rPr>
            </w:pPr>
            <w:r w:rsidRPr="007343D8">
              <w:rPr>
                <w:rFonts w:cs="Arial"/>
                <w:i/>
                <w:iCs/>
                <w:color w:val="7F7F7F"/>
                <w:szCs w:val="18"/>
                <w:lang w:eastAsia="en-AU"/>
              </w:rPr>
              <w:t>14,551</w:t>
            </w:r>
          </w:p>
        </w:tc>
        <w:tc>
          <w:tcPr>
            <w:tcW w:w="992" w:type="dxa"/>
            <w:tcBorders>
              <w:top w:val="nil"/>
              <w:left w:val="nil"/>
              <w:bottom w:val="nil"/>
              <w:right w:val="nil"/>
            </w:tcBorders>
            <w:shd w:val="clear" w:color="auto" w:fill="auto"/>
            <w:noWrap/>
            <w:vAlign w:val="center"/>
            <w:hideMark/>
          </w:tcPr>
          <w:p w:rsidR="007343D8" w:rsidRPr="007343D8" w:rsidRDefault="007343D8" w:rsidP="007343D8">
            <w:pPr>
              <w:jc w:val="right"/>
              <w:rPr>
                <w:rFonts w:cs="Arial"/>
                <w:i/>
                <w:iCs/>
                <w:color w:val="7F7F7F"/>
                <w:szCs w:val="18"/>
                <w:lang w:eastAsia="en-AU"/>
              </w:rPr>
            </w:pPr>
            <w:r w:rsidRPr="007343D8">
              <w:rPr>
                <w:rFonts w:cs="Arial"/>
                <w:i/>
                <w:iCs/>
                <w:color w:val="7F7F7F"/>
                <w:szCs w:val="18"/>
                <w:lang w:eastAsia="en-AU"/>
              </w:rPr>
              <w:t>13,875</w:t>
            </w:r>
          </w:p>
        </w:tc>
        <w:tc>
          <w:tcPr>
            <w:tcW w:w="993" w:type="dxa"/>
            <w:tcBorders>
              <w:top w:val="nil"/>
              <w:left w:val="nil"/>
              <w:bottom w:val="nil"/>
              <w:right w:val="nil"/>
            </w:tcBorders>
            <w:shd w:val="clear" w:color="auto" w:fill="auto"/>
            <w:noWrap/>
            <w:vAlign w:val="center"/>
            <w:hideMark/>
          </w:tcPr>
          <w:p w:rsidR="007343D8" w:rsidRPr="007343D8" w:rsidRDefault="007343D8" w:rsidP="007343D8">
            <w:pPr>
              <w:jc w:val="right"/>
              <w:rPr>
                <w:rFonts w:cs="Arial"/>
                <w:i/>
                <w:iCs/>
                <w:color w:val="7F7F7F"/>
                <w:szCs w:val="18"/>
                <w:lang w:eastAsia="en-AU"/>
              </w:rPr>
            </w:pPr>
            <w:r w:rsidRPr="007343D8">
              <w:rPr>
                <w:rFonts w:cs="Arial"/>
                <w:i/>
                <w:iCs/>
                <w:color w:val="7F7F7F"/>
                <w:szCs w:val="18"/>
                <w:lang w:eastAsia="en-AU"/>
              </w:rPr>
              <w:t>17,431</w:t>
            </w:r>
          </w:p>
        </w:tc>
      </w:tr>
      <w:tr w:rsidR="007343D8" w:rsidRPr="007343D8" w:rsidTr="007477B7">
        <w:trPr>
          <w:trHeight w:val="600"/>
        </w:trPr>
        <w:tc>
          <w:tcPr>
            <w:tcW w:w="2142" w:type="dxa"/>
            <w:tcBorders>
              <w:top w:val="nil"/>
              <w:left w:val="nil"/>
              <w:bottom w:val="nil"/>
              <w:right w:val="nil"/>
            </w:tcBorders>
            <w:shd w:val="clear" w:color="auto" w:fill="auto"/>
            <w:vAlign w:val="center"/>
            <w:hideMark/>
          </w:tcPr>
          <w:p w:rsidR="007343D8" w:rsidRPr="007343D8" w:rsidRDefault="007343D8" w:rsidP="007343D8">
            <w:pPr>
              <w:rPr>
                <w:rFonts w:cs="Arial"/>
                <w:i/>
                <w:iCs/>
                <w:color w:val="7F7F7F"/>
                <w:szCs w:val="18"/>
                <w:lang w:eastAsia="en-AU"/>
              </w:rPr>
            </w:pPr>
            <w:r w:rsidRPr="007343D8">
              <w:rPr>
                <w:rFonts w:cs="Arial"/>
                <w:i/>
                <w:iCs/>
                <w:color w:val="7F7F7F"/>
                <w:szCs w:val="18"/>
                <w:lang w:eastAsia="en-AU"/>
              </w:rPr>
              <w:t xml:space="preserve">     Without any</w:t>
            </w:r>
            <w:r w:rsidRPr="007343D8">
              <w:rPr>
                <w:rFonts w:cs="Arial"/>
                <w:i/>
                <w:iCs/>
                <w:color w:val="7F7F7F"/>
                <w:szCs w:val="18"/>
                <w:lang w:eastAsia="en-AU"/>
              </w:rPr>
              <w:br/>
              <w:t xml:space="preserve">     VET FEE-HELP*</w:t>
            </w:r>
          </w:p>
        </w:tc>
        <w:tc>
          <w:tcPr>
            <w:tcW w:w="992" w:type="dxa"/>
            <w:tcBorders>
              <w:top w:val="nil"/>
              <w:left w:val="nil"/>
              <w:bottom w:val="nil"/>
              <w:right w:val="nil"/>
            </w:tcBorders>
            <w:shd w:val="clear" w:color="auto" w:fill="auto"/>
            <w:noWrap/>
            <w:vAlign w:val="center"/>
            <w:hideMark/>
          </w:tcPr>
          <w:p w:rsidR="007343D8" w:rsidRPr="007343D8" w:rsidRDefault="007343D8" w:rsidP="00582EF7">
            <w:pPr>
              <w:jc w:val="right"/>
              <w:rPr>
                <w:rFonts w:cs="Arial"/>
                <w:i/>
                <w:iCs/>
                <w:color w:val="7F7F7F"/>
                <w:szCs w:val="18"/>
                <w:lang w:eastAsia="en-AU"/>
              </w:rPr>
            </w:pPr>
            <w:r w:rsidRPr="007343D8">
              <w:rPr>
                <w:rFonts w:cs="Arial"/>
                <w:i/>
                <w:iCs/>
                <w:color w:val="7F7F7F"/>
                <w:szCs w:val="18"/>
                <w:lang w:eastAsia="en-AU"/>
              </w:rPr>
              <w:t>4</w:t>
            </w:r>
            <w:r w:rsidR="00582EF7">
              <w:rPr>
                <w:rFonts w:cs="Arial"/>
                <w:i/>
                <w:iCs/>
                <w:color w:val="7F7F7F"/>
                <w:szCs w:val="18"/>
                <w:lang w:eastAsia="en-AU"/>
              </w:rPr>
              <w:t>2</w:t>
            </w:r>
            <w:r w:rsidRPr="007343D8">
              <w:rPr>
                <w:rFonts w:cs="Arial"/>
                <w:i/>
                <w:iCs/>
                <w:color w:val="7F7F7F"/>
                <w:szCs w:val="18"/>
                <w:lang w:eastAsia="en-AU"/>
              </w:rPr>
              <w:t>,</w:t>
            </w:r>
            <w:r w:rsidR="00582EF7">
              <w:rPr>
                <w:rFonts w:cs="Arial"/>
                <w:i/>
                <w:iCs/>
                <w:color w:val="7F7F7F"/>
                <w:szCs w:val="18"/>
                <w:lang w:eastAsia="en-AU"/>
              </w:rPr>
              <w:t>558</w:t>
            </w:r>
          </w:p>
        </w:tc>
        <w:tc>
          <w:tcPr>
            <w:tcW w:w="992" w:type="dxa"/>
            <w:tcBorders>
              <w:top w:val="nil"/>
              <w:left w:val="nil"/>
              <w:bottom w:val="nil"/>
              <w:right w:val="nil"/>
            </w:tcBorders>
            <w:shd w:val="clear" w:color="auto" w:fill="auto"/>
            <w:noWrap/>
            <w:vAlign w:val="center"/>
            <w:hideMark/>
          </w:tcPr>
          <w:p w:rsidR="007343D8" w:rsidRPr="007343D8" w:rsidRDefault="007343D8" w:rsidP="00582EF7">
            <w:pPr>
              <w:jc w:val="right"/>
              <w:rPr>
                <w:rFonts w:cs="Arial"/>
                <w:i/>
                <w:iCs/>
                <w:color w:val="7F7F7F"/>
                <w:szCs w:val="18"/>
                <w:lang w:eastAsia="en-AU"/>
              </w:rPr>
            </w:pPr>
            <w:r w:rsidRPr="007343D8">
              <w:rPr>
                <w:rFonts w:cs="Arial"/>
                <w:i/>
                <w:iCs/>
                <w:color w:val="7F7F7F"/>
                <w:szCs w:val="18"/>
                <w:lang w:eastAsia="en-AU"/>
              </w:rPr>
              <w:t>5</w:t>
            </w:r>
            <w:r w:rsidR="00582EF7">
              <w:rPr>
                <w:rFonts w:cs="Arial"/>
                <w:i/>
                <w:iCs/>
                <w:color w:val="7F7F7F"/>
                <w:szCs w:val="18"/>
                <w:lang w:eastAsia="en-AU"/>
              </w:rPr>
              <w:t>3</w:t>
            </w:r>
            <w:r w:rsidRPr="007343D8">
              <w:rPr>
                <w:rFonts w:cs="Arial"/>
                <w:i/>
                <w:iCs/>
                <w:color w:val="7F7F7F"/>
                <w:szCs w:val="18"/>
                <w:lang w:eastAsia="en-AU"/>
              </w:rPr>
              <w:t>,</w:t>
            </w:r>
            <w:r w:rsidR="00582EF7">
              <w:rPr>
                <w:rFonts w:cs="Arial"/>
                <w:i/>
                <w:iCs/>
                <w:color w:val="7F7F7F"/>
                <w:szCs w:val="18"/>
                <w:lang w:eastAsia="en-AU"/>
              </w:rPr>
              <w:t>252</w:t>
            </w:r>
          </w:p>
        </w:tc>
        <w:tc>
          <w:tcPr>
            <w:tcW w:w="992" w:type="dxa"/>
            <w:tcBorders>
              <w:top w:val="nil"/>
              <w:left w:val="nil"/>
              <w:bottom w:val="nil"/>
              <w:right w:val="nil"/>
            </w:tcBorders>
            <w:shd w:val="clear" w:color="auto" w:fill="auto"/>
            <w:noWrap/>
            <w:vAlign w:val="center"/>
            <w:hideMark/>
          </w:tcPr>
          <w:p w:rsidR="007343D8" w:rsidRPr="007343D8" w:rsidRDefault="007343D8" w:rsidP="00582EF7">
            <w:pPr>
              <w:jc w:val="right"/>
              <w:rPr>
                <w:rFonts w:cs="Arial"/>
                <w:i/>
                <w:iCs/>
                <w:color w:val="7F7F7F"/>
                <w:szCs w:val="18"/>
                <w:lang w:eastAsia="en-AU"/>
              </w:rPr>
            </w:pPr>
            <w:r w:rsidRPr="007343D8">
              <w:rPr>
                <w:rFonts w:cs="Arial"/>
                <w:i/>
                <w:iCs/>
                <w:color w:val="7F7F7F"/>
                <w:szCs w:val="18"/>
                <w:lang w:eastAsia="en-AU"/>
              </w:rPr>
              <w:t>6</w:t>
            </w:r>
            <w:r w:rsidR="00582EF7">
              <w:rPr>
                <w:rFonts w:cs="Arial"/>
                <w:i/>
                <w:iCs/>
                <w:color w:val="7F7F7F"/>
                <w:szCs w:val="18"/>
                <w:lang w:eastAsia="en-AU"/>
              </w:rPr>
              <w:t>7</w:t>
            </w:r>
            <w:r w:rsidRPr="007343D8">
              <w:rPr>
                <w:rFonts w:cs="Arial"/>
                <w:i/>
                <w:iCs/>
                <w:color w:val="7F7F7F"/>
                <w:szCs w:val="18"/>
                <w:lang w:eastAsia="en-AU"/>
              </w:rPr>
              <w:t>,</w:t>
            </w:r>
            <w:r w:rsidR="00582EF7">
              <w:rPr>
                <w:rFonts w:cs="Arial"/>
                <w:i/>
                <w:iCs/>
                <w:color w:val="7F7F7F"/>
                <w:szCs w:val="18"/>
                <w:lang w:eastAsia="en-AU"/>
              </w:rPr>
              <w:t>221</w:t>
            </w:r>
          </w:p>
        </w:tc>
        <w:tc>
          <w:tcPr>
            <w:tcW w:w="992" w:type="dxa"/>
            <w:tcBorders>
              <w:top w:val="nil"/>
              <w:left w:val="nil"/>
              <w:bottom w:val="nil"/>
              <w:right w:val="nil"/>
            </w:tcBorders>
            <w:shd w:val="clear" w:color="auto" w:fill="auto"/>
            <w:noWrap/>
            <w:vAlign w:val="center"/>
            <w:hideMark/>
          </w:tcPr>
          <w:p w:rsidR="007343D8" w:rsidRPr="007343D8" w:rsidRDefault="00582EF7" w:rsidP="00582EF7">
            <w:pPr>
              <w:jc w:val="right"/>
              <w:rPr>
                <w:rFonts w:cs="Arial"/>
                <w:i/>
                <w:iCs/>
                <w:color w:val="7F7F7F"/>
                <w:szCs w:val="18"/>
                <w:lang w:eastAsia="en-AU"/>
              </w:rPr>
            </w:pPr>
            <w:r>
              <w:rPr>
                <w:rFonts w:cs="Arial"/>
                <w:i/>
                <w:iCs/>
                <w:color w:val="7F7F7F"/>
                <w:szCs w:val="18"/>
                <w:lang w:eastAsia="en-AU"/>
              </w:rPr>
              <w:t>39</w:t>
            </w:r>
            <w:r w:rsidR="007343D8" w:rsidRPr="007343D8">
              <w:rPr>
                <w:rFonts w:cs="Arial"/>
                <w:i/>
                <w:iCs/>
                <w:color w:val="7F7F7F"/>
                <w:szCs w:val="18"/>
                <w:lang w:eastAsia="en-AU"/>
              </w:rPr>
              <w:t>,</w:t>
            </w:r>
            <w:r>
              <w:rPr>
                <w:rFonts w:cs="Arial"/>
                <w:i/>
                <w:iCs/>
                <w:color w:val="7F7F7F"/>
                <w:szCs w:val="18"/>
                <w:lang w:eastAsia="en-AU"/>
              </w:rPr>
              <w:t>111</w:t>
            </w:r>
          </w:p>
        </w:tc>
        <w:tc>
          <w:tcPr>
            <w:tcW w:w="992" w:type="dxa"/>
            <w:tcBorders>
              <w:top w:val="nil"/>
              <w:left w:val="nil"/>
              <w:bottom w:val="nil"/>
              <w:right w:val="nil"/>
            </w:tcBorders>
            <w:shd w:val="clear" w:color="auto" w:fill="auto"/>
            <w:noWrap/>
            <w:vAlign w:val="center"/>
            <w:hideMark/>
          </w:tcPr>
          <w:p w:rsidR="007343D8" w:rsidRPr="007343D8" w:rsidRDefault="007343D8" w:rsidP="00582EF7">
            <w:pPr>
              <w:jc w:val="right"/>
              <w:rPr>
                <w:rFonts w:cs="Arial"/>
                <w:i/>
                <w:iCs/>
                <w:color w:val="7F7F7F"/>
                <w:szCs w:val="18"/>
                <w:lang w:eastAsia="en-AU"/>
              </w:rPr>
            </w:pPr>
            <w:r w:rsidRPr="007343D8">
              <w:rPr>
                <w:rFonts w:cs="Arial"/>
                <w:i/>
                <w:iCs/>
                <w:color w:val="7F7F7F"/>
                <w:szCs w:val="18"/>
                <w:lang w:eastAsia="en-AU"/>
              </w:rPr>
              <w:t>3</w:t>
            </w:r>
            <w:r w:rsidR="00582EF7">
              <w:rPr>
                <w:rFonts w:cs="Arial"/>
                <w:i/>
                <w:iCs/>
                <w:color w:val="7F7F7F"/>
                <w:szCs w:val="18"/>
                <w:lang w:eastAsia="en-AU"/>
              </w:rPr>
              <w:t>4</w:t>
            </w:r>
            <w:r w:rsidRPr="007343D8">
              <w:rPr>
                <w:rFonts w:cs="Arial"/>
                <w:i/>
                <w:iCs/>
                <w:color w:val="7F7F7F"/>
                <w:szCs w:val="18"/>
                <w:lang w:eastAsia="en-AU"/>
              </w:rPr>
              <w:t>,</w:t>
            </w:r>
            <w:r w:rsidR="00582EF7">
              <w:rPr>
                <w:rFonts w:cs="Arial"/>
                <w:i/>
                <w:iCs/>
                <w:color w:val="7F7F7F"/>
                <w:szCs w:val="18"/>
                <w:lang w:eastAsia="en-AU"/>
              </w:rPr>
              <w:t>086</w:t>
            </w:r>
          </w:p>
        </w:tc>
        <w:tc>
          <w:tcPr>
            <w:tcW w:w="993" w:type="dxa"/>
            <w:tcBorders>
              <w:top w:val="nil"/>
              <w:left w:val="nil"/>
              <w:bottom w:val="nil"/>
              <w:right w:val="nil"/>
            </w:tcBorders>
            <w:shd w:val="clear" w:color="auto" w:fill="auto"/>
            <w:noWrap/>
            <w:vAlign w:val="center"/>
            <w:hideMark/>
          </w:tcPr>
          <w:p w:rsidR="007343D8" w:rsidRPr="007343D8" w:rsidRDefault="007343D8" w:rsidP="00582EF7">
            <w:pPr>
              <w:jc w:val="right"/>
              <w:rPr>
                <w:rFonts w:cs="Arial"/>
                <w:i/>
                <w:iCs/>
                <w:color w:val="7F7F7F"/>
                <w:szCs w:val="18"/>
                <w:lang w:eastAsia="en-AU"/>
              </w:rPr>
            </w:pPr>
            <w:r w:rsidRPr="007343D8">
              <w:rPr>
                <w:rFonts w:cs="Arial"/>
                <w:i/>
                <w:iCs/>
                <w:color w:val="7F7F7F"/>
                <w:szCs w:val="18"/>
                <w:lang w:eastAsia="en-AU"/>
              </w:rPr>
              <w:t>3</w:t>
            </w:r>
            <w:r w:rsidR="00582EF7">
              <w:rPr>
                <w:rFonts w:cs="Arial"/>
                <w:i/>
                <w:iCs/>
                <w:color w:val="7F7F7F"/>
                <w:szCs w:val="18"/>
                <w:lang w:eastAsia="en-AU"/>
              </w:rPr>
              <w:t>2</w:t>
            </w:r>
            <w:r w:rsidRPr="007343D8">
              <w:rPr>
                <w:rFonts w:cs="Arial"/>
                <w:i/>
                <w:iCs/>
                <w:color w:val="7F7F7F"/>
                <w:szCs w:val="18"/>
                <w:lang w:eastAsia="en-AU"/>
              </w:rPr>
              <w:t>,</w:t>
            </w:r>
            <w:r w:rsidR="00582EF7">
              <w:rPr>
                <w:rFonts w:cs="Arial"/>
                <w:i/>
                <w:iCs/>
                <w:color w:val="7F7F7F"/>
                <w:szCs w:val="18"/>
                <w:lang w:eastAsia="en-AU"/>
              </w:rPr>
              <w:t>736</w:t>
            </w:r>
          </w:p>
        </w:tc>
      </w:tr>
      <w:tr w:rsidR="007343D8" w:rsidRPr="007343D8" w:rsidTr="007477B7">
        <w:trPr>
          <w:trHeight w:val="300"/>
        </w:trPr>
        <w:tc>
          <w:tcPr>
            <w:tcW w:w="2142" w:type="dxa"/>
            <w:tcBorders>
              <w:top w:val="nil"/>
              <w:left w:val="nil"/>
              <w:bottom w:val="nil"/>
              <w:right w:val="nil"/>
            </w:tcBorders>
            <w:shd w:val="clear" w:color="auto" w:fill="auto"/>
            <w:noWrap/>
            <w:vAlign w:val="center"/>
            <w:hideMark/>
          </w:tcPr>
          <w:p w:rsidR="007343D8" w:rsidRPr="007343D8" w:rsidRDefault="007343D8" w:rsidP="007343D8">
            <w:pPr>
              <w:rPr>
                <w:rFonts w:cs="Arial"/>
                <w:color w:val="7F7F7F"/>
                <w:szCs w:val="18"/>
                <w:lang w:eastAsia="en-AU"/>
              </w:rPr>
            </w:pPr>
            <w:r w:rsidRPr="007343D8">
              <w:rPr>
                <w:rFonts w:cs="Arial"/>
                <w:color w:val="7F7F7F"/>
                <w:szCs w:val="18"/>
                <w:lang w:eastAsia="en-AU"/>
              </w:rPr>
              <w:t>Module Only</w:t>
            </w:r>
          </w:p>
        </w:tc>
        <w:tc>
          <w:tcPr>
            <w:tcW w:w="992" w:type="dxa"/>
            <w:tcBorders>
              <w:top w:val="nil"/>
              <w:left w:val="nil"/>
              <w:bottom w:val="nil"/>
              <w:right w:val="nil"/>
            </w:tcBorders>
            <w:shd w:val="clear" w:color="auto" w:fill="auto"/>
            <w:noWrap/>
            <w:vAlign w:val="center"/>
            <w:hideMark/>
          </w:tcPr>
          <w:p w:rsidR="007343D8" w:rsidRPr="007343D8" w:rsidRDefault="007343D8" w:rsidP="007343D8">
            <w:pPr>
              <w:jc w:val="right"/>
              <w:rPr>
                <w:rFonts w:cs="Arial"/>
                <w:color w:val="7F7F7F"/>
                <w:szCs w:val="18"/>
                <w:lang w:eastAsia="en-AU"/>
              </w:rPr>
            </w:pPr>
            <w:r w:rsidRPr="007343D8">
              <w:rPr>
                <w:rFonts w:cs="Arial"/>
                <w:color w:val="7F7F7F"/>
                <w:szCs w:val="18"/>
                <w:lang w:eastAsia="en-AU"/>
              </w:rPr>
              <w:t>9,099</w:t>
            </w:r>
          </w:p>
        </w:tc>
        <w:tc>
          <w:tcPr>
            <w:tcW w:w="992" w:type="dxa"/>
            <w:tcBorders>
              <w:top w:val="nil"/>
              <w:left w:val="nil"/>
              <w:bottom w:val="nil"/>
              <w:right w:val="nil"/>
            </w:tcBorders>
            <w:shd w:val="clear" w:color="auto" w:fill="auto"/>
            <w:noWrap/>
            <w:vAlign w:val="center"/>
            <w:hideMark/>
          </w:tcPr>
          <w:p w:rsidR="007343D8" w:rsidRPr="007343D8" w:rsidRDefault="007343D8" w:rsidP="007343D8">
            <w:pPr>
              <w:jc w:val="right"/>
              <w:rPr>
                <w:rFonts w:cs="Arial"/>
                <w:color w:val="7F7F7F"/>
                <w:szCs w:val="18"/>
                <w:lang w:eastAsia="en-AU"/>
              </w:rPr>
            </w:pPr>
            <w:r w:rsidRPr="007343D8">
              <w:rPr>
                <w:rFonts w:cs="Arial"/>
                <w:color w:val="7F7F7F"/>
                <w:szCs w:val="18"/>
                <w:lang w:eastAsia="en-AU"/>
              </w:rPr>
              <w:t>3,003</w:t>
            </w:r>
          </w:p>
        </w:tc>
        <w:tc>
          <w:tcPr>
            <w:tcW w:w="992" w:type="dxa"/>
            <w:tcBorders>
              <w:top w:val="nil"/>
              <w:left w:val="nil"/>
              <w:bottom w:val="nil"/>
              <w:right w:val="nil"/>
            </w:tcBorders>
            <w:shd w:val="clear" w:color="auto" w:fill="auto"/>
            <w:noWrap/>
            <w:vAlign w:val="center"/>
            <w:hideMark/>
          </w:tcPr>
          <w:p w:rsidR="007343D8" w:rsidRPr="007343D8" w:rsidRDefault="007343D8" w:rsidP="007343D8">
            <w:pPr>
              <w:jc w:val="right"/>
              <w:rPr>
                <w:rFonts w:cs="Arial"/>
                <w:color w:val="7F7F7F"/>
                <w:szCs w:val="18"/>
                <w:lang w:eastAsia="en-AU"/>
              </w:rPr>
            </w:pPr>
            <w:r w:rsidRPr="007343D8">
              <w:rPr>
                <w:rFonts w:cs="Arial"/>
                <w:color w:val="7F7F7F"/>
                <w:szCs w:val="18"/>
                <w:lang w:eastAsia="en-AU"/>
              </w:rPr>
              <w:t>1,298</w:t>
            </w:r>
          </w:p>
        </w:tc>
        <w:tc>
          <w:tcPr>
            <w:tcW w:w="992" w:type="dxa"/>
            <w:tcBorders>
              <w:top w:val="nil"/>
              <w:left w:val="nil"/>
              <w:bottom w:val="nil"/>
              <w:right w:val="nil"/>
            </w:tcBorders>
            <w:shd w:val="clear" w:color="auto" w:fill="auto"/>
            <w:noWrap/>
            <w:vAlign w:val="center"/>
            <w:hideMark/>
          </w:tcPr>
          <w:p w:rsidR="007343D8" w:rsidRPr="007343D8" w:rsidRDefault="007343D8" w:rsidP="007343D8">
            <w:pPr>
              <w:jc w:val="right"/>
              <w:rPr>
                <w:rFonts w:cs="Arial"/>
                <w:color w:val="7F7F7F"/>
                <w:szCs w:val="18"/>
                <w:lang w:eastAsia="en-AU"/>
              </w:rPr>
            </w:pPr>
            <w:r w:rsidRPr="007343D8">
              <w:rPr>
                <w:rFonts w:cs="Arial"/>
                <w:color w:val="7F7F7F"/>
                <w:szCs w:val="18"/>
                <w:lang w:eastAsia="en-AU"/>
              </w:rPr>
              <w:t>799</w:t>
            </w:r>
          </w:p>
        </w:tc>
        <w:tc>
          <w:tcPr>
            <w:tcW w:w="992" w:type="dxa"/>
            <w:tcBorders>
              <w:top w:val="nil"/>
              <w:left w:val="nil"/>
              <w:bottom w:val="nil"/>
              <w:right w:val="nil"/>
            </w:tcBorders>
            <w:shd w:val="clear" w:color="auto" w:fill="auto"/>
            <w:noWrap/>
            <w:vAlign w:val="center"/>
            <w:hideMark/>
          </w:tcPr>
          <w:p w:rsidR="007343D8" w:rsidRPr="007343D8" w:rsidRDefault="007343D8" w:rsidP="007343D8">
            <w:pPr>
              <w:jc w:val="right"/>
              <w:rPr>
                <w:rFonts w:cs="Arial"/>
                <w:color w:val="7F7F7F"/>
                <w:szCs w:val="18"/>
                <w:lang w:eastAsia="en-AU"/>
              </w:rPr>
            </w:pPr>
            <w:r w:rsidRPr="007343D8">
              <w:rPr>
                <w:rFonts w:cs="Arial"/>
                <w:color w:val="7F7F7F"/>
                <w:szCs w:val="18"/>
                <w:lang w:eastAsia="en-AU"/>
              </w:rPr>
              <w:t>1,852</w:t>
            </w:r>
          </w:p>
        </w:tc>
        <w:tc>
          <w:tcPr>
            <w:tcW w:w="993" w:type="dxa"/>
            <w:tcBorders>
              <w:top w:val="nil"/>
              <w:left w:val="nil"/>
              <w:bottom w:val="nil"/>
              <w:right w:val="nil"/>
            </w:tcBorders>
            <w:shd w:val="clear" w:color="auto" w:fill="auto"/>
            <w:noWrap/>
            <w:vAlign w:val="center"/>
            <w:hideMark/>
          </w:tcPr>
          <w:p w:rsidR="007343D8" w:rsidRPr="007343D8" w:rsidRDefault="007343D8" w:rsidP="007343D8">
            <w:pPr>
              <w:jc w:val="right"/>
              <w:rPr>
                <w:rFonts w:cs="Arial"/>
                <w:color w:val="7F7F7F"/>
                <w:szCs w:val="18"/>
                <w:lang w:eastAsia="en-AU"/>
              </w:rPr>
            </w:pPr>
            <w:r w:rsidRPr="007343D8">
              <w:rPr>
                <w:rFonts w:cs="Arial"/>
                <w:color w:val="7F7F7F"/>
                <w:szCs w:val="18"/>
                <w:lang w:eastAsia="en-AU"/>
              </w:rPr>
              <w:t>2,006</w:t>
            </w:r>
          </w:p>
        </w:tc>
      </w:tr>
      <w:tr w:rsidR="007343D8" w:rsidRPr="007343D8" w:rsidTr="007477B7">
        <w:trPr>
          <w:trHeight w:val="300"/>
        </w:trPr>
        <w:tc>
          <w:tcPr>
            <w:tcW w:w="2142" w:type="dxa"/>
            <w:tcBorders>
              <w:top w:val="nil"/>
              <w:left w:val="nil"/>
              <w:bottom w:val="nil"/>
              <w:right w:val="nil"/>
            </w:tcBorders>
            <w:shd w:val="clear" w:color="auto" w:fill="auto"/>
            <w:noWrap/>
            <w:vAlign w:val="center"/>
            <w:hideMark/>
          </w:tcPr>
          <w:p w:rsidR="007343D8" w:rsidRPr="007343D8" w:rsidRDefault="007343D8" w:rsidP="007343D8">
            <w:pPr>
              <w:rPr>
                <w:rFonts w:cs="Arial"/>
                <w:color w:val="7F7F7F"/>
                <w:szCs w:val="18"/>
                <w:lang w:eastAsia="en-AU"/>
              </w:rPr>
            </w:pPr>
            <w:r w:rsidRPr="007343D8">
              <w:rPr>
                <w:rFonts w:cs="Arial"/>
                <w:color w:val="7F7F7F"/>
                <w:szCs w:val="18"/>
                <w:lang w:eastAsia="en-AU"/>
              </w:rPr>
              <w:t>Secondary Education**</w:t>
            </w:r>
          </w:p>
        </w:tc>
        <w:tc>
          <w:tcPr>
            <w:tcW w:w="992" w:type="dxa"/>
            <w:tcBorders>
              <w:top w:val="nil"/>
              <w:left w:val="nil"/>
              <w:bottom w:val="nil"/>
              <w:right w:val="nil"/>
            </w:tcBorders>
            <w:shd w:val="clear" w:color="auto" w:fill="auto"/>
            <w:noWrap/>
            <w:vAlign w:val="center"/>
            <w:hideMark/>
          </w:tcPr>
          <w:p w:rsidR="007343D8" w:rsidRPr="007343D8" w:rsidRDefault="007343D8" w:rsidP="007343D8">
            <w:pPr>
              <w:jc w:val="right"/>
              <w:rPr>
                <w:rFonts w:cs="Arial"/>
                <w:color w:val="7F7F7F"/>
                <w:szCs w:val="18"/>
                <w:lang w:eastAsia="en-AU"/>
              </w:rPr>
            </w:pPr>
            <w:r w:rsidRPr="007343D8">
              <w:rPr>
                <w:rFonts w:cs="Arial"/>
                <w:color w:val="7F7F7F"/>
                <w:szCs w:val="18"/>
                <w:lang w:eastAsia="en-AU"/>
              </w:rPr>
              <w:t>6,429</w:t>
            </w:r>
          </w:p>
        </w:tc>
        <w:tc>
          <w:tcPr>
            <w:tcW w:w="992" w:type="dxa"/>
            <w:tcBorders>
              <w:top w:val="nil"/>
              <w:left w:val="nil"/>
              <w:bottom w:val="nil"/>
              <w:right w:val="nil"/>
            </w:tcBorders>
            <w:shd w:val="clear" w:color="auto" w:fill="auto"/>
            <w:noWrap/>
            <w:vAlign w:val="center"/>
            <w:hideMark/>
          </w:tcPr>
          <w:p w:rsidR="007343D8" w:rsidRPr="007343D8" w:rsidRDefault="007343D8" w:rsidP="007343D8">
            <w:pPr>
              <w:jc w:val="right"/>
              <w:rPr>
                <w:rFonts w:cs="Arial"/>
                <w:color w:val="7F7F7F"/>
                <w:szCs w:val="18"/>
                <w:lang w:eastAsia="en-AU"/>
              </w:rPr>
            </w:pPr>
            <w:r w:rsidRPr="007343D8">
              <w:rPr>
                <w:rFonts w:cs="Arial"/>
                <w:color w:val="7F7F7F"/>
                <w:szCs w:val="18"/>
                <w:lang w:eastAsia="en-AU"/>
              </w:rPr>
              <w:t>6,280</w:t>
            </w:r>
          </w:p>
        </w:tc>
        <w:tc>
          <w:tcPr>
            <w:tcW w:w="992" w:type="dxa"/>
            <w:tcBorders>
              <w:top w:val="nil"/>
              <w:left w:val="nil"/>
              <w:bottom w:val="nil"/>
              <w:right w:val="nil"/>
            </w:tcBorders>
            <w:shd w:val="clear" w:color="auto" w:fill="auto"/>
            <w:noWrap/>
            <w:vAlign w:val="center"/>
            <w:hideMark/>
          </w:tcPr>
          <w:p w:rsidR="007343D8" w:rsidRPr="007343D8" w:rsidRDefault="007343D8" w:rsidP="007343D8">
            <w:pPr>
              <w:jc w:val="right"/>
              <w:rPr>
                <w:rFonts w:cs="Arial"/>
                <w:color w:val="7F7F7F"/>
                <w:szCs w:val="18"/>
                <w:lang w:eastAsia="en-AU"/>
              </w:rPr>
            </w:pPr>
            <w:r w:rsidRPr="007343D8">
              <w:rPr>
                <w:rFonts w:cs="Arial"/>
                <w:color w:val="7F7F7F"/>
                <w:szCs w:val="18"/>
                <w:lang w:eastAsia="en-AU"/>
              </w:rPr>
              <w:t>6,590</w:t>
            </w:r>
          </w:p>
        </w:tc>
        <w:tc>
          <w:tcPr>
            <w:tcW w:w="992" w:type="dxa"/>
            <w:tcBorders>
              <w:top w:val="nil"/>
              <w:left w:val="nil"/>
              <w:bottom w:val="nil"/>
              <w:right w:val="nil"/>
            </w:tcBorders>
            <w:shd w:val="clear" w:color="auto" w:fill="auto"/>
            <w:noWrap/>
            <w:vAlign w:val="center"/>
            <w:hideMark/>
          </w:tcPr>
          <w:p w:rsidR="007343D8" w:rsidRPr="007343D8" w:rsidRDefault="007343D8" w:rsidP="007343D8">
            <w:pPr>
              <w:jc w:val="right"/>
              <w:rPr>
                <w:rFonts w:cs="Arial"/>
                <w:color w:val="7F7F7F"/>
                <w:szCs w:val="18"/>
                <w:lang w:eastAsia="en-AU"/>
              </w:rPr>
            </w:pPr>
            <w:r w:rsidRPr="007343D8">
              <w:rPr>
                <w:rFonts w:cs="Arial"/>
                <w:color w:val="7F7F7F"/>
                <w:szCs w:val="18"/>
                <w:lang w:eastAsia="en-AU"/>
              </w:rPr>
              <w:t>7,360</w:t>
            </w:r>
          </w:p>
        </w:tc>
        <w:tc>
          <w:tcPr>
            <w:tcW w:w="992" w:type="dxa"/>
            <w:tcBorders>
              <w:top w:val="nil"/>
              <w:left w:val="nil"/>
              <w:bottom w:val="nil"/>
              <w:right w:val="nil"/>
            </w:tcBorders>
            <w:shd w:val="clear" w:color="auto" w:fill="auto"/>
            <w:noWrap/>
            <w:vAlign w:val="center"/>
            <w:hideMark/>
          </w:tcPr>
          <w:p w:rsidR="007343D8" w:rsidRPr="007343D8" w:rsidRDefault="007343D8" w:rsidP="007343D8">
            <w:pPr>
              <w:jc w:val="right"/>
              <w:rPr>
                <w:rFonts w:cs="Arial"/>
                <w:color w:val="7F7F7F"/>
                <w:szCs w:val="18"/>
                <w:lang w:eastAsia="en-AU"/>
              </w:rPr>
            </w:pPr>
            <w:r w:rsidRPr="007343D8">
              <w:rPr>
                <w:rFonts w:cs="Arial"/>
                <w:color w:val="7F7F7F"/>
                <w:szCs w:val="18"/>
                <w:lang w:eastAsia="en-AU"/>
              </w:rPr>
              <w:t>8,108</w:t>
            </w:r>
          </w:p>
        </w:tc>
        <w:tc>
          <w:tcPr>
            <w:tcW w:w="993" w:type="dxa"/>
            <w:tcBorders>
              <w:top w:val="nil"/>
              <w:left w:val="nil"/>
              <w:bottom w:val="nil"/>
              <w:right w:val="nil"/>
            </w:tcBorders>
            <w:shd w:val="clear" w:color="auto" w:fill="auto"/>
            <w:noWrap/>
            <w:vAlign w:val="center"/>
            <w:hideMark/>
          </w:tcPr>
          <w:p w:rsidR="007343D8" w:rsidRPr="007343D8" w:rsidRDefault="007343D8" w:rsidP="007343D8">
            <w:pPr>
              <w:jc w:val="right"/>
              <w:rPr>
                <w:rFonts w:cs="Arial"/>
                <w:color w:val="7F7F7F"/>
                <w:szCs w:val="18"/>
                <w:lang w:eastAsia="en-AU"/>
              </w:rPr>
            </w:pPr>
            <w:r w:rsidRPr="007343D8">
              <w:rPr>
                <w:rFonts w:cs="Arial"/>
                <w:color w:val="7F7F7F"/>
                <w:szCs w:val="18"/>
                <w:lang w:eastAsia="en-AU"/>
              </w:rPr>
              <w:t>6,113</w:t>
            </w:r>
          </w:p>
        </w:tc>
      </w:tr>
      <w:tr w:rsidR="007343D8" w:rsidRPr="007343D8" w:rsidTr="007477B7">
        <w:trPr>
          <w:trHeight w:val="300"/>
        </w:trPr>
        <w:tc>
          <w:tcPr>
            <w:tcW w:w="2142" w:type="dxa"/>
            <w:tcBorders>
              <w:top w:val="nil"/>
              <w:left w:val="nil"/>
              <w:bottom w:val="nil"/>
              <w:right w:val="nil"/>
            </w:tcBorders>
            <w:shd w:val="clear" w:color="auto" w:fill="auto"/>
            <w:noWrap/>
            <w:vAlign w:val="center"/>
            <w:hideMark/>
          </w:tcPr>
          <w:p w:rsidR="007343D8" w:rsidRPr="007343D8" w:rsidRDefault="007343D8" w:rsidP="007343D8">
            <w:pPr>
              <w:rPr>
                <w:rFonts w:cs="Arial"/>
                <w:color w:val="7F7F7F"/>
                <w:szCs w:val="18"/>
                <w:lang w:eastAsia="en-AU"/>
              </w:rPr>
            </w:pPr>
            <w:r w:rsidRPr="007343D8">
              <w:rPr>
                <w:rFonts w:cs="Arial"/>
                <w:color w:val="7F7F7F"/>
                <w:szCs w:val="18"/>
                <w:lang w:eastAsia="en-AU"/>
              </w:rPr>
              <w:t>Other***</w:t>
            </w:r>
          </w:p>
        </w:tc>
        <w:tc>
          <w:tcPr>
            <w:tcW w:w="992" w:type="dxa"/>
            <w:tcBorders>
              <w:top w:val="nil"/>
              <w:left w:val="nil"/>
              <w:bottom w:val="nil"/>
              <w:right w:val="nil"/>
            </w:tcBorders>
            <w:shd w:val="clear" w:color="auto" w:fill="auto"/>
            <w:noWrap/>
            <w:vAlign w:val="center"/>
            <w:hideMark/>
          </w:tcPr>
          <w:p w:rsidR="007343D8" w:rsidRPr="007343D8" w:rsidRDefault="007343D8" w:rsidP="007343D8">
            <w:pPr>
              <w:jc w:val="right"/>
              <w:rPr>
                <w:rFonts w:cs="Arial"/>
                <w:color w:val="7F7F7F"/>
                <w:szCs w:val="18"/>
                <w:lang w:eastAsia="en-AU"/>
              </w:rPr>
            </w:pPr>
            <w:r w:rsidRPr="007343D8">
              <w:rPr>
                <w:rFonts w:cs="Arial"/>
                <w:color w:val="7F7F7F"/>
                <w:szCs w:val="18"/>
                <w:lang w:eastAsia="en-AU"/>
              </w:rPr>
              <w:t>7,655</w:t>
            </w:r>
          </w:p>
        </w:tc>
        <w:tc>
          <w:tcPr>
            <w:tcW w:w="992" w:type="dxa"/>
            <w:tcBorders>
              <w:top w:val="nil"/>
              <w:left w:val="nil"/>
              <w:bottom w:val="nil"/>
              <w:right w:val="nil"/>
            </w:tcBorders>
            <w:shd w:val="clear" w:color="auto" w:fill="auto"/>
            <w:noWrap/>
            <w:vAlign w:val="center"/>
            <w:hideMark/>
          </w:tcPr>
          <w:p w:rsidR="007343D8" w:rsidRPr="007343D8" w:rsidRDefault="007343D8" w:rsidP="007343D8">
            <w:pPr>
              <w:jc w:val="right"/>
              <w:rPr>
                <w:rFonts w:cs="Arial"/>
                <w:color w:val="7F7F7F"/>
                <w:szCs w:val="18"/>
                <w:lang w:eastAsia="en-AU"/>
              </w:rPr>
            </w:pPr>
            <w:r w:rsidRPr="007343D8">
              <w:rPr>
                <w:rFonts w:cs="Arial"/>
                <w:color w:val="7F7F7F"/>
                <w:szCs w:val="18"/>
                <w:lang w:eastAsia="en-AU"/>
              </w:rPr>
              <w:t>4,648</w:t>
            </w:r>
          </w:p>
        </w:tc>
        <w:tc>
          <w:tcPr>
            <w:tcW w:w="992" w:type="dxa"/>
            <w:tcBorders>
              <w:top w:val="nil"/>
              <w:left w:val="nil"/>
              <w:bottom w:val="nil"/>
              <w:right w:val="nil"/>
            </w:tcBorders>
            <w:shd w:val="clear" w:color="auto" w:fill="auto"/>
            <w:noWrap/>
            <w:vAlign w:val="center"/>
            <w:hideMark/>
          </w:tcPr>
          <w:p w:rsidR="007343D8" w:rsidRPr="007343D8" w:rsidRDefault="007343D8" w:rsidP="007343D8">
            <w:pPr>
              <w:jc w:val="right"/>
              <w:rPr>
                <w:rFonts w:cs="Arial"/>
                <w:color w:val="7F7F7F"/>
                <w:szCs w:val="18"/>
                <w:lang w:eastAsia="en-AU"/>
              </w:rPr>
            </w:pPr>
            <w:r w:rsidRPr="007343D8">
              <w:rPr>
                <w:rFonts w:cs="Arial"/>
                <w:color w:val="7F7F7F"/>
                <w:szCs w:val="18"/>
                <w:lang w:eastAsia="en-AU"/>
              </w:rPr>
              <w:t>6,965</w:t>
            </w:r>
          </w:p>
        </w:tc>
        <w:tc>
          <w:tcPr>
            <w:tcW w:w="992" w:type="dxa"/>
            <w:tcBorders>
              <w:top w:val="nil"/>
              <w:left w:val="nil"/>
              <w:bottom w:val="nil"/>
              <w:right w:val="nil"/>
            </w:tcBorders>
            <w:shd w:val="clear" w:color="auto" w:fill="auto"/>
            <w:noWrap/>
            <w:vAlign w:val="center"/>
            <w:hideMark/>
          </w:tcPr>
          <w:p w:rsidR="007343D8" w:rsidRPr="007343D8" w:rsidRDefault="007343D8" w:rsidP="007343D8">
            <w:pPr>
              <w:jc w:val="right"/>
              <w:rPr>
                <w:rFonts w:cs="Arial"/>
                <w:color w:val="7F7F7F"/>
                <w:szCs w:val="18"/>
                <w:lang w:eastAsia="en-AU"/>
              </w:rPr>
            </w:pPr>
            <w:r w:rsidRPr="007343D8">
              <w:rPr>
                <w:rFonts w:cs="Arial"/>
                <w:color w:val="7F7F7F"/>
                <w:szCs w:val="18"/>
                <w:lang w:eastAsia="en-AU"/>
              </w:rPr>
              <w:t>3,886</w:t>
            </w:r>
          </w:p>
        </w:tc>
        <w:tc>
          <w:tcPr>
            <w:tcW w:w="992" w:type="dxa"/>
            <w:tcBorders>
              <w:top w:val="nil"/>
              <w:left w:val="nil"/>
              <w:bottom w:val="nil"/>
              <w:right w:val="nil"/>
            </w:tcBorders>
            <w:shd w:val="clear" w:color="auto" w:fill="auto"/>
            <w:noWrap/>
            <w:vAlign w:val="center"/>
            <w:hideMark/>
          </w:tcPr>
          <w:p w:rsidR="007343D8" w:rsidRPr="007343D8" w:rsidRDefault="007343D8" w:rsidP="007343D8">
            <w:pPr>
              <w:jc w:val="right"/>
              <w:rPr>
                <w:rFonts w:cs="Arial"/>
                <w:color w:val="7F7F7F"/>
                <w:szCs w:val="18"/>
                <w:lang w:eastAsia="en-AU"/>
              </w:rPr>
            </w:pPr>
            <w:r w:rsidRPr="007343D8">
              <w:rPr>
                <w:rFonts w:cs="Arial"/>
                <w:color w:val="7F7F7F"/>
                <w:szCs w:val="18"/>
                <w:lang w:eastAsia="en-AU"/>
              </w:rPr>
              <w:t>6,164</w:t>
            </w:r>
          </w:p>
        </w:tc>
        <w:tc>
          <w:tcPr>
            <w:tcW w:w="993" w:type="dxa"/>
            <w:tcBorders>
              <w:top w:val="nil"/>
              <w:left w:val="nil"/>
              <w:bottom w:val="nil"/>
              <w:right w:val="nil"/>
            </w:tcBorders>
            <w:shd w:val="clear" w:color="auto" w:fill="auto"/>
            <w:noWrap/>
            <w:vAlign w:val="center"/>
            <w:hideMark/>
          </w:tcPr>
          <w:p w:rsidR="007343D8" w:rsidRPr="007343D8" w:rsidRDefault="007343D8" w:rsidP="007343D8">
            <w:pPr>
              <w:jc w:val="right"/>
              <w:rPr>
                <w:rFonts w:cs="Arial"/>
                <w:color w:val="7F7F7F"/>
                <w:szCs w:val="18"/>
                <w:lang w:eastAsia="en-AU"/>
              </w:rPr>
            </w:pPr>
            <w:r w:rsidRPr="007343D8">
              <w:rPr>
                <w:rFonts w:cs="Arial"/>
                <w:color w:val="7F7F7F"/>
                <w:szCs w:val="18"/>
                <w:lang w:eastAsia="en-AU"/>
              </w:rPr>
              <w:t>4,897</w:t>
            </w:r>
          </w:p>
        </w:tc>
      </w:tr>
      <w:tr w:rsidR="007343D8" w:rsidRPr="007343D8" w:rsidTr="007477B7">
        <w:trPr>
          <w:trHeight w:val="300"/>
        </w:trPr>
        <w:tc>
          <w:tcPr>
            <w:tcW w:w="2142" w:type="dxa"/>
            <w:tcBorders>
              <w:top w:val="nil"/>
              <w:left w:val="nil"/>
              <w:bottom w:val="nil"/>
              <w:right w:val="nil"/>
            </w:tcBorders>
            <w:shd w:val="clear" w:color="000000" w:fill="7F7F7F"/>
            <w:noWrap/>
            <w:vAlign w:val="center"/>
            <w:hideMark/>
          </w:tcPr>
          <w:p w:rsidR="007343D8" w:rsidRPr="007343D8" w:rsidRDefault="007343D8" w:rsidP="007343D8">
            <w:pPr>
              <w:rPr>
                <w:rFonts w:cs="Arial"/>
                <w:b/>
                <w:bCs/>
                <w:color w:val="FFFFFF"/>
                <w:szCs w:val="18"/>
                <w:lang w:eastAsia="en-AU"/>
              </w:rPr>
            </w:pPr>
            <w:r w:rsidRPr="007343D8">
              <w:rPr>
                <w:rFonts w:cs="Arial"/>
                <w:b/>
                <w:bCs/>
                <w:color w:val="FFFFFF"/>
                <w:szCs w:val="18"/>
                <w:lang w:eastAsia="en-AU"/>
              </w:rPr>
              <w:t>Total****</w:t>
            </w:r>
          </w:p>
        </w:tc>
        <w:tc>
          <w:tcPr>
            <w:tcW w:w="992" w:type="dxa"/>
            <w:tcBorders>
              <w:top w:val="nil"/>
              <w:left w:val="nil"/>
              <w:bottom w:val="nil"/>
              <w:right w:val="nil"/>
            </w:tcBorders>
            <w:shd w:val="clear" w:color="000000" w:fill="7F7F7F"/>
            <w:noWrap/>
            <w:vAlign w:val="center"/>
            <w:hideMark/>
          </w:tcPr>
          <w:p w:rsidR="007343D8" w:rsidRPr="007343D8" w:rsidRDefault="007343D8" w:rsidP="007343D8">
            <w:pPr>
              <w:jc w:val="right"/>
              <w:rPr>
                <w:rFonts w:cs="Arial"/>
                <w:b/>
                <w:bCs/>
                <w:color w:val="FFFFFF"/>
                <w:szCs w:val="18"/>
                <w:lang w:eastAsia="en-AU"/>
              </w:rPr>
            </w:pPr>
            <w:r w:rsidRPr="007343D8">
              <w:rPr>
                <w:rFonts w:cs="Arial"/>
                <w:b/>
                <w:bCs/>
                <w:color w:val="FFFFFF"/>
                <w:szCs w:val="18"/>
                <w:lang w:eastAsia="en-AU"/>
              </w:rPr>
              <w:t>247,685</w:t>
            </w:r>
          </w:p>
        </w:tc>
        <w:tc>
          <w:tcPr>
            <w:tcW w:w="992" w:type="dxa"/>
            <w:tcBorders>
              <w:top w:val="nil"/>
              <w:left w:val="nil"/>
              <w:bottom w:val="nil"/>
              <w:right w:val="nil"/>
            </w:tcBorders>
            <w:shd w:val="clear" w:color="000000" w:fill="7F7F7F"/>
            <w:noWrap/>
            <w:vAlign w:val="center"/>
            <w:hideMark/>
          </w:tcPr>
          <w:p w:rsidR="007343D8" w:rsidRPr="007343D8" w:rsidRDefault="007343D8" w:rsidP="007343D8">
            <w:pPr>
              <w:jc w:val="right"/>
              <w:rPr>
                <w:rFonts w:cs="Arial"/>
                <w:b/>
                <w:bCs/>
                <w:color w:val="FFFFFF"/>
                <w:szCs w:val="18"/>
                <w:lang w:eastAsia="en-AU"/>
              </w:rPr>
            </w:pPr>
            <w:r w:rsidRPr="007343D8">
              <w:rPr>
                <w:rFonts w:cs="Arial"/>
                <w:b/>
                <w:bCs/>
                <w:color w:val="FFFFFF"/>
                <w:szCs w:val="18"/>
                <w:lang w:eastAsia="en-AU"/>
              </w:rPr>
              <w:t>309,420</w:t>
            </w:r>
          </w:p>
        </w:tc>
        <w:tc>
          <w:tcPr>
            <w:tcW w:w="992" w:type="dxa"/>
            <w:tcBorders>
              <w:top w:val="nil"/>
              <w:left w:val="nil"/>
              <w:bottom w:val="nil"/>
              <w:right w:val="nil"/>
            </w:tcBorders>
            <w:shd w:val="clear" w:color="000000" w:fill="7F7F7F"/>
            <w:noWrap/>
            <w:vAlign w:val="center"/>
            <w:hideMark/>
          </w:tcPr>
          <w:p w:rsidR="007343D8" w:rsidRPr="007343D8" w:rsidRDefault="007343D8" w:rsidP="007343D8">
            <w:pPr>
              <w:jc w:val="right"/>
              <w:rPr>
                <w:rFonts w:cs="Arial"/>
                <w:b/>
                <w:bCs/>
                <w:color w:val="FFFFFF"/>
                <w:szCs w:val="18"/>
                <w:lang w:eastAsia="en-AU"/>
              </w:rPr>
            </w:pPr>
            <w:r w:rsidRPr="007343D8">
              <w:rPr>
                <w:rFonts w:cs="Arial"/>
                <w:b/>
                <w:bCs/>
                <w:color w:val="FFFFFF"/>
                <w:szCs w:val="18"/>
                <w:lang w:eastAsia="en-AU"/>
              </w:rPr>
              <w:t>444,501</w:t>
            </w:r>
          </w:p>
        </w:tc>
        <w:tc>
          <w:tcPr>
            <w:tcW w:w="992" w:type="dxa"/>
            <w:tcBorders>
              <w:top w:val="nil"/>
              <w:left w:val="nil"/>
              <w:bottom w:val="nil"/>
              <w:right w:val="nil"/>
            </w:tcBorders>
            <w:shd w:val="clear" w:color="000000" w:fill="7F7F7F"/>
            <w:noWrap/>
            <w:vAlign w:val="center"/>
            <w:hideMark/>
          </w:tcPr>
          <w:p w:rsidR="007343D8" w:rsidRPr="007343D8" w:rsidRDefault="007343D8" w:rsidP="007343D8">
            <w:pPr>
              <w:jc w:val="right"/>
              <w:rPr>
                <w:rFonts w:cs="Arial"/>
                <w:b/>
                <w:bCs/>
                <w:color w:val="FFFFFF"/>
                <w:szCs w:val="18"/>
                <w:lang w:eastAsia="en-AU"/>
              </w:rPr>
            </w:pPr>
            <w:r w:rsidRPr="007343D8">
              <w:rPr>
                <w:rFonts w:cs="Arial"/>
                <w:b/>
                <w:bCs/>
                <w:color w:val="FFFFFF"/>
                <w:szCs w:val="18"/>
                <w:lang w:eastAsia="en-AU"/>
              </w:rPr>
              <w:t>383,963</w:t>
            </w:r>
          </w:p>
        </w:tc>
        <w:tc>
          <w:tcPr>
            <w:tcW w:w="992" w:type="dxa"/>
            <w:tcBorders>
              <w:top w:val="nil"/>
              <w:left w:val="nil"/>
              <w:bottom w:val="nil"/>
              <w:right w:val="nil"/>
            </w:tcBorders>
            <w:shd w:val="clear" w:color="000000" w:fill="7F7F7F"/>
            <w:noWrap/>
            <w:vAlign w:val="center"/>
            <w:hideMark/>
          </w:tcPr>
          <w:p w:rsidR="007343D8" w:rsidRPr="007343D8" w:rsidRDefault="007343D8" w:rsidP="007343D8">
            <w:pPr>
              <w:jc w:val="right"/>
              <w:rPr>
                <w:rFonts w:cs="Arial"/>
                <w:b/>
                <w:bCs/>
                <w:color w:val="FFFFFF"/>
                <w:szCs w:val="18"/>
                <w:lang w:eastAsia="en-AU"/>
              </w:rPr>
            </w:pPr>
            <w:r w:rsidRPr="007343D8">
              <w:rPr>
                <w:rFonts w:cs="Arial"/>
                <w:b/>
                <w:bCs/>
                <w:color w:val="FFFFFF"/>
                <w:szCs w:val="18"/>
                <w:lang w:eastAsia="en-AU"/>
              </w:rPr>
              <w:t>362,784</w:t>
            </w:r>
          </w:p>
        </w:tc>
        <w:tc>
          <w:tcPr>
            <w:tcW w:w="993" w:type="dxa"/>
            <w:tcBorders>
              <w:top w:val="nil"/>
              <w:left w:val="nil"/>
              <w:bottom w:val="nil"/>
              <w:right w:val="nil"/>
            </w:tcBorders>
            <w:shd w:val="clear" w:color="000000" w:fill="7F7F7F"/>
            <w:noWrap/>
            <w:vAlign w:val="center"/>
            <w:hideMark/>
          </w:tcPr>
          <w:p w:rsidR="007343D8" w:rsidRPr="007343D8" w:rsidRDefault="007343D8" w:rsidP="007343D8">
            <w:pPr>
              <w:jc w:val="right"/>
              <w:rPr>
                <w:rFonts w:cs="Arial"/>
                <w:b/>
                <w:bCs/>
                <w:color w:val="FFFFFF"/>
                <w:szCs w:val="18"/>
                <w:lang w:eastAsia="en-AU"/>
              </w:rPr>
            </w:pPr>
            <w:r w:rsidRPr="007343D8">
              <w:rPr>
                <w:rFonts w:cs="Arial"/>
                <w:b/>
                <w:bCs/>
                <w:color w:val="FFFFFF"/>
                <w:szCs w:val="18"/>
                <w:lang w:eastAsia="en-AU"/>
              </w:rPr>
              <w:t>310,089</w:t>
            </w:r>
          </w:p>
        </w:tc>
      </w:tr>
    </w:tbl>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4A0" w:firstRow="1" w:lastRow="0" w:firstColumn="1" w:lastColumn="0" w:noHBand="0" w:noVBand="1"/>
      </w:tblPr>
      <w:tblGrid>
        <w:gridCol w:w="431"/>
        <w:gridCol w:w="7649"/>
      </w:tblGrid>
      <w:tr w:rsidR="007477B7" w:rsidRPr="00913551" w:rsidTr="007477B7">
        <w:tc>
          <w:tcPr>
            <w:tcW w:w="431" w:type="dxa"/>
            <w:tcMar>
              <w:left w:w="0" w:type="dxa"/>
              <w:right w:w="28" w:type="dxa"/>
            </w:tcMar>
          </w:tcPr>
          <w:p w:rsidR="007477B7" w:rsidRPr="00913551" w:rsidRDefault="007477B7" w:rsidP="007477B7">
            <w:pPr>
              <w:spacing w:after="0" w:line="240" w:lineRule="auto"/>
              <w:jc w:val="right"/>
              <w:rPr>
                <w:color w:val="7F7F7F" w:themeColor="text2"/>
                <w:sz w:val="16"/>
                <w:szCs w:val="16"/>
              </w:rPr>
            </w:pPr>
            <w:r w:rsidRPr="00913551">
              <w:rPr>
                <w:color w:val="7F7F7F" w:themeColor="text2"/>
                <w:sz w:val="16"/>
                <w:szCs w:val="16"/>
              </w:rPr>
              <w:t xml:space="preserve">* </w:t>
            </w:r>
          </w:p>
        </w:tc>
        <w:tc>
          <w:tcPr>
            <w:tcW w:w="7649" w:type="dxa"/>
            <w:tcMar>
              <w:left w:w="0" w:type="dxa"/>
              <w:right w:w="28" w:type="dxa"/>
            </w:tcMar>
          </w:tcPr>
          <w:p w:rsidR="007477B7" w:rsidRPr="00913551" w:rsidRDefault="007477B7" w:rsidP="007477B7">
            <w:pPr>
              <w:spacing w:after="0" w:line="240" w:lineRule="auto"/>
              <w:rPr>
                <w:i/>
                <w:color w:val="7F7F7F" w:themeColor="text2"/>
                <w:sz w:val="16"/>
                <w:szCs w:val="16"/>
              </w:rPr>
            </w:pPr>
            <w:r w:rsidRPr="00913551">
              <w:rPr>
                <w:i/>
                <w:sz w:val="16"/>
                <w:szCs w:val="16"/>
              </w:rPr>
              <w:t xml:space="preserve">In </w:t>
            </w:r>
            <w:proofErr w:type="gramStart"/>
            <w:r w:rsidRPr="00913551">
              <w:rPr>
                <w:i/>
                <w:sz w:val="16"/>
                <w:szCs w:val="16"/>
              </w:rPr>
              <w:t>2014</w:t>
            </w:r>
            <w:proofErr w:type="gramEnd"/>
            <w:r w:rsidRPr="00913551">
              <w:rPr>
                <w:i/>
                <w:sz w:val="16"/>
                <w:szCs w:val="16"/>
              </w:rPr>
              <w:t xml:space="preserve"> a small number of contracted training providers failed to submit information on VET FEE-HELP.</w:t>
            </w:r>
          </w:p>
        </w:tc>
      </w:tr>
      <w:tr w:rsidR="007477B7" w:rsidRPr="00913551" w:rsidTr="007477B7">
        <w:tc>
          <w:tcPr>
            <w:tcW w:w="431" w:type="dxa"/>
            <w:tcMar>
              <w:left w:w="0" w:type="dxa"/>
              <w:right w:w="28" w:type="dxa"/>
            </w:tcMar>
          </w:tcPr>
          <w:p w:rsidR="007477B7" w:rsidRPr="00913551" w:rsidRDefault="007477B7" w:rsidP="007477B7">
            <w:pPr>
              <w:spacing w:after="0" w:line="240" w:lineRule="auto"/>
              <w:jc w:val="right"/>
              <w:rPr>
                <w:color w:val="7F7F7F" w:themeColor="text2"/>
                <w:sz w:val="16"/>
                <w:szCs w:val="16"/>
              </w:rPr>
            </w:pPr>
            <w:r w:rsidRPr="00913551">
              <w:rPr>
                <w:color w:val="7F7F7F" w:themeColor="text2"/>
                <w:sz w:val="16"/>
                <w:szCs w:val="16"/>
              </w:rPr>
              <w:t>**</w:t>
            </w:r>
          </w:p>
        </w:tc>
        <w:tc>
          <w:tcPr>
            <w:tcW w:w="7649" w:type="dxa"/>
            <w:tcMar>
              <w:left w:w="0" w:type="dxa"/>
              <w:right w:w="28" w:type="dxa"/>
            </w:tcMar>
          </w:tcPr>
          <w:p w:rsidR="007477B7" w:rsidRPr="00913551" w:rsidRDefault="007477B7" w:rsidP="007477B7">
            <w:pPr>
              <w:spacing w:after="0" w:line="240" w:lineRule="auto"/>
              <w:rPr>
                <w:i/>
                <w:sz w:val="16"/>
                <w:szCs w:val="16"/>
              </w:rPr>
            </w:pPr>
            <w:proofErr w:type="gramStart"/>
            <w:r w:rsidRPr="00913551">
              <w:rPr>
                <w:i/>
                <w:sz w:val="16"/>
                <w:szCs w:val="16"/>
              </w:rPr>
              <w:t>Includes VCE/VCAL courses of study.</w:t>
            </w:r>
            <w:proofErr w:type="gramEnd"/>
          </w:p>
        </w:tc>
      </w:tr>
      <w:tr w:rsidR="007477B7" w:rsidRPr="00913551" w:rsidTr="007477B7">
        <w:tc>
          <w:tcPr>
            <w:tcW w:w="431" w:type="dxa"/>
            <w:tcMar>
              <w:left w:w="0" w:type="dxa"/>
              <w:right w:w="28" w:type="dxa"/>
            </w:tcMar>
          </w:tcPr>
          <w:p w:rsidR="007477B7" w:rsidRPr="00913551" w:rsidRDefault="007477B7" w:rsidP="007477B7">
            <w:pPr>
              <w:spacing w:after="0" w:line="240" w:lineRule="auto"/>
              <w:jc w:val="right"/>
              <w:rPr>
                <w:color w:val="7F7F7F" w:themeColor="text2"/>
                <w:sz w:val="16"/>
                <w:szCs w:val="16"/>
              </w:rPr>
            </w:pPr>
            <w:r w:rsidRPr="00913551">
              <w:rPr>
                <w:color w:val="7F7F7F" w:themeColor="text2"/>
                <w:sz w:val="16"/>
                <w:szCs w:val="16"/>
              </w:rPr>
              <w:t>***</w:t>
            </w:r>
          </w:p>
        </w:tc>
        <w:tc>
          <w:tcPr>
            <w:tcW w:w="7649" w:type="dxa"/>
            <w:tcMar>
              <w:left w:w="0" w:type="dxa"/>
              <w:right w:w="28" w:type="dxa"/>
            </w:tcMar>
          </w:tcPr>
          <w:p w:rsidR="007477B7" w:rsidRPr="00913551" w:rsidRDefault="007477B7" w:rsidP="007477B7">
            <w:pPr>
              <w:spacing w:after="0" w:line="240" w:lineRule="auto"/>
              <w:rPr>
                <w:i/>
                <w:sz w:val="16"/>
                <w:szCs w:val="16"/>
              </w:rPr>
            </w:pPr>
            <w:r w:rsidRPr="00913551">
              <w:rPr>
                <w:i/>
                <w:sz w:val="16"/>
                <w:szCs w:val="16"/>
              </w:rPr>
              <w:t>‘Other’ includes statement of attainment, other non-award courses or not elsewhere classified.</w:t>
            </w:r>
          </w:p>
        </w:tc>
      </w:tr>
      <w:tr w:rsidR="007477B7" w:rsidRPr="00913551" w:rsidTr="007477B7">
        <w:tc>
          <w:tcPr>
            <w:tcW w:w="431" w:type="dxa"/>
            <w:tcMar>
              <w:left w:w="0" w:type="dxa"/>
              <w:right w:w="28" w:type="dxa"/>
            </w:tcMar>
          </w:tcPr>
          <w:p w:rsidR="007477B7" w:rsidRPr="00913551" w:rsidRDefault="007477B7" w:rsidP="007477B7">
            <w:pPr>
              <w:spacing w:after="0" w:line="240" w:lineRule="auto"/>
              <w:jc w:val="right"/>
              <w:rPr>
                <w:color w:val="7F7F7F" w:themeColor="text2"/>
                <w:sz w:val="16"/>
                <w:szCs w:val="16"/>
              </w:rPr>
            </w:pPr>
            <w:r w:rsidRPr="00913551">
              <w:rPr>
                <w:color w:val="7F7F7F" w:themeColor="text2"/>
                <w:sz w:val="16"/>
                <w:szCs w:val="16"/>
              </w:rPr>
              <w:t>****</w:t>
            </w:r>
          </w:p>
        </w:tc>
        <w:tc>
          <w:tcPr>
            <w:tcW w:w="7649" w:type="dxa"/>
            <w:tcMar>
              <w:left w:w="0" w:type="dxa"/>
              <w:right w:w="28" w:type="dxa"/>
            </w:tcMar>
          </w:tcPr>
          <w:p w:rsidR="007477B7" w:rsidRPr="00913551" w:rsidRDefault="007477B7" w:rsidP="007477B7">
            <w:pPr>
              <w:pStyle w:val="Note"/>
              <w:spacing w:after="0"/>
            </w:pPr>
            <w:r w:rsidRPr="00913551">
              <w:t>The 2010 and 2013 totals include 1 enrolment and 10 enrolments respectively in Higher Education. There were no enrolments in Higher Education after 2013.</w:t>
            </w:r>
          </w:p>
        </w:tc>
      </w:tr>
    </w:tbl>
    <w:p w:rsidR="00344C5D" w:rsidRDefault="00344C5D">
      <w:pPr>
        <w:rPr>
          <w:i/>
          <w:sz w:val="16"/>
          <w:szCs w:val="16"/>
        </w:rPr>
      </w:pPr>
      <w:r>
        <w:br w:type="page"/>
      </w: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4B4158" w:rsidTr="00EB34EC">
        <w:tc>
          <w:tcPr>
            <w:tcW w:w="1134" w:type="dxa"/>
            <w:tcMar>
              <w:left w:w="0" w:type="dxa"/>
              <w:right w:w="0" w:type="dxa"/>
            </w:tcMar>
          </w:tcPr>
          <w:p w:rsidR="004B4158" w:rsidRDefault="00CB6C79" w:rsidP="004B4158">
            <w:pPr>
              <w:pStyle w:val="Quote"/>
              <w:tabs>
                <w:tab w:val="left" w:pos="1134"/>
              </w:tabs>
              <w:rPr>
                <w:b w:val="0"/>
                <w:color w:val="B41F22" w:themeColor="accent1"/>
              </w:rPr>
            </w:pPr>
            <w:r>
              <w:rPr>
                <w:b w:val="0"/>
                <w:color w:val="B41F22" w:themeColor="accent1"/>
              </w:rPr>
              <w:lastRenderedPageBreak/>
              <w:t>Table 1.3</w:t>
            </w:r>
            <w:r w:rsidR="004B4158">
              <w:rPr>
                <w:b w:val="0"/>
                <w:color w:val="B41F22" w:themeColor="accent1"/>
              </w:rPr>
              <w:t>.2:</w:t>
            </w:r>
          </w:p>
        </w:tc>
        <w:tc>
          <w:tcPr>
            <w:tcW w:w="6946" w:type="dxa"/>
            <w:tcMar>
              <w:left w:w="0" w:type="dxa"/>
              <w:right w:w="0" w:type="dxa"/>
            </w:tcMar>
          </w:tcPr>
          <w:p w:rsidR="004B4158" w:rsidRDefault="004B4158" w:rsidP="00EB34EC">
            <w:pPr>
              <w:pStyle w:val="Quote"/>
              <w:tabs>
                <w:tab w:val="left" w:pos="1134"/>
              </w:tabs>
              <w:rPr>
                <w:b w:val="0"/>
                <w:color w:val="B41F22" w:themeColor="accent1"/>
              </w:rPr>
            </w:pPr>
            <w:r w:rsidRPr="00435C8F">
              <w:rPr>
                <w:b w:val="0"/>
                <w:color w:val="B41F22" w:themeColor="accent1"/>
              </w:rPr>
              <w:t>Change in number of government subsidised course enrolments in accredited training by qualification level (half year)</w:t>
            </w:r>
          </w:p>
        </w:tc>
      </w:tr>
    </w:tbl>
    <w:tbl>
      <w:tblPr>
        <w:tblW w:w="8095" w:type="dxa"/>
        <w:tblInd w:w="93" w:type="dxa"/>
        <w:tblLayout w:type="fixed"/>
        <w:tblLook w:val="04A0" w:firstRow="1" w:lastRow="0" w:firstColumn="1" w:lastColumn="0" w:noHBand="0" w:noVBand="1"/>
      </w:tblPr>
      <w:tblGrid>
        <w:gridCol w:w="2086"/>
        <w:gridCol w:w="1201"/>
        <w:gridCol w:w="1202"/>
        <w:gridCol w:w="1202"/>
        <w:gridCol w:w="1202"/>
        <w:gridCol w:w="1202"/>
      </w:tblGrid>
      <w:tr w:rsidR="00435C8F" w:rsidRPr="00435C8F" w:rsidTr="004B4158">
        <w:trPr>
          <w:trHeight w:val="720"/>
        </w:trPr>
        <w:tc>
          <w:tcPr>
            <w:tcW w:w="2086" w:type="dxa"/>
            <w:tcBorders>
              <w:top w:val="nil"/>
              <w:left w:val="nil"/>
              <w:bottom w:val="nil"/>
              <w:right w:val="nil"/>
            </w:tcBorders>
            <w:shd w:val="clear" w:color="000000" w:fill="7F7F7F"/>
            <w:noWrap/>
            <w:vAlign w:val="center"/>
            <w:hideMark/>
          </w:tcPr>
          <w:p w:rsidR="00435C8F" w:rsidRPr="00435C8F" w:rsidRDefault="00435C8F" w:rsidP="00435C8F">
            <w:pPr>
              <w:rPr>
                <w:rFonts w:cs="Arial"/>
                <w:color w:val="FFFFFF"/>
                <w:szCs w:val="18"/>
                <w:lang w:eastAsia="en-AU"/>
              </w:rPr>
            </w:pPr>
            <w:r w:rsidRPr="00435C8F">
              <w:rPr>
                <w:rFonts w:cs="Arial"/>
                <w:color w:val="FFFFFF"/>
                <w:szCs w:val="18"/>
                <w:lang w:eastAsia="en-AU"/>
              </w:rPr>
              <w:t> </w:t>
            </w:r>
          </w:p>
        </w:tc>
        <w:tc>
          <w:tcPr>
            <w:tcW w:w="1201" w:type="dxa"/>
            <w:tcBorders>
              <w:top w:val="nil"/>
              <w:left w:val="nil"/>
              <w:bottom w:val="nil"/>
              <w:right w:val="nil"/>
            </w:tcBorders>
            <w:shd w:val="clear" w:color="000000" w:fill="7F7F7F"/>
            <w:vAlign w:val="center"/>
            <w:hideMark/>
          </w:tcPr>
          <w:p w:rsidR="00435C8F" w:rsidRPr="00435C8F" w:rsidRDefault="00435C8F" w:rsidP="00435C8F">
            <w:pPr>
              <w:jc w:val="right"/>
              <w:rPr>
                <w:rFonts w:cs="Arial"/>
                <w:b/>
                <w:bCs/>
                <w:color w:val="FFFFFF"/>
                <w:szCs w:val="18"/>
                <w:lang w:eastAsia="en-AU"/>
              </w:rPr>
            </w:pPr>
            <w:r w:rsidRPr="00435C8F">
              <w:rPr>
                <w:rFonts w:cs="Arial"/>
                <w:b/>
                <w:bCs/>
                <w:color w:val="FFFFFF"/>
                <w:szCs w:val="18"/>
                <w:lang w:eastAsia="en-AU"/>
              </w:rPr>
              <w:t>% change 2010 to 2015</w:t>
            </w:r>
          </w:p>
        </w:tc>
        <w:tc>
          <w:tcPr>
            <w:tcW w:w="1202" w:type="dxa"/>
            <w:tcBorders>
              <w:top w:val="nil"/>
              <w:left w:val="nil"/>
              <w:bottom w:val="nil"/>
              <w:right w:val="nil"/>
            </w:tcBorders>
            <w:shd w:val="clear" w:color="000000" w:fill="7F7F7F"/>
            <w:vAlign w:val="center"/>
            <w:hideMark/>
          </w:tcPr>
          <w:p w:rsidR="00435C8F" w:rsidRPr="00435C8F" w:rsidRDefault="00435C8F" w:rsidP="00435C8F">
            <w:pPr>
              <w:jc w:val="right"/>
              <w:rPr>
                <w:rFonts w:cs="Arial"/>
                <w:b/>
                <w:bCs/>
                <w:color w:val="FFFFFF"/>
                <w:szCs w:val="18"/>
                <w:lang w:eastAsia="en-AU"/>
              </w:rPr>
            </w:pPr>
            <w:r w:rsidRPr="00435C8F">
              <w:rPr>
                <w:rFonts w:cs="Arial"/>
                <w:b/>
                <w:bCs/>
                <w:color w:val="FFFFFF"/>
                <w:szCs w:val="18"/>
                <w:lang w:eastAsia="en-AU"/>
              </w:rPr>
              <w:t>% change 2011 to 2015</w:t>
            </w:r>
          </w:p>
        </w:tc>
        <w:tc>
          <w:tcPr>
            <w:tcW w:w="1202" w:type="dxa"/>
            <w:tcBorders>
              <w:top w:val="nil"/>
              <w:left w:val="nil"/>
              <w:bottom w:val="nil"/>
              <w:right w:val="nil"/>
            </w:tcBorders>
            <w:shd w:val="clear" w:color="000000" w:fill="7F7F7F"/>
            <w:vAlign w:val="center"/>
            <w:hideMark/>
          </w:tcPr>
          <w:p w:rsidR="00435C8F" w:rsidRPr="00435C8F" w:rsidRDefault="00435C8F" w:rsidP="00435C8F">
            <w:pPr>
              <w:jc w:val="right"/>
              <w:rPr>
                <w:rFonts w:cs="Arial"/>
                <w:b/>
                <w:bCs/>
                <w:color w:val="FFFFFF"/>
                <w:szCs w:val="18"/>
                <w:lang w:eastAsia="en-AU"/>
              </w:rPr>
            </w:pPr>
            <w:r w:rsidRPr="00435C8F">
              <w:rPr>
                <w:rFonts w:cs="Arial"/>
                <w:b/>
                <w:bCs/>
                <w:color w:val="FFFFFF"/>
                <w:szCs w:val="18"/>
                <w:lang w:eastAsia="en-AU"/>
              </w:rPr>
              <w:t>% change 2012 to 2015</w:t>
            </w:r>
          </w:p>
        </w:tc>
        <w:tc>
          <w:tcPr>
            <w:tcW w:w="1202" w:type="dxa"/>
            <w:tcBorders>
              <w:top w:val="nil"/>
              <w:left w:val="nil"/>
              <w:bottom w:val="nil"/>
              <w:right w:val="nil"/>
            </w:tcBorders>
            <w:shd w:val="clear" w:color="000000" w:fill="7F7F7F"/>
            <w:vAlign w:val="center"/>
            <w:hideMark/>
          </w:tcPr>
          <w:p w:rsidR="00435C8F" w:rsidRPr="00435C8F" w:rsidRDefault="00435C8F" w:rsidP="00435C8F">
            <w:pPr>
              <w:jc w:val="right"/>
              <w:rPr>
                <w:rFonts w:cs="Arial"/>
                <w:b/>
                <w:bCs/>
                <w:color w:val="FFFFFF"/>
                <w:szCs w:val="18"/>
                <w:lang w:eastAsia="en-AU"/>
              </w:rPr>
            </w:pPr>
            <w:r w:rsidRPr="00435C8F">
              <w:rPr>
                <w:rFonts w:cs="Arial"/>
                <w:b/>
                <w:bCs/>
                <w:color w:val="FFFFFF"/>
                <w:szCs w:val="18"/>
                <w:lang w:eastAsia="en-AU"/>
              </w:rPr>
              <w:t>% change 2013 to 2015</w:t>
            </w:r>
          </w:p>
        </w:tc>
        <w:tc>
          <w:tcPr>
            <w:tcW w:w="1202" w:type="dxa"/>
            <w:tcBorders>
              <w:top w:val="nil"/>
              <w:left w:val="nil"/>
              <w:bottom w:val="nil"/>
              <w:right w:val="nil"/>
            </w:tcBorders>
            <w:shd w:val="clear" w:color="000000" w:fill="7F7F7F"/>
            <w:vAlign w:val="center"/>
            <w:hideMark/>
          </w:tcPr>
          <w:p w:rsidR="00435C8F" w:rsidRPr="00435C8F" w:rsidRDefault="00435C8F" w:rsidP="00435C8F">
            <w:pPr>
              <w:jc w:val="right"/>
              <w:rPr>
                <w:rFonts w:cs="Arial"/>
                <w:b/>
                <w:bCs/>
                <w:color w:val="FFFFFF"/>
                <w:szCs w:val="18"/>
                <w:lang w:eastAsia="en-AU"/>
              </w:rPr>
            </w:pPr>
            <w:r w:rsidRPr="00435C8F">
              <w:rPr>
                <w:rFonts w:cs="Arial"/>
                <w:b/>
                <w:bCs/>
                <w:color w:val="FFFFFF"/>
                <w:szCs w:val="18"/>
                <w:lang w:eastAsia="en-AU"/>
              </w:rPr>
              <w:t>% change 2014 to 2015</w:t>
            </w:r>
          </w:p>
        </w:tc>
      </w:tr>
      <w:tr w:rsidR="00435C8F" w:rsidRPr="00435C8F" w:rsidTr="004B4158">
        <w:trPr>
          <w:trHeight w:val="300"/>
        </w:trPr>
        <w:tc>
          <w:tcPr>
            <w:tcW w:w="2086" w:type="dxa"/>
            <w:tcBorders>
              <w:top w:val="nil"/>
              <w:left w:val="nil"/>
              <w:bottom w:val="nil"/>
              <w:right w:val="nil"/>
            </w:tcBorders>
            <w:shd w:val="clear" w:color="auto" w:fill="auto"/>
            <w:noWrap/>
            <w:vAlign w:val="center"/>
            <w:hideMark/>
          </w:tcPr>
          <w:p w:rsidR="00435C8F" w:rsidRPr="00435C8F" w:rsidRDefault="00435C8F" w:rsidP="00435C8F">
            <w:pPr>
              <w:rPr>
                <w:rFonts w:cs="Arial"/>
                <w:color w:val="7F7F7F"/>
                <w:szCs w:val="18"/>
                <w:lang w:eastAsia="en-AU"/>
              </w:rPr>
            </w:pPr>
            <w:r w:rsidRPr="00435C8F">
              <w:rPr>
                <w:rFonts w:cs="Arial"/>
                <w:color w:val="7F7F7F"/>
                <w:szCs w:val="18"/>
                <w:lang w:eastAsia="en-AU"/>
              </w:rPr>
              <w:t>Cert I/II</w:t>
            </w:r>
          </w:p>
        </w:tc>
        <w:tc>
          <w:tcPr>
            <w:tcW w:w="1201" w:type="dxa"/>
            <w:tcBorders>
              <w:top w:val="nil"/>
              <w:left w:val="nil"/>
              <w:bottom w:val="nil"/>
              <w:right w:val="nil"/>
            </w:tcBorders>
            <w:shd w:val="clear" w:color="auto" w:fill="auto"/>
            <w:noWrap/>
            <w:vAlign w:val="center"/>
            <w:hideMark/>
          </w:tcPr>
          <w:p w:rsidR="00435C8F" w:rsidRPr="00435C8F" w:rsidRDefault="00435C8F" w:rsidP="00435C8F">
            <w:pPr>
              <w:jc w:val="right"/>
              <w:rPr>
                <w:rFonts w:cs="Arial"/>
                <w:color w:val="7F7F7F"/>
                <w:szCs w:val="18"/>
                <w:lang w:eastAsia="en-AU"/>
              </w:rPr>
            </w:pPr>
            <w:r w:rsidRPr="00435C8F">
              <w:rPr>
                <w:rFonts w:cs="Arial"/>
                <w:color w:val="7F7F7F"/>
                <w:szCs w:val="18"/>
                <w:lang w:eastAsia="en-AU"/>
              </w:rPr>
              <w:t>-22%</w:t>
            </w:r>
          </w:p>
        </w:tc>
        <w:tc>
          <w:tcPr>
            <w:tcW w:w="1202" w:type="dxa"/>
            <w:tcBorders>
              <w:top w:val="nil"/>
              <w:left w:val="nil"/>
              <w:bottom w:val="nil"/>
              <w:right w:val="nil"/>
            </w:tcBorders>
            <w:shd w:val="clear" w:color="auto" w:fill="auto"/>
            <w:noWrap/>
            <w:vAlign w:val="center"/>
            <w:hideMark/>
          </w:tcPr>
          <w:p w:rsidR="00435C8F" w:rsidRPr="00435C8F" w:rsidRDefault="00435C8F" w:rsidP="00435C8F">
            <w:pPr>
              <w:jc w:val="right"/>
              <w:rPr>
                <w:rFonts w:cs="Arial"/>
                <w:color w:val="7F7F7F"/>
                <w:szCs w:val="18"/>
                <w:lang w:eastAsia="en-AU"/>
              </w:rPr>
            </w:pPr>
            <w:r w:rsidRPr="00435C8F">
              <w:rPr>
                <w:rFonts w:cs="Arial"/>
                <w:color w:val="7F7F7F"/>
                <w:szCs w:val="18"/>
                <w:lang w:eastAsia="en-AU"/>
              </w:rPr>
              <w:t>-40%</w:t>
            </w:r>
          </w:p>
        </w:tc>
        <w:tc>
          <w:tcPr>
            <w:tcW w:w="1202" w:type="dxa"/>
            <w:tcBorders>
              <w:top w:val="nil"/>
              <w:left w:val="nil"/>
              <w:bottom w:val="nil"/>
              <w:right w:val="nil"/>
            </w:tcBorders>
            <w:shd w:val="clear" w:color="auto" w:fill="auto"/>
            <w:noWrap/>
            <w:vAlign w:val="center"/>
            <w:hideMark/>
          </w:tcPr>
          <w:p w:rsidR="00435C8F" w:rsidRPr="00435C8F" w:rsidRDefault="00435C8F" w:rsidP="00435C8F">
            <w:pPr>
              <w:jc w:val="right"/>
              <w:rPr>
                <w:rFonts w:cs="Arial"/>
                <w:color w:val="7F7F7F"/>
                <w:szCs w:val="18"/>
                <w:lang w:eastAsia="en-AU"/>
              </w:rPr>
            </w:pPr>
            <w:r w:rsidRPr="00435C8F">
              <w:rPr>
                <w:rFonts w:cs="Arial"/>
                <w:color w:val="7F7F7F"/>
                <w:szCs w:val="18"/>
                <w:lang w:eastAsia="en-AU"/>
              </w:rPr>
              <w:t>-62%</w:t>
            </w:r>
          </w:p>
        </w:tc>
        <w:tc>
          <w:tcPr>
            <w:tcW w:w="1202" w:type="dxa"/>
            <w:tcBorders>
              <w:top w:val="nil"/>
              <w:left w:val="nil"/>
              <w:bottom w:val="nil"/>
              <w:right w:val="nil"/>
            </w:tcBorders>
            <w:shd w:val="clear" w:color="auto" w:fill="auto"/>
            <w:noWrap/>
            <w:vAlign w:val="center"/>
            <w:hideMark/>
          </w:tcPr>
          <w:p w:rsidR="00435C8F" w:rsidRPr="00435C8F" w:rsidRDefault="00435C8F" w:rsidP="00435C8F">
            <w:pPr>
              <w:jc w:val="right"/>
              <w:rPr>
                <w:rFonts w:cs="Arial"/>
                <w:color w:val="7F7F7F"/>
                <w:szCs w:val="18"/>
                <w:lang w:eastAsia="en-AU"/>
              </w:rPr>
            </w:pPr>
            <w:r w:rsidRPr="00435C8F">
              <w:rPr>
                <w:rFonts w:cs="Arial"/>
                <w:color w:val="7F7F7F"/>
                <w:szCs w:val="18"/>
                <w:lang w:eastAsia="en-AU"/>
              </w:rPr>
              <w:t>-62%</w:t>
            </w:r>
          </w:p>
        </w:tc>
        <w:tc>
          <w:tcPr>
            <w:tcW w:w="1202" w:type="dxa"/>
            <w:tcBorders>
              <w:top w:val="nil"/>
              <w:left w:val="nil"/>
              <w:bottom w:val="nil"/>
              <w:right w:val="nil"/>
            </w:tcBorders>
            <w:shd w:val="clear" w:color="auto" w:fill="auto"/>
            <w:noWrap/>
            <w:vAlign w:val="center"/>
            <w:hideMark/>
          </w:tcPr>
          <w:p w:rsidR="00435C8F" w:rsidRPr="00435C8F" w:rsidRDefault="00435C8F" w:rsidP="00435C8F">
            <w:pPr>
              <w:jc w:val="right"/>
              <w:rPr>
                <w:rFonts w:cs="Arial"/>
                <w:color w:val="7F7F7F"/>
                <w:szCs w:val="18"/>
                <w:lang w:eastAsia="en-AU"/>
              </w:rPr>
            </w:pPr>
            <w:r w:rsidRPr="00435C8F">
              <w:rPr>
                <w:rFonts w:cs="Arial"/>
                <w:color w:val="7F7F7F"/>
                <w:szCs w:val="18"/>
                <w:lang w:eastAsia="en-AU"/>
              </w:rPr>
              <w:t>-34%</w:t>
            </w:r>
          </w:p>
        </w:tc>
      </w:tr>
      <w:tr w:rsidR="00435C8F" w:rsidRPr="00435C8F" w:rsidTr="004B4158">
        <w:trPr>
          <w:trHeight w:val="300"/>
        </w:trPr>
        <w:tc>
          <w:tcPr>
            <w:tcW w:w="2086" w:type="dxa"/>
            <w:tcBorders>
              <w:top w:val="nil"/>
              <w:left w:val="nil"/>
              <w:bottom w:val="nil"/>
              <w:right w:val="nil"/>
            </w:tcBorders>
            <w:shd w:val="clear" w:color="auto" w:fill="auto"/>
            <w:noWrap/>
            <w:vAlign w:val="center"/>
            <w:hideMark/>
          </w:tcPr>
          <w:p w:rsidR="00435C8F" w:rsidRPr="00435C8F" w:rsidRDefault="00435C8F" w:rsidP="00435C8F">
            <w:pPr>
              <w:rPr>
                <w:rFonts w:cs="Arial"/>
                <w:color w:val="7F7F7F"/>
                <w:szCs w:val="18"/>
                <w:lang w:eastAsia="en-AU"/>
              </w:rPr>
            </w:pPr>
            <w:r w:rsidRPr="00435C8F">
              <w:rPr>
                <w:rFonts w:cs="Arial"/>
                <w:color w:val="7F7F7F"/>
                <w:szCs w:val="18"/>
                <w:lang w:eastAsia="en-AU"/>
              </w:rPr>
              <w:t>Cert III/IV</w:t>
            </w:r>
          </w:p>
        </w:tc>
        <w:tc>
          <w:tcPr>
            <w:tcW w:w="1201" w:type="dxa"/>
            <w:tcBorders>
              <w:top w:val="nil"/>
              <w:left w:val="nil"/>
              <w:bottom w:val="nil"/>
              <w:right w:val="nil"/>
            </w:tcBorders>
            <w:shd w:val="clear" w:color="auto" w:fill="auto"/>
            <w:noWrap/>
            <w:vAlign w:val="center"/>
            <w:hideMark/>
          </w:tcPr>
          <w:p w:rsidR="00435C8F" w:rsidRPr="00435C8F" w:rsidRDefault="00435C8F" w:rsidP="00435C8F">
            <w:pPr>
              <w:jc w:val="right"/>
              <w:rPr>
                <w:rFonts w:cs="Arial"/>
                <w:color w:val="7F7F7F"/>
                <w:szCs w:val="18"/>
                <w:lang w:eastAsia="en-AU"/>
              </w:rPr>
            </w:pPr>
            <w:r w:rsidRPr="00435C8F">
              <w:rPr>
                <w:rFonts w:cs="Arial"/>
                <w:color w:val="7F7F7F"/>
                <w:szCs w:val="18"/>
                <w:lang w:eastAsia="en-AU"/>
              </w:rPr>
              <w:t>67%</w:t>
            </w:r>
          </w:p>
        </w:tc>
        <w:tc>
          <w:tcPr>
            <w:tcW w:w="1202" w:type="dxa"/>
            <w:tcBorders>
              <w:top w:val="nil"/>
              <w:left w:val="nil"/>
              <w:bottom w:val="nil"/>
              <w:right w:val="nil"/>
            </w:tcBorders>
            <w:shd w:val="clear" w:color="auto" w:fill="auto"/>
            <w:noWrap/>
            <w:vAlign w:val="center"/>
            <w:hideMark/>
          </w:tcPr>
          <w:p w:rsidR="00435C8F" w:rsidRPr="00435C8F" w:rsidRDefault="00435C8F" w:rsidP="00435C8F">
            <w:pPr>
              <w:jc w:val="right"/>
              <w:rPr>
                <w:rFonts w:cs="Arial"/>
                <w:color w:val="7F7F7F"/>
                <w:szCs w:val="18"/>
                <w:lang w:eastAsia="en-AU"/>
              </w:rPr>
            </w:pPr>
            <w:r w:rsidRPr="00435C8F">
              <w:rPr>
                <w:rFonts w:cs="Arial"/>
                <w:color w:val="7F7F7F"/>
                <w:szCs w:val="18"/>
                <w:lang w:eastAsia="en-AU"/>
              </w:rPr>
              <w:t>24%</w:t>
            </w:r>
          </w:p>
        </w:tc>
        <w:tc>
          <w:tcPr>
            <w:tcW w:w="1202" w:type="dxa"/>
            <w:tcBorders>
              <w:top w:val="nil"/>
              <w:left w:val="nil"/>
              <w:bottom w:val="nil"/>
              <w:right w:val="nil"/>
            </w:tcBorders>
            <w:shd w:val="clear" w:color="auto" w:fill="auto"/>
            <w:noWrap/>
            <w:vAlign w:val="center"/>
            <w:hideMark/>
          </w:tcPr>
          <w:p w:rsidR="00435C8F" w:rsidRPr="00435C8F" w:rsidRDefault="00435C8F" w:rsidP="00435C8F">
            <w:pPr>
              <w:jc w:val="right"/>
              <w:rPr>
                <w:rFonts w:cs="Arial"/>
                <w:color w:val="7F7F7F"/>
                <w:szCs w:val="18"/>
                <w:lang w:eastAsia="en-AU"/>
              </w:rPr>
            </w:pPr>
            <w:r w:rsidRPr="00435C8F">
              <w:rPr>
                <w:rFonts w:cs="Arial"/>
                <w:color w:val="7F7F7F"/>
                <w:szCs w:val="18"/>
                <w:lang w:eastAsia="en-AU"/>
              </w:rPr>
              <w:t>-17%</w:t>
            </w:r>
          </w:p>
        </w:tc>
        <w:tc>
          <w:tcPr>
            <w:tcW w:w="1202" w:type="dxa"/>
            <w:tcBorders>
              <w:top w:val="nil"/>
              <w:left w:val="nil"/>
              <w:bottom w:val="nil"/>
              <w:right w:val="nil"/>
            </w:tcBorders>
            <w:shd w:val="clear" w:color="auto" w:fill="auto"/>
            <w:noWrap/>
            <w:vAlign w:val="center"/>
            <w:hideMark/>
          </w:tcPr>
          <w:p w:rsidR="00435C8F" w:rsidRPr="00435C8F" w:rsidRDefault="00435C8F" w:rsidP="00435C8F">
            <w:pPr>
              <w:jc w:val="right"/>
              <w:rPr>
                <w:rFonts w:cs="Arial"/>
                <w:color w:val="7F7F7F"/>
                <w:szCs w:val="18"/>
                <w:lang w:eastAsia="en-AU"/>
              </w:rPr>
            </w:pPr>
            <w:r w:rsidRPr="00435C8F">
              <w:rPr>
                <w:rFonts w:cs="Arial"/>
                <w:color w:val="7F7F7F"/>
                <w:szCs w:val="18"/>
                <w:lang w:eastAsia="en-AU"/>
              </w:rPr>
              <w:t>-3%</w:t>
            </w:r>
          </w:p>
        </w:tc>
        <w:tc>
          <w:tcPr>
            <w:tcW w:w="1202" w:type="dxa"/>
            <w:tcBorders>
              <w:top w:val="nil"/>
              <w:left w:val="nil"/>
              <w:bottom w:val="nil"/>
              <w:right w:val="nil"/>
            </w:tcBorders>
            <w:shd w:val="clear" w:color="auto" w:fill="auto"/>
            <w:noWrap/>
            <w:vAlign w:val="center"/>
            <w:hideMark/>
          </w:tcPr>
          <w:p w:rsidR="00435C8F" w:rsidRPr="00435C8F" w:rsidRDefault="00435C8F" w:rsidP="00435C8F">
            <w:pPr>
              <w:jc w:val="right"/>
              <w:rPr>
                <w:rFonts w:cs="Arial"/>
                <w:color w:val="7F7F7F"/>
                <w:szCs w:val="18"/>
                <w:lang w:eastAsia="en-AU"/>
              </w:rPr>
            </w:pPr>
            <w:r w:rsidRPr="00435C8F">
              <w:rPr>
                <w:rFonts w:cs="Arial"/>
                <w:color w:val="7F7F7F"/>
                <w:szCs w:val="18"/>
                <w:lang w:eastAsia="en-AU"/>
              </w:rPr>
              <w:t>-13%</w:t>
            </w:r>
          </w:p>
        </w:tc>
      </w:tr>
      <w:tr w:rsidR="00435C8F" w:rsidRPr="00435C8F" w:rsidTr="004B4158">
        <w:trPr>
          <w:trHeight w:val="300"/>
        </w:trPr>
        <w:tc>
          <w:tcPr>
            <w:tcW w:w="2086" w:type="dxa"/>
            <w:tcBorders>
              <w:top w:val="nil"/>
              <w:left w:val="nil"/>
              <w:bottom w:val="nil"/>
              <w:right w:val="nil"/>
            </w:tcBorders>
            <w:shd w:val="clear" w:color="auto" w:fill="auto"/>
            <w:noWrap/>
            <w:vAlign w:val="center"/>
            <w:hideMark/>
          </w:tcPr>
          <w:p w:rsidR="00435C8F" w:rsidRPr="00435C8F" w:rsidRDefault="00435C8F" w:rsidP="00435C8F">
            <w:pPr>
              <w:rPr>
                <w:rFonts w:cs="Arial"/>
                <w:color w:val="7F7F7F"/>
                <w:szCs w:val="18"/>
                <w:lang w:eastAsia="en-AU"/>
              </w:rPr>
            </w:pPr>
            <w:r w:rsidRPr="00435C8F">
              <w:rPr>
                <w:rFonts w:cs="Arial"/>
                <w:color w:val="7F7F7F"/>
                <w:szCs w:val="18"/>
                <w:lang w:eastAsia="en-AU"/>
              </w:rPr>
              <w:t>Diploma &amp; Above</w:t>
            </w:r>
          </w:p>
        </w:tc>
        <w:tc>
          <w:tcPr>
            <w:tcW w:w="1201" w:type="dxa"/>
            <w:tcBorders>
              <w:top w:val="nil"/>
              <w:left w:val="nil"/>
              <w:bottom w:val="nil"/>
              <w:right w:val="nil"/>
            </w:tcBorders>
            <w:shd w:val="clear" w:color="auto" w:fill="auto"/>
            <w:noWrap/>
            <w:vAlign w:val="center"/>
            <w:hideMark/>
          </w:tcPr>
          <w:p w:rsidR="00435C8F" w:rsidRPr="00435C8F" w:rsidRDefault="00435C8F" w:rsidP="00435C8F">
            <w:pPr>
              <w:jc w:val="right"/>
              <w:rPr>
                <w:rFonts w:cs="Arial"/>
                <w:color w:val="7F7F7F"/>
                <w:szCs w:val="18"/>
                <w:lang w:eastAsia="en-AU"/>
              </w:rPr>
            </w:pPr>
            <w:r w:rsidRPr="00435C8F">
              <w:rPr>
                <w:rFonts w:cs="Arial"/>
                <w:color w:val="7F7F7F"/>
                <w:szCs w:val="18"/>
                <w:lang w:eastAsia="en-AU"/>
              </w:rPr>
              <w:t>0%</w:t>
            </w:r>
          </w:p>
        </w:tc>
        <w:tc>
          <w:tcPr>
            <w:tcW w:w="1202" w:type="dxa"/>
            <w:tcBorders>
              <w:top w:val="nil"/>
              <w:left w:val="nil"/>
              <w:bottom w:val="nil"/>
              <w:right w:val="nil"/>
            </w:tcBorders>
            <w:shd w:val="clear" w:color="auto" w:fill="auto"/>
            <w:noWrap/>
            <w:vAlign w:val="center"/>
            <w:hideMark/>
          </w:tcPr>
          <w:p w:rsidR="00435C8F" w:rsidRPr="00435C8F" w:rsidRDefault="00435C8F" w:rsidP="00435C8F">
            <w:pPr>
              <w:jc w:val="right"/>
              <w:rPr>
                <w:rFonts w:cs="Arial"/>
                <w:color w:val="7F7F7F"/>
                <w:szCs w:val="18"/>
                <w:lang w:eastAsia="en-AU"/>
              </w:rPr>
            </w:pPr>
            <w:r w:rsidRPr="00435C8F">
              <w:rPr>
                <w:rFonts w:cs="Arial"/>
                <w:color w:val="7F7F7F"/>
                <w:szCs w:val="18"/>
                <w:lang w:eastAsia="en-AU"/>
              </w:rPr>
              <w:t>-20%</w:t>
            </w:r>
          </w:p>
        </w:tc>
        <w:tc>
          <w:tcPr>
            <w:tcW w:w="1202" w:type="dxa"/>
            <w:tcBorders>
              <w:top w:val="nil"/>
              <w:left w:val="nil"/>
              <w:bottom w:val="nil"/>
              <w:right w:val="nil"/>
            </w:tcBorders>
            <w:shd w:val="clear" w:color="auto" w:fill="auto"/>
            <w:noWrap/>
            <w:vAlign w:val="center"/>
            <w:hideMark/>
          </w:tcPr>
          <w:p w:rsidR="00435C8F" w:rsidRPr="00435C8F" w:rsidRDefault="00435C8F" w:rsidP="00435C8F">
            <w:pPr>
              <w:jc w:val="right"/>
              <w:rPr>
                <w:rFonts w:cs="Arial"/>
                <w:color w:val="7F7F7F"/>
                <w:szCs w:val="18"/>
                <w:lang w:eastAsia="en-AU"/>
              </w:rPr>
            </w:pPr>
            <w:r w:rsidRPr="00435C8F">
              <w:rPr>
                <w:rFonts w:cs="Arial"/>
                <w:color w:val="7F7F7F"/>
                <w:szCs w:val="18"/>
                <w:lang w:eastAsia="en-AU"/>
              </w:rPr>
              <w:t>-35%</w:t>
            </w:r>
          </w:p>
        </w:tc>
        <w:tc>
          <w:tcPr>
            <w:tcW w:w="1202" w:type="dxa"/>
            <w:tcBorders>
              <w:top w:val="nil"/>
              <w:left w:val="nil"/>
              <w:bottom w:val="nil"/>
              <w:right w:val="nil"/>
            </w:tcBorders>
            <w:shd w:val="clear" w:color="auto" w:fill="auto"/>
            <w:noWrap/>
            <w:vAlign w:val="center"/>
            <w:hideMark/>
          </w:tcPr>
          <w:p w:rsidR="00435C8F" w:rsidRPr="00435C8F" w:rsidRDefault="00435C8F" w:rsidP="00435C8F">
            <w:pPr>
              <w:jc w:val="right"/>
              <w:rPr>
                <w:rFonts w:cs="Arial"/>
                <w:color w:val="7F7F7F"/>
                <w:szCs w:val="18"/>
                <w:lang w:eastAsia="en-AU"/>
              </w:rPr>
            </w:pPr>
            <w:r w:rsidRPr="00435C8F">
              <w:rPr>
                <w:rFonts w:cs="Arial"/>
                <w:color w:val="7F7F7F"/>
                <w:szCs w:val="18"/>
                <w:lang w:eastAsia="en-AU"/>
              </w:rPr>
              <w:t>-7%</w:t>
            </w:r>
          </w:p>
        </w:tc>
        <w:tc>
          <w:tcPr>
            <w:tcW w:w="1202" w:type="dxa"/>
            <w:tcBorders>
              <w:top w:val="nil"/>
              <w:left w:val="nil"/>
              <w:bottom w:val="nil"/>
              <w:right w:val="nil"/>
            </w:tcBorders>
            <w:shd w:val="clear" w:color="auto" w:fill="auto"/>
            <w:noWrap/>
            <w:vAlign w:val="center"/>
            <w:hideMark/>
          </w:tcPr>
          <w:p w:rsidR="00435C8F" w:rsidRPr="00435C8F" w:rsidRDefault="00435C8F" w:rsidP="00435C8F">
            <w:pPr>
              <w:jc w:val="right"/>
              <w:rPr>
                <w:rFonts w:cs="Arial"/>
                <w:color w:val="7F7F7F"/>
                <w:szCs w:val="18"/>
                <w:lang w:eastAsia="en-AU"/>
              </w:rPr>
            </w:pPr>
            <w:r w:rsidRPr="00435C8F">
              <w:rPr>
                <w:rFonts w:cs="Arial"/>
                <w:color w:val="7F7F7F"/>
                <w:szCs w:val="18"/>
                <w:lang w:eastAsia="en-AU"/>
              </w:rPr>
              <w:t>5%</w:t>
            </w:r>
          </w:p>
        </w:tc>
      </w:tr>
      <w:tr w:rsidR="00435C8F" w:rsidRPr="00435C8F" w:rsidTr="004B4158">
        <w:trPr>
          <w:trHeight w:val="300"/>
        </w:trPr>
        <w:tc>
          <w:tcPr>
            <w:tcW w:w="2086" w:type="dxa"/>
            <w:tcBorders>
              <w:top w:val="nil"/>
              <w:left w:val="nil"/>
              <w:bottom w:val="nil"/>
              <w:right w:val="nil"/>
            </w:tcBorders>
            <w:shd w:val="clear" w:color="auto" w:fill="auto"/>
            <w:noWrap/>
            <w:vAlign w:val="center"/>
            <w:hideMark/>
          </w:tcPr>
          <w:p w:rsidR="00435C8F" w:rsidRPr="00435C8F" w:rsidRDefault="00435C8F" w:rsidP="00435C8F">
            <w:pPr>
              <w:rPr>
                <w:rFonts w:cs="Arial"/>
                <w:i/>
                <w:iCs/>
                <w:color w:val="7F7F7F"/>
                <w:szCs w:val="18"/>
                <w:lang w:eastAsia="en-AU"/>
              </w:rPr>
            </w:pPr>
            <w:r w:rsidRPr="00435C8F">
              <w:rPr>
                <w:rFonts w:cs="Arial"/>
                <w:i/>
                <w:iCs/>
                <w:color w:val="7F7F7F"/>
                <w:szCs w:val="18"/>
                <w:lang w:eastAsia="en-AU"/>
              </w:rPr>
              <w:t xml:space="preserve">     VET FEE-HELP*</w:t>
            </w:r>
          </w:p>
        </w:tc>
        <w:tc>
          <w:tcPr>
            <w:tcW w:w="1201" w:type="dxa"/>
            <w:tcBorders>
              <w:top w:val="nil"/>
              <w:left w:val="nil"/>
              <w:bottom w:val="nil"/>
              <w:right w:val="nil"/>
            </w:tcBorders>
            <w:shd w:val="clear" w:color="auto" w:fill="auto"/>
            <w:noWrap/>
            <w:vAlign w:val="center"/>
            <w:hideMark/>
          </w:tcPr>
          <w:p w:rsidR="00435C8F" w:rsidRPr="00435C8F" w:rsidRDefault="00435C8F" w:rsidP="00435C8F">
            <w:pPr>
              <w:jc w:val="right"/>
              <w:rPr>
                <w:rFonts w:cs="Arial"/>
                <w:i/>
                <w:iCs/>
                <w:color w:val="7F7F7F"/>
                <w:szCs w:val="18"/>
                <w:lang w:eastAsia="en-AU"/>
              </w:rPr>
            </w:pPr>
            <w:r w:rsidRPr="00435C8F">
              <w:rPr>
                <w:rFonts w:cs="Arial"/>
                <w:i/>
                <w:iCs/>
                <w:color w:val="7F7F7F"/>
                <w:szCs w:val="18"/>
                <w:lang w:eastAsia="en-AU"/>
              </w:rPr>
              <w:t>134%</w:t>
            </w:r>
          </w:p>
        </w:tc>
        <w:tc>
          <w:tcPr>
            <w:tcW w:w="1202" w:type="dxa"/>
            <w:tcBorders>
              <w:top w:val="nil"/>
              <w:left w:val="nil"/>
              <w:bottom w:val="nil"/>
              <w:right w:val="nil"/>
            </w:tcBorders>
            <w:shd w:val="clear" w:color="auto" w:fill="auto"/>
            <w:noWrap/>
            <w:vAlign w:val="center"/>
            <w:hideMark/>
          </w:tcPr>
          <w:p w:rsidR="00435C8F" w:rsidRPr="00435C8F" w:rsidRDefault="00435C8F" w:rsidP="00435C8F">
            <w:pPr>
              <w:jc w:val="right"/>
              <w:rPr>
                <w:rFonts w:cs="Arial"/>
                <w:i/>
                <w:iCs/>
                <w:color w:val="7F7F7F"/>
                <w:szCs w:val="18"/>
                <w:lang w:eastAsia="en-AU"/>
              </w:rPr>
            </w:pPr>
            <w:r w:rsidRPr="00435C8F">
              <w:rPr>
                <w:rFonts w:cs="Arial"/>
                <w:i/>
                <w:iCs/>
                <w:color w:val="7F7F7F"/>
                <w:szCs w:val="18"/>
                <w:lang w:eastAsia="en-AU"/>
              </w:rPr>
              <w:t>81%</w:t>
            </w:r>
          </w:p>
        </w:tc>
        <w:tc>
          <w:tcPr>
            <w:tcW w:w="1202" w:type="dxa"/>
            <w:tcBorders>
              <w:top w:val="nil"/>
              <w:left w:val="nil"/>
              <w:bottom w:val="nil"/>
              <w:right w:val="nil"/>
            </w:tcBorders>
            <w:shd w:val="clear" w:color="auto" w:fill="auto"/>
            <w:noWrap/>
            <w:vAlign w:val="center"/>
            <w:hideMark/>
          </w:tcPr>
          <w:p w:rsidR="00435C8F" w:rsidRPr="00435C8F" w:rsidRDefault="00435C8F" w:rsidP="00435C8F">
            <w:pPr>
              <w:jc w:val="right"/>
              <w:rPr>
                <w:rFonts w:cs="Arial"/>
                <w:i/>
                <w:iCs/>
                <w:color w:val="7F7F7F"/>
                <w:szCs w:val="18"/>
                <w:lang w:eastAsia="en-AU"/>
              </w:rPr>
            </w:pPr>
            <w:r w:rsidRPr="00435C8F">
              <w:rPr>
                <w:rFonts w:cs="Arial"/>
                <w:i/>
                <w:iCs/>
                <w:color w:val="7F7F7F"/>
                <w:szCs w:val="18"/>
                <w:lang w:eastAsia="en-AU"/>
              </w:rPr>
              <w:t>79%</w:t>
            </w:r>
          </w:p>
        </w:tc>
        <w:tc>
          <w:tcPr>
            <w:tcW w:w="1202" w:type="dxa"/>
            <w:tcBorders>
              <w:top w:val="nil"/>
              <w:left w:val="nil"/>
              <w:bottom w:val="nil"/>
              <w:right w:val="nil"/>
            </w:tcBorders>
            <w:shd w:val="clear" w:color="auto" w:fill="auto"/>
            <w:noWrap/>
            <w:vAlign w:val="center"/>
            <w:hideMark/>
          </w:tcPr>
          <w:p w:rsidR="00435C8F" w:rsidRPr="00435C8F" w:rsidRDefault="00435C8F" w:rsidP="00435C8F">
            <w:pPr>
              <w:jc w:val="right"/>
              <w:rPr>
                <w:rFonts w:cs="Arial"/>
                <w:i/>
                <w:iCs/>
                <w:color w:val="7F7F7F"/>
                <w:szCs w:val="18"/>
                <w:lang w:eastAsia="en-AU"/>
              </w:rPr>
            </w:pPr>
            <w:r w:rsidRPr="00435C8F">
              <w:rPr>
                <w:rFonts w:cs="Arial"/>
                <w:i/>
                <w:iCs/>
                <w:color w:val="7F7F7F"/>
                <w:szCs w:val="18"/>
                <w:lang w:eastAsia="en-AU"/>
              </w:rPr>
              <w:t>20%</w:t>
            </w:r>
          </w:p>
        </w:tc>
        <w:tc>
          <w:tcPr>
            <w:tcW w:w="1202" w:type="dxa"/>
            <w:tcBorders>
              <w:top w:val="nil"/>
              <w:left w:val="nil"/>
              <w:bottom w:val="nil"/>
              <w:right w:val="nil"/>
            </w:tcBorders>
            <w:shd w:val="clear" w:color="auto" w:fill="auto"/>
            <w:noWrap/>
            <w:vAlign w:val="center"/>
            <w:hideMark/>
          </w:tcPr>
          <w:p w:rsidR="00435C8F" w:rsidRPr="00435C8F" w:rsidRDefault="00435C8F" w:rsidP="00435C8F">
            <w:pPr>
              <w:jc w:val="right"/>
              <w:rPr>
                <w:rFonts w:cs="Arial"/>
                <w:i/>
                <w:iCs/>
                <w:color w:val="7F7F7F"/>
                <w:szCs w:val="18"/>
                <w:lang w:eastAsia="en-AU"/>
              </w:rPr>
            </w:pPr>
            <w:r w:rsidRPr="00435C8F">
              <w:rPr>
                <w:rFonts w:cs="Arial"/>
                <w:i/>
                <w:iCs/>
                <w:color w:val="7F7F7F"/>
                <w:szCs w:val="18"/>
                <w:lang w:eastAsia="en-AU"/>
              </w:rPr>
              <w:t>26%</w:t>
            </w:r>
          </w:p>
        </w:tc>
      </w:tr>
      <w:tr w:rsidR="00435C8F" w:rsidRPr="00435C8F" w:rsidTr="004B4158">
        <w:trPr>
          <w:trHeight w:val="480"/>
        </w:trPr>
        <w:tc>
          <w:tcPr>
            <w:tcW w:w="2086" w:type="dxa"/>
            <w:tcBorders>
              <w:top w:val="nil"/>
              <w:left w:val="nil"/>
              <w:bottom w:val="nil"/>
              <w:right w:val="nil"/>
            </w:tcBorders>
            <w:shd w:val="clear" w:color="auto" w:fill="auto"/>
            <w:vAlign w:val="center"/>
            <w:hideMark/>
          </w:tcPr>
          <w:p w:rsidR="00435C8F" w:rsidRPr="00435C8F" w:rsidRDefault="00435C8F" w:rsidP="00435C8F">
            <w:pPr>
              <w:rPr>
                <w:rFonts w:cs="Arial"/>
                <w:i/>
                <w:iCs/>
                <w:color w:val="7F7F7F"/>
                <w:szCs w:val="18"/>
                <w:lang w:eastAsia="en-AU"/>
              </w:rPr>
            </w:pPr>
            <w:r w:rsidRPr="00435C8F">
              <w:rPr>
                <w:rFonts w:cs="Arial"/>
                <w:i/>
                <w:iCs/>
                <w:color w:val="7F7F7F"/>
                <w:szCs w:val="18"/>
                <w:lang w:eastAsia="en-AU"/>
              </w:rPr>
              <w:t xml:space="preserve">     Without any</w:t>
            </w:r>
            <w:r w:rsidRPr="00435C8F">
              <w:rPr>
                <w:rFonts w:cs="Arial"/>
                <w:i/>
                <w:iCs/>
                <w:color w:val="7F7F7F"/>
                <w:szCs w:val="18"/>
                <w:lang w:eastAsia="en-AU"/>
              </w:rPr>
              <w:br/>
              <w:t xml:space="preserve">     VET FEE-HELP*</w:t>
            </w:r>
          </w:p>
        </w:tc>
        <w:tc>
          <w:tcPr>
            <w:tcW w:w="1201" w:type="dxa"/>
            <w:tcBorders>
              <w:top w:val="nil"/>
              <w:left w:val="nil"/>
              <w:bottom w:val="nil"/>
              <w:right w:val="nil"/>
            </w:tcBorders>
            <w:shd w:val="clear" w:color="auto" w:fill="auto"/>
            <w:noWrap/>
            <w:vAlign w:val="center"/>
            <w:hideMark/>
          </w:tcPr>
          <w:p w:rsidR="00435C8F" w:rsidRPr="00435C8F" w:rsidRDefault="00435C8F" w:rsidP="00582EF7">
            <w:pPr>
              <w:jc w:val="right"/>
              <w:rPr>
                <w:rFonts w:cs="Arial"/>
                <w:i/>
                <w:iCs/>
                <w:color w:val="7F7F7F"/>
                <w:szCs w:val="18"/>
                <w:lang w:eastAsia="en-AU"/>
              </w:rPr>
            </w:pPr>
            <w:r w:rsidRPr="00435C8F">
              <w:rPr>
                <w:rFonts w:cs="Arial"/>
                <w:i/>
                <w:iCs/>
                <w:color w:val="7F7F7F"/>
                <w:szCs w:val="18"/>
                <w:lang w:eastAsia="en-AU"/>
              </w:rPr>
              <w:t>-2</w:t>
            </w:r>
            <w:r w:rsidR="00582EF7">
              <w:rPr>
                <w:rFonts w:cs="Arial"/>
                <w:i/>
                <w:iCs/>
                <w:color w:val="7F7F7F"/>
                <w:szCs w:val="18"/>
                <w:lang w:eastAsia="en-AU"/>
              </w:rPr>
              <w:t>3</w:t>
            </w:r>
            <w:r w:rsidRPr="00435C8F">
              <w:rPr>
                <w:rFonts w:cs="Arial"/>
                <w:i/>
                <w:iCs/>
                <w:color w:val="7F7F7F"/>
                <w:szCs w:val="18"/>
                <w:lang w:eastAsia="en-AU"/>
              </w:rPr>
              <w:t>%</w:t>
            </w:r>
          </w:p>
        </w:tc>
        <w:tc>
          <w:tcPr>
            <w:tcW w:w="1202" w:type="dxa"/>
            <w:tcBorders>
              <w:top w:val="nil"/>
              <w:left w:val="nil"/>
              <w:bottom w:val="nil"/>
              <w:right w:val="nil"/>
            </w:tcBorders>
            <w:shd w:val="clear" w:color="auto" w:fill="auto"/>
            <w:noWrap/>
            <w:vAlign w:val="center"/>
            <w:hideMark/>
          </w:tcPr>
          <w:p w:rsidR="00435C8F" w:rsidRPr="00435C8F" w:rsidRDefault="00435C8F" w:rsidP="00582EF7">
            <w:pPr>
              <w:jc w:val="right"/>
              <w:rPr>
                <w:rFonts w:cs="Arial"/>
                <w:i/>
                <w:iCs/>
                <w:color w:val="7F7F7F"/>
                <w:szCs w:val="18"/>
                <w:lang w:eastAsia="en-AU"/>
              </w:rPr>
            </w:pPr>
            <w:r w:rsidRPr="00435C8F">
              <w:rPr>
                <w:rFonts w:cs="Arial"/>
                <w:i/>
                <w:iCs/>
                <w:color w:val="7F7F7F"/>
                <w:szCs w:val="18"/>
                <w:lang w:eastAsia="en-AU"/>
              </w:rPr>
              <w:t>-3</w:t>
            </w:r>
            <w:r w:rsidR="00582EF7">
              <w:rPr>
                <w:rFonts w:cs="Arial"/>
                <w:i/>
                <w:iCs/>
                <w:color w:val="7F7F7F"/>
                <w:szCs w:val="18"/>
                <w:lang w:eastAsia="en-AU"/>
              </w:rPr>
              <w:t>9</w:t>
            </w:r>
            <w:r w:rsidRPr="00435C8F">
              <w:rPr>
                <w:rFonts w:cs="Arial"/>
                <w:i/>
                <w:iCs/>
                <w:color w:val="7F7F7F"/>
                <w:szCs w:val="18"/>
                <w:lang w:eastAsia="en-AU"/>
              </w:rPr>
              <w:t>%</w:t>
            </w:r>
          </w:p>
        </w:tc>
        <w:tc>
          <w:tcPr>
            <w:tcW w:w="1202" w:type="dxa"/>
            <w:tcBorders>
              <w:top w:val="nil"/>
              <w:left w:val="nil"/>
              <w:bottom w:val="nil"/>
              <w:right w:val="nil"/>
            </w:tcBorders>
            <w:shd w:val="clear" w:color="auto" w:fill="auto"/>
            <w:noWrap/>
            <w:vAlign w:val="center"/>
            <w:hideMark/>
          </w:tcPr>
          <w:p w:rsidR="00435C8F" w:rsidRPr="00435C8F" w:rsidRDefault="00435C8F" w:rsidP="00435C8F">
            <w:pPr>
              <w:jc w:val="right"/>
              <w:rPr>
                <w:rFonts w:cs="Arial"/>
                <w:i/>
                <w:iCs/>
                <w:color w:val="7F7F7F"/>
                <w:szCs w:val="18"/>
                <w:lang w:eastAsia="en-AU"/>
              </w:rPr>
            </w:pPr>
            <w:r w:rsidRPr="00435C8F">
              <w:rPr>
                <w:rFonts w:cs="Arial"/>
                <w:i/>
                <w:iCs/>
                <w:color w:val="7F7F7F"/>
                <w:szCs w:val="18"/>
                <w:lang w:eastAsia="en-AU"/>
              </w:rPr>
              <w:t>-51%</w:t>
            </w:r>
          </w:p>
        </w:tc>
        <w:tc>
          <w:tcPr>
            <w:tcW w:w="1202" w:type="dxa"/>
            <w:tcBorders>
              <w:top w:val="nil"/>
              <w:left w:val="nil"/>
              <w:bottom w:val="nil"/>
              <w:right w:val="nil"/>
            </w:tcBorders>
            <w:shd w:val="clear" w:color="auto" w:fill="auto"/>
            <w:noWrap/>
            <w:vAlign w:val="center"/>
            <w:hideMark/>
          </w:tcPr>
          <w:p w:rsidR="00435C8F" w:rsidRPr="00435C8F" w:rsidRDefault="00435C8F" w:rsidP="00582EF7">
            <w:pPr>
              <w:jc w:val="right"/>
              <w:rPr>
                <w:rFonts w:cs="Arial"/>
                <w:i/>
                <w:iCs/>
                <w:color w:val="7F7F7F"/>
                <w:szCs w:val="18"/>
                <w:lang w:eastAsia="en-AU"/>
              </w:rPr>
            </w:pPr>
            <w:r w:rsidRPr="00435C8F">
              <w:rPr>
                <w:rFonts w:cs="Arial"/>
                <w:i/>
                <w:iCs/>
                <w:color w:val="7F7F7F"/>
                <w:szCs w:val="18"/>
                <w:lang w:eastAsia="en-AU"/>
              </w:rPr>
              <w:t>-1</w:t>
            </w:r>
            <w:r w:rsidR="00582EF7">
              <w:rPr>
                <w:rFonts w:cs="Arial"/>
                <w:i/>
                <w:iCs/>
                <w:color w:val="7F7F7F"/>
                <w:szCs w:val="18"/>
                <w:lang w:eastAsia="en-AU"/>
              </w:rPr>
              <w:t>6</w:t>
            </w:r>
            <w:r w:rsidRPr="00435C8F">
              <w:rPr>
                <w:rFonts w:cs="Arial"/>
                <w:i/>
                <w:iCs/>
                <w:color w:val="7F7F7F"/>
                <w:szCs w:val="18"/>
                <w:lang w:eastAsia="en-AU"/>
              </w:rPr>
              <w:t>%</w:t>
            </w:r>
          </w:p>
        </w:tc>
        <w:tc>
          <w:tcPr>
            <w:tcW w:w="1202" w:type="dxa"/>
            <w:tcBorders>
              <w:top w:val="nil"/>
              <w:left w:val="nil"/>
              <w:bottom w:val="nil"/>
              <w:right w:val="nil"/>
            </w:tcBorders>
            <w:shd w:val="clear" w:color="auto" w:fill="auto"/>
            <w:noWrap/>
            <w:vAlign w:val="center"/>
            <w:hideMark/>
          </w:tcPr>
          <w:p w:rsidR="00435C8F" w:rsidRPr="00435C8F" w:rsidRDefault="00435C8F" w:rsidP="00582EF7">
            <w:pPr>
              <w:jc w:val="right"/>
              <w:rPr>
                <w:rFonts w:cs="Arial"/>
                <w:i/>
                <w:iCs/>
                <w:color w:val="7F7F7F"/>
                <w:szCs w:val="18"/>
                <w:lang w:eastAsia="en-AU"/>
              </w:rPr>
            </w:pPr>
            <w:r w:rsidRPr="00435C8F">
              <w:rPr>
                <w:rFonts w:cs="Arial"/>
                <w:i/>
                <w:iCs/>
                <w:color w:val="7F7F7F"/>
                <w:szCs w:val="18"/>
                <w:lang w:eastAsia="en-AU"/>
              </w:rPr>
              <w:t>-</w:t>
            </w:r>
            <w:r w:rsidR="00582EF7">
              <w:rPr>
                <w:rFonts w:cs="Arial"/>
                <w:i/>
                <w:iCs/>
                <w:color w:val="7F7F7F"/>
                <w:szCs w:val="18"/>
                <w:lang w:eastAsia="en-AU"/>
              </w:rPr>
              <w:t>4</w:t>
            </w:r>
            <w:r w:rsidRPr="00435C8F">
              <w:rPr>
                <w:rFonts w:cs="Arial"/>
                <w:i/>
                <w:iCs/>
                <w:color w:val="7F7F7F"/>
                <w:szCs w:val="18"/>
                <w:lang w:eastAsia="en-AU"/>
              </w:rPr>
              <w:t>%</w:t>
            </w:r>
          </w:p>
        </w:tc>
      </w:tr>
      <w:tr w:rsidR="00435C8F" w:rsidRPr="00435C8F" w:rsidTr="004B4158">
        <w:trPr>
          <w:trHeight w:val="300"/>
        </w:trPr>
        <w:tc>
          <w:tcPr>
            <w:tcW w:w="2086" w:type="dxa"/>
            <w:tcBorders>
              <w:top w:val="nil"/>
              <w:left w:val="nil"/>
              <w:bottom w:val="nil"/>
              <w:right w:val="nil"/>
            </w:tcBorders>
            <w:shd w:val="clear" w:color="auto" w:fill="auto"/>
            <w:noWrap/>
            <w:vAlign w:val="center"/>
            <w:hideMark/>
          </w:tcPr>
          <w:p w:rsidR="00435C8F" w:rsidRPr="00435C8F" w:rsidRDefault="00435C8F" w:rsidP="00435C8F">
            <w:pPr>
              <w:rPr>
                <w:rFonts w:cs="Arial"/>
                <w:color w:val="7F7F7F"/>
                <w:szCs w:val="18"/>
                <w:lang w:eastAsia="en-AU"/>
              </w:rPr>
            </w:pPr>
            <w:r w:rsidRPr="00435C8F">
              <w:rPr>
                <w:rFonts w:cs="Arial"/>
                <w:color w:val="7F7F7F"/>
                <w:szCs w:val="18"/>
                <w:lang w:eastAsia="en-AU"/>
              </w:rPr>
              <w:t>Module Only</w:t>
            </w:r>
          </w:p>
        </w:tc>
        <w:tc>
          <w:tcPr>
            <w:tcW w:w="1201" w:type="dxa"/>
            <w:tcBorders>
              <w:top w:val="nil"/>
              <w:left w:val="nil"/>
              <w:bottom w:val="nil"/>
              <w:right w:val="nil"/>
            </w:tcBorders>
            <w:shd w:val="clear" w:color="auto" w:fill="auto"/>
            <w:noWrap/>
            <w:vAlign w:val="center"/>
            <w:hideMark/>
          </w:tcPr>
          <w:p w:rsidR="00435C8F" w:rsidRPr="00435C8F" w:rsidRDefault="00435C8F" w:rsidP="00435C8F">
            <w:pPr>
              <w:jc w:val="right"/>
              <w:rPr>
                <w:rFonts w:cs="Arial"/>
                <w:color w:val="7F7F7F"/>
                <w:szCs w:val="18"/>
                <w:lang w:eastAsia="en-AU"/>
              </w:rPr>
            </w:pPr>
            <w:r w:rsidRPr="00435C8F">
              <w:rPr>
                <w:rFonts w:cs="Arial"/>
                <w:color w:val="7F7F7F"/>
                <w:szCs w:val="18"/>
                <w:lang w:eastAsia="en-AU"/>
              </w:rPr>
              <w:t>-78%</w:t>
            </w:r>
          </w:p>
        </w:tc>
        <w:tc>
          <w:tcPr>
            <w:tcW w:w="1202" w:type="dxa"/>
            <w:tcBorders>
              <w:top w:val="nil"/>
              <w:left w:val="nil"/>
              <w:bottom w:val="nil"/>
              <w:right w:val="nil"/>
            </w:tcBorders>
            <w:shd w:val="clear" w:color="auto" w:fill="auto"/>
            <w:noWrap/>
            <w:vAlign w:val="center"/>
            <w:hideMark/>
          </w:tcPr>
          <w:p w:rsidR="00435C8F" w:rsidRPr="00435C8F" w:rsidRDefault="00435C8F" w:rsidP="00435C8F">
            <w:pPr>
              <w:jc w:val="right"/>
              <w:rPr>
                <w:rFonts w:cs="Arial"/>
                <w:color w:val="7F7F7F"/>
                <w:szCs w:val="18"/>
                <w:lang w:eastAsia="en-AU"/>
              </w:rPr>
            </w:pPr>
            <w:r w:rsidRPr="00435C8F">
              <w:rPr>
                <w:rFonts w:cs="Arial"/>
                <w:color w:val="7F7F7F"/>
                <w:szCs w:val="18"/>
                <w:lang w:eastAsia="en-AU"/>
              </w:rPr>
              <w:t>-33%</w:t>
            </w:r>
          </w:p>
        </w:tc>
        <w:tc>
          <w:tcPr>
            <w:tcW w:w="1202" w:type="dxa"/>
            <w:tcBorders>
              <w:top w:val="nil"/>
              <w:left w:val="nil"/>
              <w:bottom w:val="nil"/>
              <w:right w:val="nil"/>
            </w:tcBorders>
            <w:shd w:val="clear" w:color="auto" w:fill="auto"/>
            <w:noWrap/>
            <w:vAlign w:val="center"/>
            <w:hideMark/>
          </w:tcPr>
          <w:p w:rsidR="00435C8F" w:rsidRPr="00435C8F" w:rsidRDefault="00435C8F" w:rsidP="00435C8F">
            <w:pPr>
              <w:jc w:val="right"/>
              <w:rPr>
                <w:rFonts w:cs="Arial"/>
                <w:color w:val="7F7F7F"/>
                <w:szCs w:val="18"/>
                <w:lang w:eastAsia="en-AU"/>
              </w:rPr>
            </w:pPr>
            <w:r w:rsidRPr="00435C8F">
              <w:rPr>
                <w:rFonts w:cs="Arial"/>
                <w:color w:val="7F7F7F"/>
                <w:szCs w:val="18"/>
                <w:lang w:eastAsia="en-AU"/>
              </w:rPr>
              <w:t>55%</w:t>
            </w:r>
          </w:p>
        </w:tc>
        <w:tc>
          <w:tcPr>
            <w:tcW w:w="1202" w:type="dxa"/>
            <w:tcBorders>
              <w:top w:val="nil"/>
              <w:left w:val="nil"/>
              <w:bottom w:val="nil"/>
              <w:right w:val="nil"/>
            </w:tcBorders>
            <w:shd w:val="clear" w:color="auto" w:fill="auto"/>
            <w:noWrap/>
            <w:vAlign w:val="center"/>
            <w:hideMark/>
          </w:tcPr>
          <w:p w:rsidR="00435C8F" w:rsidRPr="00435C8F" w:rsidRDefault="00435C8F" w:rsidP="00435C8F">
            <w:pPr>
              <w:jc w:val="right"/>
              <w:rPr>
                <w:rFonts w:cs="Arial"/>
                <w:color w:val="7F7F7F"/>
                <w:szCs w:val="18"/>
                <w:lang w:eastAsia="en-AU"/>
              </w:rPr>
            </w:pPr>
            <w:r w:rsidRPr="00435C8F">
              <w:rPr>
                <w:rFonts w:cs="Arial"/>
                <w:color w:val="7F7F7F"/>
                <w:szCs w:val="18"/>
                <w:lang w:eastAsia="en-AU"/>
              </w:rPr>
              <w:t>151%</w:t>
            </w:r>
          </w:p>
        </w:tc>
        <w:tc>
          <w:tcPr>
            <w:tcW w:w="1202" w:type="dxa"/>
            <w:tcBorders>
              <w:top w:val="nil"/>
              <w:left w:val="nil"/>
              <w:bottom w:val="nil"/>
              <w:right w:val="nil"/>
            </w:tcBorders>
            <w:shd w:val="clear" w:color="auto" w:fill="auto"/>
            <w:noWrap/>
            <w:vAlign w:val="center"/>
            <w:hideMark/>
          </w:tcPr>
          <w:p w:rsidR="00435C8F" w:rsidRPr="00435C8F" w:rsidRDefault="00435C8F" w:rsidP="00435C8F">
            <w:pPr>
              <w:jc w:val="right"/>
              <w:rPr>
                <w:rFonts w:cs="Arial"/>
                <w:color w:val="7F7F7F"/>
                <w:szCs w:val="18"/>
                <w:lang w:eastAsia="en-AU"/>
              </w:rPr>
            </w:pPr>
            <w:r w:rsidRPr="00435C8F">
              <w:rPr>
                <w:rFonts w:cs="Arial"/>
                <w:color w:val="7F7F7F"/>
                <w:szCs w:val="18"/>
                <w:lang w:eastAsia="en-AU"/>
              </w:rPr>
              <w:t>8%</w:t>
            </w:r>
          </w:p>
        </w:tc>
      </w:tr>
      <w:tr w:rsidR="00435C8F" w:rsidRPr="00435C8F" w:rsidTr="004B4158">
        <w:trPr>
          <w:trHeight w:val="300"/>
        </w:trPr>
        <w:tc>
          <w:tcPr>
            <w:tcW w:w="2086" w:type="dxa"/>
            <w:tcBorders>
              <w:top w:val="nil"/>
              <w:left w:val="nil"/>
              <w:bottom w:val="nil"/>
              <w:right w:val="nil"/>
            </w:tcBorders>
            <w:shd w:val="clear" w:color="auto" w:fill="auto"/>
            <w:noWrap/>
            <w:vAlign w:val="center"/>
            <w:hideMark/>
          </w:tcPr>
          <w:p w:rsidR="00435C8F" w:rsidRPr="00435C8F" w:rsidRDefault="00435C8F" w:rsidP="00435C8F">
            <w:pPr>
              <w:rPr>
                <w:rFonts w:cs="Arial"/>
                <w:color w:val="7F7F7F"/>
                <w:szCs w:val="18"/>
                <w:lang w:eastAsia="en-AU"/>
              </w:rPr>
            </w:pPr>
            <w:r w:rsidRPr="00435C8F">
              <w:rPr>
                <w:rFonts w:cs="Arial"/>
                <w:color w:val="7F7F7F"/>
                <w:szCs w:val="18"/>
                <w:lang w:eastAsia="en-AU"/>
              </w:rPr>
              <w:t>Secondary Education**</w:t>
            </w:r>
          </w:p>
        </w:tc>
        <w:tc>
          <w:tcPr>
            <w:tcW w:w="1201" w:type="dxa"/>
            <w:tcBorders>
              <w:top w:val="nil"/>
              <w:left w:val="nil"/>
              <w:bottom w:val="nil"/>
              <w:right w:val="nil"/>
            </w:tcBorders>
            <w:shd w:val="clear" w:color="auto" w:fill="auto"/>
            <w:noWrap/>
            <w:vAlign w:val="center"/>
            <w:hideMark/>
          </w:tcPr>
          <w:p w:rsidR="00435C8F" w:rsidRPr="00435C8F" w:rsidRDefault="00435C8F" w:rsidP="00435C8F">
            <w:pPr>
              <w:jc w:val="right"/>
              <w:rPr>
                <w:rFonts w:cs="Arial"/>
                <w:color w:val="7F7F7F"/>
                <w:szCs w:val="18"/>
                <w:lang w:eastAsia="en-AU"/>
              </w:rPr>
            </w:pPr>
            <w:r w:rsidRPr="00435C8F">
              <w:rPr>
                <w:rFonts w:cs="Arial"/>
                <w:color w:val="7F7F7F"/>
                <w:szCs w:val="18"/>
                <w:lang w:eastAsia="en-AU"/>
              </w:rPr>
              <w:t>-5%</w:t>
            </w:r>
          </w:p>
        </w:tc>
        <w:tc>
          <w:tcPr>
            <w:tcW w:w="1202" w:type="dxa"/>
            <w:tcBorders>
              <w:top w:val="nil"/>
              <w:left w:val="nil"/>
              <w:bottom w:val="nil"/>
              <w:right w:val="nil"/>
            </w:tcBorders>
            <w:shd w:val="clear" w:color="auto" w:fill="auto"/>
            <w:noWrap/>
            <w:vAlign w:val="center"/>
            <w:hideMark/>
          </w:tcPr>
          <w:p w:rsidR="00435C8F" w:rsidRPr="00435C8F" w:rsidRDefault="00435C8F" w:rsidP="00435C8F">
            <w:pPr>
              <w:jc w:val="right"/>
              <w:rPr>
                <w:rFonts w:cs="Arial"/>
                <w:color w:val="7F7F7F"/>
                <w:szCs w:val="18"/>
                <w:lang w:eastAsia="en-AU"/>
              </w:rPr>
            </w:pPr>
            <w:r w:rsidRPr="00435C8F">
              <w:rPr>
                <w:rFonts w:cs="Arial"/>
                <w:color w:val="7F7F7F"/>
                <w:szCs w:val="18"/>
                <w:lang w:eastAsia="en-AU"/>
              </w:rPr>
              <w:t>-3%</w:t>
            </w:r>
          </w:p>
        </w:tc>
        <w:tc>
          <w:tcPr>
            <w:tcW w:w="1202" w:type="dxa"/>
            <w:tcBorders>
              <w:top w:val="nil"/>
              <w:left w:val="nil"/>
              <w:bottom w:val="nil"/>
              <w:right w:val="nil"/>
            </w:tcBorders>
            <w:shd w:val="clear" w:color="auto" w:fill="auto"/>
            <w:noWrap/>
            <w:vAlign w:val="center"/>
            <w:hideMark/>
          </w:tcPr>
          <w:p w:rsidR="00435C8F" w:rsidRPr="00435C8F" w:rsidRDefault="00435C8F" w:rsidP="00435C8F">
            <w:pPr>
              <w:jc w:val="right"/>
              <w:rPr>
                <w:rFonts w:cs="Arial"/>
                <w:color w:val="7F7F7F"/>
                <w:szCs w:val="18"/>
                <w:lang w:eastAsia="en-AU"/>
              </w:rPr>
            </w:pPr>
            <w:r w:rsidRPr="00435C8F">
              <w:rPr>
                <w:rFonts w:cs="Arial"/>
                <w:color w:val="7F7F7F"/>
                <w:szCs w:val="18"/>
                <w:lang w:eastAsia="en-AU"/>
              </w:rPr>
              <w:t>-7%</w:t>
            </w:r>
          </w:p>
        </w:tc>
        <w:tc>
          <w:tcPr>
            <w:tcW w:w="1202" w:type="dxa"/>
            <w:tcBorders>
              <w:top w:val="nil"/>
              <w:left w:val="nil"/>
              <w:bottom w:val="nil"/>
              <w:right w:val="nil"/>
            </w:tcBorders>
            <w:shd w:val="clear" w:color="auto" w:fill="auto"/>
            <w:noWrap/>
            <w:vAlign w:val="center"/>
            <w:hideMark/>
          </w:tcPr>
          <w:p w:rsidR="00435C8F" w:rsidRPr="00435C8F" w:rsidRDefault="00435C8F" w:rsidP="00435C8F">
            <w:pPr>
              <w:jc w:val="right"/>
              <w:rPr>
                <w:rFonts w:cs="Arial"/>
                <w:color w:val="7F7F7F"/>
                <w:szCs w:val="18"/>
                <w:lang w:eastAsia="en-AU"/>
              </w:rPr>
            </w:pPr>
            <w:r w:rsidRPr="00435C8F">
              <w:rPr>
                <w:rFonts w:cs="Arial"/>
                <w:color w:val="7F7F7F"/>
                <w:szCs w:val="18"/>
                <w:lang w:eastAsia="en-AU"/>
              </w:rPr>
              <w:t>-17%</w:t>
            </w:r>
          </w:p>
        </w:tc>
        <w:tc>
          <w:tcPr>
            <w:tcW w:w="1202" w:type="dxa"/>
            <w:tcBorders>
              <w:top w:val="nil"/>
              <w:left w:val="nil"/>
              <w:bottom w:val="nil"/>
              <w:right w:val="nil"/>
            </w:tcBorders>
            <w:shd w:val="clear" w:color="auto" w:fill="auto"/>
            <w:noWrap/>
            <w:vAlign w:val="center"/>
            <w:hideMark/>
          </w:tcPr>
          <w:p w:rsidR="00435C8F" w:rsidRPr="00435C8F" w:rsidRDefault="00435C8F" w:rsidP="00435C8F">
            <w:pPr>
              <w:jc w:val="right"/>
              <w:rPr>
                <w:rFonts w:cs="Arial"/>
                <w:color w:val="7F7F7F"/>
                <w:szCs w:val="18"/>
                <w:lang w:eastAsia="en-AU"/>
              </w:rPr>
            </w:pPr>
            <w:r w:rsidRPr="00435C8F">
              <w:rPr>
                <w:rFonts w:cs="Arial"/>
                <w:color w:val="7F7F7F"/>
                <w:szCs w:val="18"/>
                <w:lang w:eastAsia="en-AU"/>
              </w:rPr>
              <w:t>-25%</w:t>
            </w:r>
          </w:p>
        </w:tc>
      </w:tr>
      <w:tr w:rsidR="00435C8F" w:rsidRPr="00435C8F" w:rsidTr="004B4158">
        <w:trPr>
          <w:trHeight w:val="300"/>
        </w:trPr>
        <w:tc>
          <w:tcPr>
            <w:tcW w:w="2086" w:type="dxa"/>
            <w:tcBorders>
              <w:top w:val="nil"/>
              <w:left w:val="nil"/>
              <w:bottom w:val="nil"/>
              <w:right w:val="nil"/>
            </w:tcBorders>
            <w:shd w:val="clear" w:color="auto" w:fill="auto"/>
            <w:noWrap/>
            <w:vAlign w:val="center"/>
            <w:hideMark/>
          </w:tcPr>
          <w:p w:rsidR="00435C8F" w:rsidRPr="00435C8F" w:rsidRDefault="00435C8F" w:rsidP="00435C8F">
            <w:pPr>
              <w:rPr>
                <w:rFonts w:cs="Arial"/>
                <w:color w:val="7F7F7F"/>
                <w:szCs w:val="18"/>
                <w:lang w:eastAsia="en-AU"/>
              </w:rPr>
            </w:pPr>
            <w:r w:rsidRPr="00435C8F">
              <w:rPr>
                <w:rFonts w:cs="Arial"/>
                <w:color w:val="7F7F7F"/>
                <w:szCs w:val="18"/>
                <w:lang w:eastAsia="en-AU"/>
              </w:rPr>
              <w:t>Other***</w:t>
            </w:r>
          </w:p>
        </w:tc>
        <w:tc>
          <w:tcPr>
            <w:tcW w:w="1201" w:type="dxa"/>
            <w:tcBorders>
              <w:top w:val="nil"/>
              <w:left w:val="nil"/>
              <w:bottom w:val="nil"/>
              <w:right w:val="nil"/>
            </w:tcBorders>
            <w:shd w:val="clear" w:color="auto" w:fill="auto"/>
            <w:noWrap/>
            <w:vAlign w:val="center"/>
            <w:hideMark/>
          </w:tcPr>
          <w:p w:rsidR="00435C8F" w:rsidRPr="00435C8F" w:rsidRDefault="00435C8F" w:rsidP="00435C8F">
            <w:pPr>
              <w:jc w:val="right"/>
              <w:rPr>
                <w:rFonts w:cs="Arial"/>
                <w:color w:val="7F7F7F"/>
                <w:szCs w:val="18"/>
                <w:lang w:eastAsia="en-AU"/>
              </w:rPr>
            </w:pPr>
            <w:r w:rsidRPr="00435C8F">
              <w:rPr>
                <w:rFonts w:cs="Arial"/>
                <w:color w:val="7F7F7F"/>
                <w:szCs w:val="18"/>
                <w:lang w:eastAsia="en-AU"/>
              </w:rPr>
              <w:t>-36%</w:t>
            </w:r>
          </w:p>
        </w:tc>
        <w:tc>
          <w:tcPr>
            <w:tcW w:w="1202" w:type="dxa"/>
            <w:tcBorders>
              <w:top w:val="nil"/>
              <w:left w:val="nil"/>
              <w:bottom w:val="nil"/>
              <w:right w:val="nil"/>
            </w:tcBorders>
            <w:shd w:val="clear" w:color="auto" w:fill="auto"/>
            <w:noWrap/>
            <w:vAlign w:val="center"/>
            <w:hideMark/>
          </w:tcPr>
          <w:p w:rsidR="00435C8F" w:rsidRPr="00435C8F" w:rsidRDefault="00435C8F" w:rsidP="00435C8F">
            <w:pPr>
              <w:jc w:val="right"/>
              <w:rPr>
                <w:rFonts w:cs="Arial"/>
                <w:color w:val="7F7F7F"/>
                <w:szCs w:val="18"/>
                <w:lang w:eastAsia="en-AU"/>
              </w:rPr>
            </w:pPr>
            <w:r w:rsidRPr="00435C8F">
              <w:rPr>
                <w:rFonts w:cs="Arial"/>
                <w:color w:val="7F7F7F"/>
                <w:szCs w:val="18"/>
                <w:lang w:eastAsia="en-AU"/>
              </w:rPr>
              <w:t>5%</w:t>
            </w:r>
          </w:p>
        </w:tc>
        <w:tc>
          <w:tcPr>
            <w:tcW w:w="1202" w:type="dxa"/>
            <w:tcBorders>
              <w:top w:val="nil"/>
              <w:left w:val="nil"/>
              <w:bottom w:val="nil"/>
              <w:right w:val="nil"/>
            </w:tcBorders>
            <w:shd w:val="clear" w:color="auto" w:fill="auto"/>
            <w:noWrap/>
            <w:vAlign w:val="center"/>
            <w:hideMark/>
          </w:tcPr>
          <w:p w:rsidR="00435C8F" w:rsidRPr="00435C8F" w:rsidRDefault="00435C8F" w:rsidP="00435C8F">
            <w:pPr>
              <w:jc w:val="right"/>
              <w:rPr>
                <w:rFonts w:cs="Arial"/>
                <w:color w:val="7F7F7F"/>
                <w:szCs w:val="18"/>
                <w:lang w:eastAsia="en-AU"/>
              </w:rPr>
            </w:pPr>
            <w:r w:rsidRPr="00435C8F">
              <w:rPr>
                <w:rFonts w:cs="Arial"/>
                <w:color w:val="7F7F7F"/>
                <w:szCs w:val="18"/>
                <w:lang w:eastAsia="en-AU"/>
              </w:rPr>
              <w:t>-30%</w:t>
            </w:r>
          </w:p>
        </w:tc>
        <w:tc>
          <w:tcPr>
            <w:tcW w:w="1202" w:type="dxa"/>
            <w:tcBorders>
              <w:top w:val="nil"/>
              <w:left w:val="nil"/>
              <w:bottom w:val="nil"/>
              <w:right w:val="nil"/>
            </w:tcBorders>
            <w:shd w:val="clear" w:color="auto" w:fill="auto"/>
            <w:noWrap/>
            <w:vAlign w:val="center"/>
            <w:hideMark/>
          </w:tcPr>
          <w:p w:rsidR="00435C8F" w:rsidRPr="00435C8F" w:rsidRDefault="00435C8F" w:rsidP="00435C8F">
            <w:pPr>
              <w:jc w:val="right"/>
              <w:rPr>
                <w:rFonts w:cs="Arial"/>
                <w:color w:val="7F7F7F"/>
                <w:szCs w:val="18"/>
                <w:lang w:eastAsia="en-AU"/>
              </w:rPr>
            </w:pPr>
            <w:r w:rsidRPr="00435C8F">
              <w:rPr>
                <w:rFonts w:cs="Arial"/>
                <w:color w:val="7F7F7F"/>
                <w:szCs w:val="18"/>
                <w:lang w:eastAsia="en-AU"/>
              </w:rPr>
              <w:t>26%</w:t>
            </w:r>
          </w:p>
        </w:tc>
        <w:tc>
          <w:tcPr>
            <w:tcW w:w="1202" w:type="dxa"/>
            <w:tcBorders>
              <w:top w:val="nil"/>
              <w:left w:val="nil"/>
              <w:bottom w:val="nil"/>
              <w:right w:val="nil"/>
            </w:tcBorders>
            <w:shd w:val="clear" w:color="auto" w:fill="auto"/>
            <w:noWrap/>
            <w:vAlign w:val="center"/>
            <w:hideMark/>
          </w:tcPr>
          <w:p w:rsidR="00435C8F" w:rsidRPr="00435C8F" w:rsidRDefault="00435C8F" w:rsidP="00435C8F">
            <w:pPr>
              <w:jc w:val="right"/>
              <w:rPr>
                <w:rFonts w:cs="Arial"/>
                <w:color w:val="7F7F7F"/>
                <w:szCs w:val="18"/>
                <w:lang w:eastAsia="en-AU"/>
              </w:rPr>
            </w:pPr>
            <w:r w:rsidRPr="00435C8F">
              <w:rPr>
                <w:rFonts w:cs="Arial"/>
                <w:color w:val="7F7F7F"/>
                <w:szCs w:val="18"/>
                <w:lang w:eastAsia="en-AU"/>
              </w:rPr>
              <w:t>-21%</w:t>
            </w:r>
          </w:p>
        </w:tc>
      </w:tr>
      <w:tr w:rsidR="00435C8F" w:rsidRPr="00435C8F" w:rsidTr="004B4158">
        <w:trPr>
          <w:trHeight w:val="300"/>
        </w:trPr>
        <w:tc>
          <w:tcPr>
            <w:tcW w:w="2086" w:type="dxa"/>
            <w:tcBorders>
              <w:top w:val="nil"/>
              <w:left w:val="nil"/>
              <w:bottom w:val="nil"/>
              <w:right w:val="nil"/>
            </w:tcBorders>
            <w:shd w:val="clear" w:color="000000" w:fill="7F7F7F"/>
            <w:noWrap/>
            <w:vAlign w:val="center"/>
            <w:hideMark/>
          </w:tcPr>
          <w:p w:rsidR="00435C8F" w:rsidRPr="00435C8F" w:rsidRDefault="00435C8F" w:rsidP="00435C8F">
            <w:pPr>
              <w:rPr>
                <w:rFonts w:cs="Arial"/>
                <w:b/>
                <w:bCs/>
                <w:color w:val="FFFFFF"/>
                <w:szCs w:val="18"/>
                <w:lang w:eastAsia="en-AU"/>
              </w:rPr>
            </w:pPr>
            <w:r w:rsidRPr="00435C8F">
              <w:rPr>
                <w:rFonts w:cs="Arial"/>
                <w:b/>
                <w:bCs/>
                <w:color w:val="FFFFFF"/>
                <w:szCs w:val="18"/>
                <w:lang w:eastAsia="en-AU"/>
              </w:rPr>
              <w:t>Total****</w:t>
            </w:r>
          </w:p>
        </w:tc>
        <w:tc>
          <w:tcPr>
            <w:tcW w:w="1201" w:type="dxa"/>
            <w:tcBorders>
              <w:top w:val="nil"/>
              <w:left w:val="nil"/>
              <w:bottom w:val="nil"/>
              <w:right w:val="nil"/>
            </w:tcBorders>
            <w:shd w:val="clear" w:color="000000" w:fill="7F7F7F"/>
            <w:noWrap/>
            <w:vAlign w:val="center"/>
            <w:hideMark/>
          </w:tcPr>
          <w:p w:rsidR="00435C8F" w:rsidRPr="00435C8F" w:rsidRDefault="00435C8F" w:rsidP="00435C8F">
            <w:pPr>
              <w:jc w:val="right"/>
              <w:rPr>
                <w:rFonts w:cs="Arial"/>
                <w:b/>
                <w:bCs/>
                <w:color w:val="FFFFFF"/>
                <w:szCs w:val="18"/>
                <w:lang w:eastAsia="en-AU"/>
              </w:rPr>
            </w:pPr>
            <w:r w:rsidRPr="00435C8F">
              <w:rPr>
                <w:rFonts w:cs="Arial"/>
                <w:b/>
                <w:bCs/>
                <w:color w:val="FFFFFF"/>
                <w:szCs w:val="18"/>
                <w:lang w:eastAsia="en-AU"/>
              </w:rPr>
              <w:t>25%</w:t>
            </w:r>
          </w:p>
        </w:tc>
        <w:tc>
          <w:tcPr>
            <w:tcW w:w="1202" w:type="dxa"/>
            <w:tcBorders>
              <w:top w:val="nil"/>
              <w:left w:val="nil"/>
              <w:bottom w:val="nil"/>
              <w:right w:val="nil"/>
            </w:tcBorders>
            <w:shd w:val="clear" w:color="000000" w:fill="7F7F7F"/>
            <w:noWrap/>
            <w:vAlign w:val="center"/>
            <w:hideMark/>
          </w:tcPr>
          <w:p w:rsidR="00435C8F" w:rsidRPr="00435C8F" w:rsidRDefault="00435C8F" w:rsidP="00435C8F">
            <w:pPr>
              <w:jc w:val="right"/>
              <w:rPr>
                <w:rFonts w:cs="Arial"/>
                <w:b/>
                <w:bCs/>
                <w:color w:val="FFFFFF"/>
                <w:szCs w:val="18"/>
                <w:lang w:eastAsia="en-AU"/>
              </w:rPr>
            </w:pPr>
            <w:r w:rsidRPr="00435C8F">
              <w:rPr>
                <w:rFonts w:cs="Arial"/>
                <w:b/>
                <w:bCs/>
                <w:color w:val="FFFFFF"/>
                <w:szCs w:val="18"/>
                <w:lang w:eastAsia="en-AU"/>
              </w:rPr>
              <w:t>0%</w:t>
            </w:r>
          </w:p>
        </w:tc>
        <w:tc>
          <w:tcPr>
            <w:tcW w:w="1202" w:type="dxa"/>
            <w:tcBorders>
              <w:top w:val="nil"/>
              <w:left w:val="nil"/>
              <w:bottom w:val="nil"/>
              <w:right w:val="nil"/>
            </w:tcBorders>
            <w:shd w:val="clear" w:color="000000" w:fill="7F7F7F"/>
            <w:noWrap/>
            <w:vAlign w:val="center"/>
            <w:hideMark/>
          </w:tcPr>
          <w:p w:rsidR="00435C8F" w:rsidRPr="00435C8F" w:rsidRDefault="00435C8F" w:rsidP="00435C8F">
            <w:pPr>
              <w:jc w:val="right"/>
              <w:rPr>
                <w:rFonts w:cs="Arial"/>
                <w:b/>
                <w:bCs/>
                <w:color w:val="FFFFFF"/>
                <w:szCs w:val="18"/>
                <w:lang w:eastAsia="en-AU"/>
              </w:rPr>
            </w:pPr>
            <w:r w:rsidRPr="00435C8F">
              <w:rPr>
                <w:rFonts w:cs="Arial"/>
                <w:b/>
                <w:bCs/>
                <w:color w:val="FFFFFF"/>
                <w:szCs w:val="18"/>
                <w:lang w:eastAsia="en-AU"/>
              </w:rPr>
              <w:t>-30%</w:t>
            </w:r>
          </w:p>
        </w:tc>
        <w:tc>
          <w:tcPr>
            <w:tcW w:w="1202" w:type="dxa"/>
            <w:tcBorders>
              <w:top w:val="nil"/>
              <w:left w:val="nil"/>
              <w:bottom w:val="nil"/>
              <w:right w:val="nil"/>
            </w:tcBorders>
            <w:shd w:val="clear" w:color="000000" w:fill="7F7F7F"/>
            <w:noWrap/>
            <w:vAlign w:val="center"/>
            <w:hideMark/>
          </w:tcPr>
          <w:p w:rsidR="00435C8F" w:rsidRPr="00435C8F" w:rsidRDefault="00435C8F" w:rsidP="00435C8F">
            <w:pPr>
              <w:jc w:val="right"/>
              <w:rPr>
                <w:rFonts w:cs="Arial"/>
                <w:b/>
                <w:bCs/>
                <w:color w:val="FFFFFF"/>
                <w:szCs w:val="18"/>
                <w:lang w:eastAsia="en-AU"/>
              </w:rPr>
            </w:pPr>
            <w:r w:rsidRPr="00435C8F">
              <w:rPr>
                <w:rFonts w:cs="Arial"/>
                <w:b/>
                <w:bCs/>
                <w:color w:val="FFFFFF"/>
                <w:szCs w:val="18"/>
                <w:lang w:eastAsia="en-AU"/>
              </w:rPr>
              <w:t>-19%</w:t>
            </w:r>
          </w:p>
        </w:tc>
        <w:tc>
          <w:tcPr>
            <w:tcW w:w="1202" w:type="dxa"/>
            <w:tcBorders>
              <w:top w:val="nil"/>
              <w:left w:val="nil"/>
              <w:bottom w:val="nil"/>
              <w:right w:val="nil"/>
            </w:tcBorders>
            <w:shd w:val="clear" w:color="000000" w:fill="7F7F7F"/>
            <w:noWrap/>
            <w:vAlign w:val="center"/>
            <w:hideMark/>
          </w:tcPr>
          <w:p w:rsidR="00435C8F" w:rsidRPr="00435C8F" w:rsidRDefault="00435C8F" w:rsidP="00435C8F">
            <w:pPr>
              <w:jc w:val="right"/>
              <w:rPr>
                <w:rFonts w:cs="Arial"/>
                <w:b/>
                <w:bCs/>
                <w:color w:val="FFFFFF"/>
                <w:szCs w:val="18"/>
                <w:lang w:eastAsia="en-AU"/>
              </w:rPr>
            </w:pPr>
            <w:r w:rsidRPr="00435C8F">
              <w:rPr>
                <w:rFonts w:cs="Arial"/>
                <w:b/>
                <w:bCs/>
                <w:color w:val="FFFFFF"/>
                <w:szCs w:val="18"/>
                <w:lang w:eastAsia="en-AU"/>
              </w:rPr>
              <w:t>-15%</w:t>
            </w:r>
          </w:p>
        </w:tc>
      </w:tr>
    </w:tbl>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4A0" w:firstRow="1" w:lastRow="0" w:firstColumn="1" w:lastColumn="0" w:noHBand="0" w:noVBand="1"/>
      </w:tblPr>
      <w:tblGrid>
        <w:gridCol w:w="431"/>
        <w:gridCol w:w="7649"/>
      </w:tblGrid>
      <w:tr w:rsidR="004B4158" w:rsidRPr="00913551" w:rsidTr="00EB34EC">
        <w:tc>
          <w:tcPr>
            <w:tcW w:w="431" w:type="dxa"/>
            <w:tcMar>
              <w:left w:w="0" w:type="dxa"/>
              <w:right w:w="28" w:type="dxa"/>
            </w:tcMar>
          </w:tcPr>
          <w:p w:rsidR="004B4158" w:rsidRPr="00913551" w:rsidRDefault="004B4158" w:rsidP="00EB34EC">
            <w:pPr>
              <w:spacing w:after="0" w:line="240" w:lineRule="auto"/>
              <w:jc w:val="right"/>
              <w:rPr>
                <w:color w:val="7F7F7F" w:themeColor="text2"/>
                <w:sz w:val="16"/>
                <w:szCs w:val="16"/>
              </w:rPr>
            </w:pPr>
            <w:r w:rsidRPr="00913551">
              <w:rPr>
                <w:color w:val="7F7F7F" w:themeColor="text2"/>
                <w:sz w:val="16"/>
                <w:szCs w:val="16"/>
              </w:rPr>
              <w:t xml:space="preserve">* </w:t>
            </w:r>
          </w:p>
        </w:tc>
        <w:tc>
          <w:tcPr>
            <w:tcW w:w="7649" w:type="dxa"/>
            <w:tcMar>
              <w:left w:w="0" w:type="dxa"/>
              <w:right w:w="28" w:type="dxa"/>
            </w:tcMar>
          </w:tcPr>
          <w:p w:rsidR="004B4158" w:rsidRPr="00913551" w:rsidRDefault="004B4158" w:rsidP="00EB34EC">
            <w:pPr>
              <w:spacing w:after="0" w:line="240" w:lineRule="auto"/>
              <w:rPr>
                <w:i/>
                <w:color w:val="7F7F7F" w:themeColor="text2"/>
                <w:sz w:val="16"/>
                <w:szCs w:val="16"/>
              </w:rPr>
            </w:pPr>
            <w:r w:rsidRPr="00913551">
              <w:rPr>
                <w:i/>
                <w:sz w:val="16"/>
                <w:szCs w:val="16"/>
              </w:rPr>
              <w:t xml:space="preserve">In </w:t>
            </w:r>
            <w:proofErr w:type="gramStart"/>
            <w:r w:rsidRPr="00913551">
              <w:rPr>
                <w:i/>
                <w:sz w:val="16"/>
                <w:szCs w:val="16"/>
              </w:rPr>
              <w:t>2014</w:t>
            </w:r>
            <w:proofErr w:type="gramEnd"/>
            <w:r w:rsidRPr="00913551">
              <w:rPr>
                <w:i/>
                <w:sz w:val="16"/>
                <w:szCs w:val="16"/>
              </w:rPr>
              <w:t xml:space="preserve"> a small number of contracted training providers failed to submit information on VET FEE-HELP.</w:t>
            </w:r>
          </w:p>
        </w:tc>
      </w:tr>
      <w:tr w:rsidR="004B4158" w:rsidRPr="00913551" w:rsidTr="00EB34EC">
        <w:tc>
          <w:tcPr>
            <w:tcW w:w="431" w:type="dxa"/>
            <w:tcMar>
              <w:left w:w="0" w:type="dxa"/>
              <w:right w:w="28" w:type="dxa"/>
            </w:tcMar>
          </w:tcPr>
          <w:p w:rsidR="004B4158" w:rsidRPr="00913551" w:rsidRDefault="004B4158" w:rsidP="00EB34EC">
            <w:pPr>
              <w:spacing w:after="0" w:line="240" w:lineRule="auto"/>
              <w:jc w:val="right"/>
              <w:rPr>
                <w:color w:val="7F7F7F" w:themeColor="text2"/>
                <w:sz w:val="16"/>
                <w:szCs w:val="16"/>
              </w:rPr>
            </w:pPr>
            <w:r w:rsidRPr="00913551">
              <w:rPr>
                <w:color w:val="7F7F7F" w:themeColor="text2"/>
                <w:sz w:val="16"/>
                <w:szCs w:val="16"/>
              </w:rPr>
              <w:t>**</w:t>
            </w:r>
          </w:p>
        </w:tc>
        <w:tc>
          <w:tcPr>
            <w:tcW w:w="7649" w:type="dxa"/>
            <w:tcMar>
              <w:left w:w="0" w:type="dxa"/>
              <w:right w:w="28" w:type="dxa"/>
            </w:tcMar>
          </w:tcPr>
          <w:p w:rsidR="004B4158" w:rsidRPr="00913551" w:rsidRDefault="004B4158" w:rsidP="00EB34EC">
            <w:pPr>
              <w:spacing w:after="0" w:line="240" w:lineRule="auto"/>
              <w:rPr>
                <w:i/>
                <w:sz w:val="16"/>
                <w:szCs w:val="16"/>
              </w:rPr>
            </w:pPr>
            <w:proofErr w:type="gramStart"/>
            <w:r w:rsidRPr="00913551">
              <w:rPr>
                <w:i/>
                <w:sz w:val="16"/>
                <w:szCs w:val="16"/>
              </w:rPr>
              <w:t>Includes VCE/VCAL courses of study.</w:t>
            </w:r>
            <w:proofErr w:type="gramEnd"/>
          </w:p>
        </w:tc>
      </w:tr>
      <w:tr w:rsidR="004B4158" w:rsidRPr="00913551" w:rsidTr="00EB34EC">
        <w:tc>
          <w:tcPr>
            <w:tcW w:w="431" w:type="dxa"/>
            <w:tcMar>
              <w:left w:w="0" w:type="dxa"/>
              <w:right w:w="28" w:type="dxa"/>
            </w:tcMar>
          </w:tcPr>
          <w:p w:rsidR="004B4158" w:rsidRPr="00913551" w:rsidRDefault="004B4158" w:rsidP="00EB34EC">
            <w:pPr>
              <w:spacing w:after="0" w:line="240" w:lineRule="auto"/>
              <w:jc w:val="right"/>
              <w:rPr>
                <w:color w:val="7F7F7F" w:themeColor="text2"/>
                <w:sz w:val="16"/>
                <w:szCs w:val="16"/>
              </w:rPr>
            </w:pPr>
            <w:r w:rsidRPr="00913551">
              <w:rPr>
                <w:color w:val="7F7F7F" w:themeColor="text2"/>
                <w:sz w:val="16"/>
                <w:szCs w:val="16"/>
              </w:rPr>
              <w:t>***</w:t>
            </w:r>
          </w:p>
        </w:tc>
        <w:tc>
          <w:tcPr>
            <w:tcW w:w="7649" w:type="dxa"/>
            <w:tcMar>
              <w:left w:w="0" w:type="dxa"/>
              <w:right w:w="28" w:type="dxa"/>
            </w:tcMar>
          </w:tcPr>
          <w:p w:rsidR="004B4158" w:rsidRPr="00913551" w:rsidRDefault="004B4158" w:rsidP="00EB34EC">
            <w:pPr>
              <w:spacing w:after="0" w:line="240" w:lineRule="auto"/>
              <w:rPr>
                <w:i/>
                <w:sz w:val="16"/>
                <w:szCs w:val="16"/>
              </w:rPr>
            </w:pPr>
            <w:r w:rsidRPr="00913551">
              <w:rPr>
                <w:i/>
                <w:sz w:val="16"/>
                <w:szCs w:val="16"/>
              </w:rPr>
              <w:t>‘Other’ includes statement of attainment, other non-award courses or not elsewhere classified.</w:t>
            </w:r>
          </w:p>
        </w:tc>
      </w:tr>
      <w:tr w:rsidR="004B4158" w:rsidRPr="00913551" w:rsidTr="00EB34EC">
        <w:tc>
          <w:tcPr>
            <w:tcW w:w="431" w:type="dxa"/>
            <w:tcMar>
              <w:left w:w="0" w:type="dxa"/>
              <w:right w:w="28" w:type="dxa"/>
            </w:tcMar>
          </w:tcPr>
          <w:p w:rsidR="004B4158" w:rsidRPr="00913551" w:rsidRDefault="004B4158" w:rsidP="00EB34EC">
            <w:pPr>
              <w:spacing w:after="0" w:line="240" w:lineRule="auto"/>
              <w:jc w:val="right"/>
              <w:rPr>
                <w:color w:val="7F7F7F" w:themeColor="text2"/>
                <w:sz w:val="16"/>
                <w:szCs w:val="16"/>
              </w:rPr>
            </w:pPr>
            <w:r w:rsidRPr="00913551">
              <w:rPr>
                <w:color w:val="7F7F7F" w:themeColor="text2"/>
                <w:sz w:val="16"/>
                <w:szCs w:val="16"/>
              </w:rPr>
              <w:t>****</w:t>
            </w:r>
          </w:p>
        </w:tc>
        <w:tc>
          <w:tcPr>
            <w:tcW w:w="7649" w:type="dxa"/>
            <w:tcMar>
              <w:left w:w="0" w:type="dxa"/>
              <w:right w:w="28" w:type="dxa"/>
            </w:tcMar>
          </w:tcPr>
          <w:p w:rsidR="004B4158" w:rsidRPr="00913551" w:rsidRDefault="004B4158" w:rsidP="00EB34EC">
            <w:pPr>
              <w:pStyle w:val="Note"/>
              <w:spacing w:after="0"/>
            </w:pPr>
            <w:r w:rsidRPr="00913551">
              <w:t>The 2010 and 2013 totals include 1 enrolment and 10 enrolments respectively in Higher Education. There were no enrolments in Higher Education after 2013.</w:t>
            </w:r>
          </w:p>
        </w:tc>
      </w:tr>
    </w:tbl>
    <w:p w:rsidR="009C17FE" w:rsidRPr="00365EB2" w:rsidRDefault="009C17FE"/>
    <w:p w:rsidR="0006750C" w:rsidRPr="00365EB2" w:rsidRDefault="0006750C"/>
    <w:p w:rsidR="003D07D6" w:rsidRPr="00365EB2" w:rsidRDefault="003D07D6">
      <w:r w:rsidRPr="00365EB2">
        <w:br w:type="page"/>
      </w:r>
    </w:p>
    <w:p w:rsidR="008D6E84" w:rsidRPr="000D621D" w:rsidRDefault="008D6E84" w:rsidP="008D6E84">
      <w:pPr>
        <w:pStyle w:val="Heading2"/>
        <w:rPr>
          <w:color w:val="B41F22" w:themeColor="accent1"/>
        </w:rPr>
      </w:pPr>
      <w:bookmarkStart w:id="8" w:name="_Toc432758318"/>
      <w:r>
        <w:rPr>
          <w:color w:val="B41F22" w:themeColor="accent1"/>
        </w:rPr>
        <w:lastRenderedPageBreak/>
        <w:t>Vocational Training Completions</w:t>
      </w:r>
      <w:bookmarkEnd w:id="8"/>
    </w:p>
    <w:p w:rsidR="008D6E84" w:rsidRPr="00365EB2" w:rsidRDefault="008D6E84" w:rsidP="008D6E84"/>
    <w:p w:rsidR="008D6E84" w:rsidRPr="002F6569" w:rsidRDefault="003963C1" w:rsidP="008D6E84">
      <w:pPr>
        <w:spacing w:after="120"/>
        <w:rPr>
          <w:rFonts w:cs="Arial"/>
          <w:color w:val="7F7F7F" w:themeColor="text2"/>
        </w:rPr>
      </w:pPr>
      <w:r w:rsidRPr="00365EB2">
        <w:rPr>
          <w:rFonts w:cs="Arial"/>
        </w:rPr>
        <w:t>Apart from the community and social benefits associated with higher levels of educational attainment, there is strong evidence that people who complete vocational training qualifications are at an advantage in the labour market in terms of employment and wage outcomes compared with those who do not complete their courses.</w:t>
      </w:r>
      <w:r w:rsidR="009B73BB">
        <w:rPr>
          <w:rFonts w:cs="Arial"/>
        </w:rPr>
        <w:t xml:space="preserve"> Whilst completions are important, it </w:t>
      </w:r>
      <w:proofErr w:type="gramStart"/>
      <w:r w:rsidR="009B73BB">
        <w:rPr>
          <w:rFonts w:cs="Arial"/>
        </w:rPr>
        <w:t>is understood</w:t>
      </w:r>
      <w:proofErr w:type="gramEnd"/>
      <w:r w:rsidR="009B73BB">
        <w:rPr>
          <w:rFonts w:cs="Arial"/>
        </w:rPr>
        <w:t xml:space="preserve"> that some people undertake VET training with no intention of completing, i.e. they are undertaking their training to gain skill sets.</w:t>
      </w:r>
    </w:p>
    <w:p w:rsidR="008D6E84" w:rsidRDefault="003963C1" w:rsidP="008D6E84">
      <w:pPr>
        <w:pStyle w:val="Heading3"/>
        <w:spacing w:before="120" w:after="120"/>
        <w:rPr>
          <w:color w:val="7F7F7F" w:themeColor="text2"/>
        </w:rPr>
      </w:pPr>
      <w:r>
        <w:rPr>
          <w:color w:val="7F7F7F" w:themeColor="text2"/>
        </w:rPr>
        <w:t>C</w:t>
      </w:r>
      <w:r w:rsidR="008D6E84" w:rsidRPr="002F6569">
        <w:rPr>
          <w:color w:val="7F7F7F" w:themeColor="text2"/>
        </w:rPr>
        <w:t>o</w:t>
      </w:r>
      <w:r>
        <w:rPr>
          <w:color w:val="7F7F7F" w:themeColor="text2"/>
        </w:rPr>
        <w:t>mpletion Rate of Gover</w:t>
      </w:r>
      <w:r w:rsidR="008D6E84" w:rsidRPr="002F6569">
        <w:rPr>
          <w:color w:val="7F7F7F" w:themeColor="text2"/>
        </w:rPr>
        <w:t xml:space="preserve">nment Subsidised </w:t>
      </w:r>
      <w:r>
        <w:rPr>
          <w:color w:val="7F7F7F" w:themeColor="text2"/>
        </w:rPr>
        <w:t>Qualifications</w:t>
      </w:r>
    </w:p>
    <w:p w:rsidR="003963C1" w:rsidRPr="00EE40C8" w:rsidRDefault="003963C1" w:rsidP="003963C1">
      <w:pPr>
        <w:spacing w:after="120"/>
      </w:pPr>
      <w:r w:rsidRPr="00365EB2">
        <w:t xml:space="preserve">At any given point in time, the course completion rate is the proportion of courses completed of all courses commenced in the same year. For example, by </w:t>
      </w:r>
      <w:r w:rsidR="0013615B">
        <w:t>July 2015</w:t>
      </w:r>
      <w:r w:rsidRPr="00365EB2">
        <w:t xml:space="preserve">, </w:t>
      </w:r>
      <w:r w:rsidR="00A44160">
        <w:t>32</w:t>
      </w:r>
      <w:r w:rsidRPr="00365EB2">
        <w:t xml:space="preserve"> per cent of courses that </w:t>
      </w:r>
      <w:proofErr w:type="gramStart"/>
      <w:r w:rsidRPr="00365EB2">
        <w:t>were commenced</w:t>
      </w:r>
      <w:proofErr w:type="gramEnd"/>
      <w:r w:rsidRPr="00365EB2">
        <w:t xml:space="preserve"> in 201</w:t>
      </w:r>
      <w:r w:rsidR="00A44160">
        <w:t>4</w:t>
      </w:r>
      <w:r w:rsidRPr="00365EB2">
        <w:t xml:space="preserve"> were reported as completed. This completion rate (of courses that commenced in 201</w:t>
      </w:r>
      <w:r w:rsidR="00A44160">
        <w:t>4</w:t>
      </w:r>
      <w:r w:rsidRPr="00365EB2">
        <w:t xml:space="preserve">) will increase if the training activity data is extracted </w:t>
      </w:r>
      <w:proofErr w:type="gramStart"/>
      <w:r w:rsidRPr="00365EB2">
        <w:t>at a later date</w:t>
      </w:r>
      <w:proofErr w:type="gramEnd"/>
      <w:r w:rsidRPr="00365EB2">
        <w:t xml:space="preserve">. That is, it </w:t>
      </w:r>
      <w:proofErr w:type="gramStart"/>
      <w:r w:rsidRPr="00365EB2">
        <w:t>would be expected</w:t>
      </w:r>
      <w:proofErr w:type="gramEnd"/>
      <w:r w:rsidRPr="00365EB2">
        <w:t xml:space="preserve"> that some of the training that was still in progress would have been completed or discontinued. This is particularly the case for courses that take more than a year to complete, such as an </w:t>
      </w:r>
      <w:proofErr w:type="gramStart"/>
      <w:r>
        <w:t>a</w:t>
      </w:r>
      <w:r w:rsidRPr="00EE40C8">
        <w:t>pprenticeship which</w:t>
      </w:r>
      <w:proofErr w:type="gramEnd"/>
      <w:r w:rsidRPr="00EE40C8">
        <w:t xml:space="preserve"> may take up to four years.</w:t>
      </w:r>
    </w:p>
    <w:p w:rsidR="003963C1" w:rsidRPr="003963C1" w:rsidRDefault="003963C1" w:rsidP="003963C1">
      <w:pPr>
        <w:spacing w:after="120"/>
      </w:pPr>
      <w:r w:rsidRPr="00365EB2">
        <w:t xml:space="preserve">This section provides a snapshot taken </w:t>
      </w:r>
      <w:r>
        <w:t>in mid-2015</w:t>
      </w:r>
      <w:r w:rsidRPr="00365EB2">
        <w:t xml:space="preserve"> of reported completion rates by courses that commenced between 20</w:t>
      </w:r>
      <w:r w:rsidR="00A44160">
        <w:t>09</w:t>
      </w:r>
      <w:r w:rsidRPr="00365EB2">
        <w:t xml:space="preserve"> and 201</w:t>
      </w:r>
      <w:r w:rsidR="00A44160">
        <w:t>4</w:t>
      </w:r>
      <w:r w:rsidRPr="00365EB2">
        <w:t>. Data presented in this section does not include bridging and enabling courses and other non-award courses.</w:t>
      </w:r>
    </w:p>
    <w:p w:rsidR="008D6E84" w:rsidRPr="002F6569" w:rsidRDefault="008D6E84" w:rsidP="008D6E84">
      <w:pPr>
        <w:pStyle w:val="Quote"/>
        <w:pBdr>
          <w:top w:val="single" w:sz="4" w:space="1" w:color="7F7F7F" w:themeColor="text2"/>
          <w:left w:val="single" w:sz="4" w:space="4" w:color="7F7F7F" w:themeColor="text2"/>
          <w:bottom w:val="single" w:sz="4" w:space="1" w:color="7F7F7F" w:themeColor="text2"/>
          <w:right w:val="single" w:sz="4" w:space="4" w:color="7F7F7F" w:themeColor="text2"/>
        </w:pBdr>
        <w:spacing w:before="120" w:after="120"/>
      </w:pPr>
      <w:r w:rsidRPr="002F6569">
        <w:t>Key points</w:t>
      </w:r>
    </w:p>
    <w:p w:rsidR="008D6E84" w:rsidRPr="002F6569" w:rsidRDefault="009B73BB" w:rsidP="00B66192">
      <w:pPr>
        <w:pStyle w:val="ListParagraph"/>
        <w:numPr>
          <w:ilvl w:val="0"/>
          <w:numId w:val="18"/>
        </w:numPr>
        <w:pBdr>
          <w:top w:val="single" w:sz="4" w:space="1" w:color="7F7F7F" w:themeColor="text2"/>
          <w:left w:val="single" w:sz="4" w:space="4" w:color="7F7F7F" w:themeColor="text2"/>
          <w:bottom w:val="single" w:sz="4" w:space="1" w:color="7F7F7F" w:themeColor="text2"/>
          <w:right w:val="single" w:sz="4" w:space="4" w:color="7F7F7F" w:themeColor="text2"/>
        </w:pBdr>
        <w:spacing w:before="120"/>
        <w:ind w:left="425" w:hanging="425"/>
        <w:contextualSpacing w:val="0"/>
        <w:rPr>
          <w:color w:val="7F7F7F" w:themeColor="text2"/>
        </w:rPr>
      </w:pPr>
      <w:r>
        <w:rPr>
          <w:color w:val="7F7F7F" w:themeColor="text2"/>
        </w:rPr>
        <w:t>There has been a gradual decline in the percentage of government subsidised courses being completed, from 42 per cent in 2011 (</w:t>
      </w:r>
      <w:r w:rsidR="00B66192">
        <w:rPr>
          <w:color w:val="7F7F7F" w:themeColor="text2"/>
        </w:rPr>
        <w:t>full</w:t>
      </w:r>
      <w:r>
        <w:rPr>
          <w:color w:val="7F7F7F" w:themeColor="text2"/>
        </w:rPr>
        <w:t xml:space="preserve"> year) to 32 per cent in 20</w:t>
      </w:r>
      <w:r w:rsidR="00B66192">
        <w:rPr>
          <w:color w:val="7F7F7F" w:themeColor="text2"/>
        </w:rPr>
        <w:t>14 (full year).</w:t>
      </w:r>
    </w:p>
    <w:p w:rsidR="008D6E84" w:rsidRPr="002F6569" w:rsidRDefault="008D6E84" w:rsidP="008D6E84">
      <w:pPr>
        <w:pBdr>
          <w:top w:val="single" w:sz="4" w:space="1" w:color="7F7F7F" w:themeColor="text2"/>
          <w:left w:val="single" w:sz="4" w:space="4" w:color="7F7F7F" w:themeColor="text2"/>
          <w:bottom w:val="single" w:sz="4" w:space="1" w:color="7F7F7F" w:themeColor="text2"/>
          <w:right w:val="single" w:sz="4" w:space="4" w:color="7F7F7F" w:themeColor="text2"/>
        </w:pBdr>
        <w:rPr>
          <w:color w:val="7F7F7F" w:themeColor="text2"/>
        </w:rPr>
      </w:pPr>
    </w:p>
    <w:p w:rsidR="008D6E84" w:rsidRDefault="008D6E84" w:rsidP="008D6E84"/>
    <w:p w:rsidR="008D6E84" w:rsidRPr="00365EB2" w:rsidRDefault="008D6E84" w:rsidP="008D6E84"/>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8D6E84" w:rsidTr="003963C1">
        <w:tc>
          <w:tcPr>
            <w:tcW w:w="1134" w:type="dxa"/>
            <w:tcMar>
              <w:left w:w="0" w:type="dxa"/>
              <w:right w:w="0" w:type="dxa"/>
            </w:tcMar>
          </w:tcPr>
          <w:p w:rsidR="008D6E84" w:rsidRDefault="004A5419" w:rsidP="00AB1331">
            <w:pPr>
              <w:pStyle w:val="Quote"/>
              <w:tabs>
                <w:tab w:val="left" w:pos="1134"/>
              </w:tabs>
              <w:rPr>
                <w:b w:val="0"/>
                <w:color w:val="B41F22" w:themeColor="accent1"/>
              </w:rPr>
            </w:pPr>
            <w:r>
              <w:rPr>
                <w:b w:val="0"/>
                <w:color w:val="B41F22" w:themeColor="accent1"/>
              </w:rPr>
              <w:t>Figure</w:t>
            </w:r>
            <w:r w:rsidR="008D6E84">
              <w:rPr>
                <w:b w:val="0"/>
                <w:color w:val="B41F22" w:themeColor="accent1"/>
              </w:rPr>
              <w:t xml:space="preserve"> 1.</w:t>
            </w:r>
            <w:r w:rsidR="00AB1331">
              <w:rPr>
                <w:b w:val="0"/>
                <w:color w:val="B41F22" w:themeColor="accent1"/>
              </w:rPr>
              <w:t>3</w:t>
            </w:r>
            <w:r w:rsidR="008D6E84">
              <w:rPr>
                <w:b w:val="0"/>
                <w:color w:val="B41F22" w:themeColor="accent1"/>
              </w:rPr>
              <w:t>.1:</w:t>
            </w:r>
          </w:p>
        </w:tc>
        <w:tc>
          <w:tcPr>
            <w:tcW w:w="6946" w:type="dxa"/>
            <w:tcMar>
              <w:left w:w="0" w:type="dxa"/>
              <w:right w:w="0" w:type="dxa"/>
            </w:tcMar>
          </w:tcPr>
          <w:p w:rsidR="008D6E84" w:rsidRDefault="00A44160" w:rsidP="003963C1">
            <w:pPr>
              <w:pStyle w:val="Quote"/>
              <w:tabs>
                <w:tab w:val="left" w:pos="1134"/>
              </w:tabs>
              <w:rPr>
                <w:b w:val="0"/>
                <w:color w:val="B41F22" w:themeColor="accent1"/>
              </w:rPr>
            </w:pPr>
            <w:r w:rsidRPr="00A44160">
              <w:rPr>
                <w:b w:val="0"/>
                <w:color w:val="B41F22" w:themeColor="accent1"/>
              </w:rPr>
              <w:t>Reported course completion rate of government subsidised training by year of course commencement, 2009 to 2014</w:t>
            </w:r>
          </w:p>
        </w:tc>
      </w:tr>
    </w:tbl>
    <w:p w:rsidR="008D6E84" w:rsidRPr="008D6E84" w:rsidRDefault="00CD520C" w:rsidP="008D6E84">
      <w:pPr>
        <w:pStyle w:val="Note"/>
        <w:rPr>
          <w:i w:val="0"/>
        </w:rPr>
      </w:pPr>
      <w:r>
        <w:rPr>
          <w:i w:val="0"/>
          <w:noProof/>
          <w:lang w:eastAsia="en-AU"/>
        </w:rPr>
        <w:drawing>
          <wp:inline distT="0" distB="0" distL="0" distR="0" wp14:anchorId="3FA5E992" wp14:editId="5AFE67E5">
            <wp:extent cx="5400000" cy="3421649"/>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00000" cy="3421649"/>
                    </a:xfrm>
                    <a:prstGeom prst="rect">
                      <a:avLst/>
                    </a:prstGeom>
                    <a:noFill/>
                  </pic:spPr>
                </pic:pic>
              </a:graphicData>
            </a:graphic>
          </wp:inline>
        </w:drawing>
      </w:r>
    </w:p>
    <w:p w:rsidR="008D6E84" w:rsidRDefault="008D6E84" w:rsidP="008D6E84">
      <w:pPr>
        <w:pStyle w:val="Note"/>
        <w:rPr>
          <w:i w:val="0"/>
        </w:rPr>
      </w:pPr>
    </w:p>
    <w:p w:rsidR="00CD520C" w:rsidRDefault="00CD520C" w:rsidP="008D6E84">
      <w:pPr>
        <w:pStyle w:val="Note"/>
        <w:rPr>
          <w:i w:val="0"/>
        </w:rPr>
      </w:pPr>
    </w:p>
    <w:p w:rsidR="00CD520C" w:rsidRDefault="00CD520C">
      <w:r>
        <w:rPr>
          <w:b/>
        </w:rPr>
        <w:br w:type="page"/>
      </w: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4A5419" w:rsidTr="00487C9E">
        <w:tc>
          <w:tcPr>
            <w:tcW w:w="1134" w:type="dxa"/>
            <w:tcMar>
              <w:left w:w="0" w:type="dxa"/>
              <w:right w:w="0" w:type="dxa"/>
            </w:tcMar>
          </w:tcPr>
          <w:p w:rsidR="004A5419" w:rsidRDefault="004A5419" w:rsidP="00AB1331">
            <w:pPr>
              <w:pStyle w:val="Quote"/>
              <w:tabs>
                <w:tab w:val="left" w:pos="1134"/>
              </w:tabs>
              <w:rPr>
                <w:b w:val="0"/>
                <w:color w:val="B41F22" w:themeColor="accent1"/>
              </w:rPr>
            </w:pPr>
            <w:r>
              <w:rPr>
                <w:b w:val="0"/>
                <w:color w:val="B41F22" w:themeColor="accent1"/>
              </w:rPr>
              <w:lastRenderedPageBreak/>
              <w:t>Figure 1.</w:t>
            </w:r>
            <w:r w:rsidR="00AB1331">
              <w:rPr>
                <w:b w:val="0"/>
                <w:color w:val="B41F22" w:themeColor="accent1"/>
              </w:rPr>
              <w:t>3</w:t>
            </w:r>
            <w:r>
              <w:rPr>
                <w:b w:val="0"/>
                <w:color w:val="B41F22" w:themeColor="accent1"/>
              </w:rPr>
              <w:t>.2:</w:t>
            </w:r>
          </w:p>
        </w:tc>
        <w:tc>
          <w:tcPr>
            <w:tcW w:w="6946" w:type="dxa"/>
            <w:tcMar>
              <w:left w:w="0" w:type="dxa"/>
              <w:right w:w="0" w:type="dxa"/>
            </w:tcMar>
          </w:tcPr>
          <w:p w:rsidR="004A5419" w:rsidRDefault="00A44160" w:rsidP="00487C9E">
            <w:pPr>
              <w:pStyle w:val="Quote"/>
              <w:tabs>
                <w:tab w:val="left" w:pos="1134"/>
              </w:tabs>
              <w:rPr>
                <w:b w:val="0"/>
                <w:color w:val="B41F22" w:themeColor="accent1"/>
              </w:rPr>
            </w:pPr>
            <w:r w:rsidRPr="00A44160">
              <w:rPr>
                <w:b w:val="0"/>
                <w:color w:val="B41F22" w:themeColor="accent1"/>
              </w:rPr>
              <w:t>Number of reported course completed, not completed and still in progress of government subsidised training by year of course commencement, 2009 to 2014</w:t>
            </w:r>
          </w:p>
        </w:tc>
      </w:tr>
    </w:tbl>
    <w:p w:rsidR="004A5419" w:rsidRDefault="00CD520C" w:rsidP="008D6E84">
      <w:pPr>
        <w:pStyle w:val="Note"/>
        <w:rPr>
          <w:i w:val="0"/>
        </w:rPr>
      </w:pPr>
      <w:r>
        <w:rPr>
          <w:i w:val="0"/>
          <w:noProof/>
          <w:lang w:eastAsia="en-AU"/>
        </w:rPr>
        <w:drawing>
          <wp:inline distT="0" distB="0" distL="0" distR="0" wp14:anchorId="6CE49E92" wp14:editId="19A433D6">
            <wp:extent cx="5400000" cy="3439392"/>
            <wp:effectExtent l="0" t="0" r="0"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00000" cy="3439392"/>
                    </a:xfrm>
                    <a:prstGeom prst="rect">
                      <a:avLst/>
                    </a:prstGeom>
                    <a:noFill/>
                  </pic:spPr>
                </pic:pic>
              </a:graphicData>
            </a:graphic>
          </wp:inline>
        </w:drawing>
      </w:r>
    </w:p>
    <w:p w:rsidR="00CD520C" w:rsidRDefault="00CD520C" w:rsidP="008D6E84">
      <w:pPr>
        <w:pStyle w:val="Note"/>
        <w:rPr>
          <w:i w:val="0"/>
        </w:rPr>
      </w:pPr>
    </w:p>
    <w:p w:rsidR="004A5419" w:rsidRPr="008D6E84" w:rsidRDefault="004A5419" w:rsidP="008D6E84">
      <w:pPr>
        <w:pStyle w:val="Note"/>
        <w:rPr>
          <w:i w:val="0"/>
        </w:rPr>
      </w:pPr>
    </w:p>
    <w:p w:rsidR="008D6E84" w:rsidRPr="008D6E84" w:rsidRDefault="008D6E84">
      <w:pPr>
        <w:rPr>
          <w:rFonts w:cs="Arial"/>
          <w:bCs/>
          <w:iCs/>
          <w:color w:val="7F7F7F" w:themeColor="text2"/>
          <w:szCs w:val="18"/>
        </w:rPr>
      </w:pPr>
      <w:r w:rsidRPr="008D6E84">
        <w:rPr>
          <w:color w:val="B41F22" w:themeColor="accent1"/>
        </w:rPr>
        <w:br w:type="page"/>
      </w:r>
    </w:p>
    <w:p w:rsidR="006C72C9" w:rsidRPr="000D621D" w:rsidRDefault="0023143A" w:rsidP="006C72C9">
      <w:pPr>
        <w:pStyle w:val="Heading2"/>
        <w:rPr>
          <w:color w:val="B41F22" w:themeColor="accent1"/>
        </w:rPr>
      </w:pPr>
      <w:bookmarkStart w:id="9" w:name="_Toc432758319"/>
      <w:r w:rsidRPr="000D621D">
        <w:rPr>
          <w:color w:val="B41F22" w:themeColor="accent1"/>
        </w:rPr>
        <w:lastRenderedPageBreak/>
        <w:t>A</w:t>
      </w:r>
      <w:r w:rsidR="00E4188E" w:rsidRPr="000D621D">
        <w:rPr>
          <w:color w:val="B41F22" w:themeColor="accent1"/>
        </w:rPr>
        <w:t>ge P</w:t>
      </w:r>
      <w:r w:rsidR="006C72C9" w:rsidRPr="000D621D">
        <w:rPr>
          <w:color w:val="B41F22" w:themeColor="accent1"/>
        </w:rPr>
        <w:t>rofile</w:t>
      </w:r>
      <w:bookmarkEnd w:id="9"/>
    </w:p>
    <w:p w:rsidR="006C72C9" w:rsidRPr="00365EB2" w:rsidRDefault="006C72C9" w:rsidP="003734BF"/>
    <w:p w:rsidR="006C72C9" w:rsidRPr="002F6569" w:rsidRDefault="006C72C9" w:rsidP="009D0570">
      <w:pPr>
        <w:spacing w:after="120"/>
        <w:rPr>
          <w:rFonts w:cs="Arial"/>
          <w:color w:val="7F7F7F" w:themeColor="text2"/>
        </w:rPr>
      </w:pPr>
      <w:r w:rsidRPr="002F6569">
        <w:rPr>
          <w:rFonts w:cs="Arial"/>
          <w:color w:val="7F7F7F" w:themeColor="text2"/>
        </w:rPr>
        <w:t xml:space="preserve">To </w:t>
      </w:r>
      <w:r w:rsidR="00764C31" w:rsidRPr="002F6569">
        <w:rPr>
          <w:rFonts w:cs="Arial"/>
          <w:color w:val="7F7F7F" w:themeColor="text2"/>
        </w:rPr>
        <w:t xml:space="preserve">support the </w:t>
      </w:r>
      <w:r w:rsidRPr="002F6569">
        <w:rPr>
          <w:rFonts w:cs="Arial"/>
          <w:color w:val="7F7F7F" w:themeColor="text2"/>
        </w:rPr>
        <w:t>increased workforce participation levels required by the Victorian economy over the next decade, improved engagement with education and training by all age groups is required.</w:t>
      </w:r>
    </w:p>
    <w:p w:rsidR="006C72C9" w:rsidRPr="002F6569" w:rsidRDefault="00B55785" w:rsidP="001C4B5C">
      <w:pPr>
        <w:pStyle w:val="Heading3"/>
        <w:spacing w:before="120" w:after="120"/>
        <w:rPr>
          <w:color w:val="7F7F7F" w:themeColor="text2"/>
        </w:rPr>
      </w:pPr>
      <w:r w:rsidRPr="002F6569">
        <w:rPr>
          <w:color w:val="7F7F7F" w:themeColor="text2"/>
        </w:rPr>
        <w:t xml:space="preserve">Government Subsidised </w:t>
      </w:r>
      <w:r w:rsidR="00A04545" w:rsidRPr="002F6569">
        <w:rPr>
          <w:color w:val="7F7F7F" w:themeColor="text2"/>
        </w:rPr>
        <w:t xml:space="preserve">Accredited </w:t>
      </w:r>
      <w:r w:rsidRPr="002F6569">
        <w:rPr>
          <w:color w:val="7F7F7F" w:themeColor="text2"/>
        </w:rPr>
        <w:t>T</w:t>
      </w:r>
      <w:r w:rsidR="006C72C9" w:rsidRPr="002F6569">
        <w:rPr>
          <w:color w:val="7F7F7F" w:themeColor="text2"/>
        </w:rPr>
        <w:t>raining</w:t>
      </w:r>
    </w:p>
    <w:p w:rsidR="006C72C9" w:rsidRPr="002F6569" w:rsidRDefault="006C72C9" w:rsidP="001C4B5C">
      <w:pPr>
        <w:pStyle w:val="Quote"/>
        <w:pBdr>
          <w:top w:val="single" w:sz="4" w:space="1" w:color="7F7F7F" w:themeColor="text2"/>
          <w:left w:val="single" w:sz="4" w:space="4" w:color="7F7F7F" w:themeColor="text2"/>
          <w:bottom w:val="single" w:sz="4" w:space="1" w:color="7F7F7F" w:themeColor="text2"/>
          <w:right w:val="single" w:sz="4" w:space="4" w:color="7F7F7F" w:themeColor="text2"/>
        </w:pBdr>
        <w:spacing w:before="120" w:after="120"/>
      </w:pPr>
      <w:r w:rsidRPr="002F6569">
        <w:t>Key points</w:t>
      </w:r>
    </w:p>
    <w:p w:rsidR="00CA72C5" w:rsidRPr="002F6569" w:rsidRDefault="00DB4BA5" w:rsidP="001C4B5C">
      <w:pPr>
        <w:pStyle w:val="ListParagraph"/>
        <w:numPr>
          <w:ilvl w:val="0"/>
          <w:numId w:val="18"/>
        </w:numPr>
        <w:pBdr>
          <w:top w:val="single" w:sz="4" w:space="1" w:color="7F7F7F" w:themeColor="text2"/>
          <w:left w:val="single" w:sz="4" w:space="4" w:color="7F7F7F" w:themeColor="text2"/>
          <w:bottom w:val="single" w:sz="4" w:space="1" w:color="7F7F7F" w:themeColor="text2"/>
          <w:right w:val="single" w:sz="4" w:space="4" w:color="7F7F7F" w:themeColor="text2"/>
        </w:pBdr>
        <w:spacing w:before="120" w:after="120"/>
        <w:ind w:left="426" w:hanging="426"/>
        <w:contextualSpacing w:val="0"/>
        <w:rPr>
          <w:color w:val="7F7F7F" w:themeColor="text2"/>
        </w:rPr>
      </w:pPr>
      <w:r w:rsidRPr="002F6569">
        <w:rPr>
          <w:color w:val="7F7F7F" w:themeColor="text2"/>
        </w:rPr>
        <w:t>Young people aged</w:t>
      </w:r>
      <w:r w:rsidR="00CA72C5" w:rsidRPr="002F6569">
        <w:rPr>
          <w:color w:val="7F7F7F" w:themeColor="text2"/>
        </w:rPr>
        <w:t xml:space="preserve"> 15 to 24 accounted for 4</w:t>
      </w:r>
      <w:r w:rsidR="005B0C90" w:rsidRPr="002F6569">
        <w:rPr>
          <w:color w:val="7F7F7F" w:themeColor="text2"/>
        </w:rPr>
        <w:t>3</w:t>
      </w:r>
      <w:r w:rsidR="00CA72C5" w:rsidRPr="002F6569">
        <w:rPr>
          <w:color w:val="7F7F7F" w:themeColor="text2"/>
        </w:rPr>
        <w:t xml:space="preserve"> per cent of all students enrolled in governme</w:t>
      </w:r>
      <w:r w:rsidR="00C728B8" w:rsidRPr="002F6569">
        <w:rPr>
          <w:color w:val="7F7F7F" w:themeColor="text2"/>
        </w:rPr>
        <w:t>nt subsidised training in 201</w:t>
      </w:r>
      <w:r w:rsidR="005B0C90" w:rsidRPr="002F6569">
        <w:rPr>
          <w:color w:val="7F7F7F" w:themeColor="text2"/>
        </w:rPr>
        <w:t>5 (half year)</w:t>
      </w:r>
      <w:r w:rsidR="00C728B8" w:rsidRPr="002F6569">
        <w:rPr>
          <w:color w:val="7F7F7F" w:themeColor="text2"/>
        </w:rPr>
        <w:t>, down from 4</w:t>
      </w:r>
      <w:r w:rsidR="005B0C90" w:rsidRPr="002F6569">
        <w:rPr>
          <w:color w:val="7F7F7F" w:themeColor="text2"/>
        </w:rPr>
        <w:t>4</w:t>
      </w:r>
      <w:r w:rsidR="00C728B8" w:rsidRPr="002F6569">
        <w:rPr>
          <w:color w:val="7F7F7F" w:themeColor="text2"/>
        </w:rPr>
        <w:t xml:space="preserve"> per cent in 201</w:t>
      </w:r>
      <w:r w:rsidR="005B0C90" w:rsidRPr="002F6569">
        <w:rPr>
          <w:color w:val="7F7F7F" w:themeColor="text2"/>
        </w:rPr>
        <w:t>4 (half year)</w:t>
      </w:r>
      <w:r w:rsidR="00C728B8" w:rsidRPr="002F6569">
        <w:rPr>
          <w:color w:val="7F7F7F" w:themeColor="text2"/>
        </w:rPr>
        <w:t>.</w:t>
      </w:r>
    </w:p>
    <w:p w:rsidR="005624CB" w:rsidRPr="002F6569" w:rsidRDefault="005624CB" w:rsidP="001C4B5C">
      <w:pPr>
        <w:pStyle w:val="ListParagraph"/>
        <w:numPr>
          <w:ilvl w:val="0"/>
          <w:numId w:val="18"/>
        </w:numPr>
        <w:pBdr>
          <w:top w:val="single" w:sz="4" w:space="1" w:color="7F7F7F" w:themeColor="text2"/>
          <w:left w:val="single" w:sz="4" w:space="4" w:color="7F7F7F" w:themeColor="text2"/>
          <w:bottom w:val="single" w:sz="4" w:space="1" w:color="7F7F7F" w:themeColor="text2"/>
          <w:right w:val="single" w:sz="4" w:space="4" w:color="7F7F7F" w:themeColor="text2"/>
        </w:pBdr>
        <w:spacing w:before="120" w:after="120"/>
        <w:ind w:left="426" w:hanging="426"/>
        <w:contextualSpacing w:val="0"/>
        <w:rPr>
          <w:color w:val="7F7F7F" w:themeColor="text2"/>
        </w:rPr>
      </w:pPr>
      <w:r w:rsidRPr="002F6569">
        <w:rPr>
          <w:color w:val="7F7F7F" w:themeColor="text2"/>
        </w:rPr>
        <w:t>The most significant decline in age groups between 201</w:t>
      </w:r>
      <w:r w:rsidR="005B0C90" w:rsidRPr="002F6569">
        <w:rPr>
          <w:color w:val="7F7F7F" w:themeColor="text2"/>
        </w:rPr>
        <w:t>4</w:t>
      </w:r>
      <w:r w:rsidRPr="002F6569">
        <w:rPr>
          <w:color w:val="7F7F7F" w:themeColor="text2"/>
        </w:rPr>
        <w:t xml:space="preserve"> and 201</w:t>
      </w:r>
      <w:r w:rsidR="005B0C90" w:rsidRPr="002F6569">
        <w:rPr>
          <w:color w:val="7F7F7F" w:themeColor="text2"/>
        </w:rPr>
        <w:t>5 (half year)</w:t>
      </w:r>
      <w:r w:rsidRPr="002F6569">
        <w:rPr>
          <w:color w:val="7F7F7F" w:themeColor="text2"/>
        </w:rPr>
        <w:t xml:space="preserve"> was </w:t>
      </w:r>
      <w:r w:rsidR="007F6743" w:rsidRPr="002F6569">
        <w:rPr>
          <w:color w:val="7F7F7F" w:themeColor="text2"/>
        </w:rPr>
        <w:t>by</w:t>
      </w:r>
      <w:r w:rsidRPr="002F6569">
        <w:rPr>
          <w:color w:val="7F7F7F" w:themeColor="text2"/>
        </w:rPr>
        <w:t xml:space="preserve"> 15 to 19 year olds</w:t>
      </w:r>
      <w:r w:rsidR="00C33143" w:rsidRPr="002F6569">
        <w:rPr>
          <w:color w:val="7F7F7F" w:themeColor="text2"/>
        </w:rPr>
        <w:t>. In 201</w:t>
      </w:r>
      <w:r w:rsidR="002D11B1" w:rsidRPr="002F6569">
        <w:rPr>
          <w:color w:val="7F7F7F" w:themeColor="text2"/>
        </w:rPr>
        <w:t xml:space="preserve">5 (half year) </w:t>
      </w:r>
      <w:r w:rsidR="00C33143" w:rsidRPr="002F6569">
        <w:rPr>
          <w:color w:val="7F7F7F" w:themeColor="text2"/>
        </w:rPr>
        <w:t xml:space="preserve">there were </w:t>
      </w:r>
      <w:r w:rsidR="002D11B1" w:rsidRPr="002F6569">
        <w:rPr>
          <w:color w:val="7F7F7F" w:themeColor="text2"/>
        </w:rPr>
        <w:t>51</w:t>
      </w:r>
      <w:r w:rsidR="00C33143" w:rsidRPr="002F6569">
        <w:rPr>
          <w:color w:val="7F7F7F" w:themeColor="text2"/>
        </w:rPr>
        <w:t>,</w:t>
      </w:r>
      <w:r w:rsidR="002D11B1" w:rsidRPr="002F6569">
        <w:rPr>
          <w:color w:val="7F7F7F" w:themeColor="text2"/>
        </w:rPr>
        <w:t>692</w:t>
      </w:r>
      <w:r w:rsidR="00C33143" w:rsidRPr="002F6569">
        <w:rPr>
          <w:color w:val="7F7F7F" w:themeColor="text2"/>
        </w:rPr>
        <w:t xml:space="preserve"> 15-19 year olds enrolled in training, this was 18 per cent lower than the 201</w:t>
      </w:r>
      <w:r w:rsidR="000407E3" w:rsidRPr="002F6569">
        <w:rPr>
          <w:color w:val="7F7F7F" w:themeColor="text2"/>
        </w:rPr>
        <w:t xml:space="preserve">4 </w:t>
      </w:r>
      <w:r w:rsidR="00C33143" w:rsidRPr="002F6569">
        <w:rPr>
          <w:color w:val="7F7F7F" w:themeColor="text2"/>
        </w:rPr>
        <w:t>result</w:t>
      </w:r>
      <w:r w:rsidRPr="002F6569">
        <w:rPr>
          <w:color w:val="7F7F7F" w:themeColor="text2"/>
        </w:rPr>
        <w:t>.</w:t>
      </w:r>
    </w:p>
    <w:p w:rsidR="00CA72C5" w:rsidRPr="002F6569" w:rsidRDefault="00083374" w:rsidP="00EB34EC">
      <w:pPr>
        <w:pStyle w:val="ListParagraph"/>
        <w:numPr>
          <w:ilvl w:val="0"/>
          <w:numId w:val="18"/>
        </w:numPr>
        <w:pBdr>
          <w:top w:val="single" w:sz="4" w:space="1" w:color="7F7F7F" w:themeColor="text2"/>
          <w:left w:val="single" w:sz="4" w:space="4" w:color="7F7F7F" w:themeColor="text2"/>
          <w:bottom w:val="single" w:sz="4" w:space="1" w:color="7F7F7F" w:themeColor="text2"/>
          <w:right w:val="single" w:sz="4" w:space="4" w:color="7F7F7F" w:themeColor="text2"/>
        </w:pBdr>
        <w:spacing w:before="120"/>
        <w:ind w:left="425" w:hanging="425"/>
        <w:contextualSpacing w:val="0"/>
        <w:rPr>
          <w:color w:val="7F7F7F" w:themeColor="text2"/>
        </w:rPr>
      </w:pPr>
      <w:r w:rsidRPr="002F6569">
        <w:rPr>
          <w:color w:val="7F7F7F" w:themeColor="text2"/>
        </w:rPr>
        <w:t>T</w:t>
      </w:r>
      <w:r w:rsidR="00CA72C5" w:rsidRPr="002F6569">
        <w:rPr>
          <w:color w:val="7F7F7F" w:themeColor="text2"/>
        </w:rPr>
        <w:t xml:space="preserve">he numbers of students enrolled in government subsidised training </w:t>
      </w:r>
      <w:r w:rsidRPr="002F6569">
        <w:rPr>
          <w:color w:val="7F7F7F" w:themeColor="text2"/>
        </w:rPr>
        <w:t>in 201</w:t>
      </w:r>
      <w:r w:rsidR="000407E3" w:rsidRPr="002F6569">
        <w:rPr>
          <w:color w:val="7F7F7F" w:themeColor="text2"/>
        </w:rPr>
        <w:t>5 (half year)</w:t>
      </w:r>
      <w:r w:rsidRPr="002F6569">
        <w:rPr>
          <w:color w:val="7F7F7F" w:themeColor="text2"/>
        </w:rPr>
        <w:t xml:space="preserve"> </w:t>
      </w:r>
      <w:r w:rsidR="00CA72C5" w:rsidRPr="002F6569">
        <w:rPr>
          <w:color w:val="7F7F7F" w:themeColor="text2"/>
        </w:rPr>
        <w:t>were lower than those in 201</w:t>
      </w:r>
      <w:r w:rsidR="000407E3" w:rsidRPr="002F6569">
        <w:rPr>
          <w:color w:val="7F7F7F" w:themeColor="text2"/>
        </w:rPr>
        <w:t>4</w:t>
      </w:r>
      <w:r w:rsidR="00CA72C5" w:rsidRPr="002F6569">
        <w:rPr>
          <w:color w:val="7F7F7F" w:themeColor="text2"/>
        </w:rPr>
        <w:t xml:space="preserve"> across all age groups</w:t>
      </w:r>
      <w:r w:rsidR="000407E3" w:rsidRPr="002F6569">
        <w:rPr>
          <w:color w:val="7F7F7F" w:themeColor="text2"/>
        </w:rPr>
        <w:t xml:space="preserve"> except ‘Other’ (age under 15 year old, 65 years and over or not stated) where there was an increase of 9</w:t>
      </w:r>
      <w:r w:rsidR="00363E7C">
        <w:rPr>
          <w:color w:val="7F7F7F" w:themeColor="text2"/>
        </w:rPr>
        <w:t xml:space="preserve"> per cent</w:t>
      </w:r>
      <w:r w:rsidR="00CA72C5" w:rsidRPr="002F6569">
        <w:rPr>
          <w:color w:val="7F7F7F" w:themeColor="text2"/>
        </w:rPr>
        <w:t>.</w:t>
      </w:r>
    </w:p>
    <w:p w:rsidR="001C4B5C" w:rsidRPr="002F6569" w:rsidRDefault="001C4B5C" w:rsidP="00EB34EC">
      <w:pPr>
        <w:pBdr>
          <w:top w:val="single" w:sz="4" w:space="1" w:color="7F7F7F" w:themeColor="text2"/>
          <w:left w:val="single" w:sz="4" w:space="4" w:color="7F7F7F" w:themeColor="text2"/>
          <w:bottom w:val="single" w:sz="4" w:space="1" w:color="7F7F7F" w:themeColor="text2"/>
          <w:right w:val="single" w:sz="4" w:space="4" w:color="7F7F7F" w:themeColor="text2"/>
        </w:pBdr>
        <w:rPr>
          <w:color w:val="7F7F7F" w:themeColor="text2"/>
        </w:rPr>
      </w:pPr>
    </w:p>
    <w:p w:rsidR="006C72C9" w:rsidRDefault="006C72C9" w:rsidP="00EB34EC"/>
    <w:p w:rsidR="00EB34EC" w:rsidRPr="00365EB2" w:rsidRDefault="00EB34EC" w:rsidP="00EB34EC"/>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5B3257" w:rsidTr="005B3257">
        <w:tc>
          <w:tcPr>
            <w:tcW w:w="1134" w:type="dxa"/>
            <w:tcMar>
              <w:left w:w="0" w:type="dxa"/>
              <w:right w:w="0" w:type="dxa"/>
            </w:tcMar>
          </w:tcPr>
          <w:p w:rsidR="005B3257" w:rsidRDefault="00CB6C79" w:rsidP="005B3257">
            <w:pPr>
              <w:pStyle w:val="Quote"/>
              <w:tabs>
                <w:tab w:val="left" w:pos="1134"/>
              </w:tabs>
              <w:rPr>
                <w:b w:val="0"/>
                <w:color w:val="B41F22" w:themeColor="accent1"/>
              </w:rPr>
            </w:pPr>
            <w:r>
              <w:rPr>
                <w:b w:val="0"/>
                <w:color w:val="B41F22" w:themeColor="accent1"/>
              </w:rPr>
              <w:t>Table 1.4</w:t>
            </w:r>
            <w:r w:rsidR="005B3257">
              <w:rPr>
                <w:b w:val="0"/>
                <w:color w:val="B41F22" w:themeColor="accent1"/>
              </w:rPr>
              <w:t>.1:</w:t>
            </w:r>
          </w:p>
        </w:tc>
        <w:tc>
          <w:tcPr>
            <w:tcW w:w="6946" w:type="dxa"/>
            <w:tcMar>
              <w:left w:w="0" w:type="dxa"/>
              <w:right w:w="0" w:type="dxa"/>
            </w:tcMar>
          </w:tcPr>
          <w:p w:rsidR="005B3257" w:rsidRDefault="005B3257" w:rsidP="005B3257">
            <w:pPr>
              <w:pStyle w:val="Quote"/>
              <w:tabs>
                <w:tab w:val="left" w:pos="1134"/>
              </w:tabs>
              <w:rPr>
                <w:b w:val="0"/>
                <w:color w:val="B41F22" w:themeColor="accent1"/>
              </w:rPr>
            </w:pPr>
            <w:r w:rsidRPr="005B0C90">
              <w:rPr>
                <w:b w:val="0"/>
                <w:color w:val="B41F22" w:themeColor="accent1"/>
              </w:rPr>
              <w:t>Students enrolled in government subsidised accredited training by age group, 2010 to 2015 (half year)</w:t>
            </w:r>
          </w:p>
        </w:tc>
      </w:tr>
    </w:tbl>
    <w:tbl>
      <w:tblPr>
        <w:tblW w:w="8095" w:type="dxa"/>
        <w:tblInd w:w="93" w:type="dxa"/>
        <w:tblLayout w:type="fixed"/>
        <w:tblLook w:val="04A0" w:firstRow="1" w:lastRow="0" w:firstColumn="1" w:lastColumn="0" w:noHBand="0" w:noVBand="1"/>
      </w:tblPr>
      <w:tblGrid>
        <w:gridCol w:w="1472"/>
        <w:gridCol w:w="1103"/>
        <w:gridCol w:w="1104"/>
        <w:gridCol w:w="1104"/>
        <w:gridCol w:w="1104"/>
        <w:gridCol w:w="1104"/>
        <w:gridCol w:w="1104"/>
      </w:tblGrid>
      <w:tr w:rsidR="00955475" w:rsidRPr="00955475" w:rsidTr="00951056">
        <w:trPr>
          <w:trHeight w:val="300"/>
        </w:trPr>
        <w:tc>
          <w:tcPr>
            <w:tcW w:w="1472" w:type="dxa"/>
            <w:tcBorders>
              <w:top w:val="nil"/>
              <w:left w:val="nil"/>
              <w:bottom w:val="nil"/>
              <w:right w:val="nil"/>
            </w:tcBorders>
            <w:shd w:val="clear" w:color="000000" w:fill="7F7F7F"/>
            <w:noWrap/>
            <w:vAlign w:val="center"/>
            <w:hideMark/>
          </w:tcPr>
          <w:p w:rsidR="00955475" w:rsidRPr="00955475" w:rsidRDefault="00955475" w:rsidP="00955475">
            <w:pPr>
              <w:rPr>
                <w:rFonts w:cs="Arial"/>
                <w:color w:val="FFFFFF"/>
                <w:szCs w:val="18"/>
                <w:lang w:eastAsia="en-AU"/>
              </w:rPr>
            </w:pPr>
            <w:r w:rsidRPr="00955475">
              <w:rPr>
                <w:rFonts w:cs="Arial"/>
                <w:color w:val="FFFFFF"/>
                <w:szCs w:val="18"/>
                <w:lang w:eastAsia="en-AU"/>
              </w:rPr>
              <w:t> </w:t>
            </w:r>
          </w:p>
        </w:tc>
        <w:tc>
          <w:tcPr>
            <w:tcW w:w="1103" w:type="dxa"/>
            <w:tcBorders>
              <w:top w:val="nil"/>
              <w:left w:val="nil"/>
              <w:bottom w:val="nil"/>
              <w:right w:val="nil"/>
            </w:tcBorders>
            <w:shd w:val="clear" w:color="000000" w:fill="7F7F7F"/>
            <w:noWrap/>
            <w:vAlign w:val="center"/>
            <w:hideMark/>
          </w:tcPr>
          <w:p w:rsidR="00955475" w:rsidRPr="00955475" w:rsidRDefault="00955475" w:rsidP="00955475">
            <w:pPr>
              <w:jc w:val="right"/>
              <w:rPr>
                <w:rFonts w:cs="Arial"/>
                <w:b/>
                <w:bCs/>
                <w:color w:val="FFFFFF"/>
                <w:szCs w:val="18"/>
                <w:lang w:eastAsia="en-AU"/>
              </w:rPr>
            </w:pPr>
            <w:r w:rsidRPr="00955475">
              <w:rPr>
                <w:rFonts w:cs="Arial"/>
                <w:b/>
                <w:bCs/>
                <w:color w:val="FFFFFF"/>
                <w:szCs w:val="18"/>
                <w:lang w:eastAsia="en-AU"/>
              </w:rPr>
              <w:t>2010</w:t>
            </w:r>
          </w:p>
        </w:tc>
        <w:tc>
          <w:tcPr>
            <w:tcW w:w="1104" w:type="dxa"/>
            <w:tcBorders>
              <w:top w:val="nil"/>
              <w:left w:val="nil"/>
              <w:bottom w:val="nil"/>
              <w:right w:val="nil"/>
            </w:tcBorders>
            <w:shd w:val="clear" w:color="000000" w:fill="7F7F7F"/>
            <w:noWrap/>
            <w:vAlign w:val="center"/>
            <w:hideMark/>
          </w:tcPr>
          <w:p w:rsidR="00955475" w:rsidRPr="00955475" w:rsidRDefault="00955475" w:rsidP="00955475">
            <w:pPr>
              <w:jc w:val="right"/>
              <w:rPr>
                <w:rFonts w:cs="Arial"/>
                <w:b/>
                <w:bCs/>
                <w:color w:val="FFFFFF"/>
                <w:szCs w:val="18"/>
                <w:lang w:eastAsia="en-AU"/>
              </w:rPr>
            </w:pPr>
            <w:r w:rsidRPr="00955475">
              <w:rPr>
                <w:rFonts w:cs="Arial"/>
                <w:b/>
                <w:bCs/>
                <w:color w:val="FFFFFF"/>
                <w:szCs w:val="18"/>
                <w:lang w:eastAsia="en-AU"/>
              </w:rPr>
              <w:t>2011</w:t>
            </w:r>
          </w:p>
        </w:tc>
        <w:tc>
          <w:tcPr>
            <w:tcW w:w="1104" w:type="dxa"/>
            <w:tcBorders>
              <w:top w:val="nil"/>
              <w:left w:val="nil"/>
              <w:bottom w:val="nil"/>
              <w:right w:val="nil"/>
            </w:tcBorders>
            <w:shd w:val="clear" w:color="000000" w:fill="7F7F7F"/>
            <w:noWrap/>
            <w:vAlign w:val="center"/>
            <w:hideMark/>
          </w:tcPr>
          <w:p w:rsidR="00955475" w:rsidRPr="00955475" w:rsidRDefault="00955475" w:rsidP="00955475">
            <w:pPr>
              <w:jc w:val="right"/>
              <w:rPr>
                <w:rFonts w:cs="Arial"/>
                <w:b/>
                <w:bCs/>
                <w:color w:val="FFFFFF"/>
                <w:szCs w:val="18"/>
                <w:lang w:eastAsia="en-AU"/>
              </w:rPr>
            </w:pPr>
            <w:r w:rsidRPr="00955475">
              <w:rPr>
                <w:rFonts w:cs="Arial"/>
                <w:b/>
                <w:bCs/>
                <w:color w:val="FFFFFF"/>
                <w:szCs w:val="18"/>
                <w:lang w:eastAsia="en-AU"/>
              </w:rPr>
              <w:t>2012</w:t>
            </w:r>
          </w:p>
        </w:tc>
        <w:tc>
          <w:tcPr>
            <w:tcW w:w="1104" w:type="dxa"/>
            <w:tcBorders>
              <w:top w:val="nil"/>
              <w:left w:val="nil"/>
              <w:bottom w:val="nil"/>
              <w:right w:val="nil"/>
            </w:tcBorders>
            <w:shd w:val="clear" w:color="000000" w:fill="7F7F7F"/>
            <w:noWrap/>
            <w:vAlign w:val="center"/>
            <w:hideMark/>
          </w:tcPr>
          <w:p w:rsidR="00955475" w:rsidRPr="00955475" w:rsidRDefault="00955475" w:rsidP="00955475">
            <w:pPr>
              <w:jc w:val="right"/>
              <w:rPr>
                <w:rFonts w:cs="Arial"/>
                <w:b/>
                <w:bCs/>
                <w:color w:val="FFFFFF"/>
                <w:szCs w:val="18"/>
                <w:lang w:eastAsia="en-AU"/>
              </w:rPr>
            </w:pPr>
            <w:r w:rsidRPr="00955475">
              <w:rPr>
                <w:rFonts w:cs="Arial"/>
                <w:b/>
                <w:bCs/>
                <w:color w:val="FFFFFF"/>
                <w:szCs w:val="18"/>
                <w:lang w:eastAsia="en-AU"/>
              </w:rPr>
              <w:t>2013</w:t>
            </w:r>
          </w:p>
        </w:tc>
        <w:tc>
          <w:tcPr>
            <w:tcW w:w="1104" w:type="dxa"/>
            <w:tcBorders>
              <w:top w:val="nil"/>
              <w:left w:val="nil"/>
              <w:bottom w:val="nil"/>
              <w:right w:val="nil"/>
            </w:tcBorders>
            <w:shd w:val="clear" w:color="000000" w:fill="7F7F7F"/>
            <w:noWrap/>
            <w:vAlign w:val="center"/>
            <w:hideMark/>
          </w:tcPr>
          <w:p w:rsidR="00955475" w:rsidRPr="00955475" w:rsidRDefault="00955475" w:rsidP="00955475">
            <w:pPr>
              <w:jc w:val="right"/>
              <w:rPr>
                <w:rFonts w:cs="Arial"/>
                <w:b/>
                <w:bCs/>
                <w:color w:val="FFFFFF"/>
                <w:szCs w:val="18"/>
                <w:lang w:eastAsia="en-AU"/>
              </w:rPr>
            </w:pPr>
            <w:r w:rsidRPr="00955475">
              <w:rPr>
                <w:rFonts w:cs="Arial"/>
                <w:b/>
                <w:bCs/>
                <w:color w:val="FFFFFF"/>
                <w:szCs w:val="18"/>
                <w:lang w:eastAsia="en-AU"/>
              </w:rPr>
              <w:t>2014</w:t>
            </w:r>
          </w:p>
        </w:tc>
        <w:tc>
          <w:tcPr>
            <w:tcW w:w="1104" w:type="dxa"/>
            <w:tcBorders>
              <w:top w:val="nil"/>
              <w:left w:val="nil"/>
              <w:bottom w:val="nil"/>
              <w:right w:val="nil"/>
            </w:tcBorders>
            <w:shd w:val="clear" w:color="000000" w:fill="7F7F7F"/>
            <w:noWrap/>
            <w:vAlign w:val="center"/>
            <w:hideMark/>
          </w:tcPr>
          <w:p w:rsidR="00955475" w:rsidRPr="00955475" w:rsidRDefault="00955475" w:rsidP="00955475">
            <w:pPr>
              <w:jc w:val="right"/>
              <w:rPr>
                <w:rFonts w:cs="Arial"/>
                <w:b/>
                <w:bCs/>
                <w:color w:val="FFFFFF"/>
                <w:szCs w:val="18"/>
                <w:lang w:eastAsia="en-AU"/>
              </w:rPr>
            </w:pPr>
            <w:r w:rsidRPr="00955475">
              <w:rPr>
                <w:rFonts w:cs="Arial"/>
                <w:b/>
                <w:bCs/>
                <w:color w:val="FFFFFF"/>
                <w:szCs w:val="18"/>
                <w:lang w:eastAsia="en-AU"/>
              </w:rPr>
              <w:t>2015</w:t>
            </w:r>
          </w:p>
        </w:tc>
      </w:tr>
      <w:tr w:rsidR="00955475" w:rsidRPr="00955475" w:rsidTr="00951056">
        <w:trPr>
          <w:trHeight w:val="300"/>
        </w:trPr>
        <w:tc>
          <w:tcPr>
            <w:tcW w:w="1472" w:type="dxa"/>
            <w:tcBorders>
              <w:top w:val="nil"/>
              <w:left w:val="nil"/>
              <w:bottom w:val="nil"/>
              <w:right w:val="nil"/>
            </w:tcBorders>
            <w:shd w:val="clear" w:color="auto" w:fill="auto"/>
            <w:noWrap/>
            <w:vAlign w:val="center"/>
            <w:hideMark/>
          </w:tcPr>
          <w:p w:rsidR="00955475" w:rsidRPr="00955475" w:rsidRDefault="00955475" w:rsidP="00955475">
            <w:pPr>
              <w:rPr>
                <w:rFonts w:cs="Arial"/>
                <w:color w:val="7F7F7F"/>
                <w:szCs w:val="18"/>
                <w:lang w:eastAsia="en-AU"/>
              </w:rPr>
            </w:pPr>
            <w:r w:rsidRPr="00955475">
              <w:rPr>
                <w:rFonts w:cs="Arial"/>
                <w:color w:val="7F7F7F"/>
                <w:szCs w:val="18"/>
                <w:lang w:eastAsia="en-AU"/>
              </w:rPr>
              <w:t>15 to 19*</w:t>
            </w:r>
          </w:p>
        </w:tc>
        <w:tc>
          <w:tcPr>
            <w:tcW w:w="1103" w:type="dxa"/>
            <w:tcBorders>
              <w:top w:val="nil"/>
              <w:left w:val="nil"/>
              <w:bottom w:val="nil"/>
              <w:right w:val="nil"/>
            </w:tcBorders>
            <w:shd w:val="clear" w:color="auto" w:fill="auto"/>
            <w:noWrap/>
            <w:vAlign w:val="center"/>
            <w:hideMark/>
          </w:tcPr>
          <w:p w:rsidR="00955475" w:rsidRPr="00955475" w:rsidRDefault="00955475" w:rsidP="00955475">
            <w:pPr>
              <w:jc w:val="right"/>
              <w:rPr>
                <w:rFonts w:cs="Arial"/>
                <w:color w:val="7F7F7F"/>
                <w:szCs w:val="18"/>
                <w:lang w:eastAsia="en-AU"/>
              </w:rPr>
            </w:pPr>
            <w:r w:rsidRPr="00955475">
              <w:rPr>
                <w:rFonts w:cs="Arial"/>
                <w:color w:val="7F7F7F"/>
                <w:szCs w:val="18"/>
                <w:lang w:eastAsia="en-AU"/>
              </w:rPr>
              <w:t>60,270</w:t>
            </w:r>
          </w:p>
        </w:tc>
        <w:tc>
          <w:tcPr>
            <w:tcW w:w="1104" w:type="dxa"/>
            <w:tcBorders>
              <w:top w:val="nil"/>
              <w:left w:val="nil"/>
              <w:bottom w:val="nil"/>
              <w:right w:val="nil"/>
            </w:tcBorders>
            <w:shd w:val="clear" w:color="auto" w:fill="auto"/>
            <w:noWrap/>
            <w:vAlign w:val="center"/>
            <w:hideMark/>
          </w:tcPr>
          <w:p w:rsidR="00955475" w:rsidRPr="00955475" w:rsidRDefault="00955475" w:rsidP="00955475">
            <w:pPr>
              <w:jc w:val="right"/>
              <w:rPr>
                <w:rFonts w:cs="Arial"/>
                <w:color w:val="7F7F7F"/>
                <w:szCs w:val="18"/>
                <w:lang w:eastAsia="en-AU"/>
              </w:rPr>
            </w:pPr>
            <w:r w:rsidRPr="00955475">
              <w:rPr>
                <w:rFonts w:cs="Arial"/>
                <w:color w:val="7F7F7F"/>
                <w:szCs w:val="18"/>
                <w:lang w:eastAsia="en-AU"/>
              </w:rPr>
              <w:t>70,549</w:t>
            </w:r>
          </w:p>
        </w:tc>
        <w:tc>
          <w:tcPr>
            <w:tcW w:w="1104" w:type="dxa"/>
            <w:tcBorders>
              <w:top w:val="nil"/>
              <w:left w:val="nil"/>
              <w:bottom w:val="nil"/>
              <w:right w:val="nil"/>
            </w:tcBorders>
            <w:shd w:val="clear" w:color="auto" w:fill="auto"/>
            <w:noWrap/>
            <w:vAlign w:val="center"/>
            <w:hideMark/>
          </w:tcPr>
          <w:p w:rsidR="00955475" w:rsidRPr="00955475" w:rsidRDefault="00955475" w:rsidP="00955475">
            <w:pPr>
              <w:jc w:val="right"/>
              <w:rPr>
                <w:rFonts w:cs="Arial"/>
                <w:color w:val="7F7F7F"/>
                <w:szCs w:val="18"/>
                <w:lang w:eastAsia="en-AU"/>
              </w:rPr>
            </w:pPr>
            <w:r w:rsidRPr="00955475">
              <w:rPr>
                <w:rFonts w:cs="Arial"/>
                <w:color w:val="7F7F7F"/>
                <w:szCs w:val="18"/>
                <w:lang w:eastAsia="en-AU"/>
              </w:rPr>
              <w:t>87,002</w:t>
            </w:r>
          </w:p>
        </w:tc>
        <w:tc>
          <w:tcPr>
            <w:tcW w:w="1104" w:type="dxa"/>
            <w:tcBorders>
              <w:top w:val="nil"/>
              <w:left w:val="nil"/>
              <w:bottom w:val="nil"/>
              <w:right w:val="nil"/>
            </w:tcBorders>
            <w:shd w:val="clear" w:color="auto" w:fill="auto"/>
            <w:noWrap/>
            <w:vAlign w:val="center"/>
            <w:hideMark/>
          </w:tcPr>
          <w:p w:rsidR="00955475" w:rsidRPr="00955475" w:rsidRDefault="00955475" w:rsidP="00955475">
            <w:pPr>
              <w:jc w:val="right"/>
              <w:rPr>
                <w:rFonts w:cs="Arial"/>
                <w:color w:val="7F7F7F"/>
                <w:szCs w:val="18"/>
                <w:lang w:eastAsia="en-AU"/>
              </w:rPr>
            </w:pPr>
            <w:r w:rsidRPr="00955475">
              <w:rPr>
                <w:rFonts w:cs="Arial"/>
                <w:color w:val="7F7F7F"/>
                <w:szCs w:val="18"/>
                <w:lang w:eastAsia="en-AU"/>
              </w:rPr>
              <w:t>68,553</w:t>
            </w:r>
          </w:p>
        </w:tc>
        <w:tc>
          <w:tcPr>
            <w:tcW w:w="1104" w:type="dxa"/>
            <w:tcBorders>
              <w:top w:val="nil"/>
              <w:left w:val="nil"/>
              <w:bottom w:val="nil"/>
              <w:right w:val="nil"/>
            </w:tcBorders>
            <w:shd w:val="clear" w:color="auto" w:fill="auto"/>
            <w:noWrap/>
            <w:vAlign w:val="center"/>
            <w:hideMark/>
          </w:tcPr>
          <w:p w:rsidR="00955475" w:rsidRPr="00955475" w:rsidRDefault="00955475" w:rsidP="00955475">
            <w:pPr>
              <w:jc w:val="right"/>
              <w:rPr>
                <w:rFonts w:cs="Arial"/>
                <w:color w:val="7F7F7F"/>
                <w:szCs w:val="18"/>
                <w:lang w:eastAsia="en-AU"/>
              </w:rPr>
            </w:pPr>
            <w:r w:rsidRPr="00955475">
              <w:rPr>
                <w:rFonts w:cs="Arial"/>
                <w:color w:val="7F7F7F"/>
                <w:szCs w:val="18"/>
                <w:lang w:eastAsia="en-AU"/>
              </w:rPr>
              <w:t>62,942</w:t>
            </w:r>
          </w:p>
        </w:tc>
        <w:tc>
          <w:tcPr>
            <w:tcW w:w="1104" w:type="dxa"/>
            <w:tcBorders>
              <w:top w:val="nil"/>
              <w:left w:val="nil"/>
              <w:bottom w:val="nil"/>
              <w:right w:val="nil"/>
            </w:tcBorders>
            <w:shd w:val="clear" w:color="auto" w:fill="auto"/>
            <w:noWrap/>
            <w:vAlign w:val="center"/>
            <w:hideMark/>
          </w:tcPr>
          <w:p w:rsidR="00955475" w:rsidRPr="00955475" w:rsidRDefault="00955475" w:rsidP="00955475">
            <w:pPr>
              <w:jc w:val="right"/>
              <w:rPr>
                <w:rFonts w:cs="Arial"/>
                <w:color w:val="7F7F7F"/>
                <w:szCs w:val="18"/>
                <w:lang w:eastAsia="en-AU"/>
              </w:rPr>
            </w:pPr>
            <w:r w:rsidRPr="00955475">
              <w:rPr>
                <w:rFonts w:cs="Arial"/>
                <w:color w:val="7F7F7F"/>
                <w:szCs w:val="18"/>
                <w:lang w:eastAsia="en-AU"/>
              </w:rPr>
              <w:t>51,692</w:t>
            </w:r>
          </w:p>
        </w:tc>
      </w:tr>
      <w:tr w:rsidR="00955475" w:rsidRPr="00955475" w:rsidTr="00951056">
        <w:trPr>
          <w:trHeight w:val="300"/>
        </w:trPr>
        <w:tc>
          <w:tcPr>
            <w:tcW w:w="1472" w:type="dxa"/>
            <w:tcBorders>
              <w:top w:val="nil"/>
              <w:left w:val="nil"/>
              <w:bottom w:val="nil"/>
              <w:right w:val="nil"/>
            </w:tcBorders>
            <w:shd w:val="clear" w:color="auto" w:fill="auto"/>
            <w:noWrap/>
            <w:vAlign w:val="center"/>
            <w:hideMark/>
          </w:tcPr>
          <w:p w:rsidR="00955475" w:rsidRPr="00955475" w:rsidRDefault="00955475" w:rsidP="00955475">
            <w:pPr>
              <w:rPr>
                <w:rFonts w:cs="Arial"/>
                <w:color w:val="7F7F7F"/>
                <w:szCs w:val="18"/>
                <w:lang w:eastAsia="en-AU"/>
              </w:rPr>
            </w:pPr>
            <w:r w:rsidRPr="00955475">
              <w:rPr>
                <w:rFonts w:cs="Arial"/>
                <w:color w:val="7F7F7F"/>
                <w:szCs w:val="18"/>
                <w:lang w:eastAsia="en-AU"/>
              </w:rPr>
              <w:t>20 to 24</w:t>
            </w:r>
          </w:p>
        </w:tc>
        <w:tc>
          <w:tcPr>
            <w:tcW w:w="1103" w:type="dxa"/>
            <w:tcBorders>
              <w:top w:val="nil"/>
              <w:left w:val="nil"/>
              <w:bottom w:val="nil"/>
              <w:right w:val="nil"/>
            </w:tcBorders>
            <w:shd w:val="clear" w:color="auto" w:fill="auto"/>
            <w:noWrap/>
            <w:vAlign w:val="center"/>
            <w:hideMark/>
          </w:tcPr>
          <w:p w:rsidR="00955475" w:rsidRPr="00955475" w:rsidRDefault="00955475" w:rsidP="00955475">
            <w:pPr>
              <w:jc w:val="right"/>
              <w:rPr>
                <w:rFonts w:cs="Arial"/>
                <w:color w:val="7F7F7F"/>
                <w:szCs w:val="18"/>
                <w:lang w:eastAsia="en-AU"/>
              </w:rPr>
            </w:pPr>
            <w:r w:rsidRPr="00955475">
              <w:rPr>
                <w:rFonts w:cs="Arial"/>
                <w:color w:val="7F7F7F"/>
                <w:szCs w:val="18"/>
                <w:lang w:eastAsia="en-AU"/>
              </w:rPr>
              <w:t>49,527</w:t>
            </w:r>
          </w:p>
        </w:tc>
        <w:tc>
          <w:tcPr>
            <w:tcW w:w="1104" w:type="dxa"/>
            <w:tcBorders>
              <w:top w:val="nil"/>
              <w:left w:val="nil"/>
              <w:bottom w:val="nil"/>
              <w:right w:val="nil"/>
            </w:tcBorders>
            <w:shd w:val="clear" w:color="auto" w:fill="auto"/>
            <w:noWrap/>
            <w:vAlign w:val="center"/>
            <w:hideMark/>
          </w:tcPr>
          <w:p w:rsidR="00955475" w:rsidRPr="00955475" w:rsidRDefault="00955475" w:rsidP="00955475">
            <w:pPr>
              <w:jc w:val="right"/>
              <w:rPr>
                <w:rFonts w:cs="Arial"/>
                <w:color w:val="7F7F7F"/>
                <w:szCs w:val="18"/>
                <w:lang w:eastAsia="en-AU"/>
              </w:rPr>
            </w:pPr>
            <w:r w:rsidRPr="00955475">
              <w:rPr>
                <w:rFonts w:cs="Arial"/>
                <w:color w:val="7F7F7F"/>
                <w:szCs w:val="18"/>
                <w:lang w:eastAsia="en-AU"/>
              </w:rPr>
              <w:t>60,562</w:t>
            </w:r>
          </w:p>
        </w:tc>
        <w:tc>
          <w:tcPr>
            <w:tcW w:w="1104" w:type="dxa"/>
            <w:tcBorders>
              <w:top w:val="nil"/>
              <w:left w:val="nil"/>
              <w:bottom w:val="nil"/>
              <w:right w:val="nil"/>
            </w:tcBorders>
            <w:shd w:val="clear" w:color="auto" w:fill="auto"/>
            <w:noWrap/>
            <w:vAlign w:val="center"/>
            <w:hideMark/>
          </w:tcPr>
          <w:p w:rsidR="00955475" w:rsidRPr="00955475" w:rsidRDefault="00955475" w:rsidP="00955475">
            <w:pPr>
              <w:jc w:val="right"/>
              <w:rPr>
                <w:rFonts w:cs="Arial"/>
                <w:color w:val="7F7F7F"/>
                <w:szCs w:val="18"/>
                <w:lang w:eastAsia="en-AU"/>
              </w:rPr>
            </w:pPr>
            <w:r w:rsidRPr="00955475">
              <w:rPr>
                <w:rFonts w:cs="Arial"/>
                <w:color w:val="7F7F7F"/>
                <w:szCs w:val="18"/>
                <w:lang w:eastAsia="en-AU"/>
              </w:rPr>
              <w:t>76,213</w:t>
            </w:r>
          </w:p>
        </w:tc>
        <w:tc>
          <w:tcPr>
            <w:tcW w:w="1104" w:type="dxa"/>
            <w:tcBorders>
              <w:top w:val="nil"/>
              <w:left w:val="nil"/>
              <w:bottom w:val="nil"/>
              <w:right w:val="nil"/>
            </w:tcBorders>
            <w:shd w:val="clear" w:color="auto" w:fill="auto"/>
            <w:noWrap/>
            <w:vAlign w:val="center"/>
            <w:hideMark/>
          </w:tcPr>
          <w:p w:rsidR="00955475" w:rsidRPr="00955475" w:rsidRDefault="00955475" w:rsidP="00955475">
            <w:pPr>
              <w:jc w:val="right"/>
              <w:rPr>
                <w:rFonts w:cs="Arial"/>
                <w:color w:val="7F7F7F"/>
                <w:szCs w:val="18"/>
                <w:lang w:eastAsia="en-AU"/>
              </w:rPr>
            </w:pPr>
            <w:r w:rsidRPr="00955475">
              <w:rPr>
                <w:rFonts w:cs="Arial"/>
                <w:color w:val="7F7F7F"/>
                <w:szCs w:val="18"/>
                <w:lang w:eastAsia="en-AU"/>
              </w:rPr>
              <w:t>67,019</w:t>
            </w:r>
          </w:p>
        </w:tc>
        <w:tc>
          <w:tcPr>
            <w:tcW w:w="1104" w:type="dxa"/>
            <w:tcBorders>
              <w:top w:val="nil"/>
              <w:left w:val="nil"/>
              <w:bottom w:val="nil"/>
              <w:right w:val="nil"/>
            </w:tcBorders>
            <w:shd w:val="clear" w:color="auto" w:fill="auto"/>
            <w:noWrap/>
            <w:vAlign w:val="center"/>
            <w:hideMark/>
          </w:tcPr>
          <w:p w:rsidR="00955475" w:rsidRPr="00955475" w:rsidRDefault="00955475" w:rsidP="00955475">
            <w:pPr>
              <w:jc w:val="right"/>
              <w:rPr>
                <w:rFonts w:cs="Arial"/>
                <w:color w:val="7F7F7F"/>
                <w:szCs w:val="18"/>
                <w:lang w:eastAsia="en-AU"/>
              </w:rPr>
            </w:pPr>
            <w:r w:rsidRPr="00955475">
              <w:rPr>
                <w:rFonts w:cs="Arial"/>
                <w:color w:val="7F7F7F"/>
                <w:szCs w:val="18"/>
                <w:lang w:eastAsia="en-AU"/>
              </w:rPr>
              <w:t>69,370</w:t>
            </w:r>
          </w:p>
        </w:tc>
        <w:tc>
          <w:tcPr>
            <w:tcW w:w="1104" w:type="dxa"/>
            <w:tcBorders>
              <w:top w:val="nil"/>
              <w:left w:val="nil"/>
              <w:bottom w:val="nil"/>
              <w:right w:val="nil"/>
            </w:tcBorders>
            <w:shd w:val="clear" w:color="auto" w:fill="auto"/>
            <w:noWrap/>
            <w:vAlign w:val="center"/>
            <w:hideMark/>
          </w:tcPr>
          <w:p w:rsidR="00955475" w:rsidRPr="00955475" w:rsidRDefault="00955475" w:rsidP="00955475">
            <w:pPr>
              <w:jc w:val="right"/>
              <w:rPr>
                <w:rFonts w:cs="Arial"/>
                <w:color w:val="7F7F7F"/>
                <w:szCs w:val="18"/>
                <w:lang w:eastAsia="en-AU"/>
              </w:rPr>
            </w:pPr>
            <w:r w:rsidRPr="00955475">
              <w:rPr>
                <w:rFonts w:cs="Arial"/>
                <w:color w:val="7F7F7F"/>
                <w:szCs w:val="18"/>
                <w:lang w:eastAsia="en-AU"/>
              </w:rPr>
              <w:t>62,328</w:t>
            </w:r>
          </w:p>
        </w:tc>
      </w:tr>
      <w:tr w:rsidR="00955475" w:rsidRPr="00955475" w:rsidTr="00951056">
        <w:trPr>
          <w:trHeight w:val="300"/>
        </w:trPr>
        <w:tc>
          <w:tcPr>
            <w:tcW w:w="1472" w:type="dxa"/>
            <w:tcBorders>
              <w:top w:val="nil"/>
              <w:left w:val="nil"/>
              <w:bottom w:val="nil"/>
              <w:right w:val="nil"/>
            </w:tcBorders>
            <w:shd w:val="clear" w:color="auto" w:fill="auto"/>
            <w:noWrap/>
            <w:vAlign w:val="center"/>
            <w:hideMark/>
          </w:tcPr>
          <w:p w:rsidR="00955475" w:rsidRPr="00955475" w:rsidRDefault="00955475" w:rsidP="00955475">
            <w:pPr>
              <w:rPr>
                <w:rFonts w:cs="Arial"/>
                <w:color w:val="7F7F7F"/>
                <w:szCs w:val="18"/>
                <w:lang w:eastAsia="en-AU"/>
              </w:rPr>
            </w:pPr>
            <w:r w:rsidRPr="00955475">
              <w:rPr>
                <w:rFonts w:cs="Arial"/>
                <w:color w:val="7F7F7F"/>
                <w:szCs w:val="18"/>
                <w:lang w:eastAsia="en-AU"/>
              </w:rPr>
              <w:t>25 to 44</w:t>
            </w:r>
          </w:p>
        </w:tc>
        <w:tc>
          <w:tcPr>
            <w:tcW w:w="1103" w:type="dxa"/>
            <w:tcBorders>
              <w:top w:val="nil"/>
              <w:left w:val="nil"/>
              <w:bottom w:val="nil"/>
              <w:right w:val="nil"/>
            </w:tcBorders>
            <w:shd w:val="clear" w:color="auto" w:fill="auto"/>
            <w:noWrap/>
            <w:vAlign w:val="center"/>
            <w:hideMark/>
          </w:tcPr>
          <w:p w:rsidR="00955475" w:rsidRPr="00955475" w:rsidRDefault="00955475" w:rsidP="00955475">
            <w:pPr>
              <w:jc w:val="right"/>
              <w:rPr>
                <w:rFonts w:cs="Arial"/>
                <w:color w:val="7F7F7F"/>
                <w:szCs w:val="18"/>
                <w:lang w:eastAsia="en-AU"/>
              </w:rPr>
            </w:pPr>
            <w:r w:rsidRPr="00955475">
              <w:rPr>
                <w:rFonts w:cs="Arial"/>
                <w:color w:val="7F7F7F"/>
                <w:szCs w:val="18"/>
                <w:lang w:eastAsia="en-AU"/>
              </w:rPr>
              <w:t>67,391</w:t>
            </w:r>
          </w:p>
        </w:tc>
        <w:tc>
          <w:tcPr>
            <w:tcW w:w="1104" w:type="dxa"/>
            <w:tcBorders>
              <w:top w:val="nil"/>
              <w:left w:val="nil"/>
              <w:bottom w:val="nil"/>
              <w:right w:val="nil"/>
            </w:tcBorders>
            <w:shd w:val="clear" w:color="auto" w:fill="auto"/>
            <w:noWrap/>
            <w:vAlign w:val="center"/>
            <w:hideMark/>
          </w:tcPr>
          <w:p w:rsidR="00955475" w:rsidRPr="00955475" w:rsidRDefault="00955475" w:rsidP="00955475">
            <w:pPr>
              <w:jc w:val="right"/>
              <w:rPr>
                <w:rFonts w:cs="Arial"/>
                <w:color w:val="7F7F7F"/>
                <w:szCs w:val="18"/>
                <w:lang w:eastAsia="en-AU"/>
              </w:rPr>
            </w:pPr>
            <w:r w:rsidRPr="00955475">
              <w:rPr>
                <w:rFonts w:cs="Arial"/>
                <w:color w:val="7F7F7F"/>
                <w:szCs w:val="18"/>
                <w:lang w:eastAsia="en-AU"/>
              </w:rPr>
              <w:t>86,053</w:t>
            </w:r>
          </w:p>
        </w:tc>
        <w:tc>
          <w:tcPr>
            <w:tcW w:w="1104" w:type="dxa"/>
            <w:tcBorders>
              <w:top w:val="nil"/>
              <w:left w:val="nil"/>
              <w:bottom w:val="nil"/>
              <w:right w:val="nil"/>
            </w:tcBorders>
            <w:shd w:val="clear" w:color="auto" w:fill="auto"/>
            <w:noWrap/>
            <w:vAlign w:val="center"/>
            <w:hideMark/>
          </w:tcPr>
          <w:p w:rsidR="00955475" w:rsidRPr="00955475" w:rsidRDefault="00955475" w:rsidP="00955475">
            <w:pPr>
              <w:jc w:val="right"/>
              <w:rPr>
                <w:rFonts w:cs="Arial"/>
                <w:color w:val="7F7F7F"/>
                <w:szCs w:val="18"/>
                <w:lang w:eastAsia="en-AU"/>
              </w:rPr>
            </w:pPr>
            <w:r w:rsidRPr="00955475">
              <w:rPr>
                <w:rFonts w:cs="Arial"/>
                <w:color w:val="7F7F7F"/>
                <w:szCs w:val="18"/>
                <w:lang w:eastAsia="en-AU"/>
              </w:rPr>
              <w:t>119,737</w:t>
            </w:r>
          </w:p>
        </w:tc>
        <w:tc>
          <w:tcPr>
            <w:tcW w:w="1104" w:type="dxa"/>
            <w:tcBorders>
              <w:top w:val="nil"/>
              <w:left w:val="nil"/>
              <w:bottom w:val="nil"/>
              <w:right w:val="nil"/>
            </w:tcBorders>
            <w:shd w:val="clear" w:color="auto" w:fill="auto"/>
            <w:noWrap/>
            <w:vAlign w:val="center"/>
            <w:hideMark/>
          </w:tcPr>
          <w:p w:rsidR="00955475" w:rsidRPr="00955475" w:rsidRDefault="00955475" w:rsidP="00955475">
            <w:pPr>
              <w:jc w:val="right"/>
              <w:rPr>
                <w:rFonts w:cs="Arial"/>
                <w:color w:val="7F7F7F"/>
                <w:szCs w:val="18"/>
                <w:lang w:eastAsia="en-AU"/>
              </w:rPr>
            </w:pPr>
            <w:r w:rsidRPr="00955475">
              <w:rPr>
                <w:rFonts w:cs="Arial"/>
                <w:color w:val="7F7F7F"/>
                <w:szCs w:val="18"/>
                <w:lang w:eastAsia="en-AU"/>
              </w:rPr>
              <w:t>105,855</w:t>
            </w:r>
          </w:p>
        </w:tc>
        <w:tc>
          <w:tcPr>
            <w:tcW w:w="1104" w:type="dxa"/>
            <w:tcBorders>
              <w:top w:val="nil"/>
              <w:left w:val="nil"/>
              <w:bottom w:val="nil"/>
              <w:right w:val="nil"/>
            </w:tcBorders>
            <w:shd w:val="clear" w:color="auto" w:fill="auto"/>
            <w:noWrap/>
            <w:vAlign w:val="center"/>
            <w:hideMark/>
          </w:tcPr>
          <w:p w:rsidR="00955475" w:rsidRPr="00955475" w:rsidRDefault="00955475" w:rsidP="00955475">
            <w:pPr>
              <w:jc w:val="right"/>
              <w:rPr>
                <w:rFonts w:cs="Arial"/>
                <w:color w:val="7F7F7F"/>
                <w:szCs w:val="18"/>
                <w:lang w:eastAsia="en-AU"/>
              </w:rPr>
            </w:pPr>
            <w:r w:rsidRPr="00955475">
              <w:rPr>
                <w:rFonts w:cs="Arial"/>
                <w:color w:val="7F7F7F"/>
                <w:szCs w:val="18"/>
                <w:lang w:eastAsia="en-AU"/>
              </w:rPr>
              <w:t>111,410</w:t>
            </w:r>
          </w:p>
        </w:tc>
        <w:tc>
          <w:tcPr>
            <w:tcW w:w="1104" w:type="dxa"/>
            <w:tcBorders>
              <w:top w:val="nil"/>
              <w:left w:val="nil"/>
              <w:bottom w:val="nil"/>
              <w:right w:val="nil"/>
            </w:tcBorders>
            <w:shd w:val="clear" w:color="auto" w:fill="auto"/>
            <w:noWrap/>
            <w:vAlign w:val="center"/>
            <w:hideMark/>
          </w:tcPr>
          <w:p w:rsidR="00955475" w:rsidRPr="00955475" w:rsidRDefault="00955475" w:rsidP="00955475">
            <w:pPr>
              <w:jc w:val="right"/>
              <w:rPr>
                <w:rFonts w:cs="Arial"/>
                <w:color w:val="7F7F7F"/>
                <w:szCs w:val="18"/>
                <w:lang w:eastAsia="en-AU"/>
              </w:rPr>
            </w:pPr>
            <w:r w:rsidRPr="00955475">
              <w:rPr>
                <w:rFonts w:cs="Arial"/>
                <w:color w:val="7F7F7F"/>
                <w:szCs w:val="18"/>
                <w:lang w:eastAsia="en-AU"/>
              </w:rPr>
              <w:t>98,725</w:t>
            </w:r>
          </w:p>
        </w:tc>
      </w:tr>
      <w:tr w:rsidR="00955475" w:rsidRPr="00955475" w:rsidTr="00951056">
        <w:trPr>
          <w:trHeight w:val="300"/>
        </w:trPr>
        <w:tc>
          <w:tcPr>
            <w:tcW w:w="1472" w:type="dxa"/>
            <w:tcBorders>
              <w:top w:val="nil"/>
              <w:left w:val="nil"/>
              <w:bottom w:val="nil"/>
              <w:right w:val="nil"/>
            </w:tcBorders>
            <w:shd w:val="clear" w:color="auto" w:fill="auto"/>
            <w:noWrap/>
            <w:vAlign w:val="center"/>
            <w:hideMark/>
          </w:tcPr>
          <w:p w:rsidR="00955475" w:rsidRPr="00955475" w:rsidRDefault="00955475" w:rsidP="00955475">
            <w:pPr>
              <w:rPr>
                <w:rFonts w:cs="Arial"/>
                <w:color w:val="7F7F7F"/>
                <w:szCs w:val="18"/>
                <w:lang w:eastAsia="en-AU"/>
              </w:rPr>
            </w:pPr>
            <w:r w:rsidRPr="00955475">
              <w:rPr>
                <w:rFonts w:cs="Arial"/>
                <w:color w:val="7F7F7F"/>
                <w:szCs w:val="18"/>
                <w:lang w:eastAsia="en-AU"/>
              </w:rPr>
              <w:t>45 to 64</w:t>
            </w:r>
          </w:p>
        </w:tc>
        <w:tc>
          <w:tcPr>
            <w:tcW w:w="1103" w:type="dxa"/>
            <w:tcBorders>
              <w:top w:val="nil"/>
              <w:left w:val="nil"/>
              <w:bottom w:val="nil"/>
              <w:right w:val="nil"/>
            </w:tcBorders>
            <w:shd w:val="clear" w:color="auto" w:fill="auto"/>
            <w:noWrap/>
            <w:vAlign w:val="center"/>
            <w:hideMark/>
          </w:tcPr>
          <w:p w:rsidR="00955475" w:rsidRPr="00955475" w:rsidRDefault="00955475" w:rsidP="00955475">
            <w:pPr>
              <w:jc w:val="right"/>
              <w:rPr>
                <w:rFonts w:cs="Arial"/>
                <w:color w:val="7F7F7F"/>
                <w:szCs w:val="18"/>
                <w:lang w:eastAsia="en-AU"/>
              </w:rPr>
            </w:pPr>
            <w:r w:rsidRPr="00955475">
              <w:rPr>
                <w:rFonts w:cs="Arial"/>
                <w:color w:val="7F7F7F"/>
                <w:szCs w:val="18"/>
                <w:lang w:eastAsia="en-AU"/>
              </w:rPr>
              <w:t>31,719</w:t>
            </w:r>
          </w:p>
        </w:tc>
        <w:tc>
          <w:tcPr>
            <w:tcW w:w="1104" w:type="dxa"/>
            <w:tcBorders>
              <w:top w:val="nil"/>
              <w:left w:val="nil"/>
              <w:bottom w:val="nil"/>
              <w:right w:val="nil"/>
            </w:tcBorders>
            <w:shd w:val="clear" w:color="auto" w:fill="auto"/>
            <w:noWrap/>
            <w:vAlign w:val="center"/>
            <w:hideMark/>
          </w:tcPr>
          <w:p w:rsidR="00955475" w:rsidRPr="00955475" w:rsidRDefault="00955475" w:rsidP="00955475">
            <w:pPr>
              <w:jc w:val="right"/>
              <w:rPr>
                <w:rFonts w:cs="Arial"/>
                <w:color w:val="7F7F7F"/>
                <w:szCs w:val="18"/>
                <w:lang w:eastAsia="en-AU"/>
              </w:rPr>
            </w:pPr>
            <w:r w:rsidRPr="00955475">
              <w:rPr>
                <w:rFonts w:cs="Arial"/>
                <w:color w:val="7F7F7F"/>
                <w:szCs w:val="18"/>
                <w:lang w:eastAsia="en-AU"/>
              </w:rPr>
              <w:t>40,901</w:t>
            </w:r>
          </w:p>
        </w:tc>
        <w:tc>
          <w:tcPr>
            <w:tcW w:w="1104" w:type="dxa"/>
            <w:tcBorders>
              <w:top w:val="nil"/>
              <w:left w:val="nil"/>
              <w:bottom w:val="nil"/>
              <w:right w:val="nil"/>
            </w:tcBorders>
            <w:shd w:val="clear" w:color="auto" w:fill="auto"/>
            <w:noWrap/>
            <w:vAlign w:val="center"/>
            <w:hideMark/>
          </w:tcPr>
          <w:p w:rsidR="00955475" w:rsidRPr="00955475" w:rsidRDefault="00955475" w:rsidP="00955475">
            <w:pPr>
              <w:jc w:val="right"/>
              <w:rPr>
                <w:rFonts w:cs="Arial"/>
                <w:color w:val="7F7F7F"/>
                <w:szCs w:val="18"/>
                <w:lang w:eastAsia="en-AU"/>
              </w:rPr>
            </w:pPr>
            <w:r w:rsidRPr="00955475">
              <w:rPr>
                <w:rFonts w:cs="Arial"/>
                <w:color w:val="7F7F7F"/>
                <w:szCs w:val="18"/>
                <w:lang w:eastAsia="en-AU"/>
              </w:rPr>
              <w:t>59,516</w:t>
            </w:r>
          </w:p>
        </w:tc>
        <w:tc>
          <w:tcPr>
            <w:tcW w:w="1104" w:type="dxa"/>
            <w:tcBorders>
              <w:top w:val="nil"/>
              <w:left w:val="nil"/>
              <w:bottom w:val="nil"/>
              <w:right w:val="nil"/>
            </w:tcBorders>
            <w:shd w:val="clear" w:color="auto" w:fill="auto"/>
            <w:noWrap/>
            <w:vAlign w:val="center"/>
            <w:hideMark/>
          </w:tcPr>
          <w:p w:rsidR="00955475" w:rsidRPr="00955475" w:rsidRDefault="00955475" w:rsidP="00955475">
            <w:pPr>
              <w:jc w:val="right"/>
              <w:rPr>
                <w:rFonts w:cs="Arial"/>
                <w:color w:val="7F7F7F"/>
                <w:szCs w:val="18"/>
                <w:lang w:eastAsia="en-AU"/>
              </w:rPr>
            </w:pPr>
            <w:r w:rsidRPr="00955475">
              <w:rPr>
                <w:rFonts w:cs="Arial"/>
                <w:color w:val="7F7F7F"/>
                <w:szCs w:val="18"/>
                <w:lang w:eastAsia="en-AU"/>
              </w:rPr>
              <w:t>52,151</w:t>
            </w:r>
          </w:p>
        </w:tc>
        <w:tc>
          <w:tcPr>
            <w:tcW w:w="1104" w:type="dxa"/>
            <w:tcBorders>
              <w:top w:val="nil"/>
              <w:left w:val="nil"/>
              <w:bottom w:val="nil"/>
              <w:right w:val="nil"/>
            </w:tcBorders>
            <w:shd w:val="clear" w:color="auto" w:fill="auto"/>
            <w:noWrap/>
            <w:vAlign w:val="center"/>
            <w:hideMark/>
          </w:tcPr>
          <w:p w:rsidR="00955475" w:rsidRPr="00955475" w:rsidRDefault="00955475" w:rsidP="00955475">
            <w:pPr>
              <w:jc w:val="right"/>
              <w:rPr>
                <w:rFonts w:cs="Arial"/>
                <w:color w:val="7F7F7F"/>
                <w:szCs w:val="18"/>
                <w:lang w:eastAsia="en-AU"/>
              </w:rPr>
            </w:pPr>
            <w:r w:rsidRPr="00955475">
              <w:rPr>
                <w:rFonts w:cs="Arial"/>
                <w:color w:val="7F7F7F"/>
                <w:szCs w:val="18"/>
                <w:lang w:eastAsia="en-AU"/>
              </w:rPr>
              <w:t>53,781</w:t>
            </w:r>
          </w:p>
        </w:tc>
        <w:tc>
          <w:tcPr>
            <w:tcW w:w="1104" w:type="dxa"/>
            <w:tcBorders>
              <w:top w:val="nil"/>
              <w:left w:val="nil"/>
              <w:bottom w:val="nil"/>
              <w:right w:val="nil"/>
            </w:tcBorders>
            <w:shd w:val="clear" w:color="auto" w:fill="auto"/>
            <w:noWrap/>
            <w:vAlign w:val="center"/>
            <w:hideMark/>
          </w:tcPr>
          <w:p w:rsidR="00955475" w:rsidRPr="00955475" w:rsidRDefault="00955475" w:rsidP="00955475">
            <w:pPr>
              <w:jc w:val="right"/>
              <w:rPr>
                <w:rFonts w:cs="Arial"/>
                <w:color w:val="7F7F7F"/>
                <w:szCs w:val="18"/>
                <w:lang w:eastAsia="en-AU"/>
              </w:rPr>
            </w:pPr>
            <w:r w:rsidRPr="00955475">
              <w:rPr>
                <w:rFonts w:cs="Arial"/>
                <w:color w:val="7F7F7F"/>
                <w:szCs w:val="18"/>
                <w:lang w:eastAsia="en-AU"/>
              </w:rPr>
              <w:t>48,180</w:t>
            </w:r>
          </w:p>
        </w:tc>
      </w:tr>
      <w:tr w:rsidR="00955475" w:rsidRPr="00955475" w:rsidTr="00951056">
        <w:trPr>
          <w:trHeight w:val="300"/>
        </w:trPr>
        <w:tc>
          <w:tcPr>
            <w:tcW w:w="1472" w:type="dxa"/>
            <w:tcBorders>
              <w:top w:val="nil"/>
              <w:left w:val="nil"/>
              <w:bottom w:val="nil"/>
              <w:right w:val="nil"/>
            </w:tcBorders>
            <w:shd w:val="clear" w:color="auto" w:fill="auto"/>
            <w:noWrap/>
            <w:vAlign w:val="center"/>
            <w:hideMark/>
          </w:tcPr>
          <w:p w:rsidR="00955475" w:rsidRPr="00955475" w:rsidRDefault="00955475" w:rsidP="00955475">
            <w:pPr>
              <w:rPr>
                <w:rFonts w:cs="Arial"/>
                <w:color w:val="7F7F7F"/>
                <w:szCs w:val="18"/>
                <w:lang w:eastAsia="en-AU"/>
              </w:rPr>
            </w:pPr>
            <w:r w:rsidRPr="00955475">
              <w:rPr>
                <w:rFonts w:cs="Arial"/>
                <w:color w:val="7F7F7F"/>
                <w:szCs w:val="18"/>
                <w:lang w:eastAsia="en-AU"/>
              </w:rPr>
              <w:t>Other**</w:t>
            </w:r>
          </w:p>
        </w:tc>
        <w:tc>
          <w:tcPr>
            <w:tcW w:w="1103" w:type="dxa"/>
            <w:tcBorders>
              <w:top w:val="nil"/>
              <w:left w:val="nil"/>
              <w:bottom w:val="nil"/>
              <w:right w:val="nil"/>
            </w:tcBorders>
            <w:shd w:val="clear" w:color="auto" w:fill="auto"/>
            <w:noWrap/>
            <w:vAlign w:val="center"/>
            <w:hideMark/>
          </w:tcPr>
          <w:p w:rsidR="00955475" w:rsidRPr="00955475" w:rsidRDefault="00955475" w:rsidP="00955475">
            <w:pPr>
              <w:jc w:val="right"/>
              <w:rPr>
                <w:rFonts w:cs="Arial"/>
                <w:color w:val="7F7F7F"/>
                <w:szCs w:val="18"/>
                <w:lang w:eastAsia="en-AU"/>
              </w:rPr>
            </w:pPr>
            <w:r w:rsidRPr="00955475">
              <w:rPr>
                <w:rFonts w:cs="Arial"/>
                <w:color w:val="7F7F7F"/>
                <w:szCs w:val="18"/>
                <w:lang w:eastAsia="en-AU"/>
              </w:rPr>
              <w:t>2,621</w:t>
            </w:r>
          </w:p>
        </w:tc>
        <w:tc>
          <w:tcPr>
            <w:tcW w:w="1104" w:type="dxa"/>
            <w:tcBorders>
              <w:top w:val="nil"/>
              <w:left w:val="nil"/>
              <w:bottom w:val="nil"/>
              <w:right w:val="nil"/>
            </w:tcBorders>
            <w:shd w:val="clear" w:color="auto" w:fill="auto"/>
            <w:noWrap/>
            <w:vAlign w:val="center"/>
            <w:hideMark/>
          </w:tcPr>
          <w:p w:rsidR="00955475" w:rsidRPr="00955475" w:rsidRDefault="00955475" w:rsidP="00955475">
            <w:pPr>
              <w:jc w:val="right"/>
              <w:rPr>
                <w:rFonts w:cs="Arial"/>
                <w:color w:val="7F7F7F"/>
                <w:szCs w:val="18"/>
                <w:lang w:eastAsia="en-AU"/>
              </w:rPr>
            </w:pPr>
            <w:r w:rsidRPr="00955475">
              <w:rPr>
                <w:rFonts w:cs="Arial"/>
                <w:color w:val="7F7F7F"/>
                <w:szCs w:val="18"/>
                <w:lang w:eastAsia="en-AU"/>
              </w:rPr>
              <w:t>2,222</w:t>
            </w:r>
          </w:p>
        </w:tc>
        <w:tc>
          <w:tcPr>
            <w:tcW w:w="1104" w:type="dxa"/>
            <w:tcBorders>
              <w:top w:val="nil"/>
              <w:left w:val="nil"/>
              <w:bottom w:val="nil"/>
              <w:right w:val="nil"/>
            </w:tcBorders>
            <w:shd w:val="clear" w:color="auto" w:fill="auto"/>
            <w:noWrap/>
            <w:vAlign w:val="center"/>
            <w:hideMark/>
          </w:tcPr>
          <w:p w:rsidR="00955475" w:rsidRPr="00955475" w:rsidRDefault="00955475" w:rsidP="00955475">
            <w:pPr>
              <w:jc w:val="right"/>
              <w:rPr>
                <w:rFonts w:cs="Arial"/>
                <w:color w:val="7F7F7F"/>
                <w:szCs w:val="18"/>
                <w:lang w:eastAsia="en-AU"/>
              </w:rPr>
            </w:pPr>
            <w:r w:rsidRPr="00955475">
              <w:rPr>
                <w:rFonts w:cs="Arial"/>
                <w:color w:val="7F7F7F"/>
                <w:szCs w:val="18"/>
                <w:lang w:eastAsia="en-AU"/>
              </w:rPr>
              <w:t>4,718</w:t>
            </w:r>
          </w:p>
        </w:tc>
        <w:tc>
          <w:tcPr>
            <w:tcW w:w="1104" w:type="dxa"/>
            <w:tcBorders>
              <w:top w:val="nil"/>
              <w:left w:val="nil"/>
              <w:bottom w:val="nil"/>
              <w:right w:val="nil"/>
            </w:tcBorders>
            <w:shd w:val="clear" w:color="auto" w:fill="auto"/>
            <w:noWrap/>
            <w:vAlign w:val="center"/>
            <w:hideMark/>
          </w:tcPr>
          <w:p w:rsidR="00955475" w:rsidRPr="00955475" w:rsidRDefault="00955475" w:rsidP="00955475">
            <w:pPr>
              <w:jc w:val="right"/>
              <w:rPr>
                <w:rFonts w:cs="Arial"/>
                <w:color w:val="7F7F7F"/>
                <w:szCs w:val="18"/>
                <w:lang w:eastAsia="en-AU"/>
              </w:rPr>
            </w:pPr>
            <w:r w:rsidRPr="00955475">
              <w:rPr>
                <w:rFonts w:cs="Arial"/>
                <w:color w:val="7F7F7F"/>
                <w:szCs w:val="18"/>
                <w:lang w:eastAsia="en-AU"/>
              </w:rPr>
              <w:t>4,081</w:t>
            </w:r>
          </w:p>
        </w:tc>
        <w:tc>
          <w:tcPr>
            <w:tcW w:w="1104" w:type="dxa"/>
            <w:tcBorders>
              <w:top w:val="nil"/>
              <w:left w:val="nil"/>
              <w:bottom w:val="nil"/>
              <w:right w:val="nil"/>
            </w:tcBorders>
            <w:shd w:val="clear" w:color="auto" w:fill="auto"/>
            <w:noWrap/>
            <w:vAlign w:val="center"/>
            <w:hideMark/>
          </w:tcPr>
          <w:p w:rsidR="00955475" w:rsidRPr="00955475" w:rsidRDefault="00955475" w:rsidP="00955475">
            <w:pPr>
              <w:jc w:val="right"/>
              <w:rPr>
                <w:rFonts w:cs="Arial"/>
                <w:color w:val="7F7F7F"/>
                <w:szCs w:val="18"/>
                <w:lang w:eastAsia="en-AU"/>
              </w:rPr>
            </w:pPr>
            <w:r w:rsidRPr="00955475">
              <w:rPr>
                <w:rFonts w:cs="Arial"/>
                <w:color w:val="7F7F7F"/>
                <w:szCs w:val="18"/>
                <w:lang w:eastAsia="en-AU"/>
              </w:rPr>
              <w:t>3,950</w:t>
            </w:r>
          </w:p>
        </w:tc>
        <w:tc>
          <w:tcPr>
            <w:tcW w:w="1104" w:type="dxa"/>
            <w:tcBorders>
              <w:top w:val="nil"/>
              <w:left w:val="nil"/>
              <w:bottom w:val="nil"/>
              <w:right w:val="nil"/>
            </w:tcBorders>
            <w:shd w:val="clear" w:color="auto" w:fill="auto"/>
            <w:noWrap/>
            <w:vAlign w:val="center"/>
            <w:hideMark/>
          </w:tcPr>
          <w:p w:rsidR="00955475" w:rsidRPr="00955475" w:rsidRDefault="00955475" w:rsidP="00955475">
            <w:pPr>
              <w:jc w:val="right"/>
              <w:rPr>
                <w:rFonts w:cs="Arial"/>
                <w:color w:val="7F7F7F"/>
                <w:szCs w:val="18"/>
                <w:lang w:eastAsia="en-AU"/>
              </w:rPr>
            </w:pPr>
            <w:r w:rsidRPr="00955475">
              <w:rPr>
                <w:rFonts w:cs="Arial"/>
                <w:color w:val="7F7F7F"/>
                <w:szCs w:val="18"/>
                <w:lang w:eastAsia="en-AU"/>
              </w:rPr>
              <w:t>4,319</w:t>
            </w:r>
          </w:p>
        </w:tc>
      </w:tr>
      <w:tr w:rsidR="00955475" w:rsidRPr="00955475" w:rsidTr="00951056">
        <w:trPr>
          <w:trHeight w:val="300"/>
        </w:trPr>
        <w:tc>
          <w:tcPr>
            <w:tcW w:w="1472" w:type="dxa"/>
            <w:tcBorders>
              <w:top w:val="nil"/>
              <w:left w:val="nil"/>
              <w:bottom w:val="nil"/>
              <w:right w:val="nil"/>
            </w:tcBorders>
            <w:shd w:val="clear" w:color="000000" w:fill="7F7F7F"/>
            <w:noWrap/>
            <w:vAlign w:val="center"/>
            <w:hideMark/>
          </w:tcPr>
          <w:p w:rsidR="00955475" w:rsidRPr="00955475" w:rsidRDefault="00955475" w:rsidP="00955475">
            <w:pPr>
              <w:rPr>
                <w:rFonts w:cs="Arial"/>
                <w:b/>
                <w:bCs/>
                <w:color w:val="FFFFFF"/>
                <w:szCs w:val="18"/>
                <w:lang w:eastAsia="en-AU"/>
              </w:rPr>
            </w:pPr>
            <w:r w:rsidRPr="00955475">
              <w:rPr>
                <w:rFonts w:cs="Arial"/>
                <w:b/>
                <w:bCs/>
                <w:color w:val="FFFFFF"/>
                <w:szCs w:val="18"/>
                <w:lang w:eastAsia="en-AU"/>
              </w:rPr>
              <w:t>Total</w:t>
            </w:r>
          </w:p>
        </w:tc>
        <w:tc>
          <w:tcPr>
            <w:tcW w:w="1103" w:type="dxa"/>
            <w:tcBorders>
              <w:top w:val="nil"/>
              <w:left w:val="nil"/>
              <w:bottom w:val="nil"/>
              <w:right w:val="nil"/>
            </w:tcBorders>
            <w:shd w:val="clear" w:color="000000" w:fill="7F7F7F"/>
            <w:noWrap/>
            <w:vAlign w:val="center"/>
            <w:hideMark/>
          </w:tcPr>
          <w:p w:rsidR="00955475" w:rsidRPr="00955475" w:rsidRDefault="00955475" w:rsidP="00955475">
            <w:pPr>
              <w:jc w:val="right"/>
              <w:rPr>
                <w:rFonts w:cs="Arial"/>
                <w:b/>
                <w:bCs/>
                <w:color w:val="FFFFFF"/>
                <w:szCs w:val="18"/>
                <w:lang w:eastAsia="en-AU"/>
              </w:rPr>
            </w:pPr>
            <w:r w:rsidRPr="00955475">
              <w:rPr>
                <w:rFonts w:cs="Arial"/>
                <w:b/>
                <w:bCs/>
                <w:color w:val="FFFFFF"/>
                <w:szCs w:val="18"/>
                <w:lang w:eastAsia="en-AU"/>
              </w:rPr>
              <w:t>211,528</w:t>
            </w:r>
          </w:p>
        </w:tc>
        <w:tc>
          <w:tcPr>
            <w:tcW w:w="1104" w:type="dxa"/>
            <w:tcBorders>
              <w:top w:val="nil"/>
              <w:left w:val="nil"/>
              <w:bottom w:val="nil"/>
              <w:right w:val="nil"/>
            </w:tcBorders>
            <w:shd w:val="clear" w:color="000000" w:fill="7F7F7F"/>
            <w:noWrap/>
            <w:vAlign w:val="center"/>
            <w:hideMark/>
          </w:tcPr>
          <w:p w:rsidR="00955475" w:rsidRPr="00955475" w:rsidRDefault="00955475" w:rsidP="00955475">
            <w:pPr>
              <w:jc w:val="right"/>
              <w:rPr>
                <w:rFonts w:cs="Arial"/>
                <w:b/>
                <w:bCs/>
                <w:color w:val="FFFFFF"/>
                <w:szCs w:val="18"/>
                <w:lang w:eastAsia="en-AU"/>
              </w:rPr>
            </w:pPr>
            <w:r w:rsidRPr="00955475">
              <w:rPr>
                <w:rFonts w:cs="Arial"/>
                <w:b/>
                <w:bCs/>
                <w:color w:val="FFFFFF"/>
                <w:szCs w:val="18"/>
                <w:lang w:eastAsia="en-AU"/>
              </w:rPr>
              <w:t>260,287</w:t>
            </w:r>
          </w:p>
        </w:tc>
        <w:tc>
          <w:tcPr>
            <w:tcW w:w="1104" w:type="dxa"/>
            <w:tcBorders>
              <w:top w:val="nil"/>
              <w:left w:val="nil"/>
              <w:bottom w:val="nil"/>
              <w:right w:val="nil"/>
            </w:tcBorders>
            <w:shd w:val="clear" w:color="000000" w:fill="7F7F7F"/>
            <w:noWrap/>
            <w:vAlign w:val="center"/>
            <w:hideMark/>
          </w:tcPr>
          <w:p w:rsidR="00955475" w:rsidRPr="00955475" w:rsidRDefault="00955475" w:rsidP="00955475">
            <w:pPr>
              <w:jc w:val="right"/>
              <w:rPr>
                <w:rFonts w:cs="Arial"/>
                <w:b/>
                <w:bCs/>
                <w:color w:val="FFFFFF"/>
                <w:szCs w:val="18"/>
                <w:lang w:eastAsia="en-AU"/>
              </w:rPr>
            </w:pPr>
            <w:r w:rsidRPr="00955475">
              <w:rPr>
                <w:rFonts w:cs="Arial"/>
                <w:b/>
                <w:bCs/>
                <w:color w:val="FFFFFF"/>
                <w:szCs w:val="18"/>
                <w:lang w:eastAsia="en-AU"/>
              </w:rPr>
              <w:t>347,186</w:t>
            </w:r>
          </w:p>
        </w:tc>
        <w:tc>
          <w:tcPr>
            <w:tcW w:w="1104" w:type="dxa"/>
            <w:tcBorders>
              <w:top w:val="nil"/>
              <w:left w:val="nil"/>
              <w:bottom w:val="nil"/>
              <w:right w:val="nil"/>
            </w:tcBorders>
            <w:shd w:val="clear" w:color="000000" w:fill="7F7F7F"/>
            <w:noWrap/>
            <w:vAlign w:val="center"/>
            <w:hideMark/>
          </w:tcPr>
          <w:p w:rsidR="00955475" w:rsidRPr="00955475" w:rsidRDefault="00955475" w:rsidP="00955475">
            <w:pPr>
              <w:jc w:val="right"/>
              <w:rPr>
                <w:rFonts w:cs="Arial"/>
                <w:b/>
                <w:bCs/>
                <w:color w:val="FFFFFF"/>
                <w:szCs w:val="18"/>
                <w:lang w:eastAsia="en-AU"/>
              </w:rPr>
            </w:pPr>
            <w:r w:rsidRPr="00955475">
              <w:rPr>
                <w:rFonts w:cs="Arial"/>
                <w:b/>
                <w:bCs/>
                <w:color w:val="FFFFFF"/>
                <w:szCs w:val="18"/>
                <w:lang w:eastAsia="en-AU"/>
              </w:rPr>
              <w:t>297,659</w:t>
            </w:r>
          </w:p>
        </w:tc>
        <w:tc>
          <w:tcPr>
            <w:tcW w:w="1104" w:type="dxa"/>
            <w:tcBorders>
              <w:top w:val="nil"/>
              <w:left w:val="nil"/>
              <w:bottom w:val="nil"/>
              <w:right w:val="nil"/>
            </w:tcBorders>
            <w:shd w:val="clear" w:color="000000" w:fill="7F7F7F"/>
            <w:noWrap/>
            <w:vAlign w:val="center"/>
            <w:hideMark/>
          </w:tcPr>
          <w:p w:rsidR="00955475" w:rsidRPr="00955475" w:rsidRDefault="00955475" w:rsidP="00955475">
            <w:pPr>
              <w:jc w:val="right"/>
              <w:rPr>
                <w:rFonts w:cs="Arial"/>
                <w:b/>
                <w:bCs/>
                <w:color w:val="FFFFFF"/>
                <w:szCs w:val="18"/>
                <w:lang w:eastAsia="en-AU"/>
              </w:rPr>
            </w:pPr>
            <w:r w:rsidRPr="00955475">
              <w:rPr>
                <w:rFonts w:cs="Arial"/>
                <w:b/>
                <w:bCs/>
                <w:color w:val="FFFFFF"/>
                <w:szCs w:val="18"/>
                <w:lang w:eastAsia="en-AU"/>
              </w:rPr>
              <w:t>301,453</w:t>
            </w:r>
          </w:p>
        </w:tc>
        <w:tc>
          <w:tcPr>
            <w:tcW w:w="1104" w:type="dxa"/>
            <w:tcBorders>
              <w:top w:val="nil"/>
              <w:left w:val="nil"/>
              <w:bottom w:val="nil"/>
              <w:right w:val="nil"/>
            </w:tcBorders>
            <w:shd w:val="clear" w:color="000000" w:fill="7F7F7F"/>
            <w:noWrap/>
            <w:vAlign w:val="center"/>
            <w:hideMark/>
          </w:tcPr>
          <w:p w:rsidR="00955475" w:rsidRPr="00955475" w:rsidRDefault="00955475" w:rsidP="00955475">
            <w:pPr>
              <w:jc w:val="right"/>
              <w:rPr>
                <w:rFonts w:cs="Arial"/>
                <w:b/>
                <w:bCs/>
                <w:color w:val="FFFFFF"/>
                <w:szCs w:val="18"/>
                <w:lang w:eastAsia="en-AU"/>
              </w:rPr>
            </w:pPr>
            <w:r w:rsidRPr="00955475">
              <w:rPr>
                <w:rFonts w:cs="Arial"/>
                <w:b/>
                <w:bCs/>
                <w:color w:val="FFFFFF"/>
                <w:szCs w:val="18"/>
                <w:lang w:eastAsia="en-AU"/>
              </w:rPr>
              <w:t>265,244</w:t>
            </w:r>
          </w:p>
        </w:tc>
      </w:tr>
    </w:tbl>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4A0" w:firstRow="1" w:lastRow="0" w:firstColumn="1" w:lastColumn="0" w:noHBand="0" w:noVBand="1"/>
      </w:tblPr>
      <w:tblGrid>
        <w:gridCol w:w="431"/>
        <w:gridCol w:w="7649"/>
      </w:tblGrid>
      <w:tr w:rsidR="00951056" w:rsidRPr="00913551" w:rsidTr="005A735D">
        <w:tc>
          <w:tcPr>
            <w:tcW w:w="431" w:type="dxa"/>
            <w:tcMar>
              <w:left w:w="0" w:type="dxa"/>
              <w:right w:w="28" w:type="dxa"/>
            </w:tcMar>
          </w:tcPr>
          <w:p w:rsidR="00951056" w:rsidRPr="00913551" w:rsidRDefault="00951056" w:rsidP="005A735D">
            <w:pPr>
              <w:spacing w:after="0" w:line="240" w:lineRule="auto"/>
              <w:jc w:val="right"/>
              <w:rPr>
                <w:color w:val="7F7F7F" w:themeColor="text2"/>
                <w:sz w:val="16"/>
                <w:szCs w:val="16"/>
              </w:rPr>
            </w:pPr>
            <w:r w:rsidRPr="00913551">
              <w:rPr>
                <w:color w:val="7F7F7F" w:themeColor="text2"/>
                <w:sz w:val="16"/>
                <w:szCs w:val="16"/>
              </w:rPr>
              <w:t xml:space="preserve">* </w:t>
            </w:r>
          </w:p>
        </w:tc>
        <w:tc>
          <w:tcPr>
            <w:tcW w:w="7649" w:type="dxa"/>
            <w:tcMar>
              <w:left w:w="0" w:type="dxa"/>
              <w:right w:w="28" w:type="dxa"/>
            </w:tcMar>
          </w:tcPr>
          <w:p w:rsidR="00951056" w:rsidRPr="00913551" w:rsidRDefault="00DE3249" w:rsidP="00DE3249">
            <w:pPr>
              <w:pStyle w:val="Note"/>
              <w:spacing w:after="0"/>
              <w:rPr>
                <w:i w:val="0"/>
                <w:color w:val="7F7F7F" w:themeColor="text2"/>
              </w:rPr>
            </w:pPr>
            <w:r w:rsidRPr="00913551">
              <w:t>From 2014 students still at school (covering the 15 to 19 age group) could no longer access Victorian Training Guarantee funded training, unless part of an approved School Based Apprenticeship or Traineeship (SBAT).</w:t>
            </w:r>
          </w:p>
        </w:tc>
      </w:tr>
      <w:tr w:rsidR="00951056" w:rsidRPr="00913551" w:rsidTr="005A735D">
        <w:tc>
          <w:tcPr>
            <w:tcW w:w="431" w:type="dxa"/>
            <w:tcMar>
              <w:left w:w="0" w:type="dxa"/>
              <w:right w:w="28" w:type="dxa"/>
            </w:tcMar>
          </w:tcPr>
          <w:p w:rsidR="00951056" w:rsidRPr="00913551" w:rsidRDefault="00951056" w:rsidP="005A735D">
            <w:pPr>
              <w:spacing w:after="0" w:line="240" w:lineRule="auto"/>
              <w:jc w:val="right"/>
              <w:rPr>
                <w:color w:val="7F7F7F" w:themeColor="text2"/>
                <w:sz w:val="16"/>
                <w:szCs w:val="16"/>
              </w:rPr>
            </w:pPr>
            <w:r w:rsidRPr="00913551">
              <w:rPr>
                <w:color w:val="7F7F7F" w:themeColor="text2"/>
                <w:sz w:val="16"/>
                <w:szCs w:val="16"/>
              </w:rPr>
              <w:t>**</w:t>
            </w:r>
          </w:p>
        </w:tc>
        <w:tc>
          <w:tcPr>
            <w:tcW w:w="7649" w:type="dxa"/>
            <w:tcMar>
              <w:left w:w="0" w:type="dxa"/>
              <w:right w:w="28" w:type="dxa"/>
            </w:tcMar>
          </w:tcPr>
          <w:p w:rsidR="00951056" w:rsidRPr="00913551" w:rsidRDefault="00DE3249" w:rsidP="005A735D">
            <w:pPr>
              <w:spacing w:after="0" w:line="240" w:lineRule="auto"/>
              <w:rPr>
                <w:i/>
                <w:sz w:val="16"/>
                <w:szCs w:val="16"/>
              </w:rPr>
            </w:pPr>
            <w:r w:rsidRPr="00913551">
              <w:rPr>
                <w:i/>
                <w:sz w:val="16"/>
                <w:szCs w:val="16"/>
              </w:rPr>
              <w:t>‘Other’ includes age under 15 years old, 65 years and over or not stated.</w:t>
            </w:r>
          </w:p>
        </w:tc>
      </w:tr>
    </w:tbl>
    <w:p w:rsidR="00951056" w:rsidRDefault="00951056" w:rsidP="00C25A6D">
      <w:pPr>
        <w:pStyle w:val="Note"/>
      </w:pPr>
    </w:p>
    <w:p w:rsidR="00951056" w:rsidRDefault="00951056" w:rsidP="00C25A6D">
      <w:pPr>
        <w:pStyle w:val="Note"/>
      </w:pP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DE3249" w:rsidTr="005A735D">
        <w:tc>
          <w:tcPr>
            <w:tcW w:w="1134" w:type="dxa"/>
            <w:tcMar>
              <w:left w:w="0" w:type="dxa"/>
              <w:right w:w="0" w:type="dxa"/>
            </w:tcMar>
          </w:tcPr>
          <w:p w:rsidR="00DE3249" w:rsidRDefault="00CB6C79" w:rsidP="00DE3249">
            <w:pPr>
              <w:pStyle w:val="Quote"/>
              <w:tabs>
                <w:tab w:val="left" w:pos="1134"/>
              </w:tabs>
              <w:rPr>
                <w:b w:val="0"/>
                <w:color w:val="B41F22" w:themeColor="accent1"/>
              </w:rPr>
            </w:pPr>
            <w:r>
              <w:rPr>
                <w:b w:val="0"/>
                <w:color w:val="B41F22" w:themeColor="accent1"/>
              </w:rPr>
              <w:t>Table 1.4</w:t>
            </w:r>
            <w:r w:rsidR="00DE3249">
              <w:rPr>
                <w:b w:val="0"/>
                <w:color w:val="B41F22" w:themeColor="accent1"/>
              </w:rPr>
              <w:t>.2:</w:t>
            </w:r>
          </w:p>
        </w:tc>
        <w:tc>
          <w:tcPr>
            <w:tcW w:w="6946" w:type="dxa"/>
            <w:tcMar>
              <w:left w:w="0" w:type="dxa"/>
              <w:right w:w="0" w:type="dxa"/>
            </w:tcMar>
          </w:tcPr>
          <w:p w:rsidR="00DE3249" w:rsidRDefault="00DE3249" w:rsidP="005A735D">
            <w:pPr>
              <w:pStyle w:val="Quote"/>
              <w:tabs>
                <w:tab w:val="left" w:pos="1134"/>
              </w:tabs>
              <w:rPr>
                <w:b w:val="0"/>
                <w:color w:val="B41F22" w:themeColor="accent1"/>
              </w:rPr>
            </w:pPr>
            <w:r w:rsidRPr="00C25A6D">
              <w:rPr>
                <w:b w:val="0"/>
                <w:color w:val="B41F22" w:themeColor="accent1"/>
              </w:rPr>
              <w:t xml:space="preserve">Change in number of students enrolled in government subsidised </w:t>
            </w:r>
            <w:r>
              <w:rPr>
                <w:b w:val="0"/>
                <w:color w:val="B41F22" w:themeColor="accent1"/>
              </w:rPr>
              <w:t xml:space="preserve">accredited </w:t>
            </w:r>
            <w:r w:rsidRPr="00C25A6D">
              <w:rPr>
                <w:b w:val="0"/>
                <w:color w:val="B41F22" w:themeColor="accent1"/>
              </w:rPr>
              <w:t>training by age group (half year)</w:t>
            </w:r>
          </w:p>
        </w:tc>
      </w:tr>
    </w:tbl>
    <w:tbl>
      <w:tblPr>
        <w:tblW w:w="8095" w:type="dxa"/>
        <w:tblInd w:w="93" w:type="dxa"/>
        <w:tblLayout w:type="fixed"/>
        <w:tblLook w:val="04A0" w:firstRow="1" w:lastRow="0" w:firstColumn="1" w:lastColumn="0" w:noHBand="0" w:noVBand="1"/>
      </w:tblPr>
      <w:tblGrid>
        <w:gridCol w:w="1858"/>
        <w:gridCol w:w="1247"/>
        <w:gridCol w:w="1247"/>
        <w:gridCol w:w="1248"/>
        <w:gridCol w:w="1247"/>
        <w:gridCol w:w="1248"/>
      </w:tblGrid>
      <w:tr w:rsidR="00C25A6D" w:rsidRPr="00C25A6D" w:rsidTr="00DE3249">
        <w:trPr>
          <w:trHeight w:val="720"/>
        </w:trPr>
        <w:tc>
          <w:tcPr>
            <w:tcW w:w="1858" w:type="dxa"/>
            <w:tcBorders>
              <w:top w:val="nil"/>
              <w:left w:val="nil"/>
              <w:bottom w:val="nil"/>
              <w:right w:val="nil"/>
            </w:tcBorders>
            <w:shd w:val="clear" w:color="000000" w:fill="7F7F7F"/>
            <w:noWrap/>
            <w:vAlign w:val="center"/>
            <w:hideMark/>
          </w:tcPr>
          <w:p w:rsidR="00C25A6D" w:rsidRPr="00C25A6D" w:rsidRDefault="00C25A6D" w:rsidP="00C25A6D">
            <w:pPr>
              <w:rPr>
                <w:rFonts w:cs="Arial"/>
                <w:color w:val="FFFFFF"/>
                <w:szCs w:val="18"/>
                <w:lang w:eastAsia="en-AU"/>
              </w:rPr>
            </w:pPr>
            <w:r w:rsidRPr="00C25A6D">
              <w:rPr>
                <w:rFonts w:cs="Arial"/>
                <w:color w:val="FFFFFF"/>
                <w:szCs w:val="18"/>
                <w:lang w:eastAsia="en-AU"/>
              </w:rPr>
              <w:t> </w:t>
            </w:r>
          </w:p>
        </w:tc>
        <w:tc>
          <w:tcPr>
            <w:tcW w:w="1247" w:type="dxa"/>
            <w:tcBorders>
              <w:top w:val="nil"/>
              <w:left w:val="nil"/>
              <w:bottom w:val="nil"/>
              <w:right w:val="nil"/>
            </w:tcBorders>
            <w:shd w:val="clear" w:color="000000" w:fill="7F7F7F"/>
            <w:vAlign w:val="center"/>
            <w:hideMark/>
          </w:tcPr>
          <w:p w:rsidR="00C25A6D" w:rsidRPr="00C25A6D" w:rsidRDefault="00C25A6D" w:rsidP="00C25A6D">
            <w:pPr>
              <w:jc w:val="right"/>
              <w:rPr>
                <w:rFonts w:cs="Arial"/>
                <w:b/>
                <w:bCs/>
                <w:color w:val="FFFFFF"/>
                <w:szCs w:val="18"/>
                <w:lang w:eastAsia="en-AU"/>
              </w:rPr>
            </w:pPr>
            <w:r w:rsidRPr="00C25A6D">
              <w:rPr>
                <w:rFonts w:cs="Arial"/>
                <w:b/>
                <w:bCs/>
                <w:color w:val="FFFFFF"/>
                <w:szCs w:val="18"/>
                <w:lang w:eastAsia="en-AU"/>
              </w:rPr>
              <w:t>% change 2010 to 2015</w:t>
            </w:r>
          </w:p>
        </w:tc>
        <w:tc>
          <w:tcPr>
            <w:tcW w:w="1247" w:type="dxa"/>
            <w:tcBorders>
              <w:top w:val="nil"/>
              <w:left w:val="nil"/>
              <w:bottom w:val="nil"/>
              <w:right w:val="nil"/>
            </w:tcBorders>
            <w:shd w:val="clear" w:color="000000" w:fill="7F7F7F"/>
            <w:vAlign w:val="center"/>
            <w:hideMark/>
          </w:tcPr>
          <w:p w:rsidR="00C25A6D" w:rsidRPr="00C25A6D" w:rsidRDefault="00C25A6D" w:rsidP="00C25A6D">
            <w:pPr>
              <w:jc w:val="right"/>
              <w:rPr>
                <w:rFonts w:cs="Arial"/>
                <w:b/>
                <w:bCs/>
                <w:color w:val="FFFFFF"/>
                <w:szCs w:val="18"/>
                <w:lang w:eastAsia="en-AU"/>
              </w:rPr>
            </w:pPr>
            <w:r w:rsidRPr="00C25A6D">
              <w:rPr>
                <w:rFonts w:cs="Arial"/>
                <w:b/>
                <w:bCs/>
                <w:color w:val="FFFFFF"/>
                <w:szCs w:val="18"/>
                <w:lang w:eastAsia="en-AU"/>
              </w:rPr>
              <w:t>% change 2011 to 2015</w:t>
            </w:r>
          </w:p>
        </w:tc>
        <w:tc>
          <w:tcPr>
            <w:tcW w:w="1248" w:type="dxa"/>
            <w:tcBorders>
              <w:top w:val="nil"/>
              <w:left w:val="nil"/>
              <w:bottom w:val="nil"/>
              <w:right w:val="nil"/>
            </w:tcBorders>
            <w:shd w:val="clear" w:color="000000" w:fill="7F7F7F"/>
            <w:vAlign w:val="center"/>
            <w:hideMark/>
          </w:tcPr>
          <w:p w:rsidR="00C25A6D" w:rsidRPr="00C25A6D" w:rsidRDefault="00C25A6D" w:rsidP="00C25A6D">
            <w:pPr>
              <w:jc w:val="right"/>
              <w:rPr>
                <w:rFonts w:cs="Arial"/>
                <w:b/>
                <w:bCs/>
                <w:color w:val="FFFFFF"/>
                <w:szCs w:val="18"/>
                <w:lang w:eastAsia="en-AU"/>
              </w:rPr>
            </w:pPr>
            <w:r w:rsidRPr="00C25A6D">
              <w:rPr>
                <w:rFonts w:cs="Arial"/>
                <w:b/>
                <w:bCs/>
                <w:color w:val="FFFFFF"/>
                <w:szCs w:val="18"/>
                <w:lang w:eastAsia="en-AU"/>
              </w:rPr>
              <w:t>% change 2012 to 2015</w:t>
            </w:r>
          </w:p>
        </w:tc>
        <w:tc>
          <w:tcPr>
            <w:tcW w:w="1247" w:type="dxa"/>
            <w:tcBorders>
              <w:top w:val="nil"/>
              <w:left w:val="nil"/>
              <w:bottom w:val="nil"/>
              <w:right w:val="nil"/>
            </w:tcBorders>
            <w:shd w:val="clear" w:color="000000" w:fill="7F7F7F"/>
            <w:vAlign w:val="center"/>
            <w:hideMark/>
          </w:tcPr>
          <w:p w:rsidR="00C25A6D" w:rsidRPr="00C25A6D" w:rsidRDefault="00C25A6D" w:rsidP="00C25A6D">
            <w:pPr>
              <w:jc w:val="right"/>
              <w:rPr>
                <w:rFonts w:cs="Arial"/>
                <w:b/>
                <w:bCs/>
                <w:color w:val="FFFFFF"/>
                <w:szCs w:val="18"/>
                <w:lang w:eastAsia="en-AU"/>
              </w:rPr>
            </w:pPr>
            <w:r w:rsidRPr="00C25A6D">
              <w:rPr>
                <w:rFonts w:cs="Arial"/>
                <w:b/>
                <w:bCs/>
                <w:color w:val="FFFFFF"/>
                <w:szCs w:val="18"/>
                <w:lang w:eastAsia="en-AU"/>
              </w:rPr>
              <w:t>% change 2013 to 2015</w:t>
            </w:r>
          </w:p>
        </w:tc>
        <w:tc>
          <w:tcPr>
            <w:tcW w:w="1248" w:type="dxa"/>
            <w:tcBorders>
              <w:top w:val="nil"/>
              <w:left w:val="nil"/>
              <w:bottom w:val="nil"/>
              <w:right w:val="nil"/>
            </w:tcBorders>
            <w:shd w:val="clear" w:color="000000" w:fill="7F7F7F"/>
            <w:vAlign w:val="center"/>
            <w:hideMark/>
          </w:tcPr>
          <w:p w:rsidR="00C25A6D" w:rsidRPr="00C25A6D" w:rsidRDefault="00C25A6D" w:rsidP="00C25A6D">
            <w:pPr>
              <w:jc w:val="right"/>
              <w:rPr>
                <w:rFonts w:cs="Arial"/>
                <w:b/>
                <w:bCs/>
                <w:color w:val="FFFFFF"/>
                <w:szCs w:val="18"/>
                <w:lang w:eastAsia="en-AU"/>
              </w:rPr>
            </w:pPr>
            <w:r w:rsidRPr="00C25A6D">
              <w:rPr>
                <w:rFonts w:cs="Arial"/>
                <w:b/>
                <w:bCs/>
                <w:color w:val="FFFFFF"/>
                <w:szCs w:val="18"/>
                <w:lang w:eastAsia="en-AU"/>
              </w:rPr>
              <w:t>% change 2014 to 2015</w:t>
            </w:r>
          </w:p>
        </w:tc>
      </w:tr>
      <w:tr w:rsidR="00C25A6D" w:rsidRPr="00C25A6D" w:rsidTr="00DE3249">
        <w:trPr>
          <w:trHeight w:val="300"/>
        </w:trPr>
        <w:tc>
          <w:tcPr>
            <w:tcW w:w="1858" w:type="dxa"/>
            <w:tcBorders>
              <w:top w:val="nil"/>
              <w:left w:val="nil"/>
              <w:bottom w:val="nil"/>
              <w:right w:val="nil"/>
            </w:tcBorders>
            <w:shd w:val="clear" w:color="auto" w:fill="auto"/>
            <w:noWrap/>
            <w:vAlign w:val="center"/>
            <w:hideMark/>
          </w:tcPr>
          <w:p w:rsidR="00C25A6D" w:rsidRPr="00C25A6D" w:rsidRDefault="00C25A6D" w:rsidP="00C25A6D">
            <w:pPr>
              <w:rPr>
                <w:rFonts w:cs="Arial"/>
                <w:color w:val="7F7F7F"/>
                <w:szCs w:val="18"/>
                <w:lang w:eastAsia="en-AU"/>
              </w:rPr>
            </w:pPr>
            <w:r w:rsidRPr="00C25A6D">
              <w:rPr>
                <w:rFonts w:cs="Arial"/>
                <w:color w:val="7F7F7F"/>
                <w:szCs w:val="18"/>
                <w:lang w:eastAsia="en-AU"/>
              </w:rPr>
              <w:t>15 to 19*</w:t>
            </w:r>
          </w:p>
        </w:tc>
        <w:tc>
          <w:tcPr>
            <w:tcW w:w="1247" w:type="dxa"/>
            <w:tcBorders>
              <w:top w:val="nil"/>
              <w:left w:val="nil"/>
              <w:bottom w:val="nil"/>
              <w:right w:val="nil"/>
            </w:tcBorders>
            <w:shd w:val="clear" w:color="auto" w:fill="auto"/>
            <w:noWrap/>
            <w:vAlign w:val="center"/>
            <w:hideMark/>
          </w:tcPr>
          <w:p w:rsidR="00C25A6D" w:rsidRPr="00C25A6D" w:rsidRDefault="00C25A6D" w:rsidP="00C25A6D">
            <w:pPr>
              <w:jc w:val="right"/>
              <w:rPr>
                <w:rFonts w:cs="Arial"/>
                <w:color w:val="7F7F7F"/>
                <w:szCs w:val="18"/>
                <w:lang w:eastAsia="en-AU"/>
              </w:rPr>
            </w:pPr>
            <w:r w:rsidRPr="00C25A6D">
              <w:rPr>
                <w:rFonts w:cs="Arial"/>
                <w:color w:val="7F7F7F"/>
                <w:szCs w:val="18"/>
                <w:lang w:eastAsia="en-AU"/>
              </w:rPr>
              <w:t>-14%</w:t>
            </w:r>
          </w:p>
        </w:tc>
        <w:tc>
          <w:tcPr>
            <w:tcW w:w="1247" w:type="dxa"/>
            <w:tcBorders>
              <w:top w:val="nil"/>
              <w:left w:val="nil"/>
              <w:bottom w:val="nil"/>
              <w:right w:val="nil"/>
            </w:tcBorders>
            <w:shd w:val="clear" w:color="auto" w:fill="auto"/>
            <w:noWrap/>
            <w:vAlign w:val="center"/>
            <w:hideMark/>
          </w:tcPr>
          <w:p w:rsidR="00C25A6D" w:rsidRPr="00C25A6D" w:rsidRDefault="00C25A6D" w:rsidP="00C25A6D">
            <w:pPr>
              <w:jc w:val="right"/>
              <w:rPr>
                <w:rFonts w:cs="Arial"/>
                <w:color w:val="7F7F7F"/>
                <w:szCs w:val="18"/>
                <w:lang w:eastAsia="en-AU"/>
              </w:rPr>
            </w:pPr>
            <w:r w:rsidRPr="00C25A6D">
              <w:rPr>
                <w:rFonts w:cs="Arial"/>
                <w:color w:val="7F7F7F"/>
                <w:szCs w:val="18"/>
                <w:lang w:eastAsia="en-AU"/>
              </w:rPr>
              <w:t>-27%</w:t>
            </w:r>
          </w:p>
        </w:tc>
        <w:tc>
          <w:tcPr>
            <w:tcW w:w="1248" w:type="dxa"/>
            <w:tcBorders>
              <w:top w:val="nil"/>
              <w:left w:val="nil"/>
              <w:bottom w:val="nil"/>
              <w:right w:val="nil"/>
            </w:tcBorders>
            <w:shd w:val="clear" w:color="auto" w:fill="auto"/>
            <w:noWrap/>
            <w:vAlign w:val="center"/>
            <w:hideMark/>
          </w:tcPr>
          <w:p w:rsidR="00C25A6D" w:rsidRPr="00C25A6D" w:rsidRDefault="00C25A6D" w:rsidP="00C25A6D">
            <w:pPr>
              <w:jc w:val="right"/>
              <w:rPr>
                <w:rFonts w:cs="Arial"/>
                <w:color w:val="7F7F7F"/>
                <w:szCs w:val="18"/>
                <w:lang w:eastAsia="en-AU"/>
              </w:rPr>
            </w:pPr>
            <w:r w:rsidRPr="00C25A6D">
              <w:rPr>
                <w:rFonts w:cs="Arial"/>
                <w:color w:val="7F7F7F"/>
                <w:szCs w:val="18"/>
                <w:lang w:eastAsia="en-AU"/>
              </w:rPr>
              <w:t>-41%</w:t>
            </w:r>
          </w:p>
        </w:tc>
        <w:tc>
          <w:tcPr>
            <w:tcW w:w="1247" w:type="dxa"/>
            <w:tcBorders>
              <w:top w:val="nil"/>
              <w:left w:val="nil"/>
              <w:bottom w:val="nil"/>
              <w:right w:val="nil"/>
            </w:tcBorders>
            <w:shd w:val="clear" w:color="auto" w:fill="auto"/>
            <w:noWrap/>
            <w:vAlign w:val="center"/>
            <w:hideMark/>
          </w:tcPr>
          <w:p w:rsidR="00C25A6D" w:rsidRPr="00C25A6D" w:rsidRDefault="00C25A6D" w:rsidP="00C25A6D">
            <w:pPr>
              <w:jc w:val="right"/>
              <w:rPr>
                <w:rFonts w:cs="Arial"/>
                <w:color w:val="7F7F7F"/>
                <w:szCs w:val="18"/>
                <w:lang w:eastAsia="en-AU"/>
              </w:rPr>
            </w:pPr>
            <w:r w:rsidRPr="00C25A6D">
              <w:rPr>
                <w:rFonts w:cs="Arial"/>
                <w:color w:val="7F7F7F"/>
                <w:szCs w:val="18"/>
                <w:lang w:eastAsia="en-AU"/>
              </w:rPr>
              <w:t>-25%</w:t>
            </w:r>
          </w:p>
        </w:tc>
        <w:tc>
          <w:tcPr>
            <w:tcW w:w="1248" w:type="dxa"/>
            <w:tcBorders>
              <w:top w:val="nil"/>
              <w:left w:val="nil"/>
              <w:bottom w:val="nil"/>
              <w:right w:val="nil"/>
            </w:tcBorders>
            <w:shd w:val="clear" w:color="auto" w:fill="auto"/>
            <w:noWrap/>
            <w:vAlign w:val="center"/>
            <w:hideMark/>
          </w:tcPr>
          <w:p w:rsidR="00C25A6D" w:rsidRPr="00C25A6D" w:rsidRDefault="00C25A6D" w:rsidP="00C25A6D">
            <w:pPr>
              <w:jc w:val="right"/>
              <w:rPr>
                <w:rFonts w:cs="Arial"/>
                <w:color w:val="7F7F7F"/>
                <w:szCs w:val="18"/>
                <w:lang w:eastAsia="en-AU"/>
              </w:rPr>
            </w:pPr>
            <w:r w:rsidRPr="00C25A6D">
              <w:rPr>
                <w:rFonts w:cs="Arial"/>
                <w:color w:val="7F7F7F"/>
                <w:szCs w:val="18"/>
                <w:lang w:eastAsia="en-AU"/>
              </w:rPr>
              <w:t>-18%</w:t>
            </w:r>
          </w:p>
        </w:tc>
      </w:tr>
      <w:tr w:rsidR="00C25A6D" w:rsidRPr="00C25A6D" w:rsidTr="00DE3249">
        <w:trPr>
          <w:trHeight w:val="300"/>
        </w:trPr>
        <w:tc>
          <w:tcPr>
            <w:tcW w:w="1858" w:type="dxa"/>
            <w:tcBorders>
              <w:top w:val="nil"/>
              <w:left w:val="nil"/>
              <w:bottom w:val="nil"/>
              <w:right w:val="nil"/>
            </w:tcBorders>
            <w:shd w:val="clear" w:color="auto" w:fill="auto"/>
            <w:noWrap/>
            <w:vAlign w:val="center"/>
            <w:hideMark/>
          </w:tcPr>
          <w:p w:rsidR="00C25A6D" w:rsidRPr="00C25A6D" w:rsidRDefault="00C25A6D" w:rsidP="00C25A6D">
            <w:pPr>
              <w:rPr>
                <w:rFonts w:cs="Arial"/>
                <w:color w:val="7F7F7F"/>
                <w:szCs w:val="18"/>
                <w:lang w:eastAsia="en-AU"/>
              </w:rPr>
            </w:pPr>
            <w:r w:rsidRPr="00C25A6D">
              <w:rPr>
                <w:rFonts w:cs="Arial"/>
                <w:color w:val="7F7F7F"/>
                <w:szCs w:val="18"/>
                <w:lang w:eastAsia="en-AU"/>
              </w:rPr>
              <w:t>20 to 24</w:t>
            </w:r>
          </w:p>
        </w:tc>
        <w:tc>
          <w:tcPr>
            <w:tcW w:w="1247" w:type="dxa"/>
            <w:tcBorders>
              <w:top w:val="nil"/>
              <w:left w:val="nil"/>
              <w:bottom w:val="nil"/>
              <w:right w:val="nil"/>
            </w:tcBorders>
            <w:shd w:val="clear" w:color="auto" w:fill="auto"/>
            <w:noWrap/>
            <w:vAlign w:val="center"/>
            <w:hideMark/>
          </w:tcPr>
          <w:p w:rsidR="00C25A6D" w:rsidRPr="00C25A6D" w:rsidRDefault="00C25A6D" w:rsidP="00C25A6D">
            <w:pPr>
              <w:jc w:val="right"/>
              <w:rPr>
                <w:rFonts w:cs="Arial"/>
                <w:color w:val="7F7F7F"/>
                <w:szCs w:val="18"/>
                <w:lang w:eastAsia="en-AU"/>
              </w:rPr>
            </w:pPr>
            <w:r w:rsidRPr="00C25A6D">
              <w:rPr>
                <w:rFonts w:cs="Arial"/>
                <w:color w:val="7F7F7F"/>
                <w:szCs w:val="18"/>
                <w:lang w:eastAsia="en-AU"/>
              </w:rPr>
              <w:t>26%</w:t>
            </w:r>
          </w:p>
        </w:tc>
        <w:tc>
          <w:tcPr>
            <w:tcW w:w="1247" w:type="dxa"/>
            <w:tcBorders>
              <w:top w:val="nil"/>
              <w:left w:val="nil"/>
              <w:bottom w:val="nil"/>
              <w:right w:val="nil"/>
            </w:tcBorders>
            <w:shd w:val="clear" w:color="auto" w:fill="auto"/>
            <w:noWrap/>
            <w:vAlign w:val="center"/>
            <w:hideMark/>
          </w:tcPr>
          <w:p w:rsidR="00C25A6D" w:rsidRPr="00C25A6D" w:rsidRDefault="00C25A6D" w:rsidP="00C25A6D">
            <w:pPr>
              <w:jc w:val="right"/>
              <w:rPr>
                <w:rFonts w:cs="Arial"/>
                <w:color w:val="7F7F7F"/>
                <w:szCs w:val="18"/>
                <w:lang w:eastAsia="en-AU"/>
              </w:rPr>
            </w:pPr>
            <w:r w:rsidRPr="00C25A6D">
              <w:rPr>
                <w:rFonts w:cs="Arial"/>
                <w:color w:val="7F7F7F"/>
                <w:szCs w:val="18"/>
                <w:lang w:eastAsia="en-AU"/>
              </w:rPr>
              <w:t>3%</w:t>
            </w:r>
          </w:p>
        </w:tc>
        <w:tc>
          <w:tcPr>
            <w:tcW w:w="1248" w:type="dxa"/>
            <w:tcBorders>
              <w:top w:val="nil"/>
              <w:left w:val="nil"/>
              <w:bottom w:val="nil"/>
              <w:right w:val="nil"/>
            </w:tcBorders>
            <w:shd w:val="clear" w:color="auto" w:fill="auto"/>
            <w:noWrap/>
            <w:vAlign w:val="center"/>
            <w:hideMark/>
          </w:tcPr>
          <w:p w:rsidR="00C25A6D" w:rsidRPr="00C25A6D" w:rsidRDefault="00C25A6D" w:rsidP="00C25A6D">
            <w:pPr>
              <w:jc w:val="right"/>
              <w:rPr>
                <w:rFonts w:cs="Arial"/>
                <w:color w:val="7F7F7F"/>
                <w:szCs w:val="18"/>
                <w:lang w:eastAsia="en-AU"/>
              </w:rPr>
            </w:pPr>
            <w:r w:rsidRPr="00C25A6D">
              <w:rPr>
                <w:rFonts w:cs="Arial"/>
                <w:color w:val="7F7F7F"/>
                <w:szCs w:val="18"/>
                <w:lang w:eastAsia="en-AU"/>
              </w:rPr>
              <w:t>-18%</w:t>
            </w:r>
          </w:p>
        </w:tc>
        <w:tc>
          <w:tcPr>
            <w:tcW w:w="1247" w:type="dxa"/>
            <w:tcBorders>
              <w:top w:val="nil"/>
              <w:left w:val="nil"/>
              <w:bottom w:val="nil"/>
              <w:right w:val="nil"/>
            </w:tcBorders>
            <w:shd w:val="clear" w:color="auto" w:fill="auto"/>
            <w:noWrap/>
            <w:vAlign w:val="center"/>
            <w:hideMark/>
          </w:tcPr>
          <w:p w:rsidR="00C25A6D" w:rsidRPr="00C25A6D" w:rsidRDefault="00C25A6D" w:rsidP="00C25A6D">
            <w:pPr>
              <w:jc w:val="right"/>
              <w:rPr>
                <w:rFonts w:cs="Arial"/>
                <w:color w:val="7F7F7F"/>
                <w:szCs w:val="18"/>
                <w:lang w:eastAsia="en-AU"/>
              </w:rPr>
            </w:pPr>
            <w:r w:rsidRPr="00C25A6D">
              <w:rPr>
                <w:rFonts w:cs="Arial"/>
                <w:color w:val="7F7F7F"/>
                <w:szCs w:val="18"/>
                <w:lang w:eastAsia="en-AU"/>
              </w:rPr>
              <w:t>-7%</w:t>
            </w:r>
          </w:p>
        </w:tc>
        <w:tc>
          <w:tcPr>
            <w:tcW w:w="1248" w:type="dxa"/>
            <w:tcBorders>
              <w:top w:val="nil"/>
              <w:left w:val="nil"/>
              <w:bottom w:val="nil"/>
              <w:right w:val="nil"/>
            </w:tcBorders>
            <w:shd w:val="clear" w:color="auto" w:fill="auto"/>
            <w:noWrap/>
            <w:vAlign w:val="center"/>
            <w:hideMark/>
          </w:tcPr>
          <w:p w:rsidR="00C25A6D" w:rsidRPr="00C25A6D" w:rsidRDefault="00C25A6D" w:rsidP="00C25A6D">
            <w:pPr>
              <w:jc w:val="right"/>
              <w:rPr>
                <w:rFonts w:cs="Arial"/>
                <w:color w:val="7F7F7F"/>
                <w:szCs w:val="18"/>
                <w:lang w:eastAsia="en-AU"/>
              </w:rPr>
            </w:pPr>
            <w:r w:rsidRPr="00C25A6D">
              <w:rPr>
                <w:rFonts w:cs="Arial"/>
                <w:color w:val="7F7F7F"/>
                <w:szCs w:val="18"/>
                <w:lang w:eastAsia="en-AU"/>
              </w:rPr>
              <w:t>-10%</w:t>
            </w:r>
          </w:p>
        </w:tc>
      </w:tr>
      <w:tr w:rsidR="00C25A6D" w:rsidRPr="00C25A6D" w:rsidTr="00DE3249">
        <w:trPr>
          <w:trHeight w:val="300"/>
        </w:trPr>
        <w:tc>
          <w:tcPr>
            <w:tcW w:w="1858" w:type="dxa"/>
            <w:tcBorders>
              <w:top w:val="nil"/>
              <w:left w:val="nil"/>
              <w:bottom w:val="nil"/>
              <w:right w:val="nil"/>
            </w:tcBorders>
            <w:shd w:val="clear" w:color="auto" w:fill="auto"/>
            <w:noWrap/>
            <w:vAlign w:val="center"/>
            <w:hideMark/>
          </w:tcPr>
          <w:p w:rsidR="00C25A6D" w:rsidRPr="00C25A6D" w:rsidRDefault="00C25A6D" w:rsidP="00C25A6D">
            <w:pPr>
              <w:rPr>
                <w:rFonts w:cs="Arial"/>
                <w:color w:val="7F7F7F"/>
                <w:szCs w:val="18"/>
                <w:lang w:eastAsia="en-AU"/>
              </w:rPr>
            </w:pPr>
            <w:r w:rsidRPr="00C25A6D">
              <w:rPr>
                <w:rFonts w:cs="Arial"/>
                <w:color w:val="7F7F7F"/>
                <w:szCs w:val="18"/>
                <w:lang w:eastAsia="en-AU"/>
              </w:rPr>
              <w:t>25 to 44</w:t>
            </w:r>
          </w:p>
        </w:tc>
        <w:tc>
          <w:tcPr>
            <w:tcW w:w="1247" w:type="dxa"/>
            <w:tcBorders>
              <w:top w:val="nil"/>
              <w:left w:val="nil"/>
              <w:bottom w:val="nil"/>
              <w:right w:val="nil"/>
            </w:tcBorders>
            <w:shd w:val="clear" w:color="auto" w:fill="auto"/>
            <w:noWrap/>
            <w:vAlign w:val="center"/>
            <w:hideMark/>
          </w:tcPr>
          <w:p w:rsidR="00C25A6D" w:rsidRPr="00C25A6D" w:rsidRDefault="00C25A6D" w:rsidP="00C25A6D">
            <w:pPr>
              <w:jc w:val="right"/>
              <w:rPr>
                <w:rFonts w:cs="Arial"/>
                <w:color w:val="7F7F7F"/>
                <w:szCs w:val="18"/>
                <w:lang w:eastAsia="en-AU"/>
              </w:rPr>
            </w:pPr>
            <w:r w:rsidRPr="00C25A6D">
              <w:rPr>
                <w:rFonts w:cs="Arial"/>
                <w:color w:val="7F7F7F"/>
                <w:szCs w:val="18"/>
                <w:lang w:eastAsia="en-AU"/>
              </w:rPr>
              <w:t>46%</w:t>
            </w:r>
          </w:p>
        </w:tc>
        <w:tc>
          <w:tcPr>
            <w:tcW w:w="1247" w:type="dxa"/>
            <w:tcBorders>
              <w:top w:val="nil"/>
              <w:left w:val="nil"/>
              <w:bottom w:val="nil"/>
              <w:right w:val="nil"/>
            </w:tcBorders>
            <w:shd w:val="clear" w:color="auto" w:fill="auto"/>
            <w:noWrap/>
            <w:vAlign w:val="center"/>
            <w:hideMark/>
          </w:tcPr>
          <w:p w:rsidR="00C25A6D" w:rsidRPr="00C25A6D" w:rsidRDefault="00C25A6D" w:rsidP="00C25A6D">
            <w:pPr>
              <w:jc w:val="right"/>
              <w:rPr>
                <w:rFonts w:cs="Arial"/>
                <w:color w:val="7F7F7F"/>
                <w:szCs w:val="18"/>
                <w:lang w:eastAsia="en-AU"/>
              </w:rPr>
            </w:pPr>
            <w:r w:rsidRPr="00C25A6D">
              <w:rPr>
                <w:rFonts w:cs="Arial"/>
                <w:color w:val="7F7F7F"/>
                <w:szCs w:val="18"/>
                <w:lang w:eastAsia="en-AU"/>
              </w:rPr>
              <w:t>15%</w:t>
            </w:r>
          </w:p>
        </w:tc>
        <w:tc>
          <w:tcPr>
            <w:tcW w:w="1248" w:type="dxa"/>
            <w:tcBorders>
              <w:top w:val="nil"/>
              <w:left w:val="nil"/>
              <w:bottom w:val="nil"/>
              <w:right w:val="nil"/>
            </w:tcBorders>
            <w:shd w:val="clear" w:color="auto" w:fill="auto"/>
            <w:noWrap/>
            <w:vAlign w:val="center"/>
            <w:hideMark/>
          </w:tcPr>
          <w:p w:rsidR="00C25A6D" w:rsidRPr="00C25A6D" w:rsidRDefault="00C25A6D" w:rsidP="00C25A6D">
            <w:pPr>
              <w:jc w:val="right"/>
              <w:rPr>
                <w:rFonts w:cs="Arial"/>
                <w:color w:val="7F7F7F"/>
                <w:szCs w:val="18"/>
                <w:lang w:eastAsia="en-AU"/>
              </w:rPr>
            </w:pPr>
            <w:r w:rsidRPr="00C25A6D">
              <w:rPr>
                <w:rFonts w:cs="Arial"/>
                <w:color w:val="7F7F7F"/>
                <w:szCs w:val="18"/>
                <w:lang w:eastAsia="en-AU"/>
              </w:rPr>
              <w:t>-18%</w:t>
            </w:r>
          </w:p>
        </w:tc>
        <w:tc>
          <w:tcPr>
            <w:tcW w:w="1247" w:type="dxa"/>
            <w:tcBorders>
              <w:top w:val="nil"/>
              <w:left w:val="nil"/>
              <w:bottom w:val="nil"/>
              <w:right w:val="nil"/>
            </w:tcBorders>
            <w:shd w:val="clear" w:color="auto" w:fill="auto"/>
            <w:noWrap/>
            <w:vAlign w:val="center"/>
            <w:hideMark/>
          </w:tcPr>
          <w:p w:rsidR="00C25A6D" w:rsidRPr="00C25A6D" w:rsidRDefault="00C25A6D" w:rsidP="00C25A6D">
            <w:pPr>
              <w:jc w:val="right"/>
              <w:rPr>
                <w:rFonts w:cs="Arial"/>
                <w:color w:val="7F7F7F"/>
                <w:szCs w:val="18"/>
                <w:lang w:eastAsia="en-AU"/>
              </w:rPr>
            </w:pPr>
            <w:r w:rsidRPr="00C25A6D">
              <w:rPr>
                <w:rFonts w:cs="Arial"/>
                <w:color w:val="7F7F7F"/>
                <w:szCs w:val="18"/>
                <w:lang w:eastAsia="en-AU"/>
              </w:rPr>
              <w:t>-7%</w:t>
            </w:r>
          </w:p>
        </w:tc>
        <w:tc>
          <w:tcPr>
            <w:tcW w:w="1248" w:type="dxa"/>
            <w:tcBorders>
              <w:top w:val="nil"/>
              <w:left w:val="nil"/>
              <w:bottom w:val="nil"/>
              <w:right w:val="nil"/>
            </w:tcBorders>
            <w:shd w:val="clear" w:color="auto" w:fill="auto"/>
            <w:noWrap/>
            <w:vAlign w:val="center"/>
            <w:hideMark/>
          </w:tcPr>
          <w:p w:rsidR="00C25A6D" w:rsidRPr="00C25A6D" w:rsidRDefault="00C25A6D" w:rsidP="00C25A6D">
            <w:pPr>
              <w:jc w:val="right"/>
              <w:rPr>
                <w:rFonts w:cs="Arial"/>
                <w:color w:val="7F7F7F"/>
                <w:szCs w:val="18"/>
                <w:lang w:eastAsia="en-AU"/>
              </w:rPr>
            </w:pPr>
            <w:r w:rsidRPr="00C25A6D">
              <w:rPr>
                <w:rFonts w:cs="Arial"/>
                <w:color w:val="7F7F7F"/>
                <w:szCs w:val="18"/>
                <w:lang w:eastAsia="en-AU"/>
              </w:rPr>
              <w:t>-11%</w:t>
            </w:r>
          </w:p>
        </w:tc>
      </w:tr>
      <w:tr w:rsidR="00C25A6D" w:rsidRPr="00C25A6D" w:rsidTr="00DE3249">
        <w:trPr>
          <w:trHeight w:val="300"/>
        </w:trPr>
        <w:tc>
          <w:tcPr>
            <w:tcW w:w="1858" w:type="dxa"/>
            <w:tcBorders>
              <w:top w:val="nil"/>
              <w:left w:val="nil"/>
              <w:bottom w:val="nil"/>
              <w:right w:val="nil"/>
            </w:tcBorders>
            <w:shd w:val="clear" w:color="auto" w:fill="auto"/>
            <w:noWrap/>
            <w:vAlign w:val="center"/>
            <w:hideMark/>
          </w:tcPr>
          <w:p w:rsidR="00C25A6D" w:rsidRPr="00C25A6D" w:rsidRDefault="00C25A6D" w:rsidP="00C25A6D">
            <w:pPr>
              <w:rPr>
                <w:rFonts w:cs="Arial"/>
                <w:color w:val="7F7F7F"/>
                <w:szCs w:val="18"/>
                <w:lang w:eastAsia="en-AU"/>
              </w:rPr>
            </w:pPr>
            <w:r w:rsidRPr="00C25A6D">
              <w:rPr>
                <w:rFonts w:cs="Arial"/>
                <w:color w:val="7F7F7F"/>
                <w:szCs w:val="18"/>
                <w:lang w:eastAsia="en-AU"/>
              </w:rPr>
              <w:t>45 to 64</w:t>
            </w:r>
          </w:p>
        </w:tc>
        <w:tc>
          <w:tcPr>
            <w:tcW w:w="1247" w:type="dxa"/>
            <w:tcBorders>
              <w:top w:val="nil"/>
              <w:left w:val="nil"/>
              <w:bottom w:val="nil"/>
              <w:right w:val="nil"/>
            </w:tcBorders>
            <w:shd w:val="clear" w:color="auto" w:fill="auto"/>
            <w:noWrap/>
            <w:vAlign w:val="center"/>
            <w:hideMark/>
          </w:tcPr>
          <w:p w:rsidR="00C25A6D" w:rsidRPr="00C25A6D" w:rsidRDefault="00C25A6D" w:rsidP="00C25A6D">
            <w:pPr>
              <w:jc w:val="right"/>
              <w:rPr>
                <w:rFonts w:cs="Arial"/>
                <w:color w:val="7F7F7F"/>
                <w:szCs w:val="18"/>
                <w:lang w:eastAsia="en-AU"/>
              </w:rPr>
            </w:pPr>
            <w:r w:rsidRPr="00C25A6D">
              <w:rPr>
                <w:rFonts w:cs="Arial"/>
                <w:color w:val="7F7F7F"/>
                <w:szCs w:val="18"/>
                <w:lang w:eastAsia="en-AU"/>
              </w:rPr>
              <w:t>52%</w:t>
            </w:r>
          </w:p>
        </w:tc>
        <w:tc>
          <w:tcPr>
            <w:tcW w:w="1247" w:type="dxa"/>
            <w:tcBorders>
              <w:top w:val="nil"/>
              <w:left w:val="nil"/>
              <w:bottom w:val="nil"/>
              <w:right w:val="nil"/>
            </w:tcBorders>
            <w:shd w:val="clear" w:color="auto" w:fill="auto"/>
            <w:noWrap/>
            <w:vAlign w:val="center"/>
            <w:hideMark/>
          </w:tcPr>
          <w:p w:rsidR="00C25A6D" w:rsidRPr="00C25A6D" w:rsidRDefault="00C25A6D" w:rsidP="00C25A6D">
            <w:pPr>
              <w:jc w:val="right"/>
              <w:rPr>
                <w:rFonts w:cs="Arial"/>
                <w:color w:val="7F7F7F"/>
                <w:szCs w:val="18"/>
                <w:lang w:eastAsia="en-AU"/>
              </w:rPr>
            </w:pPr>
            <w:r w:rsidRPr="00C25A6D">
              <w:rPr>
                <w:rFonts w:cs="Arial"/>
                <w:color w:val="7F7F7F"/>
                <w:szCs w:val="18"/>
                <w:lang w:eastAsia="en-AU"/>
              </w:rPr>
              <w:t>18%</w:t>
            </w:r>
          </w:p>
        </w:tc>
        <w:tc>
          <w:tcPr>
            <w:tcW w:w="1248" w:type="dxa"/>
            <w:tcBorders>
              <w:top w:val="nil"/>
              <w:left w:val="nil"/>
              <w:bottom w:val="nil"/>
              <w:right w:val="nil"/>
            </w:tcBorders>
            <w:shd w:val="clear" w:color="auto" w:fill="auto"/>
            <w:noWrap/>
            <w:vAlign w:val="center"/>
            <w:hideMark/>
          </w:tcPr>
          <w:p w:rsidR="00C25A6D" w:rsidRPr="00C25A6D" w:rsidRDefault="00C25A6D" w:rsidP="00C25A6D">
            <w:pPr>
              <w:jc w:val="right"/>
              <w:rPr>
                <w:rFonts w:cs="Arial"/>
                <w:color w:val="7F7F7F"/>
                <w:szCs w:val="18"/>
                <w:lang w:eastAsia="en-AU"/>
              </w:rPr>
            </w:pPr>
            <w:r w:rsidRPr="00C25A6D">
              <w:rPr>
                <w:rFonts w:cs="Arial"/>
                <w:color w:val="7F7F7F"/>
                <w:szCs w:val="18"/>
                <w:lang w:eastAsia="en-AU"/>
              </w:rPr>
              <w:t>-19%</w:t>
            </w:r>
          </w:p>
        </w:tc>
        <w:tc>
          <w:tcPr>
            <w:tcW w:w="1247" w:type="dxa"/>
            <w:tcBorders>
              <w:top w:val="nil"/>
              <w:left w:val="nil"/>
              <w:bottom w:val="nil"/>
              <w:right w:val="nil"/>
            </w:tcBorders>
            <w:shd w:val="clear" w:color="auto" w:fill="auto"/>
            <w:noWrap/>
            <w:vAlign w:val="center"/>
            <w:hideMark/>
          </w:tcPr>
          <w:p w:rsidR="00C25A6D" w:rsidRPr="00C25A6D" w:rsidRDefault="00C25A6D" w:rsidP="00C25A6D">
            <w:pPr>
              <w:jc w:val="right"/>
              <w:rPr>
                <w:rFonts w:cs="Arial"/>
                <w:color w:val="7F7F7F"/>
                <w:szCs w:val="18"/>
                <w:lang w:eastAsia="en-AU"/>
              </w:rPr>
            </w:pPr>
            <w:r w:rsidRPr="00C25A6D">
              <w:rPr>
                <w:rFonts w:cs="Arial"/>
                <w:color w:val="7F7F7F"/>
                <w:szCs w:val="18"/>
                <w:lang w:eastAsia="en-AU"/>
              </w:rPr>
              <w:t>-8%</w:t>
            </w:r>
          </w:p>
        </w:tc>
        <w:tc>
          <w:tcPr>
            <w:tcW w:w="1248" w:type="dxa"/>
            <w:tcBorders>
              <w:top w:val="nil"/>
              <w:left w:val="nil"/>
              <w:bottom w:val="nil"/>
              <w:right w:val="nil"/>
            </w:tcBorders>
            <w:shd w:val="clear" w:color="auto" w:fill="auto"/>
            <w:noWrap/>
            <w:vAlign w:val="center"/>
            <w:hideMark/>
          </w:tcPr>
          <w:p w:rsidR="00C25A6D" w:rsidRPr="00C25A6D" w:rsidRDefault="00C25A6D" w:rsidP="00C25A6D">
            <w:pPr>
              <w:jc w:val="right"/>
              <w:rPr>
                <w:rFonts w:cs="Arial"/>
                <w:color w:val="7F7F7F"/>
                <w:szCs w:val="18"/>
                <w:lang w:eastAsia="en-AU"/>
              </w:rPr>
            </w:pPr>
            <w:r w:rsidRPr="00C25A6D">
              <w:rPr>
                <w:rFonts w:cs="Arial"/>
                <w:color w:val="7F7F7F"/>
                <w:szCs w:val="18"/>
                <w:lang w:eastAsia="en-AU"/>
              </w:rPr>
              <w:t>-10%</w:t>
            </w:r>
          </w:p>
        </w:tc>
      </w:tr>
      <w:tr w:rsidR="00C25A6D" w:rsidRPr="00C25A6D" w:rsidTr="00DE3249">
        <w:trPr>
          <w:trHeight w:val="300"/>
        </w:trPr>
        <w:tc>
          <w:tcPr>
            <w:tcW w:w="1858" w:type="dxa"/>
            <w:tcBorders>
              <w:top w:val="nil"/>
              <w:left w:val="nil"/>
              <w:bottom w:val="nil"/>
              <w:right w:val="nil"/>
            </w:tcBorders>
            <w:shd w:val="clear" w:color="auto" w:fill="auto"/>
            <w:noWrap/>
            <w:vAlign w:val="center"/>
            <w:hideMark/>
          </w:tcPr>
          <w:p w:rsidR="00C25A6D" w:rsidRPr="00C25A6D" w:rsidRDefault="00C25A6D" w:rsidP="00C25A6D">
            <w:pPr>
              <w:rPr>
                <w:rFonts w:cs="Arial"/>
                <w:color w:val="7F7F7F"/>
                <w:szCs w:val="18"/>
                <w:lang w:eastAsia="en-AU"/>
              </w:rPr>
            </w:pPr>
            <w:r w:rsidRPr="00C25A6D">
              <w:rPr>
                <w:rFonts w:cs="Arial"/>
                <w:color w:val="7F7F7F"/>
                <w:szCs w:val="18"/>
                <w:lang w:eastAsia="en-AU"/>
              </w:rPr>
              <w:t>Other**</w:t>
            </w:r>
          </w:p>
        </w:tc>
        <w:tc>
          <w:tcPr>
            <w:tcW w:w="1247" w:type="dxa"/>
            <w:tcBorders>
              <w:top w:val="nil"/>
              <w:left w:val="nil"/>
              <w:bottom w:val="nil"/>
              <w:right w:val="nil"/>
            </w:tcBorders>
            <w:shd w:val="clear" w:color="auto" w:fill="auto"/>
            <w:noWrap/>
            <w:vAlign w:val="center"/>
            <w:hideMark/>
          </w:tcPr>
          <w:p w:rsidR="00C25A6D" w:rsidRPr="00C25A6D" w:rsidRDefault="00C25A6D" w:rsidP="00C25A6D">
            <w:pPr>
              <w:jc w:val="right"/>
              <w:rPr>
                <w:rFonts w:cs="Arial"/>
                <w:color w:val="7F7F7F"/>
                <w:szCs w:val="18"/>
                <w:lang w:eastAsia="en-AU"/>
              </w:rPr>
            </w:pPr>
            <w:r w:rsidRPr="00C25A6D">
              <w:rPr>
                <w:rFonts w:cs="Arial"/>
                <w:color w:val="7F7F7F"/>
                <w:szCs w:val="18"/>
                <w:lang w:eastAsia="en-AU"/>
              </w:rPr>
              <w:t>65%</w:t>
            </w:r>
          </w:p>
        </w:tc>
        <w:tc>
          <w:tcPr>
            <w:tcW w:w="1247" w:type="dxa"/>
            <w:tcBorders>
              <w:top w:val="nil"/>
              <w:left w:val="nil"/>
              <w:bottom w:val="nil"/>
              <w:right w:val="nil"/>
            </w:tcBorders>
            <w:shd w:val="clear" w:color="auto" w:fill="auto"/>
            <w:noWrap/>
            <w:vAlign w:val="center"/>
            <w:hideMark/>
          </w:tcPr>
          <w:p w:rsidR="00C25A6D" w:rsidRPr="00C25A6D" w:rsidRDefault="00C25A6D" w:rsidP="00C25A6D">
            <w:pPr>
              <w:jc w:val="right"/>
              <w:rPr>
                <w:rFonts w:cs="Arial"/>
                <w:color w:val="7F7F7F"/>
                <w:szCs w:val="18"/>
                <w:lang w:eastAsia="en-AU"/>
              </w:rPr>
            </w:pPr>
            <w:r w:rsidRPr="00C25A6D">
              <w:rPr>
                <w:rFonts w:cs="Arial"/>
                <w:color w:val="7F7F7F"/>
                <w:szCs w:val="18"/>
                <w:lang w:eastAsia="en-AU"/>
              </w:rPr>
              <w:t>94%</w:t>
            </w:r>
          </w:p>
        </w:tc>
        <w:tc>
          <w:tcPr>
            <w:tcW w:w="1248" w:type="dxa"/>
            <w:tcBorders>
              <w:top w:val="nil"/>
              <w:left w:val="nil"/>
              <w:bottom w:val="nil"/>
              <w:right w:val="nil"/>
            </w:tcBorders>
            <w:shd w:val="clear" w:color="auto" w:fill="auto"/>
            <w:noWrap/>
            <w:vAlign w:val="center"/>
            <w:hideMark/>
          </w:tcPr>
          <w:p w:rsidR="00C25A6D" w:rsidRPr="00C25A6D" w:rsidRDefault="00C25A6D" w:rsidP="00C25A6D">
            <w:pPr>
              <w:jc w:val="right"/>
              <w:rPr>
                <w:rFonts w:cs="Arial"/>
                <w:color w:val="7F7F7F"/>
                <w:szCs w:val="18"/>
                <w:lang w:eastAsia="en-AU"/>
              </w:rPr>
            </w:pPr>
            <w:r w:rsidRPr="00C25A6D">
              <w:rPr>
                <w:rFonts w:cs="Arial"/>
                <w:color w:val="7F7F7F"/>
                <w:szCs w:val="18"/>
                <w:lang w:eastAsia="en-AU"/>
              </w:rPr>
              <w:t>-8%</w:t>
            </w:r>
          </w:p>
        </w:tc>
        <w:tc>
          <w:tcPr>
            <w:tcW w:w="1247" w:type="dxa"/>
            <w:tcBorders>
              <w:top w:val="nil"/>
              <w:left w:val="nil"/>
              <w:bottom w:val="nil"/>
              <w:right w:val="nil"/>
            </w:tcBorders>
            <w:shd w:val="clear" w:color="auto" w:fill="auto"/>
            <w:noWrap/>
            <w:vAlign w:val="center"/>
            <w:hideMark/>
          </w:tcPr>
          <w:p w:rsidR="00C25A6D" w:rsidRPr="00C25A6D" w:rsidRDefault="00C25A6D" w:rsidP="00C25A6D">
            <w:pPr>
              <w:jc w:val="right"/>
              <w:rPr>
                <w:rFonts w:cs="Arial"/>
                <w:color w:val="7F7F7F"/>
                <w:szCs w:val="18"/>
                <w:lang w:eastAsia="en-AU"/>
              </w:rPr>
            </w:pPr>
            <w:r w:rsidRPr="00C25A6D">
              <w:rPr>
                <w:rFonts w:cs="Arial"/>
                <w:color w:val="7F7F7F"/>
                <w:szCs w:val="18"/>
                <w:lang w:eastAsia="en-AU"/>
              </w:rPr>
              <w:t>6%</w:t>
            </w:r>
          </w:p>
        </w:tc>
        <w:tc>
          <w:tcPr>
            <w:tcW w:w="1248" w:type="dxa"/>
            <w:tcBorders>
              <w:top w:val="nil"/>
              <w:left w:val="nil"/>
              <w:bottom w:val="nil"/>
              <w:right w:val="nil"/>
            </w:tcBorders>
            <w:shd w:val="clear" w:color="auto" w:fill="auto"/>
            <w:noWrap/>
            <w:vAlign w:val="center"/>
            <w:hideMark/>
          </w:tcPr>
          <w:p w:rsidR="00C25A6D" w:rsidRPr="00C25A6D" w:rsidRDefault="00C25A6D" w:rsidP="00C25A6D">
            <w:pPr>
              <w:jc w:val="right"/>
              <w:rPr>
                <w:rFonts w:cs="Arial"/>
                <w:color w:val="7F7F7F"/>
                <w:szCs w:val="18"/>
                <w:lang w:eastAsia="en-AU"/>
              </w:rPr>
            </w:pPr>
            <w:r w:rsidRPr="00C25A6D">
              <w:rPr>
                <w:rFonts w:cs="Arial"/>
                <w:color w:val="7F7F7F"/>
                <w:szCs w:val="18"/>
                <w:lang w:eastAsia="en-AU"/>
              </w:rPr>
              <w:t>9%</w:t>
            </w:r>
          </w:p>
        </w:tc>
      </w:tr>
      <w:tr w:rsidR="00C25A6D" w:rsidRPr="00C25A6D" w:rsidTr="00DE3249">
        <w:trPr>
          <w:trHeight w:val="300"/>
        </w:trPr>
        <w:tc>
          <w:tcPr>
            <w:tcW w:w="1858" w:type="dxa"/>
            <w:tcBorders>
              <w:top w:val="nil"/>
              <w:left w:val="nil"/>
              <w:bottom w:val="nil"/>
              <w:right w:val="nil"/>
            </w:tcBorders>
            <w:shd w:val="clear" w:color="000000" w:fill="7F7F7F"/>
            <w:noWrap/>
            <w:vAlign w:val="center"/>
            <w:hideMark/>
          </w:tcPr>
          <w:p w:rsidR="00C25A6D" w:rsidRPr="00C25A6D" w:rsidRDefault="00C25A6D" w:rsidP="00C25A6D">
            <w:pPr>
              <w:rPr>
                <w:rFonts w:cs="Arial"/>
                <w:b/>
                <w:bCs/>
                <w:color w:val="FFFFFF"/>
                <w:szCs w:val="18"/>
                <w:lang w:eastAsia="en-AU"/>
              </w:rPr>
            </w:pPr>
            <w:r w:rsidRPr="00C25A6D">
              <w:rPr>
                <w:rFonts w:cs="Arial"/>
                <w:b/>
                <w:bCs/>
                <w:color w:val="FFFFFF"/>
                <w:szCs w:val="18"/>
                <w:lang w:eastAsia="en-AU"/>
              </w:rPr>
              <w:t>Total</w:t>
            </w:r>
          </w:p>
        </w:tc>
        <w:tc>
          <w:tcPr>
            <w:tcW w:w="1247" w:type="dxa"/>
            <w:tcBorders>
              <w:top w:val="nil"/>
              <w:left w:val="nil"/>
              <w:bottom w:val="nil"/>
              <w:right w:val="nil"/>
            </w:tcBorders>
            <w:shd w:val="clear" w:color="000000" w:fill="7F7F7F"/>
            <w:noWrap/>
            <w:vAlign w:val="center"/>
            <w:hideMark/>
          </w:tcPr>
          <w:p w:rsidR="00C25A6D" w:rsidRPr="00C25A6D" w:rsidRDefault="00C25A6D" w:rsidP="00C25A6D">
            <w:pPr>
              <w:jc w:val="right"/>
              <w:rPr>
                <w:rFonts w:cs="Arial"/>
                <w:b/>
                <w:bCs/>
                <w:color w:val="FFFFFF"/>
                <w:szCs w:val="18"/>
                <w:lang w:eastAsia="en-AU"/>
              </w:rPr>
            </w:pPr>
            <w:r w:rsidRPr="00C25A6D">
              <w:rPr>
                <w:rFonts w:cs="Arial"/>
                <w:b/>
                <w:bCs/>
                <w:color w:val="FFFFFF"/>
                <w:szCs w:val="18"/>
                <w:lang w:eastAsia="en-AU"/>
              </w:rPr>
              <w:t>25%</w:t>
            </w:r>
          </w:p>
        </w:tc>
        <w:tc>
          <w:tcPr>
            <w:tcW w:w="1247" w:type="dxa"/>
            <w:tcBorders>
              <w:top w:val="nil"/>
              <w:left w:val="nil"/>
              <w:bottom w:val="nil"/>
              <w:right w:val="nil"/>
            </w:tcBorders>
            <w:shd w:val="clear" w:color="000000" w:fill="7F7F7F"/>
            <w:noWrap/>
            <w:vAlign w:val="center"/>
            <w:hideMark/>
          </w:tcPr>
          <w:p w:rsidR="00C25A6D" w:rsidRPr="00C25A6D" w:rsidRDefault="00C25A6D" w:rsidP="00C25A6D">
            <w:pPr>
              <w:jc w:val="right"/>
              <w:rPr>
                <w:rFonts w:cs="Arial"/>
                <w:b/>
                <w:bCs/>
                <w:color w:val="FFFFFF"/>
                <w:szCs w:val="18"/>
                <w:lang w:eastAsia="en-AU"/>
              </w:rPr>
            </w:pPr>
            <w:r w:rsidRPr="00C25A6D">
              <w:rPr>
                <w:rFonts w:cs="Arial"/>
                <w:b/>
                <w:bCs/>
                <w:color w:val="FFFFFF"/>
                <w:szCs w:val="18"/>
                <w:lang w:eastAsia="en-AU"/>
              </w:rPr>
              <w:t>2%</w:t>
            </w:r>
          </w:p>
        </w:tc>
        <w:tc>
          <w:tcPr>
            <w:tcW w:w="1248" w:type="dxa"/>
            <w:tcBorders>
              <w:top w:val="nil"/>
              <w:left w:val="nil"/>
              <w:bottom w:val="nil"/>
              <w:right w:val="nil"/>
            </w:tcBorders>
            <w:shd w:val="clear" w:color="000000" w:fill="7F7F7F"/>
            <w:noWrap/>
            <w:vAlign w:val="center"/>
            <w:hideMark/>
          </w:tcPr>
          <w:p w:rsidR="00C25A6D" w:rsidRPr="00C25A6D" w:rsidRDefault="00C25A6D" w:rsidP="00C25A6D">
            <w:pPr>
              <w:jc w:val="right"/>
              <w:rPr>
                <w:rFonts w:cs="Arial"/>
                <w:b/>
                <w:bCs/>
                <w:color w:val="FFFFFF"/>
                <w:szCs w:val="18"/>
                <w:lang w:eastAsia="en-AU"/>
              </w:rPr>
            </w:pPr>
            <w:r w:rsidRPr="00C25A6D">
              <w:rPr>
                <w:rFonts w:cs="Arial"/>
                <w:b/>
                <w:bCs/>
                <w:color w:val="FFFFFF"/>
                <w:szCs w:val="18"/>
                <w:lang w:eastAsia="en-AU"/>
              </w:rPr>
              <w:t>-24%</w:t>
            </w:r>
          </w:p>
        </w:tc>
        <w:tc>
          <w:tcPr>
            <w:tcW w:w="1247" w:type="dxa"/>
            <w:tcBorders>
              <w:top w:val="nil"/>
              <w:left w:val="nil"/>
              <w:bottom w:val="nil"/>
              <w:right w:val="nil"/>
            </w:tcBorders>
            <w:shd w:val="clear" w:color="000000" w:fill="7F7F7F"/>
            <w:noWrap/>
            <w:vAlign w:val="center"/>
            <w:hideMark/>
          </w:tcPr>
          <w:p w:rsidR="00C25A6D" w:rsidRPr="00C25A6D" w:rsidRDefault="00C25A6D" w:rsidP="00C25A6D">
            <w:pPr>
              <w:jc w:val="right"/>
              <w:rPr>
                <w:rFonts w:cs="Arial"/>
                <w:b/>
                <w:bCs/>
                <w:color w:val="FFFFFF"/>
                <w:szCs w:val="18"/>
                <w:lang w:eastAsia="en-AU"/>
              </w:rPr>
            </w:pPr>
            <w:r w:rsidRPr="00C25A6D">
              <w:rPr>
                <w:rFonts w:cs="Arial"/>
                <w:b/>
                <w:bCs/>
                <w:color w:val="FFFFFF"/>
                <w:szCs w:val="18"/>
                <w:lang w:eastAsia="en-AU"/>
              </w:rPr>
              <w:t>-11%</w:t>
            </w:r>
          </w:p>
        </w:tc>
        <w:tc>
          <w:tcPr>
            <w:tcW w:w="1248" w:type="dxa"/>
            <w:tcBorders>
              <w:top w:val="nil"/>
              <w:left w:val="nil"/>
              <w:bottom w:val="nil"/>
              <w:right w:val="nil"/>
            </w:tcBorders>
            <w:shd w:val="clear" w:color="000000" w:fill="7F7F7F"/>
            <w:noWrap/>
            <w:vAlign w:val="center"/>
            <w:hideMark/>
          </w:tcPr>
          <w:p w:rsidR="00C25A6D" w:rsidRPr="00C25A6D" w:rsidRDefault="00C25A6D" w:rsidP="00C25A6D">
            <w:pPr>
              <w:jc w:val="right"/>
              <w:rPr>
                <w:rFonts w:cs="Arial"/>
                <w:b/>
                <w:bCs/>
                <w:color w:val="FFFFFF"/>
                <w:szCs w:val="18"/>
                <w:lang w:eastAsia="en-AU"/>
              </w:rPr>
            </w:pPr>
            <w:r w:rsidRPr="00C25A6D">
              <w:rPr>
                <w:rFonts w:cs="Arial"/>
                <w:b/>
                <w:bCs/>
                <w:color w:val="FFFFFF"/>
                <w:szCs w:val="18"/>
                <w:lang w:eastAsia="en-AU"/>
              </w:rPr>
              <w:t>-12%</w:t>
            </w:r>
          </w:p>
        </w:tc>
      </w:tr>
    </w:tbl>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4A0" w:firstRow="1" w:lastRow="0" w:firstColumn="1" w:lastColumn="0" w:noHBand="0" w:noVBand="1"/>
      </w:tblPr>
      <w:tblGrid>
        <w:gridCol w:w="431"/>
        <w:gridCol w:w="7649"/>
      </w:tblGrid>
      <w:tr w:rsidR="00DE3249" w:rsidRPr="00913551" w:rsidTr="005A735D">
        <w:tc>
          <w:tcPr>
            <w:tcW w:w="431" w:type="dxa"/>
            <w:tcMar>
              <w:left w:w="0" w:type="dxa"/>
              <w:right w:w="28" w:type="dxa"/>
            </w:tcMar>
          </w:tcPr>
          <w:p w:rsidR="00DE3249" w:rsidRPr="00913551" w:rsidRDefault="00DE3249" w:rsidP="005A735D">
            <w:pPr>
              <w:spacing w:after="0" w:line="240" w:lineRule="auto"/>
              <w:jc w:val="right"/>
              <w:rPr>
                <w:color w:val="7F7F7F" w:themeColor="text2"/>
                <w:sz w:val="16"/>
                <w:szCs w:val="16"/>
              </w:rPr>
            </w:pPr>
            <w:r w:rsidRPr="00913551">
              <w:rPr>
                <w:color w:val="7F7F7F" w:themeColor="text2"/>
                <w:sz w:val="16"/>
                <w:szCs w:val="16"/>
              </w:rPr>
              <w:t xml:space="preserve">* </w:t>
            </w:r>
          </w:p>
        </w:tc>
        <w:tc>
          <w:tcPr>
            <w:tcW w:w="7649" w:type="dxa"/>
            <w:tcMar>
              <w:left w:w="0" w:type="dxa"/>
              <w:right w:w="28" w:type="dxa"/>
            </w:tcMar>
          </w:tcPr>
          <w:p w:rsidR="00DE3249" w:rsidRPr="00913551" w:rsidRDefault="00DE3249" w:rsidP="005A735D">
            <w:pPr>
              <w:pStyle w:val="Note"/>
              <w:spacing w:after="0"/>
              <w:rPr>
                <w:i w:val="0"/>
                <w:color w:val="7F7F7F" w:themeColor="text2"/>
              </w:rPr>
            </w:pPr>
            <w:r w:rsidRPr="00913551">
              <w:t>From 2014 students still at school (covering the 15 to 19 age group) could no longer access Victorian Training Guarantee funded training, unless part of an approved School Based Apprenticeship or Traineeship (SBAT).</w:t>
            </w:r>
          </w:p>
        </w:tc>
      </w:tr>
      <w:tr w:rsidR="00DE3249" w:rsidRPr="00913551" w:rsidTr="005A735D">
        <w:tc>
          <w:tcPr>
            <w:tcW w:w="431" w:type="dxa"/>
            <w:tcMar>
              <w:left w:w="0" w:type="dxa"/>
              <w:right w:w="28" w:type="dxa"/>
            </w:tcMar>
          </w:tcPr>
          <w:p w:rsidR="00DE3249" w:rsidRPr="00913551" w:rsidRDefault="00DE3249" w:rsidP="005A735D">
            <w:pPr>
              <w:spacing w:after="0" w:line="240" w:lineRule="auto"/>
              <w:jc w:val="right"/>
              <w:rPr>
                <w:color w:val="7F7F7F" w:themeColor="text2"/>
                <w:sz w:val="16"/>
                <w:szCs w:val="16"/>
              </w:rPr>
            </w:pPr>
            <w:r w:rsidRPr="00913551">
              <w:rPr>
                <w:color w:val="7F7F7F" w:themeColor="text2"/>
                <w:sz w:val="16"/>
                <w:szCs w:val="16"/>
              </w:rPr>
              <w:t>**</w:t>
            </w:r>
          </w:p>
        </w:tc>
        <w:tc>
          <w:tcPr>
            <w:tcW w:w="7649" w:type="dxa"/>
            <w:tcMar>
              <w:left w:w="0" w:type="dxa"/>
              <w:right w:w="28" w:type="dxa"/>
            </w:tcMar>
          </w:tcPr>
          <w:p w:rsidR="00DE3249" w:rsidRPr="00913551" w:rsidRDefault="00DE3249" w:rsidP="005A735D">
            <w:pPr>
              <w:spacing w:after="0" w:line="240" w:lineRule="auto"/>
              <w:rPr>
                <w:i/>
                <w:sz w:val="16"/>
                <w:szCs w:val="16"/>
              </w:rPr>
            </w:pPr>
            <w:r w:rsidRPr="00913551">
              <w:rPr>
                <w:i/>
                <w:sz w:val="16"/>
                <w:szCs w:val="16"/>
              </w:rPr>
              <w:t>‘Other’ includes age under 15 years old, 65 years and over or not stated.</w:t>
            </w:r>
          </w:p>
        </w:tc>
      </w:tr>
    </w:tbl>
    <w:p w:rsidR="003D6D4F" w:rsidRDefault="003D6D4F">
      <w:pPr>
        <w:rPr>
          <w:szCs w:val="18"/>
        </w:rPr>
      </w:pPr>
      <w:r>
        <w:rPr>
          <w:i/>
          <w:szCs w:val="18"/>
        </w:rPr>
        <w:br w:type="page"/>
      </w:r>
    </w:p>
    <w:p w:rsidR="009148A4" w:rsidRPr="00EF7BFA" w:rsidRDefault="0084762F" w:rsidP="00660A0E">
      <w:pPr>
        <w:pStyle w:val="Heading2"/>
        <w:rPr>
          <w:color w:val="B41F22" w:themeColor="accent1"/>
        </w:rPr>
      </w:pPr>
      <w:bookmarkStart w:id="10" w:name="_Toc432758320"/>
      <w:r w:rsidRPr="00EF7BFA">
        <w:rPr>
          <w:color w:val="B41F22" w:themeColor="accent1"/>
        </w:rPr>
        <w:lastRenderedPageBreak/>
        <w:t>Gender</w:t>
      </w:r>
      <w:bookmarkEnd w:id="10"/>
    </w:p>
    <w:p w:rsidR="0084762F" w:rsidRPr="00365EB2" w:rsidRDefault="0084762F" w:rsidP="003734BF"/>
    <w:p w:rsidR="00660A0E" w:rsidRPr="002F6569" w:rsidRDefault="00660A0E" w:rsidP="009D0570">
      <w:pPr>
        <w:spacing w:after="120"/>
        <w:rPr>
          <w:rFonts w:cs="Arial"/>
          <w:color w:val="7F7F7F" w:themeColor="text2"/>
        </w:rPr>
      </w:pPr>
      <w:r w:rsidRPr="002F6569">
        <w:rPr>
          <w:rFonts w:cs="Arial"/>
          <w:color w:val="7F7F7F" w:themeColor="text2"/>
        </w:rPr>
        <w:t xml:space="preserve">The vocational training system </w:t>
      </w:r>
      <w:proofErr w:type="gramStart"/>
      <w:r w:rsidRPr="002F6569">
        <w:rPr>
          <w:rFonts w:cs="Arial"/>
          <w:color w:val="7F7F7F" w:themeColor="text2"/>
        </w:rPr>
        <w:t>is also focused</w:t>
      </w:r>
      <w:proofErr w:type="gramEnd"/>
      <w:r w:rsidRPr="002F6569">
        <w:rPr>
          <w:rFonts w:cs="Arial"/>
          <w:color w:val="7F7F7F" w:themeColor="text2"/>
        </w:rPr>
        <w:t xml:space="preserve"> on accessibility and gender equality, ensuring all Victorians have the same opportunity to succeed in their lives and maintain well-being through education and training.</w:t>
      </w:r>
    </w:p>
    <w:p w:rsidR="00660A0E" w:rsidRPr="002F6569" w:rsidRDefault="00B55785" w:rsidP="001D446D">
      <w:pPr>
        <w:pStyle w:val="Heading3"/>
        <w:spacing w:before="120" w:after="120"/>
        <w:rPr>
          <w:color w:val="7F7F7F" w:themeColor="text2"/>
        </w:rPr>
      </w:pPr>
      <w:r w:rsidRPr="002F6569">
        <w:rPr>
          <w:color w:val="7F7F7F" w:themeColor="text2"/>
        </w:rPr>
        <w:t xml:space="preserve">Government Subsidised </w:t>
      </w:r>
      <w:r w:rsidR="00BD71BE" w:rsidRPr="002F6569">
        <w:rPr>
          <w:color w:val="7F7F7F" w:themeColor="text2"/>
        </w:rPr>
        <w:t xml:space="preserve">Accredited </w:t>
      </w:r>
      <w:r w:rsidRPr="002F6569">
        <w:rPr>
          <w:color w:val="7F7F7F" w:themeColor="text2"/>
        </w:rPr>
        <w:t>T</w:t>
      </w:r>
      <w:r w:rsidR="00660A0E" w:rsidRPr="002F6569">
        <w:rPr>
          <w:color w:val="7F7F7F" w:themeColor="text2"/>
        </w:rPr>
        <w:t>raining</w:t>
      </w:r>
    </w:p>
    <w:p w:rsidR="00660A0E" w:rsidRPr="002F6569" w:rsidRDefault="00660A0E" w:rsidP="00BD71BE">
      <w:pPr>
        <w:pStyle w:val="Quote"/>
        <w:pBdr>
          <w:top w:val="single" w:sz="4" w:space="1" w:color="7F7F7F" w:themeColor="text2"/>
          <w:left w:val="single" w:sz="4" w:space="4" w:color="7F7F7F" w:themeColor="text2"/>
          <w:bottom w:val="single" w:sz="4" w:space="1" w:color="7F7F7F" w:themeColor="text2"/>
          <w:right w:val="single" w:sz="4" w:space="4" w:color="7F7F7F" w:themeColor="text2"/>
        </w:pBdr>
        <w:spacing w:before="120" w:after="120"/>
      </w:pPr>
      <w:r w:rsidRPr="002F6569">
        <w:t>Key points</w:t>
      </w:r>
    </w:p>
    <w:p w:rsidR="00DB4BA5" w:rsidRPr="002F6569" w:rsidRDefault="00DB4BA5" w:rsidP="00BD71BE">
      <w:pPr>
        <w:pStyle w:val="ListParagraph"/>
        <w:numPr>
          <w:ilvl w:val="0"/>
          <w:numId w:val="18"/>
        </w:numPr>
        <w:pBdr>
          <w:top w:val="single" w:sz="4" w:space="1" w:color="7F7F7F" w:themeColor="text2"/>
          <w:left w:val="single" w:sz="4" w:space="4" w:color="7F7F7F" w:themeColor="text2"/>
          <w:bottom w:val="single" w:sz="4" w:space="1" w:color="7F7F7F" w:themeColor="text2"/>
          <w:right w:val="single" w:sz="4" w:space="4" w:color="7F7F7F" w:themeColor="text2"/>
        </w:pBdr>
        <w:spacing w:before="120" w:after="120"/>
        <w:ind w:left="426" w:hanging="426"/>
        <w:contextualSpacing w:val="0"/>
        <w:rPr>
          <w:color w:val="7F7F7F" w:themeColor="text2"/>
        </w:rPr>
      </w:pPr>
      <w:r w:rsidRPr="002F6569">
        <w:rPr>
          <w:color w:val="7F7F7F" w:themeColor="text2"/>
        </w:rPr>
        <w:t>In 201</w:t>
      </w:r>
      <w:r w:rsidR="00D14287" w:rsidRPr="002F6569">
        <w:rPr>
          <w:color w:val="7F7F7F" w:themeColor="text2"/>
        </w:rPr>
        <w:t>5 (half year)</w:t>
      </w:r>
      <w:r w:rsidRPr="002F6569">
        <w:rPr>
          <w:color w:val="7F7F7F" w:themeColor="text2"/>
        </w:rPr>
        <w:t xml:space="preserve"> there were </w:t>
      </w:r>
      <w:r w:rsidR="00D14287" w:rsidRPr="002F6569">
        <w:rPr>
          <w:color w:val="7F7F7F" w:themeColor="text2"/>
        </w:rPr>
        <w:t>141,244</w:t>
      </w:r>
      <w:r w:rsidRPr="002F6569">
        <w:rPr>
          <w:color w:val="7F7F7F" w:themeColor="text2"/>
        </w:rPr>
        <w:t xml:space="preserve"> male students enrolled in government subsidised </w:t>
      </w:r>
      <w:r w:rsidR="00D14287" w:rsidRPr="002F6569">
        <w:rPr>
          <w:color w:val="7F7F7F" w:themeColor="text2"/>
        </w:rPr>
        <w:t xml:space="preserve">accredited </w:t>
      </w:r>
      <w:r w:rsidRPr="002F6569">
        <w:rPr>
          <w:color w:val="7F7F7F" w:themeColor="text2"/>
        </w:rPr>
        <w:t xml:space="preserve">training, this was </w:t>
      </w:r>
      <w:r w:rsidR="00D14287" w:rsidRPr="002F6569">
        <w:rPr>
          <w:color w:val="7F7F7F" w:themeColor="text2"/>
        </w:rPr>
        <w:t>11</w:t>
      </w:r>
      <w:r w:rsidRPr="002F6569">
        <w:rPr>
          <w:color w:val="7F7F7F" w:themeColor="text2"/>
        </w:rPr>
        <w:t xml:space="preserve"> per cent lower than in 201</w:t>
      </w:r>
      <w:r w:rsidR="00D14287" w:rsidRPr="002F6569">
        <w:rPr>
          <w:color w:val="7F7F7F" w:themeColor="text2"/>
        </w:rPr>
        <w:t>4</w:t>
      </w:r>
      <w:r w:rsidRPr="002F6569">
        <w:rPr>
          <w:color w:val="7F7F7F" w:themeColor="text2"/>
        </w:rPr>
        <w:t>.</w:t>
      </w:r>
    </w:p>
    <w:p w:rsidR="00DB4BA5" w:rsidRPr="002F6569" w:rsidRDefault="00DB4BA5" w:rsidP="00BD71BE">
      <w:pPr>
        <w:pStyle w:val="ListParagraph"/>
        <w:numPr>
          <w:ilvl w:val="0"/>
          <w:numId w:val="18"/>
        </w:numPr>
        <w:pBdr>
          <w:top w:val="single" w:sz="4" w:space="1" w:color="7F7F7F" w:themeColor="text2"/>
          <w:left w:val="single" w:sz="4" w:space="4" w:color="7F7F7F" w:themeColor="text2"/>
          <w:bottom w:val="single" w:sz="4" w:space="1" w:color="7F7F7F" w:themeColor="text2"/>
          <w:right w:val="single" w:sz="4" w:space="4" w:color="7F7F7F" w:themeColor="text2"/>
        </w:pBdr>
        <w:spacing w:before="120" w:after="120"/>
        <w:ind w:left="426" w:hanging="426"/>
        <w:contextualSpacing w:val="0"/>
        <w:rPr>
          <w:color w:val="7F7F7F" w:themeColor="text2"/>
        </w:rPr>
      </w:pPr>
      <w:r w:rsidRPr="002F6569">
        <w:rPr>
          <w:color w:val="7F7F7F" w:themeColor="text2"/>
        </w:rPr>
        <w:t>In 201</w:t>
      </w:r>
      <w:r w:rsidR="00D14287" w:rsidRPr="002F6569">
        <w:rPr>
          <w:color w:val="7F7F7F" w:themeColor="text2"/>
        </w:rPr>
        <w:t>5 (half year)</w:t>
      </w:r>
      <w:r w:rsidRPr="002F6569">
        <w:rPr>
          <w:color w:val="7F7F7F" w:themeColor="text2"/>
        </w:rPr>
        <w:t xml:space="preserve"> there were </w:t>
      </w:r>
      <w:r w:rsidR="00D14287" w:rsidRPr="002F6569">
        <w:rPr>
          <w:color w:val="7F7F7F" w:themeColor="text2"/>
        </w:rPr>
        <w:t>123</w:t>
      </w:r>
      <w:r w:rsidRPr="002F6569">
        <w:rPr>
          <w:color w:val="7F7F7F" w:themeColor="text2"/>
        </w:rPr>
        <w:t>,</w:t>
      </w:r>
      <w:r w:rsidR="00D14287" w:rsidRPr="002F6569">
        <w:rPr>
          <w:color w:val="7F7F7F" w:themeColor="text2"/>
        </w:rPr>
        <w:t>614</w:t>
      </w:r>
      <w:r w:rsidRPr="002F6569">
        <w:rPr>
          <w:color w:val="7F7F7F" w:themeColor="text2"/>
        </w:rPr>
        <w:t xml:space="preserve"> female students enrolled in government subsidised </w:t>
      </w:r>
      <w:r w:rsidR="00D14287" w:rsidRPr="002F6569">
        <w:rPr>
          <w:color w:val="7F7F7F" w:themeColor="text2"/>
        </w:rPr>
        <w:t xml:space="preserve">accredited </w:t>
      </w:r>
      <w:r w:rsidRPr="002F6569">
        <w:rPr>
          <w:color w:val="7F7F7F" w:themeColor="text2"/>
        </w:rPr>
        <w:t xml:space="preserve">training, this was </w:t>
      </w:r>
      <w:r w:rsidR="00D14287" w:rsidRPr="002F6569">
        <w:rPr>
          <w:color w:val="7F7F7F" w:themeColor="text2"/>
        </w:rPr>
        <w:t>13</w:t>
      </w:r>
      <w:r w:rsidRPr="002F6569">
        <w:rPr>
          <w:color w:val="7F7F7F" w:themeColor="text2"/>
        </w:rPr>
        <w:t xml:space="preserve"> per cent lower than in 201</w:t>
      </w:r>
      <w:r w:rsidR="00D14287" w:rsidRPr="002F6569">
        <w:rPr>
          <w:color w:val="7F7F7F" w:themeColor="text2"/>
        </w:rPr>
        <w:t>4</w:t>
      </w:r>
      <w:r w:rsidRPr="002F6569">
        <w:rPr>
          <w:color w:val="7F7F7F" w:themeColor="text2"/>
        </w:rPr>
        <w:t>.</w:t>
      </w:r>
    </w:p>
    <w:p w:rsidR="00DB4BA5" w:rsidRPr="002F6569" w:rsidRDefault="00DB4BA5" w:rsidP="001D446D">
      <w:pPr>
        <w:pStyle w:val="ListParagraph"/>
        <w:numPr>
          <w:ilvl w:val="0"/>
          <w:numId w:val="18"/>
        </w:numPr>
        <w:pBdr>
          <w:top w:val="single" w:sz="4" w:space="1" w:color="7F7F7F" w:themeColor="text2"/>
          <w:left w:val="single" w:sz="4" w:space="4" w:color="7F7F7F" w:themeColor="text2"/>
          <w:bottom w:val="single" w:sz="4" w:space="1" w:color="7F7F7F" w:themeColor="text2"/>
          <w:right w:val="single" w:sz="4" w:space="4" w:color="7F7F7F" w:themeColor="text2"/>
        </w:pBdr>
        <w:spacing w:before="120"/>
        <w:ind w:left="425" w:hanging="425"/>
        <w:contextualSpacing w:val="0"/>
        <w:rPr>
          <w:color w:val="7F7F7F" w:themeColor="text2"/>
        </w:rPr>
      </w:pPr>
      <w:r w:rsidRPr="002F6569">
        <w:rPr>
          <w:color w:val="7F7F7F" w:themeColor="text2"/>
        </w:rPr>
        <w:t>In 201</w:t>
      </w:r>
      <w:r w:rsidR="00D14287" w:rsidRPr="002F6569">
        <w:rPr>
          <w:color w:val="7F7F7F" w:themeColor="text2"/>
        </w:rPr>
        <w:t>5 (half year)</w:t>
      </w:r>
      <w:r w:rsidRPr="002F6569">
        <w:rPr>
          <w:color w:val="7F7F7F" w:themeColor="text2"/>
        </w:rPr>
        <w:t xml:space="preserve"> about 47 per cent of all students enrolled in government subsidised </w:t>
      </w:r>
      <w:r w:rsidR="00D14287" w:rsidRPr="002F6569">
        <w:rPr>
          <w:color w:val="7F7F7F" w:themeColor="text2"/>
        </w:rPr>
        <w:t xml:space="preserve">accredited </w:t>
      </w:r>
      <w:r w:rsidRPr="002F6569">
        <w:rPr>
          <w:color w:val="7F7F7F" w:themeColor="text2"/>
        </w:rPr>
        <w:t>training were female.</w:t>
      </w:r>
      <w:r w:rsidR="002F3464">
        <w:rPr>
          <w:color w:val="7F7F7F" w:themeColor="text2"/>
        </w:rPr>
        <w:t xml:space="preserve"> </w:t>
      </w:r>
      <w:r w:rsidR="00BA4951">
        <w:rPr>
          <w:color w:val="7F7F7F" w:themeColor="text2"/>
        </w:rPr>
        <w:t>This has declined since 2012 (half year), when 50</w:t>
      </w:r>
      <w:r w:rsidR="00363E7C">
        <w:rPr>
          <w:color w:val="7F7F7F" w:themeColor="text2"/>
        </w:rPr>
        <w:t xml:space="preserve"> per cent</w:t>
      </w:r>
      <w:r w:rsidR="00BA4951">
        <w:rPr>
          <w:color w:val="7F7F7F" w:themeColor="text2"/>
        </w:rPr>
        <w:t xml:space="preserve"> of students were female.</w:t>
      </w:r>
    </w:p>
    <w:p w:rsidR="00BD71BE" w:rsidRPr="00365EB2" w:rsidRDefault="00BD71BE" w:rsidP="001D446D">
      <w:pPr>
        <w:pBdr>
          <w:top w:val="single" w:sz="4" w:space="1" w:color="7F7F7F" w:themeColor="text2"/>
          <w:left w:val="single" w:sz="4" w:space="4" w:color="7F7F7F" w:themeColor="text2"/>
          <w:bottom w:val="single" w:sz="4" w:space="1" w:color="7F7F7F" w:themeColor="text2"/>
          <w:right w:val="single" w:sz="4" w:space="4" w:color="7F7F7F" w:themeColor="text2"/>
        </w:pBdr>
      </w:pPr>
    </w:p>
    <w:p w:rsidR="0084762F" w:rsidRDefault="0084762F" w:rsidP="001D446D"/>
    <w:p w:rsidR="001D446D" w:rsidRPr="00365EB2" w:rsidRDefault="001D446D" w:rsidP="001D446D"/>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5A735D" w:rsidTr="005A735D">
        <w:tc>
          <w:tcPr>
            <w:tcW w:w="1134" w:type="dxa"/>
            <w:tcMar>
              <w:left w:w="0" w:type="dxa"/>
              <w:right w:w="0" w:type="dxa"/>
            </w:tcMar>
          </w:tcPr>
          <w:p w:rsidR="005A735D" w:rsidRDefault="00CB6C79" w:rsidP="005A735D">
            <w:pPr>
              <w:pStyle w:val="Quote"/>
              <w:tabs>
                <w:tab w:val="left" w:pos="1134"/>
              </w:tabs>
              <w:rPr>
                <w:b w:val="0"/>
                <w:color w:val="B41F22" w:themeColor="accent1"/>
              </w:rPr>
            </w:pPr>
            <w:r>
              <w:rPr>
                <w:b w:val="0"/>
                <w:color w:val="B41F22" w:themeColor="accent1"/>
              </w:rPr>
              <w:t>Table 1.5</w:t>
            </w:r>
            <w:r w:rsidR="005A735D">
              <w:rPr>
                <w:b w:val="0"/>
                <w:color w:val="B41F22" w:themeColor="accent1"/>
              </w:rPr>
              <w:t>.1:</w:t>
            </w:r>
          </w:p>
        </w:tc>
        <w:tc>
          <w:tcPr>
            <w:tcW w:w="6946" w:type="dxa"/>
            <w:tcMar>
              <w:left w:w="0" w:type="dxa"/>
              <w:right w:w="0" w:type="dxa"/>
            </w:tcMar>
          </w:tcPr>
          <w:p w:rsidR="005A735D" w:rsidRDefault="005A735D" w:rsidP="005A735D">
            <w:pPr>
              <w:pStyle w:val="Quote"/>
              <w:tabs>
                <w:tab w:val="left" w:pos="1134"/>
              </w:tabs>
              <w:rPr>
                <w:b w:val="0"/>
                <w:color w:val="B41F22" w:themeColor="accent1"/>
              </w:rPr>
            </w:pPr>
            <w:r w:rsidRPr="004D29AE">
              <w:rPr>
                <w:b w:val="0"/>
                <w:color w:val="B41F22" w:themeColor="accent1"/>
              </w:rPr>
              <w:t>Students enrolled in government subsidised accredited training by gender, 2010 to 2015 (half year)</w:t>
            </w:r>
          </w:p>
        </w:tc>
      </w:tr>
    </w:tbl>
    <w:tbl>
      <w:tblPr>
        <w:tblW w:w="8095" w:type="dxa"/>
        <w:tblInd w:w="93" w:type="dxa"/>
        <w:tblLayout w:type="fixed"/>
        <w:tblLook w:val="04A0" w:firstRow="1" w:lastRow="0" w:firstColumn="1" w:lastColumn="0" w:noHBand="0" w:noVBand="1"/>
      </w:tblPr>
      <w:tblGrid>
        <w:gridCol w:w="1575"/>
        <w:gridCol w:w="1086"/>
        <w:gridCol w:w="1087"/>
        <w:gridCol w:w="1087"/>
        <w:gridCol w:w="1086"/>
        <w:gridCol w:w="1087"/>
        <w:gridCol w:w="1087"/>
      </w:tblGrid>
      <w:tr w:rsidR="004D29AE" w:rsidRPr="004D29AE" w:rsidTr="005A735D">
        <w:trPr>
          <w:trHeight w:val="300"/>
        </w:trPr>
        <w:tc>
          <w:tcPr>
            <w:tcW w:w="1575" w:type="dxa"/>
            <w:tcBorders>
              <w:top w:val="nil"/>
              <w:left w:val="nil"/>
              <w:bottom w:val="nil"/>
              <w:right w:val="nil"/>
            </w:tcBorders>
            <w:shd w:val="clear" w:color="000000" w:fill="7F7F7F"/>
            <w:noWrap/>
            <w:vAlign w:val="center"/>
            <w:hideMark/>
          </w:tcPr>
          <w:p w:rsidR="004D29AE" w:rsidRPr="004D29AE" w:rsidRDefault="004D29AE" w:rsidP="004D29AE">
            <w:pPr>
              <w:rPr>
                <w:rFonts w:cs="Arial"/>
                <w:color w:val="FFFFFF"/>
                <w:szCs w:val="18"/>
                <w:lang w:eastAsia="en-AU"/>
              </w:rPr>
            </w:pPr>
            <w:r w:rsidRPr="004D29AE">
              <w:rPr>
                <w:rFonts w:cs="Arial"/>
                <w:color w:val="FFFFFF"/>
                <w:szCs w:val="18"/>
                <w:lang w:eastAsia="en-AU"/>
              </w:rPr>
              <w:t> </w:t>
            </w:r>
          </w:p>
        </w:tc>
        <w:tc>
          <w:tcPr>
            <w:tcW w:w="1086" w:type="dxa"/>
            <w:tcBorders>
              <w:top w:val="nil"/>
              <w:left w:val="nil"/>
              <w:bottom w:val="nil"/>
              <w:right w:val="nil"/>
            </w:tcBorders>
            <w:shd w:val="clear" w:color="000000" w:fill="7F7F7F"/>
            <w:noWrap/>
            <w:vAlign w:val="center"/>
            <w:hideMark/>
          </w:tcPr>
          <w:p w:rsidR="004D29AE" w:rsidRPr="004D29AE" w:rsidRDefault="004D29AE" w:rsidP="004D29AE">
            <w:pPr>
              <w:jc w:val="right"/>
              <w:rPr>
                <w:rFonts w:cs="Arial"/>
                <w:b/>
                <w:bCs/>
                <w:color w:val="FFFFFF"/>
                <w:szCs w:val="18"/>
                <w:lang w:eastAsia="en-AU"/>
              </w:rPr>
            </w:pPr>
            <w:r w:rsidRPr="004D29AE">
              <w:rPr>
                <w:rFonts w:cs="Arial"/>
                <w:b/>
                <w:bCs/>
                <w:color w:val="FFFFFF"/>
                <w:szCs w:val="18"/>
                <w:lang w:eastAsia="en-AU"/>
              </w:rPr>
              <w:t>2010</w:t>
            </w:r>
          </w:p>
        </w:tc>
        <w:tc>
          <w:tcPr>
            <w:tcW w:w="1087" w:type="dxa"/>
            <w:tcBorders>
              <w:top w:val="nil"/>
              <w:left w:val="nil"/>
              <w:bottom w:val="nil"/>
              <w:right w:val="nil"/>
            </w:tcBorders>
            <w:shd w:val="clear" w:color="000000" w:fill="7F7F7F"/>
            <w:noWrap/>
            <w:vAlign w:val="center"/>
            <w:hideMark/>
          </w:tcPr>
          <w:p w:rsidR="004D29AE" w:rsidRPr="004D29AE" w:rsidRDefault="004D29AE" w:rsidP="004D29AE">
            <w:pPr>
              <w:jc w:val="right"/>
              <w:rPr>
                <w:rFonts w:cs="Arial"/>
                <w:b/>
                <w:bCs/>
                <w:color w:val="FFFFFF"/>
                <w:szCs w:val="18"/>
                <w:lang w:eastAsia="en-AU"/>
              </w:rPr>
            </w:pPr>
            <w:r w:rsidRPr="004D29AE">
              <w:rPr>
                <w:rFonts w:cs="Arial"/>
                <w:b/>
                <w:bCs/>
                <w:color w:val="FFFFFF"/>
                <w:szCs w:val="18"/>
                <w:lang w:eastAsia="en-AU"/>
              </w:rPr>
              <w:t>2011</w:t>
            </w:r>
          </w:p>
        </w:tc>
        <w:tc>
          <w:tcPr>
            <w:tcW w:w="1087" w:type="dxa"/>
            <w:tcBorders>
              <w:top w:val="nil"/>
              <w:left w:val="nil"/>
              <w:bottom w:val="nil"/>
              <w:right w:val="nil"/>
            </w:tcBorders>
            <w:shd w:val="clear" w:color="000000" w:fill="7F7F7F"/>
            <w:noWrap/>
            <w:vAlign w:val="center"/>
            <w:hideMark/>
          </w:tcPr>
          <w:p w:rsidR="004D29AE" w:rsidRPr="004D29AE" w:rsidRDefault="004D29AE" w:rsidP="004D29AE">
            <w:pPr>
              <w:jc w:val="right"/>
              <w:rPr>
                <w:rFonts w:cs="Arial"/>
                <w:b/>
                <w:bCs/>
                <w:color w:val="FFFFFF"/>
                <w:szCs w:val="18"/>
                <w:lang w:eastAsia="en-AU"/>
              </w:rPr>
            </w:pPr>
            <w:r w:rsidRPr="004D29AE">
              <w:rPr>
                <w:rFonts w:cs="Arial"/>
                <w:b/>
                <w:bCs/>
                <w:color w:val="FFFFFF"/>
                <w:szCs w:val="18"/>
                <w:lang w:eastAsia="en-AU"/>
              </w:rPr>
              <w:t>2012</w:t>
            </w:r>
          </w:p>
        </w:tc>
        <w:tc>
          <w:tcPr>
            <w:tcW w:w="1086" w:type="dxa"/>
            <w:tcBorders>
              <w:top w:val="nil"/>
              <w:left w:val="nil"/>
              <w:bottom w:val="nil"/>
              <w:right w:val="nil"/>
            </w:tcBorders>
            <w:shd w:val="clear" w:color="000000" w:fill="7F7F7F"/>
            <w:noWrap/>
            <w:vAlign w:val="center"/>
            <w:hideMark/>
          </w:tcPr>
          <w:p w:rsidR="004D29AE" w:rsidRPr="004D29AE" w:rsidRDefault="004D29AE" w:rsidP="004D29AE">
            <w:pPr>
              <w:jc w:val="right"/>
              <w:rPr>
                <w:rFonts w:cs="Arial"/>
                <w:b/>
                <w:bCs/>
                <w:color w:val="FFFFFF"/>
                <w:szCs w:val="18"/>
                <w:lang w:eastAsia="en-AU"/>
              </w:rPr>
            </w:pPr>
            <w:r w:rsidRPr="004D29AE">
              <w:rPr>
                <w:rFonts w:cs="Arial"/>
                <w:b/>
                <w:bCs/>
                <w:color w:val="FFFFFF"/>
                <w:szCs w:val="18"/>
                <w:lang w:eastAsia="en-AU"/>
              </w:rPr>
              <w:t>2013</w:t>
            </w:r>
          </w:p>
        </w:tc>
        <w:tc>
          <w:tcPr>
            <w:tcW w:w="1087" w:type="dxa"/>
            <w:tcBorders>
              <w:top w:val="nil"/>
              <w:left w:val="nil"/>
              <w:bottom w:val="nil"/>
              <w:right w:val="nil"/>
            </w:tcBorders>
            <w:shd w:val="clear" w:color="000000" w:fill="7F7F7F"/>
            <w:noWrap/>
            <w:vAlign w:val="center"/>
            <w:hideMark/>
          </w:tcPr>
          <w:p w:rsidR="004D29AE" w:rsidRPr="004D29AE" w:rsidRDefault="004D29AE" w:rsidP="004D29AE">
            <w:pPr>
              <w:jc w:val="right"/>
              <w:rPr>
                <w:rFonts w:cs="Arial"/>
                <w:b/>
                <w:bCs/>
                <w:color w:val="FFFFFF"/>
                <w:szCs w:val="18"/>
                <w:lang w:eastAsia="en-AU"/>
              </w:rPr>
            </w:pPr>
            <w:r w:rsidRPr="004D29AE">
              <w:rPr>
                <w:rFonts w:cs="Arial"/>
                <w:b/>
                <w:bCs/>
                <w:color w:val="FFFFFF"/>
                <w:szCs w:val="18"/>
                <w:lang w:eastAsia="en-AU"/>
              </w:rPr>
              <w:t>2014</w:t>
            </w:r>
          </w:p>
        </w:tc>
        <w:tc>
          <w:tcPr>
            <w:tcW w:w="1087" w:type="dxa"/>
            <w:tcBorders>
              <w:top w:val="nil"/>
              <w:left w:val="nil"/>
              <w:bottom w:val="nil"/>
              <w:right w:val="nil"/>
            </w:tcBorders>
            <w:shd w:val="clear" w:color="000000" w:fill="7F7F7F"/>
            <w:noWrap/>
            <w:vAlign w:val="center"/>
            <w:hideMark/>
          </w:tcPr>
          <w:p w:rsidR="004D29AE" w:rsidRPr="004D29AE" w:rsidRDefault="004D29AE" w:rsidP="004D29AE">
            <w:pPr>
              <w:jc w:val="right"/>
              <w:rPr>
                <w:rFonts w:cs="Arial"/>
                <w:b/>
                <w:bCs/>
                <w:color w:val="FFFFFF"/>
                <w:szCs w:val="18"/>
                <w:lang w:eastAsia="en-AU"/>
              </w:rPr>
            </w:pPr>
            <w:r w:rsidRPr="004D29AE">
              <w:rPr>
                <w:rFonts w:cs="Arial"/>
                <w:b/>
                <w:bCs/>
                <w:color w:val="FFFFFF"/>
                <w:szCs w:val="18"/>
                <w:lang w:eastAsia="en-AU"/>
              </w:rPr>
              <w:t>2015</w:t>
            </w:r>
          </w:p>
        </w:tc>
      </w:tr>
      <w:tr w:rsidR="004D29AE" w:rsidRPr="004D29AE" w:rsidTr="005A735D">
        <w:trPr>
          <w:trHeight w:val="300"/>
        </w:trPr>
        <w:tc>
          <w:tcPr>
            <w:tcW w:w="1575" w:type="dxa"/>
            <w:tcBorders>
              <w:top w:val="nil"/>
              <w:left w:val="nil"/>
              <w:bottom w:val="nil"/>
              <w:right w:val="nil"/>
            </w:tcBorders>
            <w:shd w:val="clear" w:color="auto" w:fill="auto"/>
            <w:noWrap/>
            <w:vAlign w:val="center"/>
            <w:hideMark/>
          </w:tcPr>
          <w:p w:rsidR="004D29AE" w:rsidRPr="004D29AE" w:rsidRDefault="004D29AE" w:rsidP="004D29AE">
            <w:pPr>
              <w:rPr>
                <w:rFonts w:cs="Arial"/>
                <w:color w:val="7F7F7F"/>
                <w:szCs w:val="18"/>
                <w:lang w:eastAsia="en-AU"/>
              </w:rPr>
            </w:pPr>
            <w:r w:rsidRPr="004D29AE">
              <w:rPr>
                <w:rFonts w:cs="Arial"/>
                <w:color w:val="7F7F7F"/>
                <w:szCs w:val="18"/>
                <w:lang w:eastAsia="en-AU"/>
              </w:rPr>
              <w:t>Female</w:t>
            </w:r>
          </w:p>
        </w:tc>
        <w:tc>
          <w:tcPr>
            <w:tcW w:w="1086" w:type="dxa"/>
            <w:tcBorders>
              <w:top w:val="nil"/>
              <w:left w:val="nil"/>
              <w:bottom w:val="nil"/>
              <w:right w:val="nil"/>
            </w:tcBorders>
            <w:shd w:val="clear" w:color="auto" w:fill="auto"/>
            <w:noWrap/>
            <w:vAlign w:val="center"/>
            <w:hideMark/>
          </w:tcPr>
          <w:p w:rsidR="004D29AE" w:rsidRPr="004D29AE" w:rsidRDefault="004D29AE" w:rsidP="004D29AE">
            <w:pPr>
              <w:jc w:val="right"/>
              <w:rPr>
                <w:rFonts w:cs="Arial"/>
                <w:color w:val="7F7F7F"/>
                <w:szCs w:val="18"/>
                <w:lang w:eastAsia="en-AU"/>
              </w:rPr>
            </w:pPr>
            <w:r w:rsidRPr="004D29AE">
              <w:rPr>
                <w:rFonts w:cs="Arial"/>
                <w:color w:val="7F7F7F"/>
                <w:szCs w:val="18"/>
                <w:lang w:eastAsia="en-AU"/>
              </w:rPr>
              <w:t>100,431</w:t>
            </w:r>
          </w:p>
        </w:tc>
        <w:tc>
          <w:tcPr>
            <w:tcW w:w="1087" w:type="dxa"/>
            <w:tcBorders>
              <w:top w:val="nil"/>
              <w:left w:val="nil"/>
              <w:bottom w:val="nil"/>
              <w:right w:val="nil"/>
            </w:tcBorders>
            <w:shd w:val="clear" w:color="auto" w:fill="auto"/>
            <w:noWrap/>
            <w:vAlign w:val="center"/>
            <w:hideMark/>
          </w:tcPr>
          <w:p w:rsidR="004D29AE" w:rsidRPr="004D29AE" w:rsidRDefault="004D29AE" w:rsidP="004D29AE">
            <w:pPr>
              <w:jc w:val="right"/>
              <w:rPr>
                <w:rFonts w:cs="Arial"/>
                <w:color w:val="7F7F7F"/>
                <w:szCs w:val="18"/>
                <w:lang w:eastAsia="en-AU"/>
              </w:rPr>
            </w:pPr>
            <w:r w:rsidRPr="004D29AE">
              <w:rPr>
                <w:rFonts w:cs="Arial"/>
                <w:color w:val="7F7F7F"/>
                <w:szCs w:val="18"/>
                <w:lang w:eastAsia="en-AU"/>
              </w:rPr>
              <w:t>124,378</w:t>
            </w:r>
          </w:p>
        </w:tc>
        <w:tc>
          <w:tcPr>
            <w:tcW w:w="1087" w:type="dxa"/>
            <w:tcBorders>
              <w:top w:val="nil"/>
              <w:left w:val="nil"/>
              <w:bottom w:val="nil"/>
              <w:right w:val="nil"/>
            </w:tcBorders>
            <w:shd w:val="clear" w:color="auto" w:fill="auto"/>
            <w:noWrap/>
            <w:vAlign w:val="center"/>
            <w:hideMark/>
          </w:tcPr>
          <w:p w:rsidR="004D29AE" w:rsidRPr="004D29AE" w:rsidRDefault="004D29AE" w:rsidP="004D29AE">
            <w:pPr>
              <w:jc w:val="right"/>
              <w:rPr>
                <w:rFonts w:cs="Arial"/>
                <w:color w:val="7F7F7F"/>
                <w:szCs w:val="18"/>
                <w:lang w:eastAsia="en-AU"/>
              </w:rPr>
            </w:pPr>
            <w:r w:rsidRPr="004D29AE">
              <w:rPr>
                <w:rFonts w:cs="Arial"/>
                <w:color w:val="7F7F7F"/>
                <w:szCs w:val="18"/>
                <w:lang w:eastAsia="en-AU"/>
              </w:rPr>
              <w:t>174,444</w:t>
            </w:r>
          </w:p>
        </w:tc>
        <w:tc>
          <w:tcPr>
            <w:tcW w:w="1086" w:type="dxa"/>
            <w:tcBorders>
              <w:top w:val="nil"/>
              <w:left w:val="nil"/>
              <w:bottom w:val="nil"/>
              <w:right w:val="nil"/>
            </w:tcBorders>
            <w:shd w:val="clear" w:color="auto" w:fill="auto"/>
            <w:noWrap/>
            <w:vAlign w:val="center"/>
            <w:hideMark/>
          </w:tcPr>
          <w:p w:rsidR="004D29AE" w:rsidRPr="004D29AE" w:rsidRDefault="004D29AE" w:rsidP="004D29AE">
            <w:pPr>
              <w:jc w:val="right"/>
              <w:rPr>
                <w:rFonts w:cs="Arial"/>
                <w:color w:val="7F7F7F"/>
                <w:szCs w:val="18"/>
                <w:lang w:eastAsia="en-AU"/>
              </w:rPr>
            </w:pPr>
            <w:r w:rsidRPr="004D29AE">
              <w:rPr>
                <w:rFonts w:cs="Arial"/>
                <w:color w:val="7F7F7F"/>
                <w:szCs w:val="18"/>
                <w:lang w:eastAsia="en-AU"/>
              </w:rPr>
              <w:t>143,523</w:t>
            </w:r>
          </w:p>
        </w:tc>
        <w:tc>
          <w:tcPr>
            <w:tcW w:w="1087" w:type="dxa"/>
            <w:tcBorders>
              <w:top w:val="nil"/>
              <w:left w:val="nil"/>
              <w:bottom w:val="nil"/>
              <w:right w:val="nil"/>
            </w:tcBorders>
            <w:shd w:val="clear" w:color="auto" w:fill="auto"/>
            <w:noWrap/>
            <w:vAlign w:val="center"/>
            <w:hideMark/>
          </w:tcPr>
          <w:p w:rsidR="004D29AE" w:rsidRPr="004D29AE" w:rsidRDefault="004D29AE" w:rsidP="004D29AE">
            <w:pPr>
              <w:jc w:val="right"/>
              <w:rPr>
                <w:rFonts w:cs="Arial"/>
                <w:color w:val="7F7F7F"/>
                <w:szCs w:val="18"/>
                <w:lang w:eastAsia="en-AU"/>
              </w:rPr>
            </w:pPr>
            <w:r w:rsidRPr="004D29AE">
              <w:rPr>
                <w:rFonts w:cs="Arial"/>
                <w:color w:val="7F7F7F"/>
                <w:szCs w:val="18"/>
                <w:lang w:eastAsia="en-AU"/>
              </w:rPr>
              <w:t>142,446</w:t>
            </w:r>
          </w:p>
        </w:tc>
        <w:tc>
          <w:tcPr>
            <w:tcW w:w="1087" w:type="dxa"/>
            <w:tcBorders>
              <w:top w:val="nil"/>
              <w:left w:val="nil"/>
              <w:bottom w:val="nil"/>
              <w:right w:val="nil"/>
            </w:tcBorders>
            <w:shd w:val="clear" w:color="auto" w:fill="auto"/>
            <w:noWrap/>
            <w:vAlign w:val="center"/>
            <w:hideMark/>
          </w:tcPr>
          <w:p w:rsidR="004D29AE" w:rsidRPr="004D29AE" w:rsidRDefault="004D29AE" w:rsidP="004D29AE">
            <w:pPr>
              <w:jc w:val="right"/>
              <w:rPr>
                <w:rFonts w:cs="Arial"/>
                <w:color w:val="7F7F7F"/>
                <w:szCs w:val="18"/>
                <w:lang w:eastAsia="en-AU"/>
              </w:rPr>
            </w:pPr>
            <w:r w:rsidRPr="004D29AE">
              <w:rPr>
                <w:rFonts w:cs="Arial"/>
                <w:color w:val="7F7F7F"/>
                <w:szCs w:val="18"/>
                <w:lang w:eastAsia="en-AU"/>
              </w:rPr>
              <w:t>123,614</w:t>
            </w:r>
          </w:p>
        </w:tc>
      </w:tr>
      <w:tr w:rsidR="004D29AE" w:rsidRPr="004D29AE" w:rsidTr="005A735D">
        <w:trPr>
          <w:trHeight w:val="300"/>
        </w:trPr>
        <w:tc>
          <w:tcPr>
            <w:tcW w:w="1575" w:type="dxa"/>
            <w:tcBorders>
              <w:top w:val="nil"/>
              <w:left w:val="nil"/>
              <w:bottom w:val="nil"/>
              <w:right w:val="nil"/>
            </w:tcBorders>
            <w:shd w:val="clear" w:color="auto" w:fill="auto"/>
            <w:noWrap/>
            <w:vAlign w:val="center"/>
            <w:hideMark/>
          </w:tcPr>
          <w:p w:rsidR="004D29AE" w:rsidRPr="004D29AE" w:rsidRDefault="004D29AE" w:rsidP="004D29AE">
            <w:pPr>
              <w:rPr>
                <w:rFonts w:cs="Arial"/>
                <w:color w:val="7F7F7F"/>
                <w:szCs w:val="18"/>
                <w:lang w:eastAsia="en-AU"/>
              </w:rPr>
            </w:pPr>
            <w:r w:rsidRPr="004D29AE">
              <w:rPr>
                <w:rFonts w:cs="Arial"/>
                <w:color w:val="7F7F7F"/>
                <w:szCs w:val="18"/>
                <w:lang w:eastAsia="en-AU"/>
              </w:rPr>
              <w:t>Male</w:t>
            </w:r>
          </w:p>
        </w:tc>
        <w:tc>
          <w:tcPr>
            <w:tcW w:w="1086" w:type="dxa"/>
            <w:tcBorders>
              <w:top w:val="nil"/>
              <w:left w:val="nil"/>
              <w:bottom w:val="nil"/>
              <w:right w:val="nil"/>
            </w:tcBorders>
            <w:shd w:val="clear" w:color="auto" w:fill="auto"/>
            <w:noWrap/>
            <w:vAlign w:val="center"/>
            <w:hideMark/>
          </w:tcPr>
          <w:p w:rsidR="004D29AE" w:rsidRPr="004D29AE" w:rsidRDefault="004D29AE" w:rsidP="004D29AE">
            <w:pPr>
              <w:jc w:val="right"/>
              <w:rPr>
                <w:rFonts w:cs="Arial"/>
                <w:color w:val="7F7F7F"/>
                <w:szCs w:val="18"/>
                <w:lang w:eastAsia="en-AU"/>
              </w:rPr>
            </w:pPr>
            <w:r w:rsidRPr="004D29AE">
              <w:rPr>
                <w:rFonts w:cs="Arial"/>
                <w:color w:val="7F7F7F"/>
                <w:szCs w:val="18"/>
                <w:lang w:eastAsia="en-AU"/>
              </w:rPr>
              <w:t>110,480</w:t>
            </w:r>
          </w:p>
        </w:tc>
        <w:tc>
          <w:tcPr>
            <w:tcW w:w="1087" w:type="dxa"/>
            <w:tcBorders>
              <w:top w:val="nil"/>
              <w:left w:val="nil"/>
              <w:bottom w:val="nil"/>
              <w:right w:val="nil"/>
            </w:tcBorders>
            <w:shd w:val="clear" w:color="auto" w:fill="auto"/>
            <w:noWrap/>
            <w:vAlign w:val="center"/>
            <w:hideMark/>
          </w:tcPr>
          <w:p w:rsidR="004D29AE" w:rsidRPr="004D29AE" w:rsidRDefault="004D29AE" w:rsidP="004D29AE">
            <w:pPr>
              <w:jc w:val="right"/>
              <w:rPr>
                <w:rFonts w:cs="Arial"/>
                <w:color w:val="7F7F7F"/>
                <w:szCs w:val="18"/>
                <w:lang w:eastAsia="en-AU"/>
              </w:rPr>
            </w:pPr>
            <w:r w:rsidRPr="004D29AE">
              <w:rPr>
                <w:rFonts w:cs="Arial"/>
                <w:color w:val="7F7F7F"/>
                <w:szCs w:val="18"/>
                <w:lang w:eastAsia="en-AU"/>
              </w:rPr>
              <w:t>135,493</w:t>
            </w:r>
          </w:p>
        </w:tc>
        <w:tc>
          <w:tcPr>
            <w:tcW w:w="1087" w:type="dxa"/>
            <w:tcBorders>
              <w:top w:val="nil"/>
              <w:left w:val="nil"/>
              <w:bottom w:val="nil"/>
              <w:right w:val="nil"/>
            </w:tcBorders>
            <w:shd w:val="clear" w:color="auto" w:fill="auto"/>
            <w:noWrap/>
            <w:vAlign w:val="center"/>
            <w:hideMark/>
          </w:tcPr>
          <w:p w:rsidR="004D29AE" w:rsidRPr="004D29AE" w:rsidRDefault="004D29AE" w:rsidP="004D29AE">
            <w:pPr>
              <w:jc w:val="right"/>
              <w:rPr>
                <w:rFonts w:cs="Arial"/>
                <w:color w:val="7F7F7F"/>
                <w:szCs w:val="18"/>
                <w:lang w:eastAsia="en-AU"/>
              </w:rPr>
            </w:pPr>
            <w:r w:rsidRPr="004D29AE">
              <w:rPr>
                <w:rFonts w:cs="Arial"/>
                <w:color w:val="7F7F7F"/>
                <w:szCs w:val="18"/>
                <w:lang w:eastAsia="en-AU"/>
              </w:rPr>
              <w:t>172,429</w:t>
            </w:r>
          </w:p>
        </w:tc>
        <w:tc>
          <w:tcPr>
            <w:tcW w:w="1086" w:type="dxa"/>
            <w:tcBorders>
              <w:top w:val="nil"/>
              <w:left w:val="nil"/>
              <w:bottom w:val="nil"/>
              <w:right w:val="nil"/>
            </w:tcBorders>
            <w:shd w:val="clear" w:color="auto" w:fill="auto"/>
            <w:noWrap/>
            <w:vAlign w:val="center"/>
            <w:hideMark/>
          </w:tcPr>
          <w:p w:rsidR="004D29AE" w:rsidRPr="004D29AE" w:rsidRDefault="004D29AE" w:rsidP="004D29AE">
            <w:pPr>
              <w:jc w:val="right"/>
              <w:rPr>
                <w:rFonts w:cs="Arial"/>
                <w:color w:val="7F7F7F"/>
                <w:szCs w:val="18"/>
                <w:lang w:eastAsia="en-AU"/>
              </w:rPr>
            </w:pPr>
            <w:r w:rsidRPr="004D29AE">
              <w:rPr>
                <w:rFonts w:cs="Arial"/>
                <w:color w:val="7F7F7F"/>
                <w:szCs w:val="18"/>
                <w:lang w:eastAsia="en-AU"/>
              </w:rPr>
              <w:t>153,970</w:t>
            </w:r>
          </w:p>
        </w:tc>
        <w:tc>
          <w:tcPr>
            <w:tcW w:w="1087" w:type="dxa"/>
            <w:tcBorders>
              <w:top w:val="nil"/>
              <w:left w:val="nil"/>
              <w:bottom w:val="nil"/>
              <w:right w:val="nil"/>
            </w:tcBorders>
            <w:shd w:val="clear" w:color="auto" w:fill="auto"/>
            <w:noWrap/>
            <w:vAlign w:val="center"/>
            <w:hideMark/>
          </w:tcPr>
          <w:p w:rsidR="004D29AE" w:rsidRPr="004D29AE" w:rsidRDefault="004D29AE" w:rsidP="004D29AE">
            <w:pPr>
              <w:jc w:val="right"/>
              <w:rPr>
                <w:rFonts w:cs="Arial"/>
                <w:color w:val="7F7F7F"/>
                <w:szCs w:val="18"/>
                <w:lang w:eastAsia="en-AU"/>
              </w:rPr>
            </w:pPr>
            <w:r w:rsidRPr="004D29AE">
              <w:rPr>
                <w:rFonts w:cs="Arial"/>
                <w:color w:val="7F7F7F"/>
                <w:szCs w:val="18"/>
                <w:lang w:eastAsia="en-AU"/>
              </w:rPr>
              <w:t>158,747</w:t>
            </w:r>
          </w:p>
        </w:tc>
        <w:tc>
          <w:tcPr>
            <w:tcW w:w="1087" w:type="dxa"/>
            <w:tcBorders>
              <w:top w:val="nil"/>
              <w:left w:val="nil"/>
              <w:bottom w:val="nil"/>
              <w:right w:val="nil"/>
            </w:tcBorders>
            <w:shd w:val="clear" w:color="auto" w:fill="auto"/>
            <w:noWrap/>
            <w:vAlign w:val="center"/>
            <w:hideMark/>
          </w:tcPr>
          <w:p w:rsidR="004D29AE" w:rsidRPr="004D29AE" w:rsidRDefault="004D29AE" w:rsidP="004D29AE">
            <w:pPr>
              <w:jc w:val="right"/>
              <w:rPr>
                <w:rFonts w:cs="Arial"/>
                <w:color w:val="7F7F7F"/>
                <w:szCs w:val="18"/>
                <w:lang w:eastAsia="en-AU"/>
              </w:rPr>
            </w:pPr>
            <w:r w:rsidRPr="004D29AE">
              <w:rPr>
                <w:rFonts w:cs="Arial"/>
                <w:color w:val="7F7F7F"/>
                <w:szCs w:val="18"/>
                <w:lang w:eastAsia="en-AU"/>
              </w:rPr>
              <w:t>141,244</w:t>
            </w:r>
          </w:p>
        </w:tc>
      </w:tr>
      <w:tr w:rsidR="004D29AE" w:rsidRPr="004D29AE" w:rsidTr="005A735D">
        <w:trPr>
          <w:trHeight w:val="300"/>
        </w:trPr>
        <w:tc>
          <w:tcPr>
            <w:tcW w:w="1575" w:type="dxa"/>
            <w:tcBorders>
              <w:top w:val="nil"/>
              <w:left w:val="nil"/>
              <w:bottom w:val="nil"/>
              <w:right w:val="nil"/>
            </w:tcBorders>
            <w:shd w:val="clear" w:color="auto" w:fill="auto"/>
            <w:noWrap/>
            <w:vAlign w:val="center"/>
            <w:hideMark/>
          </w:tcPr>
          <w:p w:rsidR="004D29AE" w:rsidRPr="004D29AE" w:rsidRDefault="004D29AE" w:rsidP="004D29AE">
            <w:pPr>
              <w:rPr>
                <w:rFonts w:cs="Arial"/>
                <w:color w:val="7F7F7F"/>
                <w:szCs w:val="18"/>
                <w:lang w:eastAsia="en-AU"/>
              </w:rPr>
            </w:pPr>
            <w:r w:rsidRPr="004D29AE">
              <w:rPr>
                <w:rFonts w:cs="Arial"/>
                <w:color w:val="7F7F7F"/>
                <w:szCs w:val="18"/>
                <w:lang w:eastAsia="en-AU"/>
              </w:rPr>
              <w:t>Not stated</w:t>
            </w:r>
          </w:p>
        </w:tc>
        <w:tc>
          <w:tcPr>
            <w:tcW w:w="1086" w:type="dxa"/>
            <w:tcBorders>
              <w:top w:val="nil"/>
              <w:left w:val="nil"/>
              <w:bottom w:val="nil"/>
              <w:right w:val="nil"/>
            </w:tcBorders>
            <w:shd w:val="clear" w:color="auto" w:fill="auto"/>
            <w:noWrap/>
            <w:vAlign w:val="center"/>
            <w:hideMark/>
          </w:tcPr>
          <w:p w:rsidR="004D29AE" w:rsidRPr="004D29AE" w:rsidRDefault="004D29AE" w:rsidP="004D29AE">
            <w:pPr>
              <w:jc w:val="right"/>
              <w:rPr>
                <w:rFonts w:cs="Arial"/>
                <w:color w:val="7F7F7F"/>
                <w:szCs w:val="18"/>
                <w:lang w:eastAsia="en-AU"/>
              </w:rPr>
            </w:pPr>
            <w:r w:rsidRPr="004D29AE">
              <w:rPr>
                <w:rFonts w:cs="Arial"/>
                <w:color w:val="7F7F7F"/>
                <w:szCs w:val="18"/>
                <w:lang w:eastAsia="en-AU"/>
              </w:rPr>
              <w:t>617</w:t>
            </w:r>
          </w:p>
        </w:tc>
        <w:tc>
          <w:tcPr>
            <w:tcW w:w="1087" w:type="dxa"/>
            <w:tcBorders>
              <w:top w:val="nil"/>
              <w:left w:val="nil"/>
              <w:bottom w:val="nil"/>
              <w:right w:val="nil"/>
            </w:tcBorders>
            <w:shd w:val="clear" w:color="auto" w:fill="auto"/>
            <w:noWrap/>
            <w:vAlign w:val="center"/>
            <w:hideMark/>
          </w:tcPr>
          <w:p w:rsidR="004D29AE" w:rsidRPr="004D29AE" w:rsidRDefault="004D29AE" w:rsidP="004D29AE">
            <w:pPr>
              <w:jc w:val="right"/>
              <w:rPr>
                <w:rFonts w:cs="Arial"/>
                <w:color w:val="7F7F7F"/>
                <w:szCs w:val="18"/>
                <w:lang w:eastAsia="en-AU"/>
              </w:rPr>
            </w:pPr>
            <w:r w:rsidRPr="004D29AE">
              <w:rPr>
                <w:rFonts w:cs="Arial"/>
                <w:color w:val="7F7F7F"/>
                <w:szCs w:val="18"/>
                <w:lang w:eastAsia="en-AU"/>
              </w:rPr>
              <w:t>416</w:t>
            </w:r>
          </w:p>
        </w:tc>
        <w:tc>
          <w:tcPr>
            <w:tcW w:w="1087" w:type="dxa"/>
            <w:tcBorders>
              <w:top w:val="nil"/>
              <w:left w:val="nil"/>
              <w:bottom w:val="nil"/>
              <w:right w:val="nil"/>
            </w:tcBorders>
            <w:shd w:val="clear" w:color="auto" w:fill="auto"/>
            <w:noWrap/>
            <w:vAlign w:val="center"/>
            <w:hideMark/>
          </w:tcPr>
          <w:p w:rsidR="004D29AE" w:rsidRPr="004D29AE" w:rsidRDefault="004D29AE" w:rsidP="004D29AE">
            <w:pPr>
              <w:jc w:val="right"/>
              <w:rPr>
                <w:rFonts w:cs="Arial"/>
                <w:color w:val="7F7F7F"/>
                <w:szCs w:val="18"/>
                <w:lang w:eastAsia="en-AU"/>
              </w:rPr>
            </w:pPr>
            <w:r w:rsidRPr="004D29AE">
              <w:rPr>
                <w:rFonts w:cs="Arial"/>
                <w:color w:val="7F7F7F"/>
                <w:szCs w:val="18"/>
                <w:lang w:eastAsia="en-AU"/>
              </w:rPr>
              <w:t>313</w:t>
            </w:r>
          </w:p>
        </w:tc>
        <w:tc>
          <w:tcPr>
            <w:tcW w:w="1086" w:type="dxa"/>
            <w:tcBorders>
              <w:top w:val="nil"/>
              <w:left w:val="nil"/>
              <w:bottom w:val="nil"/>
              <w:right w:val="nil"/>
            </w:tcBorders>
            <w:shd w:val="clear" w:color="auto" w:fill="auto"/>
            <w:noWrap/>
            <w:vAlign w:val="center"/>
            <w:hideMark/>
          </w:tcPr>
          <w:p w:rsidR="004D29AE" w:rsidRPr="004D29AE" w:rsidRDefault="004D29AE" w:rsidP="004D29AE">
            <w:pPr>
              <w:jc w:val="right"/>
              <w:rPr>
                <w:rFonts w:cs="Arial"/>
                <w:color w:val="7F7F7F"/>
                <w:szCs w:val="18"/>
                <w:lang w:eastAsia="en-AU"/>
              </w:rPr>
            </w:pPr>
            <w:r w:rsidRPr="004D29AE">
              <w:rPr>
                <w:rFonts w:cs="Arial"/>
                <w:color w:val="7F7F7F"/>
                <w:szCs w:val="18"/>
                <w:lang w:eastAsia="en-AU"/>
              </w:rPr>
              <w:t>166</w:t>
            </w:r>
          </w:p>
        </w:tc>
        <w:tc>
          <w:tcPr>
            <w:tcW w:w="1087" w:type="dxa"/>
            <w:tcBorders>
              <w:top w:val="nil"/>
              <w:left w:val="nil"/>
              <w:bottom w:val="nil"/>
              <w:right w:val="nil"/>
            </w:tcBorders>
            <w:shd w:val="clear" w:color="auto" w:fill="auto"/>
            <w:noWrap/>
            <w:vAlign w:val="center"/>
            <w:hideMark/>
          </w:tcPr>
          <w:p w:rsidR="004D29AE" w:rsidRPr="004D29AE" w:rsidRDefault="004D29AE" w:rsidP="004D29AE">
            <w:pPr>
              <w:jc w:val="right"/>
              <w:rPr>
                <w:rFonts w:cs="Arial"/>
                <w:color w:val="7F7F7F"/>
                <w:szCs w:val="18"/>
                <w:lang w:eastAsia="en-AU"/>
              </w:rPr>
            </w:pPr>
            <w:r w:rsidRPr="004D29AE">
              <w:rPr>
                <w:rFonts w:cs="Arial"/>
                <w:color w:val="7F7F7F"/>
                <w:szCs w:val="18"/>
                <w:lang w:eastAsia="en-AU"/>
              </w:rPr>
              <w:t>260</w:t>
            </w:r>
          </w:p>
        </w:tc>
        <w:tc>
          <w:tcPr>
            <w:tcW w:w="1087" w:type="dxa"/>
            <w:tcBorders>
              <w:top w:val="nil"/>
              <w:left w:val="nil"/>
              <w:bottom w:val="nil"/>
              <w:right w:val="nil"/>
            </w:tcBorders>
            <w:shd w:val="clear" w:color="auto" w:fill="auto"/>
            <w:noWrap/>
            <w:vAlign w:val="center"/>
            <w:hideMark/>
          </w:tcPr>
          <w:p w:rsidR="004D29AE" w:rsidRPr="004D29AE" w:rsidRDefault="004D29AE" w:rsidP="004D29AE">
            <w:pPr>
              <w:jc w:val="right"/>
              <w:rPr>
                <w:rFonts w:cs="Arial"/>
                <w:color w:val="7F7F7F"/>
                <w:szCs w:val="18"/>
                <w:lang w:eastAsia="en-AU"/>
              </w:rPr>
            </w:pPr>
            <w:r w:rsidRPr="004D29AE">
              <w:rPr>
                <w:rFonts w:cs="Arial"/>
                <w:color w:val="7F7F7F"/>
                <w:szCs w:val="18"/>
                <w:lang w:eastAsia="en-AU"/>
              </w:rPr>
              <w:t>386</w:t>
            </w:r>
          </w:p>
        </w:tc>
      </w:tr>
      <w:tr w:rsidR="004D29AE" w:rsidRPr="004D29AE" w:rsidTr="005A735D">
        <w:trPr>
          <w:trHeight w:val="300"/>
        </w:trPr>
        <w:tc>
          <w:tcPr>
            <w:tcW w:w="1575" w:type="dxa"/>
            <w:tcBorders>
              <w:top w:val="nil"/>
              <w:left w:val="nil"/>
              <w:bottom w:val="nil"/>
              <w:right w:val="nil"/>
            </w:tcBorders>
            <w:shd w:val="clear" w:color="000000" w:fill="7F7F7F"/>
            <w:noWrap/>
            <w:vAlign w:val="center"/>
            <w:hideMark/>
          </w:tcPr>
          <w:p w:rsidR="004D29AE" w:rsidRPr="004D29AE" w:rsidRDefault="004D29AE" w:rsidP="004D29AE">
            <w:pPr>
              <w:rPr>
                <w:rFonts w:cs="Arial"/>
                <w:b/>
                <w:bCs/>
                <w:color w:val="FFFFFF"/>
                <w:szCs w:val="18"/>
                <w:lang w:eastAsia="en-AU"/>
              </w:rPr>
            </w:pPr>
            <w:r w:rsidRPr="004D29AE">
              <w:rPr>
                <w:rFonts w:cs="Arial"/>
                <w:b/>
                <w:bCs/>
                <w:color w:val="FFFFFF"/>
                <w:szCs w:val="18"/>
                <w:lang w:eastAsia="en-AU"/>
              </w:rPr>
              <w:t>Total</w:t>
            </w:r>
          </w:p>
        </w:tc>
        <w:tc>
          <w:tcPr>
            <w:tcW w:w="1086" w:type="dxa"/>
            <w:tcBorders>
              <w:top w:val="nil"/>
              <w:left w:val="nil"/>
              <w:bottom w:val="nil"/>
              <w:right w:val="nil"/>
            </w:tcBorders>
            <w:shd w:val="clear" w:color="000000" w:fill="7F7F7F"/>
            <w:noWrap/>
            <w:vAlign w:val="center"/>
            <w:hideMark/>
          </w:tcPr>
          <w:p w:rsidR="004D29AE" w:rsidRPr="004D29AE" w:rsidRDefault="004D29AE" w:rsidP="004D29AE">
            <w:pPr>
              <w:jc w:val="right"/>
              <w:rPr>
                <w:rFonts w:cs="Arial"/>
                <w:b/>
                <w:bCs/>
                <w:color w:val="FFFFFF"/>
                <w:szCs w:val="18"/>
                <w:lang w:eastAsia="en-AU"/>
              </w:rPr>
            </w:pPr>
            <w:r w:rsidRPr="004D29AE">
              <w:rPr>
                <w:rFonts w:cs="Arial"/>
                <w:b/>
                <w:bCs/>
                <w:color w:val="FFFFFF"/>
                <w:szCs w:val="18"/>
                <w:lang w:eastAsia="en-AU"/>
              </w:rPr>
              <w:t>211,528</w:t>
            </w:r>
          </w:p>
        </w:tc>
        <w:tc>
          <w:tcPr>
            <w:tcW w:w="1087" w:type="dxa"/>
            <w:tcBorders>
              <w:top w:val="nil"/>
              <w:left w:val="nil"/>
              <w:bottom w:val="nil"/>
              <w:right w:val="nil"/>
            </w:tcBorders>
            <w:shd w:val="clear" w:color="000000" w:fill="7F7F7F"/>
            <w:noWrap/>
            <w:vAlign w:val="center"/>
            <w:hideMark/>
          </w:tcPr>
          <w:p w:rsidR="004D29AE" w:rsidRPr="004D29AE" w:rsidRDefault="004D29AE" w:rsidP="004D29AE">
            <w:pPr>
              <w:jc w:val="right"/>
              <w:rPr>
                <w:rFonts w:cs="Arial"/>
                <w:b/>
                <w:bCs/>
                <w:color w:val="FFFFFF"/>
                <w:szCs w:val="18"/>
                <w:lang w:eastAsia="en-AU"/>
              </w:rPr>
            </w:pPr>
            <w:r w:rsidRPr="004D29AE">
              <w:rPr>
                <w:rFonts w:cs="Arial"/>
                <w:b/>
                <w:bCs/>
                <w:color w:val="FFFFFF"/>
                <w:szCs w:val="18"/>
                <w:lang w:eastAsia="en-AU"/>
              </w:rPr>
              <w:t>260,287</w:t>
            </w:r>
          </w:p>
        </w:tc>
        <w:tc>
          <w:tcPr>
            <w:tcW w:w="1087" w:type="dxa"/>
            <w:tcBorders>
              <w:top w:val="nil"/>
              <w:left w:val="nil"/>
              <w:bottom w:val="nil"/>
              <w:right w:val="nil"/>
            </w:tcBorders>
            <w:shd w:val="clear" w:color="000000" w:fill="7F7F7F"/>
            <w:noWrap/>
            <w:vAlign w:val="center"/>
            <w:hideMark/>
          </w:tcPr>
          <w:p w:rsidR="004D29AE" w:rsidRPr="004D29AE" w:rsidRDefault="004D29AE" w:rsidP="004D29AE">
            <w:pPr>
              <w:jc w:val="right"/>
              <w:rPr>
                <w:rFonts w:cs="Arial"/>
                <w:b/>
                <w:bCs/>
                <w:color w:val="FFFFFF"/>
                <w:szCs w:val="18"/>
                <w:lang w:eastAsia="en-AU"/>
              </w:rPr>
            </w:pPr>
            <w:r w:rsidRPr="004D29AE">
              <w:rPr>
                <w:rFonts w:cs="Arial"/>
                <w:b/>
                <w:bCs/>
                <w:color w:val="FFFFFF"/>
                <w:szCs w:val="18"/>
                <w:lang w:eastAsia="en-AU"/>
              </w:rPr>
              <w:t>347,186</w:t>
            </w:r>
          </w:p>
        </w:tc>
        <w:tc>
          <w:tcPr>
            <w:tcW w:w="1086" w:type="dxa"/>
            <w:tcBorders>
              <w:top w:val="nil"/>
              <w:left w:val="nil"/>
              <w:bottom w:val="nil"/>
              <w:right w:val="nil"/>
            </w:tcBorders>
            <w:shd w:val="clear" w:color="000000" w:fill="7F7F7F"/>
            <w:noWrap/>
            <w:vAlign w:val="center"/>
            <w:hideMark/>
          </w:tcPr>
          <w:p w:rsidR="004D29AE" w:rsidRPr="004D29AE" w:rsidRDefault="004D29AE" w:rsidP="004D29AE">
            <w:pPr>
              <w:jc w:val="right"/>
              <w:rPr>
                <w:rFonts w:cs="Arial"/>
                <w:b/>
                <w:bCs/>
                <w:color w:val="FFFFFF"/>
                <w:szCs w:val="18"/>
                <w:lang w:eastAsia="en-AU"/>
              </w:rPr>
            </w:pPr>
            <w:r w:rsidRPr="004D29AE">
              <w:rPr>
                <w:rFonts w:cs="Arial"/>
                <w:b/>
                <w:bCs/>
                <w:color w:val="FFFFFF"/>
                <w:szCs w:val="18"/>
                <w:lang w:eastAsia="en-AU"/>
              </w:rPr>
              <w:t>297,659</w:t>
            </w:r>
          </w:p>
        </w:tc>
        <w:tc>
          <w:tcPr>
            <w:tcW w:w="1087" w:type="dxa"/>
            <w:tcBorders>
              <w:top w:val="nil"/>
              <w:left w:val="nil"/>
              <w:bottom w:val="nil"/>
              <w:right w:val="nil"/>
            </w:tcBorders>
            <w:shd w:val="clear" w:color="000000" w:fill="7F7F7F"/>
            <w:noWrap/>
            <w:vAlign w:val="center"/>
            <w:hideMark/>
          </w:tcPr>
          <w:p w:rsidR="004D29AE" w:rsidRPr="004D29AE" w:rsidRDefault="004D29AE" w:rsidP="004D29AE">
            <w:pPr>
              <w:jc w:val="right"/>
              <w:rPr>
                <w:rFonts w:cs="Arial"/>
                <w:b/>
                <w:bCs/>
                <w:color w:val="FFFFFF"/>
                <w:szCs w:val="18"/>
                <w:lang w:eastAsia="en-AU"/>
              </w:rPr>
            </w:pPr>
            <w:r w:rsidRPr="004D29AE">
              <w:rPr>
                <w:rFonts w:cs="Arial"/>
                <w:b/>
                <w:bCs/>
                <w:color w:val="FFFFFF"/>
                <w:szCs w:val="18"/>
                <w:lang w:eastAsia="en-AU"/>
              </w:rPr>
              <w:t>301,453</w:t>
            </w:r>
          </w:p>
        </w:tc>
        <w:tc>
          <w:tcPr>
            <w:tcW w:w="1087" w:type="dxa"/>
            <w:tcBorders>
              <w:top w:val="nil"/>
              <w:left w:val="nil"/>
              <w:bottom w:val="nil"/>
              <w:right w:val="nil"/>
            </w:tcBorders>
            <w:shd w:val="clear" w:color="000000" w:fill="7F7F7F"/>
            <w:noWrap/>
            <w:vAlign w:val="center"/>
            <w:hideMark/>
          </w:tcPr>
          <w:p w:rsidR="004D29AE" w:rsidRPr="004D29AE" w:rsidRDefault="004D29AE" w:rsidP="004D29AE">
            <w:pPr>
              <w:jc w:val="right"/>
              <w:rPr>
                <w:rFonts w:cs="Arial"/>
                <w:b/>
                <w:bCs/>
                <w:color w:val="FFFFFF"/>
                <w:szCs w:val="18"/>
                <w:lang w:eastAsia="en-AU"/>
              </w:rPr>
            </w:pPr>
            <w:r w:rsidRPr="004D29AE">
              <w:rPr>
                <w:rFonts w:cs="Arial"/>
                <w:b/>
                <w:bCs/>
                <w:color w:val="FFFFFF"/>
                <w:szCs w:val="18"/>
                <w:lang w:eastAsia="en-AU"/>
              </w:rPr>
              <w:t>265,244</w:t>
            </w:r>
          </w:p>
        </w:tc>
      </w:tr>
    </w:tbl>
    <w:p w:rsidR="00660A0E" w:rsidRPr="00365EB2" w:rsidRDefault="00660A0E" w:rsidP="003734BF"/>
    <w:p w:rsidR="00660A0E" w:rsidRPr="00365EB2" w:rsidRDefault="00660A0E" w:rsidP="003734BF"/>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5A735D" w:rsidTr="005A735D">
        <w:tc>
          <w:tcPr>
            <w:tcW w:w="1134" w:type="dxa"/>
            <w:tcMar>
              <w:left w:w="0" w:type="dxa"/>
              <w:right w:w="0" w:type="dxa"/>
            </w:tcMar>
          </w:tcPr>
          <w:p w:rsidR="005A735D" w:rsidRDefault="00CB6C79" w:rsidP="005A735D">
            <w:pPr>
              <w:pStyle w:val="Quote"/>
              <w:tabs>
                <w:tab w:val="left" w:pos="1134"/>
              </w:tabs>
              <w:rPr>
                <w:b w:val="0"/>
                <w:color w:val="B41F22" w:themeColor="accent1"/>
              </w:rPr>
            </w:pPr>
            <w:r>
              <w:rPr>
                <w:b w:val="0"/>
                <w:color w:val="B41F22" w:themeColor="accent1"/>
              </w:rPr>
              <w:t>Table 1.5</w:t>
            </w:r>
            <w:r w:rsidR="005A735D">
              <w:rPr>
                <w:b w:val="0"/>
                <w:color w:val="B41F22" w:themeColor="accent1"/>
              </w:rPr>
              <w:t>.2:</w:t>
            </w:r>
          </w:p>
        </w:tc>
        <w:tc>
          <w:tcPr>
            <w:tcW w:w="6946" w:type="dxa"/>
            <w:tcMar>
              <w:left w:w="0" w:type="dxa"/>
              <w:right w:w="0" w:type="dxa"/>
            </w:tcMar>
          </w:tcPr>
          <w:p w:rsidR="005A735D" w:rsidRDefault="005A735D" w:rsidP="005A735D">
            <w:pPr>
              <w:pStyle w:val="Quote"/>
              <w:tabs>
                <w:tab w:val="left" w:pos="1134"/>
              </w:tabs>
              <w:rPr>
                <w:b w:val="0"/>
                <w:color w:val="B41F22" w:themeColor="accent1"/>
              </w:rPr>
            </w:pPr>
            <w:r w:rsidRPr="004D29AE">
              <w:rPr>
                <w:b w:val="0"/>
                <w:color w:val="B41F22" w:themeColor="accent1"/>
              </w:rPr>
              <w:t>Change in number of students enrolled in government subsidised accredited training by gender (half year)</w:t>
            </w:r>
          </w:p>
        </w:tc>
      </w:tr>
    </w:tbl>
    <w:tbl>
      <w:tblPr>
        <w:tblW w:w="8095" w:type="dxa"/>
        <w:tblInd w:w="93" w:type="dxa"/>
        <w:tblLayout w:type="fixed"/>
        <w:tblLook w:val="04A0" w:firstRow="1" w:lastRow="0" w:firstColumn="1" w:lastColumn="0" w:noHBand="0" w:noVBand="1"/>
      </w:tblPr>
      <w:tblGrid>
        <w:gridCol w:w="1858"/>
        <w:gridCol w:w="1247"/>
        <w:gridCol w:w="1247"/>
        <w:gridCol w:w="1248"/>
        <w:gridCol w:w="1247"/>
        <w:gridCol w:w="1248"/>
      </w:tblGrid>
      <w:tr w:rsidR="004D29AE" w:rsidRPr="004D29AE" w:rsidTr="005A735D">
        <w:trPr>
          <w:trHeight w:val="720"/>
        </w:trPr>
        <w:tc>
          <w:tcPr>
            <w:tcW w:w="1858" w:type="dxa"/>
            <w:tcBorders>
              <w:top w:val="nil"/>
              <w:left w:val="nil"/>
              <w:bottom w:val="nil"/>
              <w:right w:val="nil"/>
            </w:tcBorders>
            <w:shd w:val="clear" w:color="000000" w:fill="7F7F7F"/>
            <w:noWrap/>
            <w:vAlign w:val="center"/>
            <w:hideMark/>
          </w:tcPr>
          <w:p w:rsidR="004D29AE" w:rsidRPr="004D29AE" w:rsidRDefault="004D29AE" w:rsidP="004D29AE">
            <w:pPr>
              <w:rPr>
                <w:rFonts w:cs="Arial"/>
                <w:color w:val="FFFFFF"/>
                <w:szCs w:val="18"/>
                <w:lang w:eastAsia="en-AU"/>
              </w:rPr>
            </w:pPr>
            <w:r w:rsidRPr="004D29AE">
              <w:rPr>
                <w:rFonts w:cs="Arial"/>
                <w:color w:val="FFFFFF"/>
                <w:szCs w:val="18"/>
                <w:lang w:eastAsia="en-AU"/>
              </w:rPr>
              <w:t> </w:t>
            </w:r>
          </w:p>
        </w:tc>
        <w:tc>
          <w:tcPr>
            <w:tcW w:w="1247" w:type="dxa"/>
            <w:tcBorders>
              <w:top w:val="nil"/>
              <w:left w:val="nil"/>
              <w:bottom w:val="nil"/>
              <w:right w:val="nil"/>
            </w:tcBorders>
            <w:shd w:val="clear" w:color="000000" w:fill="7F7F7F"/>
            <w:vAlign w:val="center"/>
            <w:hideMark/>
          </w:tcPr>
          <w:p w:rsidR="004D29AE" w:rsidRPr="004D29AE" w:rsidRDefault="004D29AE" w:rsidP="004D29AE">
            <w:pPr>
              <w:jc w:val="right"/>
              <w:rPr>
                <w:rFonts w:cs="Arial"/>
                <w:b/>
                <w:bCs/>
                <w:color w:val="FFFFFF"/>
                <w:szCs w:val="18"/>
                <w:lang w:eastAsia="en-AU"/>
              </w:rPr>
            </w:pPr>
            <w:r w:rsidRPr="004D29AE">
              <w:rPr>
                <w:rFonts w:cs="Arial"/>
                <w:b/>
                <w:bCs/>
                <w:color w:val="FFFFFF"/>
                <w:szCs w:val="18"/>
                <w:lang w:eastAsia="en-AU"/>
              </w:rPr>
              <w:t>% change 2010 to 2015</w:t>
            </w:r>
          </w:p>
        </w:tc>
        <w:tc>
          <w:tcPr>
            <w:tcW w:w="1247" w:type="dxa"/>
            <w:tcBorders>
              <w:top w:val="nil"/>
              <w:left w:val="nil"/>
              <w:bottom w:val="nil"/>
              <w:right w:val="nil"/>
            </w:tcBorders>
            <w:shd w:val="clear" w:color="000000" w:fill="7F7F7F"/>
            <w:vAlign w:val="center"/>
            <w:hideMark/>
          </w:tcPr>
          <w:p w:rsidR="004D29AE" w:rsidRPr="004D29AE" w:rsidRDefault="004D29AE" w:rsidP="004D29AE">
            <w:pPr>
              <w:jc w:val="right"/>
              <w:rPr>
                <w:rFonts w:cs="Arial"/>
                <w:b/>
                <w:bCs/>
                <w:color w:val="FFFFFF"/>
                <w:szCs w:val="18"/>
                <w:lang w:eastAsia="en-AU"/>
              </w:rPr>
            </w:pPr>
            <w:r w:rsidRPr="004D29AE">
              <w:rPr>
                <w:rFonts w:cs="Arial"/>
                <w:b/>
                <w:bCs/>
                <w:color w:val="FFFFFF"/>
                <w:szCs w:val="18"/>
                <w:lang w:eastAsia="en-AU"/>
              </w:rPr>
              <w:t>% change 2011 to 2015</w:t>
            </w:r>
          </w:p>
        </w:tc>
        <w:tc>
          <w:tcPr>
            <w:tcW w:w="1248" w:type="dxa"/>
            <w:tcBorders>
              <w:top w:val="nil"/>
              <w:left w:val="nil"/>
              <w:bottom w:val="nil"/>
              <w:right w:val="nil"/>
            </w:tcBorders>
            <w:shd w:val="clear" w:color="000000" w:fill="7F7F7F"/>
            <w:vAlign w:val="center"/>
            <w:hideMark/>
          </w:tcPr>
          <w:p w:rsidR="004D29AE" w:rsidRPr="004D29AE" w:rsidRDefault="004D29AE" w:rsidP="004D29AE">
            <w:pPr>
              <w:jc w:val="right"/>
              <w:rPr>
                <w:rFonts w:cs="Arial"/>
                <w:b/>
                <w:bCs/>
                <w:color w:val="FFFFFF"/>
                <w:szCs w:val="18"/>
                <w:lang w:eastAsia="en-AU"/>
              </w:rPr>
            </w:pPr>
            <w:r w:rsidRPr="004D29AE">
              <w:rPr>
                <w:rFonts w:cs="Arial"/>
                <w:b/>
                <w:bCs/>
                <w:color w:val="FFFFFF"/>
                <w:szCs w:val="18"/>
                <w:lang w:eastAsia="en-AU"/>
              </w:rPr>
              <w:t>% change 2012 to 2015</w:t>
            </w:r>
          </w:p>
        </w:tc>
        <w:tc>
          <w:tcPr>
            <w:tcW w:w="1247" w:type="dxa"/>
            <w:tcBorders>
              <w:top w:val="nil"/>
              <w:left w:val="nil"/>
              <w:bottom w:val="nil"/>
              <w:right w:val="nil"/>
            </w:tcBorders>
            <w:shd w:val="clear" w:color="000000" w:fill="7F7F7F"/>
            <w:vAlign w:val="center"/>
            <w:hideMark/>
          </w:tcPr>
          <w:p w:rsidR="004D29AE" w:rsidRPr="004D29AE" w:rsidRDefault="004D29AE" w:rsidP="004D29AE">
            <w:pPr>
              <w:jc w:val="right"/>
              <w:rPr>
                <w:rFonts w:cs="Arial"/>
                <w:b/>
                <w:bCs/>
                <w:color w:val="FFFFFF"/>
                <w:szCs w:val="18"/>
                <w:lang w:eastAsia="en-AU"/>
              </w:rPr>
            </w:pPr>
            <w:r w:rsidRPr="004D29AE">
              <w:rPr>
                <w:rFonts w:cs="Arial"/>
                <w:b/>
                <w:bCs/>
                <w:color w:val="FFFFFF"/>
                <w:szCs w:val="18"/>
                <w:lang w:eastAsia="en-AU"/>
              </w:rPr>
              <w:t>% change 2013 to 2015</w:t>
            </w:r>
          </w:p>
        </w:tc>
        <w:tc>
          <w:tcPr>
            <w:tcW w:w="1248" w:type="dxa"/>
            <w:tcBorders>
              <w:top w:val="nil"/>
              <w:left w:val="nil"/>
              <w:bottom w:val="nil"/>
              <w:right w:val="nil"/>
            </w:tcBorders>
            <w:shd w:val="clear" w:color="000000" w:fill="7F7F7F"/>
            <w:vAlign w:val="center"/>
            <w:hideMark/>
          </w:tcPr>
          <w:p w:rsidR="004D29AE" w:rsidRPr="004D29AE" w:rsidRDefault="004D29AE" w:rsidP="004D29AE">
            <w:pPr>
              <w:jc w:val="right"/>
              <w:rPr>
                <w:rFonts w:cs="Arial"/>
                <w:b/>
                <w:bCs/>
                <w:color w:val="FFFFFF"/>
                <w:szCs w:val="18"/>
                <w:lang w:eastAsia="en-AU"/>
              </w:rPr>
            </w:pPr>
            <w:r w:rsidRPr="004D29AE">
              <w:rPr>
                <w:rFonts w:cs="Arial"/>
                <w:b/>
                <w:bCs/>
                <w:color w:val="FFFFFF"/>
                <w:szCs w:val="18"/>
                <w:lang w:eastAsia="en-AU"/>
              </w:rPr>
              <w:t>% change 2014 to 2015</w:t>
            </w:r>
          </w:p>
        </w:tc>
      </w:tr>
      <w:tr w:rsidR="004D29AE" w:rsidRPr="004D29AE" w:rsidTr="005A735D">
        <w:trPr>
          <w:trHeight w:val="300"/>
        </w:trPr>
        <w:tc>
          <w:tcPr>
            <w:tcW w:w="1858" w:type="dxa"/>
            <w:tcBorders>
              <w:top w:val="nil"/>
              <w:left w:val="nil"/>
              <w:bottom w:val="nil"/>
              <w:right w:val="nil"/>
            </w:tcBorders>
            <w:shd w:val="clear" w:color="auto" w:fill="auto"/>
            <w:noWrap/>
            <w:vAlign w:val="center"/>
            <w:hideMark/>
          </w:tcPr>
          <w:p w:rsidR="004D29AE" w:rsidRPr="004D29AE" w:rsidRDefault="004D29AE" w:rsidP="004D29AE">
            <w:pPr>
              <w:rPr>
                <w:rFonts w:cs="Arial"/>
                <w:color w:val="7F7F7F"/>
                <w:szCs w:val="18"/>
                <w:lang w:eastAsia="en-AU"/>
              </w:rPr>
            </w:pPr>
            <w:r w:rsidRPr="004D29AE">
              <w:rPr>
                <w:rFonts w:cs="Arial"/>
                <w:color w:val="7F7F7F"/>
                <w:szCs w:val="18"/>
                <w:lang w:eastAsia="en-AU"/>
              </w:rPr>
              <w:t>Female</w:t>
            </w:r>
          </w:p>
        </w:tc>
        <w:tc>
          <w:tcPr>
            <w:tcW w:w="1247" w:type="dxa"/>
            <w:tcBorders>
              <w:top w:val="nil"/>
              <w:left w:val="nil"/>
              <w:bottom w:val="nil"/>
              <w:right w:val="nil"/>
            </w:tcBorders>
            <w:shd w:val="clear" w:color="auto" w:fill="auto"/>
            <w:noWrap/>
            <w:vAlign w:val="center"/>
            <w:hideMark/>
          </w:tcPr>
          <w:p w:rsidR="004D29AE" w:rsidRPr="004D29AE" w:rsidRDefault="004D29AE" w:rsidP="004D29AE">
            <w:pPr>
              <w:jc w:val="right"/>
              <w:rPr>
                <w:rFonts w:cs="Arial"/>
                <w:color w:val="7F7F7F"/>
                <w:szCs w:val="18"/>
                <w:lang w:eastAsia="en-AU"/>
              </w:rPr>
            </w:pPr>
            <w:r w:rsidRPr="004D29AE">
              <w:rPr>
                <w:rFonts w:cs="Arial"/>
                <w:color w:val="7F7F7F"/>
                <w:szCs w:val="18"/>
                <w:lang w:eastAsia="en-AU"/>
              </w:rPr>
              <w:t>23%</w:t>
            </w:r>
          </w:p>
        </w:tc>
        <w:tc>
          <w:tcPr>
            <w:tcW w:w="1247" w:type="dxa"/>
            <w:tcBorders>
              <w:top w:val="nil"/>
              <w:left w:val="nil"/>
              <w:bottom w:val="nil"/>
              <w:right w:val="nil"/>
            </w:tcBorders>
            <w:shd w:val="clear" w:color="auto" w:fill="auto"/>
            <w:noWrap/>
            <w:vAlign w:val="center"/>
            <w:hideMark/>
          </w:tcPr>
          <w:p w:rsidR="004D29AE" w:rsidRPr="004D29AE" w:rsidRDefault="004D29AE" w:rsidP="004D29AE">
            <w:pPr>
              <w:jc w:val="right"/>
              <w:rPr>
                <w:rFonts w:cs="Arial"/>
                <w:color w:val="7F7F7F"/>
                <w:szCs w:val="18"/>
                <w:lang w:eastAsia="en-AU"/>
              </w:rPr>
            </w:pPr>
            <w:r w:rsidRPr="004D29AE">
              <w:rPr>
                <w:rFonts w:cs="Arial"/>
                <w:color w:val="7F7F7F"/>
                <w:szCs w:val="18"/>
                <w:lang w:eastAsia="en-AU"/>
              </w:rPr>
              <w:t>-1%</w:t>
            </w:r>
          </w:p>
        </w:tc>
        <w:tc>
          <w:tcPr>
            <w:tcW w:w="1248" w:type="dxa"/>
            <w:tcBorders>
              <w:top w:val="nil"/>
              <w:left w:val="nil"/>
              <w:bottom w:val="nil"/>
              <w:right w:val="nil"/>
            </w:tcBorders>
            <w:shd w:val="clear" w:color="auto" w:fill="auto"/>
            <w:noWrap/>
            <w:vAlign w:val="center"/>
            <w:hideMark/>
          </w:tcPr>
          <w:p w:rsidR="004D29AE" w:rsidRPr="004D29AE" w:rsidRDefault="004D29AE" w:rsidP="004D29AE">
            <w:pPr>
              <w:jc w:val="right"/>
              <w:rPr>
                <w:rFonts w:cs="Arial"/>
                <w:color w:val="7F7F7F"/>
                <w:szCs w:val="18"/>
                <w:lang w:eastAsia="en-AU"/>
              </w:rPr>
            </w:pPr>
            <w:r w:rsidRPr="004D29AE">
              <w:rPr>
                <w:rFonts w:cs="Arial"/>
                <w:color w:val="7F7F7F"/>
                <w:szCs w:val="18"/>
                <w:lang w:eastAsia="en-AU"/>
              </w:rPr>
              <w:t>-29%</w:t>
            </w:r>
          </w:p>
        </w:tc>
        <w:tc>
          <w:tcPr>
            <w:tcW w:w="1247" w:type="dxa"/>
            <w:tcBorders>
              <w:top w:val="nil"/>
              <w:left w:val="nil"/>
              <w:bottom w:val="nil"/>
              <w:right w:val="nil"/>
            </w:tcBorders>
            <w:shd w:val="clear" w:color="auto" w:fill="auto"/>
            <w:noWrap/>
            <w:vAlign w:val="center"/>
            <w:hideMark/>
          </w:tcPr>
          <w:p w:rsidR="004D29AE" w:rsidRPr="004D29AE" w:rsidRDefault="004D29AE" w:rsidP="004D29AE">
            <w:pPr>
              <w:jc w:val="right"/>
              <w:rPr>
                <w:rFonts w:cs="Arial"/>
                <w:color w:val="7F7F7F"/>
                <w:szCs w:val="18"/>
                <w:lang w:eastAsia="en-AU"/>
              </w:rPr>
            </w:pPr>
            <w:r w:rsidRPr="004D29AE">
              <w:rPr>
                <w:rFonts w:cs="Arial"/>
                <w:color w:val="7F7F7F"/>
                <w:szCs w:val="18"/>
                <w:lang w:eastAsia="en-AU"/>
              </w:rPr>
              <w:t>-14%</w:t>
            </w:r>
          </w:p>
        </w:tc>
        <w:tc>
          <w:tcPr>
            <w:tcW w:w="1248" w:type="dxa"/>
            <w:tcBorders>
              <w:top w:val="nil"/>
              <w:left w:val="nil"/>
              <w:bottom w:val="nil"/>
              <w:right w:val="nil"/>
            </w:tcBorders>
            <w:shd w:val="clear" w:color="auto" w:fill="auto"/>
            <w:noWrap/>
            <w:vAlign w:val="center"/>
            <w:hideMark/>
          </w:tcPr>
          <w:p w:rsidR="004D29AE" w:rsidRPr="004D29AE" w:rsidRDefault="004D29AE" w:rsidP="004D29AE">
            <w:pPr>
              <w:jc w:val="right"/>
              <w:rPr>
                <w:rFonts w:cs="Arial"/>
                <w:color w:val="7F7F7F"/>
                <w:szCs w:val="18"/>
                <w:lang w:eastAsia="en-AU"/>
              </w:rPr>
            </w:pPr>
            <w:r w:rsidRPr="004D29AE">
              <w:rPr>
                <w:rFonts w:cs="Arial"/>
                <w:color w:val="7F7F7F"/>
                <w:szCs w:val="18"/>
                <w:lang w:eastAsia="en-AU"/>
              </w:rPr>
              <w:t>-13%</w:t>
            </w:r>
          </w:p>
        </w:tc>
      </w:tr>
      <w:tr w:rsidR="004D29AE" w:rsidRPr="004D29AE" w:rsidTr="005A735D">
        <w:trPr>
          <w:trHeight w:val="300"/>
        </w:trPr>
        <w:tc>
          <w:tcPr>
            <w:tcW w:w="1858" w:type="dxa"/>
            <w:tcBorders>
              <w:top w:val="nil"/>
              <w:left w:val="nil"/>
              <w:bottom w:val="nil"/>
              <w:right w:val="nil"/>
            </w:tcBorders>
            <w:shd w:val="clear" w:color="auto" w:fill="auto"/>
            <w:noWrap/>
            <w:vAlign w:val="center"/>
            <w:hideMark/>
          </w:tcPr>
          <w:p w:rsidR="004D29AE" w:rsidRPr="004D29AE" w:rsidRDefault="004D29AE" w:rsidP="004D29AE">
            <w:pPr>
              <w:rPr>
                <w:rFonts w:cs="Arial"/>
                <w:color w:val="7F7F7F"/>
                <w:szCs w:val="18"/>
                <w:lang w:eastAsia="en-AU"/>
              </w:rPr>
            </w:pPr>
            <w:r w:rsidRPr="004D29AE">
              <w:rPr>
                <w:rFonts w:cs="Arial"/>
                <w:color w:val="7F7F7F"/>
                <w:szCs w:val="18"/>
                <w:lang w:eastAsia="en-AU"/>
              </w:rPr>
              <w:t>Male</w:t>
            </w:r>
          </w:p>
        </w:tc>
        <w:tc>
          <w:tcPr>
            <w:tcW w:w="1247" w:type="dxa"/>
            <w:tcBorders>
              <w:top w:val="nil"/>
              <w:left w:val="nil"/>
              <w:bottom w:val="nil"/>
              <w:right w:val="nil"/>
            </w:tcBorders>
            <w:shd w:val="clear" w:color="auto" w:fill="auto"/>
            <w:noWrap/>
            <w:vAlign w:val="center"/>
            <w:hideMark/>
          </w:tcPr>
          <w:p w:rsidR="004D29AE" w:rsidRPr="004D29AE" w:rsidRDefault="004D29AE" w:rsidP="004D29AE">
            <w:pPr>
              <w:jc w:val="right"/>
              <w:rPr>
                <w:rFonts w:cs="Arial"/>
                <w:color w:val="7F7F7F"/>
                <w:szCs w:val="18"/>
                <w:lang w:eastAsia="en-AU"/>
              </w:rPr>
            </w:pPr>
            <w:r w:rsidRPr="004D29AE">
              <w:rPr>
                <w:rFonts w:cs="Arial"/>
                <w:color w:val="7F7F7F"/>
                <w:szCs w:val="18"/>
                <w:lang w:eastAsia="en-AU"/>
              </w:rPr>
              <w:t>28%</w:t>
            </w:r>
          </w:p>
        </w:tc>
        <w:tc>
          <w:tcPr>
            <w:tcW w:w="1247" w:type="dxa"/>
            <w:tcBorders>
              <w:top w:val="nil"/>
              <w:left w:val="nil"/>
              <w:bottom w:val="nil"/>
              <w:right w:val="nil"/>
            </w:tcBorders>
            <w:shd w:val="clear" w:color="auto" w:fill="auto"/>
            <w:noWrap/>
            <w:vAlign w:val="center"/>
            <w:hideMark/>
          </w:tcPr>
          <w:p w:rsidR="004D29AE" w:rsidRPr="004D29AE" w:rsidRDefault="004D29AE" w:rsidP="004D29AE">
            <w:pPr>
              <w:jc w:val="right"/>
              <w:rPr>
                <w:rFonts w:cs="Arial"/>
                <w:color w:val="7F7F7F"/>
                <w:szCs w:val="18"/>
                <w:lang w:eastAsia="en-AU"/>
              </w:rPr>
            </w:pPr>
            <w:r w:rsidRPr="004D29AE">
              <w:rPr>
                <w:rFonts w:cs="Arial"/>
                <w:color w:val="7F7F7F"/>
                <w:szCs w:val="18"/>
                <w:lang w:eastAsia="en-AU"/>
              </w:rPr>
              <w:t>4%</w:t>
            </w:r>
          </w:p>
        </w:tc>
        <w:tc>
          <w:tcPr>
            <w:tcW w:w="1248" w:type="dxa"/>
            <w:tcBorders>
              <w:top w:val="nil"/>
              <w:left w:val="nil"/>
              <w:bottom w:val="nil"/>
              <w:right w:val="nil"/>
            </w:tcBorders>
            <w:shd w:val="clear" w:color="auto" w:fill="auto"/>
            <w:noWrap/>
            <w:vAlign w:val="center"/>
            <w:hideMark/>
          </w:tcPr>
          <w:p w:rsidR="004D29AE" w:rsidRPr="004D29AE" w:rsidRDefault="004D29AE" w:rsidP="004D29AE">
            <w:pPr>
              <w:jc w:val="right"/>
              <w:rPr>
                <w:rFonts w:cs="Arial"/>
                <w:color w:val="7F7F7F"/>
                <w:szCs w:val="18"/>
                <w:lang w:eastAsia="en-AU"/>
              </w:rPr>
            </w:pPr>
            <w:r w:rsidRPr="004D29AE">
              <w:rPr>
                <w:rFonts w:cs="Arial"/>
                <w:color w:val="7F7F7F"/>
                <w:szCs w:val="18"/>
                <w:lang w:eastAsia="en-AU"/>
              </w:rPr>
              <w:t>-18%</w:t>
            </w:r>
          </w:p>
        </w:tc>
        <w:tc>
          <w:tcPr>
            <w:tcW w:w="1247" w:type="dxa"/>
            <w:tcBorders>
              <w:top w:val="nil"/>
              <w:left w:val="nil"/>
              <w:bottom w:val="nil"/>
              <w:right w:val="nil"/>
            </w:tcBorders>
            <w:shd w:val="clear" w:color="auto" w:fill="auto"/>
            <w:noWrap/>
            <w:vAlign w:val="center"/>
            <w:hideMark/>
          </w:tcPr>
          <w:p w:rsidR="004D29AE" w:rsidRPr="004D29AE" w:rsidRDefault="004D29AE" w:rsidP="004D29AE">
            <w:pPr>
              <w:jc w:val="right"/>
              <w:rPr>
                <w:rFonts w:cs="Arial"/>
                <w:color w:val="7F7F7F"/>
                <w:szCs w:val="18"/>
                <w:lang w:eastAsia="en-AU"/>
              </w:rPr>
            </w:pPr>
            <w:r w:rsidRPr="004D29AE">
              <w:rPr>
                <w:rFonts w:cs="Arial"/>
                <w:color w:val="7F7F7F"/>
                <w:szCs w:val="18"/>
                <w:lang w:eastAsia="en-AU"/>
              </w:rPr>
              <w:t>-8%</w:t>
            </w:r>
          </w:p>
        </w:tc>
        <w:tc>
          <w:tcPr>
            <w:tcW w:w="1248" w:type="dxa"/>
            <w:tcBorders>
              <w:top w:val="nil"/>
              <w:left w:val="nil"/>
              <w:bottom w:val="nil"/>
              <w:right w:val="nil"/>
            </w:tcBorders>
            <w:shd w:val="clear" w:color="auto" w:fill="auto"/>
            <w:noWrap/>
            <w:vAlign w:val="center"/>
            <w:hideMark/>
          </w:tcPr>
          <w:p w:rsidR="004D29AE" w:rsidRPr="004D29AE" w:rsidRDefault="004D29AE" w:rsidP="004D29AE">
            <w:pPr>
              <w:jc w:val="right"/>
              <w:rPr>
                <w:rFonts w:cs="Arial"/>
                <w:color w:val="7F7F7F"/>
                <w:szCs w:val="18"/>
                <w:lang w:eastAsia="en-AU"/>
              </w:rPr>
            </w:pPr>
            <w:r w:rsidRPr="004D29AE">
              <w:rPr>
                <w:rFonts w:cs="Arial"/>
                <w:color w:val="7F7F7F"/>
                <w:szCs w:val="18"/>
                <w:lang w:eastAsia="en-AU"/>
              </w:rPr>
              <w:t>-11%</w:t>
            </w:r>
          </w:p>
        </w:tc>
      </w:tr>
      <w:tr w:rsidR="004D29AE" w:rsidRPr="004D29AE" w:rsidTr="005A735D">
        <w:trPr>
          <w:trHeight w:val="300"/>
        </w:trPr>
        <w:tc>
          <w:tcPr>
            <w:tcW w:w="1858" w:type="dxa"/>
            <w:tcBorders>
              <w:top w:val="nil"/>
              <w:left w:val="nil"/>
              <w:bottom w:val="nil"/>
              <w:right w:val="nil"/>
            </w:tcBorders>
            <w:shd w:val="clear" w:color="auto" w:fill="auto"/>
            <w:noWrap/>
            <w:vAlign w:val="center"/>
            <w:hideMark/>
          </w:tcPr>
          <w:p w:rsidR="004D29AE" w:rsidRPr="004D29AE" w:rsidRDefault="004D29AE" w:rsidP="004D29AE">
            <w:pPr>
              <w:rPr>
                <w:rFonts w:cs="Arial"/>
                <w:color w:val="7F7F7F"/>
                <w:szCs w:val="18"/>
                <w:lang w:eastAsia="en-AU"/>
              </w:rPr>
            </w:pPr>
            <w:r w:rsidRPr="004D29AE">
              <w:rPr>
                <w:rFonts w:cs="Arial"/>
                <w:color w:val="7F7F7F"/>
                <w:szCs w:val="18"/>
                <w:lang w:eastAsia="en-AU"/>
              </w:rPr>
              <w:t>Not stated</w:t>
            </w:r>
          </w:p>
        </w:tc>
        <w:tc>
          <w:tcPr>
            <w:tcW w:w="1247" w:type="dxa"/>
            <w:tcBorders>
              <w:top w:val="nil"/>
              <w:left w:val="nil"/>
              <w:bottom w:val="nil"/>
              <w:right w:val="nil"/>
            </w:tcBorders>
            <w:shd w:val="clear" w:color="auto" w:fill="auto"/>
            <w:noWrap/>
            <w:vAlign w:val="center"/>
            <w:hideMark/>
          </w:tcPr>
          <w:p w:rsidR="004D29AE" w:rsidRPr="004D29AE" w:rsidRDefault="004D29AE" w:rsidP="004D29AE">
            <w:pPr>
              <w:jc w:val="right"/>
              <w:rPr>
                <w:rFonts w:cs="Arial"/>
                <w:color w:val="7F7F7F"/>
                <w:szCs w:val="18"/>
                <w:lang w:eastAsia="en-AU"/>
              </w:rPr>
            </w:pPr>
            <w:r w:rsidRPr="004D29AE">
              <w:rPr>
                <w:rFonts w:cs="Arial"/>
                <w:color w:val="7F7F7F"/>
                <w:szCs w:val="18"/>
                <w:lang w:eastAsia="en-AU"/>
              </w:rPr>
              <w:t>-37%</w:t>
            </w:r>
          </w:p>
        </w:tc>
        <w:tc>
          <w:tcPr>
            <w:tcW w:w="1247" w:type="dxa"/>
            <w:tcBorders>
              <w:top w:val="nil"/>
              <w:left w:val="nil"/>
              <w:bottom w:val="nil"/>
              <w:right w:val="nil"/>
            </w:tcBorders>
            <w:shd w:val="clear" w:color="auto" w:fill="auto"/>
            <w:noWrap/>
            <w:vAlign w:val="center"/>
            <w:hideMark/>
          </w:tcPr>
          <w:p w:rsidR="004D29AE" w:rsidRPr="004D29AE" w:rsidRDefault="004D29AE" w:rsidP="004D29AE">
            <w:pPr>
              <w:jc w:val="right"/>
              <w:rPr>
                <w:rFonts w:cs="Arial"/>
                <w:color w:val="7F7F7F"/>
                <w:szCs w:val="18"/>
                <w:lang w:eastAsia="en-AU"/>
              </w:rPr>
            </w:pPr>
            <w:r w:rsidRPr="004D29AE">
              <w:rPr>
                <w:rFonts w:cs="Arial"/>
                <w:color w:val="7F7F7F"/>
                <w:szCs w:val="18"/>
                <w:lang w:eastAsia="en-AU"/>
              </w:rPr>
              <w:t>-7%</w:t>
            </w:r>
          </w:p>
        </w:tc>
        <w:tc>
          <w:tcPr>
            <w:tcW w:w="1248" w:type="dxa"/>
            <w:tcBorders>
              <w:top w:val="nil"/>
              <w:left w:val="nil"/>
              <w:bottom w:val="nil"/>
              <w:right w:val="nil"/>
            </w:tcBorders>
            <w:shd w:val="clear" w:color="auto" w:fill="auto"/>
            <w:noWrap/>
            <w:vAlign w:val="center"/>
            <w:hideMark/>
          </w:tcPr>
          <w:p w:rsidR="004D29AE" w:rsidRPr="004D29AE" w:rsidRDefault="004D29AE" w:rsidP="004D29AE">
            <w:pPr>
              <w:jc w:val="right"/>
              <w:rPr>
                <w:rFonts w:cs="Arial"/>
                <w:color w:val="7F7F7F"/>
                <w:szCs w:val="18"/>
                <w:lang w:eastAsia="en-AU"/>
              </w:rPr>
            </w:pPr>
            <w:r w:rsidRPr="004D29AE">
              <w:rPr>
                <w:rFonts w:cs="Arial"/>
                <w:color w:val="7F7F7F"/>
                <w:szCs w:val="18"/>
                <w:lang w:eastAsia="en-AU"/>
              </w:rPr>
              <w:t>23%</w:t>
            </w:r>
          </w:p>
        </w:tc>
        <w:tc>
          <w:tcPr>
            <w:tcW w:w="1247" w:type="dxa"/>
            <w:tcBorders>
              <w:top w:val="nil"/>
              <w:left w:val="nil"/>
              <w:bottom w:val="nil"/>
              <w:right w:val="nil"/>
            </w:tcBorders>
            <w:shd w:val="clear" w:color="auto" w:fill="auto"/>
            <w:noWrap/>
            <w:vAlign w:val="center"/>
            <w:hideMark/>
          </w:tcPr>
          <w:p w:rsidR="004D29AE" w:rsidRPr="004D29AE" w:rsidRDefault="004D29AE" w:rsidP="004D29AE">
            <w:pPr>
              <w:jc w:val="right"/>
              <w:rPr>
                <w:rFonts w:cs="Arial"/>
                <w:color w:val="7F7F7F"/>
                <w:szCs w:val="18"/>
                <w:lang w:eastAsia="en-AU"/>
              </w:rPr>
            </w:pPr>
            <w:r w:rsidRPr="004D29AE">
              <w:rPr>
                <w:rFonts w:cs="Arial"/>
                <w:color w:val="7F7F7F"/>
                <w:szCs w:val="18"/>
                <w:lang w:eastAsia="en-AU"/>
              </w:rPr>
              <w:t>133%</w:t>
            </w:r>
          </w:p>
        </w:tc>
        <w:tc>
          <w:tcPr>
            <w:tcW w:w="1248" w:type="dxa"/>
            <w:tcBorders>
              <w:top w:val="nil"/>
              <w:left w:val="nil"/>
              <w:bottom w:val="nil"/>
              <w:right w:val="nil"/>
            </w:tcBorders>
            <w:shd w:val="clear" w:color="auto" w:fill="auto"/>
            <w:noWrap/>
            <w:vAlign w:val="center"/>
            <w:hideMark/>
          </w:tcPr>
          <w:p w:rsidR="004D29AE" w:rsidRPr="004D29AE" w:rsidRDefault="004D29AE" w:rsidP="004D29AE">
            <w:pPr>
              <w:jc w:val="right"/>
              <w:rPr>
                <w:rFonts w:cs="Arial"/>
                <w:color w:val="7F7F7F"/>
                <w:szCs w:val="18"/>
                <w:lang w:eastAsia="en-AU"/>
              </w:rPr>
            </w:pPr>
            <w:r w:rsidRPr="004D29AE">
              <w:rPr>
                <w:rFonts w:cs="Arial"/>
                <w:color w:val="7F7F7F"/>
                <w:szCs w:val="18"/>
                <w:lang w:eastAsia="en-AU"/>
              </w:rPr>
              <w:t>48%</w:t>
            </w:r>
          </w:p>
        </w:tc>
      </w:tr>
      <w:tr w:rsidR="004D29AE" w:rsidRPr="004D29AE" w:rsidTr="005A735D">
        <w:trPr>
          <w:trHeight w:val="300"/>
        </w:trPr>
        <w:tc>
          <w:tcPr>
            <w:tcW w:w="1858" w:type="dxa"/>
            <w:tcBorders>
              <w:top w:val="nil"/>
              <w:left w:val="nil"/>
              <w:bottom w:val="nil"/>
              <w:right w:val="nil"/>
            </w:tcBorders>
            <w:shd w:val="clear" w:color="000000" w:fill="7F7F7F"/>
            <w:noWrap/>
            <w:vAlign w:val="center"/>
            <w:hideMark/>
          </w:tcPr>
          <w:p w:rsidR="004D29AE" w:rsidRPr="004D29AE" w:rsidRDefault="004D29AE" w:rsidP="004D29AE">
            <w:pPr>
              <w:rPr>
                <w:rFonts w:cs="Arial"/>
                <w:b/>
                <w:bCs/>
                <w:color w:val="FFFFFF"/>
                <w:szCs w:val="18"/>
                <w:lang w:eastAsia="en-AU"/>
              </w:rPr>
            </w:pPr>
            <w:r w:rsidRPr="004D29AE">
              <w:rPr>
                <w:rFonts w:cs="Arial"/>
                <w:b/>
                <w:bCs/>
                <w:color w:val="FFFFFF"/>
                <w:szCs w:val="18"/>
                <w:lang w:eastAsia="en-AU"/>
              </w:rPr>
              <w:t>Total</w:t>
            </w:r>
          </w:p>
        </w:tc>
        <w:tc>
          <w:tcPr>
            <w:tcW w:w="1247" w:type="dxa"/>
            <w:tcBorders>
              <w:top w:val="nil"/>
              <w:left w:val="nil"/>
              <w:bottom w:val="nil"/>
              <w:right w:val="nil"/>
            </w:tcBorders>
            <w:shd w:val="clear" w:color="000000" w:fill="7F7F7F"/>
            <w:noWrap/>
            <w:vAlign w:val="center"/>
            <w:hideMark/>
          </w:tcPr>
          <w:p w:rsidR="004D29AE" w:rsidRPr="004D29AE" w:rsidRDefault="004D29AE" w:rsidP="004D29AE">
            <w:pPr>
              <w:jc w:val="right"/>
              <w:rPr>
                <w:rFonts w:cs="Arial"/>
                <w:b/>
                <w:bCs/>
                <w:color w:val="FFFFFF"/>
                <w:szCs w:val="18"/>
                <w:lang w:eastAsia="en-AU"/>
              </w:rPr>
            </w:pPr>
            <w:r w:rsidRPr="004D29AE">
              <w:rPr>
                <w:rFonts w:cs="Arial"/>
                <w:b/>
                <w:bCs/>
                <w:color w:val="FFFFFF"/>
                <w:szCs w:val="18"/>
                <w:lang w:eastAsia="en-AU"/>
              </w:rPr>
              <w:t>25%</w:t>
            </w:r>
          </w:p>
        </w:tc>
        <w:tc>
          <w:tcPr>
            <w:tcW w:w="1247" w:type="dxa"/>
            <w:tcBorders>
              <w:top w:val="nil"/>
              <w:left w:val="nil"/>
              <w:bottom w:val="nil"/>
              <w:right w:val="nil"/>
            </w:tcBorders>
            <w:shd w:val="clear" w:color="000000" w:fill="7F7F7F"/>
            <w:noWrap/>
            <w:vAlign w:val="center"/>
            <w:hideMark/>
          </w:tcPr>
          <w:p w:rsidR="004D29AE" w:rsidRPr="004D29AE" w:rsidRDefault="004D29AE" w:rsidP="004D29AE">
            <w:pPr>
              <w:jc w:val="right"/>
              <w:rPr>
                <w:rFonts w:cs="Arial"/>
                <w:b/>
                <w:bCs/>
                <w:color w:val="FFFFFF"/>
                <w:szCs w:val="18"/>
                <w:lang w:eastAsia="en-AU"/>
              </w:rPr>
            </w:pPr>
            <w:r w:rsidRPr="004D29AE">
              <w:rPr>
                <w:rFonts w:cs="Arial"/>
                <w:b/>
                <w:bCs/>
                <w:color w:val="FFFFFF"/>
                <w:szCs w:val="18"/>
                <w:lang w:eastAsia="en-AU"/>
              </w:rPr>
              <w:t>2%</w:t>
            </w:r>
          </w:p>
        </w:tc>
        <w:tc>
          <w:tcPr>
            <w:tcW w:w="1248" w:type="dxa"/>
            <w:tcBorders>
              <w:top w:val="nil"/>
              <w:left w:val="nil"/>
              <w:bottom w:val="nil"/>
              <w:right w:val="nil"/>
            </w:tcBorders>
            <w:shd w:val="clear" w:color="000000" w:fill="7F7F7F"/>
            <w:noWrap/>
            <w:vAlign w:val="center"/>
            <w:hideMark/>
          </w:tcPr>
          <w:p w:rsidR="004D29AE" w:rsidRPr="004D29AE" w:rsidRDefault="004D29AE" w:rsidP="004D29AE">
            <w:pPr>
              <w:jc w:val="right"/>
              <w:rPr>
                <w:rFonts w:cs="Arial"/>
                <w:b/>
                <w:bCs/>
                <w:color w:val="FFFFFF"/>
                <w:szCs w:val="18"/>
                <w:lang w:eastAsia="en-AU"/>
              </w:rPr>
            </w:pPr>
            <w:r w:rsidRPr="004D29AE">
              <w:rPr>
                <w:rFonts w:cs="Arial"/>
                <w:b/>
                <w:bCs/>
                <w:color w:val="FFFFFF"/>
                <w:szCs w:val="18"/>
                <w:lang w:eastAsia="en-AU"/>
              </w:rPr>
              <w:t>-24%</w:t>
            </w:r>
          </w:p>
        </w:tc>
        <w:tc>
          <w:tcPr>
            <w:tcW w:w="1247" w:type="dxa"/>
            <w:tcBorders>
              <w:top w:val="nil"/>
              <w:left w:val="nil"/>
              <w:bottom w:val="nil"/>
              <w:right w:val="nil"/>
            </w:tcBorders>
            <w:shd w:val="clear" w:color="000000" w:fill="7F7F7F"/>
            <w:noWrap/>
            <w:vAlign w:val="center"/>
            <w:hideMark/>
          </w:tcPr>
          <w:p w:rsidR="004D29AE" w:rsidRPr="004D29AE" w:rsidRDefault="004D29AE" w:rsidP="004D29AE">
            <w:pPr>
              <w:jc w:val="right"/>
              <w:rPr>
                <w:rFonts w:cs="Arial"/>
                <w:b/>
                <w:bCs/>
                <w:color w:val="FFFFFF"/>
                <w:szCs w:val="18"/>
                <w:lang w:eastAsia="en-AU"/>
              </w:rPr>
            </w:pPr>
            <w:r w:rsidRPr="004D29AE">
              <w:rPr>
                <w:rFonts w:cs="Arial"/>
                <w:b/>
                <w:bCs/>
                <w:color w:val="FFFFFF"/>
                <w:szCs w:val="18"/>
                <w:lang w:eastAsia="en-AU"/>
              </w:rPr>
              <w:t>-11%</w:t>
            </w:r>
          </w:p>
        </w:tc>
        <w:tc>
          <w:tcPr>
            <w:tcW w:w="1248" w:type="dxa"/>
            <w:tcBorders>
              <w:top w:val="nil"/>
              <w:left w:val="nil"/>
              <w:bottom w:val="nil"/>
              <w:right w:val="nil"/>
            </w:tcBorders>
            <w:shd w:val="clear" w:color="000000" w:fill="7F7F7F"/>
            <w:noWrap/>
            <w:vAlign w:val="center"/>
            <w:hideMark/>
          </w:tcPr>
          <w:p w:rsidR="004D29AE" w:rsidRPr="004D29AE" w:rsidRDefault="004D29AE" w:rsidP="004D29AE">
            <w:pPr>
              <w:jc w:val="right"/>
              <w:rPr>
                <w:rFonts w:cs="Arial"/>
                <w:b/>
                <w:bCs/>
                <w:color w:val="FFFFFF"/>
                <w:szCs w:val="18"/>
                <w:lang w:eastAsia="en-AU"/>
              </w:rPr>
            </w:pPr>
            <w:r w:rsidRPr="004D29AE">
              <w:rPr>
                <w:rFonts w:cs="Arial"/>
                <w:b/>
                <w:bCs/>
                <w:color w:val="FFFFFF"/>
                <w:szCs w:val="18"/>
                <w:lang w:eastAsia="en-AU"/>
              </w:rPr>
              <w:t>-12%</w:t>
            </w:r>
          </w:p>
        </w:tc>
      </w:tr>
    </w:tbl>
    <w:p w:rsidR="00E4188E" w:rsidRDefault="00E4188E" w:rsidP="003734BF"/>
    <w:p w:rsidR="001D446D" w:rsidRPr="00365EB2" w:rsidRDefault="001D446D" w:rsidP="003734BF"/>
    <w:p w:rsidR="00E4188E" w:rsidRPr="00365EB2" w:rsidRDefault="00E4188E">
      <w:r w:rsidRPr="00365EB2">
        <w:br w:type="page"/>
      </w:r>
    </w:p>
    <w:p w:rsidR="00B03482" w:rsidRPr="009925A0" w:rsidRDefault="00E423AC" w:rsidP="009925A0">
      <w:pPr>
        <w:pStyle w:val="Heading2"/>
        <w:rPr>
          <w:color w:val="B41F22" w:themeColor="accent1"/>
        </w:rPr>
      </w:pPr>
      <w:bookmarkStart w:id="11" w:name="_Toc432758321"/>
      <w:r w:rsidRPr="004D29AE">
        <w:rPr>
          <w:color w:val="B41F22" w:themeColor="accent1"/>
        </w:rPr>
        <w:lastRenderedPageBreak/>
        <w:t>Government Subsidised Activity</w:t>
      </w:r>
      <w:r>
        <w:rPr>
          <w:color w:val="B41F22" w:themeColor="accent1"/>
        </w:rPr>
        <w:t xml:space="preserve"> by</w:t>
      </w:r>
      <w:r w:rsidRPr="004D29AE">
        <w:rPr>
          <w:color w:val="B41F22" w:themeColor="accent1"/>
        </w:rPr>
        <w:t xml:space="preserve"> </w:t>
      </w:r>
      <w:r w:rsidR="00B03482" w:rsidRPr="009925A0">
        <w:rPr>
          <w:color w:val="B41F22" w:themeColor="accent1"/>
        </w:rPr>
        <w:t>Delivery Region</w:t>
      </w:r>
      <w:bookmarkEnd w:id="11"/>
    </w:p>
    <w:p w:rsidR="009925A0" w:rsidRDefault="00B03482" w:rsidP="009925A0">
      <w:pPr>
        <w:spacing w:after="120"/>
        <w:rPr>
          <w:color w:val="7F7F7F" w:themeColor="text2"/>
        </w:rPr>
      </w:pPr>
      <w:r w:rsidRPr="002F6569">
        <w:rPr>
          <w:color w:val="7F7F7F" w:themeColor="text2"/>
        </w:rPr>
        <w:t xml:space="preserve">This section focuses on the delivery of </w:t>
      </w:r>
      <w:proofErr w:type="gramStart"/>
      <w:r w:rsidRPr="002F6569">
        <w:rPr>
          <w:color w:val="7F7F7F" w:themeColor="text2"/>
        </w:rPr>
        <w:t>government subsidised</w:t>
      </w:r>
      <w:proofErr w:type="gramEnd"/>
      <w:r w:rsidRPr="002F6569">
        <w:rPr>
          <w:color w:val="7F7F7F" w:themeColor="text2"/>
        </w:rPr>
        <w:t xml:space="preserve"> training by location</w:t>
      </w:r>
      <w:r w:rsidR="00B166FA">
        <w:rPr>
          <w:color w:val="7F7F7F" w:themeColor="text2"/>
        </w:rPr>
        <w:t>,</w:t>
      </w:r>
      <w:r w:rsidRPr="002F6569">
        <w:rPr>
          <w:color w:val="7F7F7F" w:themeColor="text2"/>
        </w:rPr>
        <w:t xml:space="preserve"> as defined by </w:t>
      </w:r>
      <w:r w:rsidR="005A735D" w:rsidRPr="002F6569">
        <w:rPr>
          <w:color w:val="7F7F7F" w:themeColor="text2"/>
        </w:rPr>
        <w:t>four Departmental administrati</w:t>
      </w:r>
      <w:r w:rsidR="00FE3450" w:rsidRPr="002F6569">
        <w:rPr>
          <w:color w:val="7F7F7F" w:themeColor="text2"/>
        </w:rPr>
        <w:t>ve</w:t>
      </w:r>
      <w:r w:rsidR="005A735D" w:rsidRPr="002F6569">
        <w:rPr>
          <w:color w:val="7F7F7F" w:themeColor="text2"/>
        </w:rPr>
        <w:t xml:space="preserve"> regions and nine regional areas</w:t>
      </w:r>
      <w:r w:rsidR="00B166FA">
        <w:rPr>
          <w:color w:val="7F7F7F" w:themeColor="text2"/>
        </w:rPr>
        <w:t>,</w:t>
      </w:r>
      <w:r w:rsidR="009925A0" w:rsidRPr="002F6569">
        <w:rPr>
          <w:color w:val="7F7F7F" w:themeColor="text2"/>
        </w:rPr>
        <w:t xml:space="preserve"> to provide a greater level of detail on training delivery.</w:t>
      </w:r>
      <w:r w:rsidR="009925A0">
        <w:rPr>
          <w:color w:val="7F7F7F" w:themeColor="text2"/>
        </w:rPr>
        <w:t xml:space="preserve"> </w:t>
      </w:r>
    </w:p>
    <w:p w:rsidR="009925A0" w:rsidRPr="002F6569" w:rsidRDefault="009925A0" w:rsidP="009925A0">
      <w:pPr>
        <w:spacing w:after="120"/>
        <w:rPr>
          <w:color w:val="7F7F7F" w:themeColor="text2"/>
        </w:rPr>
      </w:pPr>
      <w:r>
        <w:rPr>
          <w:color w:val="7F7F7F" w:themeColor="text2"/>
        </w:rPr>
        <w:t xml:space="preserve">As students </w:t>
      </w:r>
      <w:proofErr w:type="gramStart"/>
      <w:r>
        <w:rPr>
          <w:color w:val="7F7F7F" w:themeColor="text2"/>
        </w:rPr>
        <w:t xml:space="preserve">may </w:t>
      </w:r>
      <w:r w:rsidR="00E423AC">
        <w:rPr>
          <w:color w:val="7F7F7F" w:themeColor="text2"/>
        </w:rPr>
        <w:t>be enrolled</w:t>
      </w:r>
      <w:proofErr w:type="gramEnd"/>
      <w:r>
        <w:rPr>
          <w:color w:val="7F7F7F" w:themeColor="text2"/>
        </w:rPr>
        <w:t xml:space="preserve"> with training providers outside their local area</w:t>
      </w:r>
      <w:r w:rsidR="00B166FA">
        <w:rPr>
          <w:color w:val="7F7F7F" w:themeColor="text2"/>
        </w:rPr>
        <w:t>,</w:t>
      </w:r>
      <w:r>
        <w:rPr>
          <w:color w:val="7F7F7F" w:themeColor="text2"/>
        </w:rPr>
        <w:t xml:space="preserve"> it is important not to conflate</w:t>
      </w:r>
      <w:r w:rsidR="00E423AC">
        <w:rPr>
          <w:color w:val="7F7F7F" w:themeColor="text2"/>
        </w:rPr>
        <w:t xml:space="preserve"> training delivery at the regional level with regional participation.</w:t>
      </w:r>
    </w:p>
    <w:p w:rsidR="00B03482" w:rsidRPr="002F6569" w:rsidRDefault="00B03482" w:rsidP="009D0570">
      <w:pPr>
        <w:spacing w:after="120"/>
        <w:rPr>
          <w:color w:val="7F7F7F" w:themeColor="text2"/>
        </w:rPr>
      </w:pPr>
    </w:p>
    <w:p w:rsidR="00B03482" w:rsidRPr="002F6569" w:rsidRDefault="00B03482" w:rsidP="00F30638">
      <w:pPr>
        <w:pStyle w:val="Quote"/>
        <w:pBdr>
          <w:top w:val="single" w:sz="4" w:space="1" w:color="7F7F7F" w:themeColor="text2"/>
          <w:left w:val="single" w:sz="4" w:space="4" w:color="7F7F7F" w:themeColor="text2"/>
          <w:bottom w:val="single" w:sz="4" w:space="1" w:color="7F7F7F" w:themeColor="text2"/>
          <w:right w:val="single" w:sz="4" w:space="4" w:color="7F7F7F" w:themeColor="text2"/>
        </w:pBdr>
        <w:spacing w:before="120" w:after="120"/>
      </w:pPr>
      <w:r w:rsidRPr="002F6569">
        <w:t>Key points</w:t>
      </w:r>
    </w:p>
    <w:p w:rsidR="00B03482" w:rsidRPr="002F6569" w:rsidRDefault="00B671B7" w:rsidP="00F30638">
      <w:pPr>
        <w:pStyle w:val="ListParagraph"/>
        <w:numPr>
          <w:ilvl w:val="0"/>
          <w:numId w:val="18"/>
        </w:numPr>
        <w:pBdr>
          <w:top w:val="single" w:sz="4" w:space="1" w:color="7F7F7F" w:themeColor="text2"/>
          <w:left w:val="single" w:sz="4" w:space="4" w:color="7F7F7F" w:themeColor="text2"/>
          <w:bottom w:val="single" w:sz="4" w:space="1" w:color="7F7F7F" w:themeColor="text2"/>
          <w:right w:val="single" w:sz="4" w:space="4" w:color="7F7F7F" w:themeColor="text2"/>
        </w:pBdr>
        <w:spacing w:before="120" w:after="120"/>
        <w:ind w:left="426" w:hanging="426"/>
        <w:contextualSpacing w:val="0"/>
        <w:rPr>
          <w:color w:val="7F7F7F" w:themeColor="text2"/>
        </w:rPr>
      </w:pPr>
      <w:r w:rsidRPr="002F6569">
        <w:rPr>
          <w:color w:val="7F7F7F" w:themeColor="text2"/>
        </w:rPr>
        <w:t>All regions showed a</w:t>
      </w:r>
      <w:r w:rsidR="00E550D9" w:rsidRPr="002F6569">
        <w:rPr>
          <w:color w:val="7F7F7F" w:themeColor="text2"/>
        </w:rPr>
        <w:t xml:space="preserve"> decline in</w:t>
      </w:r>
      <w:r w:rsidRPr="002F6569">
        <w:rPr>
          <w:color w:val="7F7F7F" w:themeColor="text2"/>
        </w:rPr>
        <w:t xml:space="preserve"> the number of government subsidised </w:t>
      </w:r>
      <w:r w:rsidR="00D14287" w:rsidRPr="002F6569">
        <w:rPr>
          <w:color w:val="7F7F7F" w:themeColor="text2"/>
        </w:rPr>
        <w:t>e</w:t>
      </w:r>
      <w:r w:rsidRPr="002F6569">
        <w:rPr>
          <w:color w:val="7F7F7F" w:themeColor="text2"/>
        </w:rPr>
        <w:t xml:space="preserve">nrolments </w:t>
      </w:r>
      <w:r w:rsidR="00D14287" w:rsidRPr="002F6569">
        <w:rPr>
          <w:color w:val="7F7F7F" w:themeColor="text2"/>
        </w:rPr>
        <w:t>in accredited training between 2014 and 2015 (half year)</w:t>
      </w:r>
      <w:r w:rsidRPr="002F6569">
        <w:rPr>
          <w:color w:val="7F7F7F" w:themeColor="text2"/>
        </w:rPr>
        <w:t>.</w:t>
      </w:r>
    </w:p>
    <w:p w:rsidR="00B671B7" w:rsidRPr="002F6569" w:rsidRDefault="00D14287" w:rsidP="00F30638">
      <w:pPr>
        <w:pStyle w:val="ListParagraph"/>
        <w:numPr>
          <w:ilvl w:val="0"/>
          <w:numId w:val="18"/>
        </w:numPr>
        <w:pBdr>
          <w:top w:val="single" w:sz="4" w:space="1" w:color="7F7F7F" w:themeColor="text2"/>
          <w:left w:val="single" w:sz="4" w:space="4" w:color="7F7F7F" w:themeColor="text2"/>
          <w:bottom w:val="single" w:sz="4" w:space="1" w:color="7F7F7F" w:themeColor="text2"/>
          <w:right w:val="single" w:sz="4" w:space="4" w:color="7F7F7F" w:themeColor="text2"/>
        </w:pBdr>
        <w:spacing w:before="120" w:after="120"/>
        <w:ind w:left="426" w:hanging="426"/>
        <w:contextualSpacing w:val="0"/>
        <w:rPr>
          <w:color w:val="7F7F7F" w:themeColor="text2"/>
        </w:rPr>
      </w:pPr>
      <w:r w:rsidRPr="002F6569">
        <w:rPr>
          <w:color w:val="7F7F7F" w:themeColor="text2"/>
        </w:rPr>
        <w:t xml:space="preserve">Of the four </w:t>
      </w:r>
      <w:r w:rsidR="005A735D" w:rsidRPr="002F6569">
        <w:rPr>
          <w:color w:val="7F7F7F" w:themeColor="text2"/>
        </w:rPr>
        <w:t>Departmental administrati</w:t>
      </w:r>
      <w:r w:rsidR="00FE3450" w:rsidRPr="002F6569">
        <w:rPr>
          <w:color w:val="7F7F7F" w:themeColor="text2"/>
        </w:rPr>
        <w:t>ve</w:t>
      </w:r>
      <w:r w:rsidR="005A735D" w:rsidRPr="002F6569">
        <w:rPr>
          <w:color w:val="7F7F7F" w:themeColor="text2"/>
        </w:rPr>
        <w:t xml:space="preserve"> regions</w:t>
      </w:r>
      <w:r w:rsidRPr="002F6569">
        <w:rPr>
          <w:color w:val="7F7F7F" w:themeColor="text2"/>
        </w:rPr>
        <w:t xml:space="preserve">, the North-Eastern region </w:t>
      </w:r>
      <w:r w:rsidR="00B671B7" w:rsidRPr="002F6569">
        <w:rPr>
          <w:color w:val="7F7F7F" w:themeColor="text2"/>
        </w:rPr>
        <w:t xml:space="preserve">had the largest </w:t>
      </w:r>
      <w:r w:rsidR="004F1CDB">
        <w:rPr>
          <w:color w:val="7F7F7F" w:themeColor="text2"/>
        </w:rPr>
        <w:t xml:space="preserve">percentage </w:t>
      </w:r>
      <w:r w:rsidR="00B671B7" w:rsidRPr="002F6569">
        <w:rPr>
          <w:color w:val="7F7F7F" w:themeColor="text2"/>
        </w:rPr>
        <w:t xml:space="preserve">decrease </w:t>
      </w:r>
      <w:r w:rsidR="004F1CDB">
        <w:rPr>
          <w:color w:val="7F7F7F" w:themeColor="text2"/>
        </w:rPr>
        <w:t xml:space="preserve">of enrolments </w:t>
      </w:r>
      <w:r w:rsidR="00B671B7" w:rsidRPr="002F6569">
        <w:rPr>
          <w:color w:val="7F7F7F" w:themeColor="text2"/>
        </w:rPr>
        <w:t>between 201</w:t>
      </w:r>
      <w:r w:rsidRPr="002F6569">
        <w:rPr>
          <w:color w:val="7F7F7F" w:themeColor="text2"/>
        </w:rPr>
        <w:t>4</w:t>
      </w:r>
      <w:r w:rsidR="00B671B7" w:rsidRPr="002F6569">
        <w:rPr>
          <w:color w:val="7F7F7F" w:themeColor="text2"/>
        </w:rPr>
        <w:t xml:space="preserve"> and 201</w:t>
      </w:r>
      <w:r w:rsidRPr="002F6569">
        <w:rPr>
          <w:color w:val="7F7F7F" w:themeColor="text2"/>
        </w:rPr>
        <w:t>5 (half year)</w:t>
      </w:r>
      <w:r w:rsidR="00B671B7" w:rsidRPr="002F6569">
        <w:rPr>
          <w:color w:val="7F7F7F" w:themeColor="text2"/>
        </w:rPr>
        <w:t xml:space="preserve"> </w:t>
      </w:r>
      <w:r w:rsidR="001B28DB" w:rsidRPr="002F6569">
        <w:rPr>
          <w:color w:val="7F7F7F" w:themeColor="text2"/>
        </w:rPr>
        <w:t xml:space="preserve">of </w:t>
      </w:r>
      <w:r w:rsidRPr="002F6569">
        <w:rPr>
          <w:color w:val="7F7F7F" w:themeColor="text2"/>
        </w:rPr>
        <w:t>22</w:t>
      </w:r>
      <w:r w:rsidR="001B28DB" w:rsidRPr="002F6569">
        <w:rPr>
          <w:color w:val="7F7F7F" w:themeColor="text2"/>
        </w:rPr>
        <w:t xml:space="preserve"> per cent, </w:t>
      </w:r>
      <w:r w:rsidR="004F1CDB">
        <w:rPr>
          <w:color w:val="7F7F7F" w:themeColor="text2"/>
        </w:rPr>
        <w:t>but the largest decline in enrolment number</w:t>
      </w:r>
      <w:r w:rsidR="0084117E">
        <w:rPr>
          <w:color w:val="7F7F7F" w:themeColor="text2"/>
        </w:rPr>
        <w:t>s</w:t>
      </w:r>
      <w:r w:rsidR="004F1CDB">
        <w:rPr>
          <w:color w:val="7F7F7F" w:themeColor="text2"/>
        </w:rPr>
        <w:t xml:space="preserve"> was in South-Western region with a decrease of 29,130 enrolments. </w:t>
      </w:r>
      <w:r w:rsidR="004F48D2">
        <w:rPr>
          <w:color w:val="7F7F7F" w:themeColor="text2"/>
        </w:rPr>
        <w:t>T</w:t>
      </w:r>
      <w:r w:rsidR="00B57540" w:rsidRPr="002F6569">
        <w:rPr>
          <w:color w:val="7F7F7F" w:themeColor="text2"/>
        </w:rPr>
        <w:t xml:space="preserve">he </w:t>
      </w:r>
      <w:proofErr w:type="gramStart"/>
      <w:r w:rsidR="001B28DB" w:rsidRPr="002F6569">
        <w:rPr>
          <w:color w:val="7F7F7F" w:themeColor="text2"/>
        </w:rPr>
        <w:t>North</w:t>
      </w:r>
      <w:r w:rsidRPr="002F6569">
        <w:rPr>
          <w:color w:val="7F7F7F" w:themeColor="text2"/>
        </w:rPr>
        <w:t>-West</w:t>
      </w:r>
      <w:r w:rsidR="001B28DB" w:rsidRPr="002F6569">
        <w:rPr>
          <w:color w:val="7F7F7F" w:themeColor="text2"/>
        </w:rPr>
        <w:t>ern</w:t>
      </w:r>
      <w:proofErr w:type="gramEnd"/>
      <w:r w:rsidR="001B28DB" w:rsidRPr="002F6569">
        <w:rPr>
          <w:color w:val="7F7F7F" w:themeColor="text2"/>
        </w:rPr>
        <w:t xml:space="preserve"> </w:t>
      </w:r>
      <w:r w:rsidRPr="002F6569">
        <w:rPr>
          <w:color w:val="7F7F7F" w:themeColor="text2"/>
        </w:rPr>
        <w:t xml:space="preserve">region </w:t>
      </w:r>
      <w:r w:rsidR="00B671B7" w:rsidRPr="002F6569">
        <w:rPr>
          <w:color w:val="7F7F7F" w:themeColor="text2"/>
        </w:rPr>
        <w:t xml:space="preserve">had the lowest </w:t>
      </w:r>
      <w:r w:rsidRPr="002F6569">
        <w:rPr>
          <w:color w:val="7F7F7F" w:themeColor="text2"/>
        </w:rPr>
        <w:t xml:space="preserve">decrease </w:t>
      </w:r>
      <w:r w:rsidR="004F48D2">
        <w:rPr>
          <w:color w:val="7F7F7F" w:themeColor="text2"/>
        </w:rPr>
        <w:t xml:space="preserve">(both in terms of percentage and enrolment number) </w:t>
      </w:r>
      <w:r w:rsidRPr="002F6569">
        <w:rPr>
          <w:color w:val="7F7F7F" w:themeColor="text2"/>
        </w:rPr>
        <w:t>of 6</w:t>
      </w:r>
      <w:r w:rsidR="00B671B7" w:rsidRPr="002F6569">
        <w:rPr>
          <w:color w:val="7F7F7F" w:themeColor="text2"/>
        </w:rPr>
        <w:t xml:space="preserve"> per cent</w:t>
      </w:r>
      <w:r w:rsidR="003E45C1" w:rsidRPr="002F6569">
        <w:rPr>
          <w:color w:val="7F7F7F" w:themeColor="text2"/>
        </w:rPr>
        <w:t xml:space="preserve"> </w:t>
      </w:r>
      <w:r w:rsidR="004F48D2">
        <w:rPr>
          <w:color w:val="7F7F7F" w:themeColor="text2"/>
        </w:rPr>
        <w:t xml:space="preserve">(4,317 enrolments) </w:t>
      </w:r>
      <w:r w:rsidR="003E45C1" w:rsidRPr="002F6569">
        <w:rPr>
          <w:color w:val="7F7F7F" w:themeColor="text2"/>
        </w:rPr>
        <w:t>over the same period</w:t>
      </w:r>
      <w:r w:rsidR="00B671B7" w:rsidRPr="002F6569">
        <w:rPr>
          <w:color w:val="7F7F7F" w:themeColor="text2"/>
        </w:rPr>
        <w:t>.</w:t>
      </w:r>
    </w:p>
    <w:p w:rsidR="00D5029F" w:rsidRPr="002F6569" w:rsidRDefault="00D5029F" w:rsidP="001D446D">
      <w:pPr>
        <w:pStyle w:val="ListParagraph"/>
        <w:numPr>
          <w:ilvl w:val="0"/>
          <w:numId w:val="18"/>
        </w:numPr>
        <w:pBdr>
          <w:top w:val="single" w:sz="4" w:space="1" w:color="7F7F7F" w:themeColor="text2"/>
          <w:left w:val="single" w:sz="4" w:space="4" w:color="7F7F7F" w:themeColor="text2"/>
          <w:bottom w:val="single" w:sz="4" w:space="1" w:color="7F7F7F" w:themeColor="text2"/>
          <w:right w:val="single" w:sz="4" w:space="4" w:color="7F7F7F" w:themeColor="text2"/>
        </w:pBdr>
        <w:spacing w:before="120"/>
        <w:ind w:left="425" w:hanging="425"/>
        <w:contextualSpacing w:val="0"/>
        <w:rPr>
          <w:color w:val="7F7F7F" w:themeColor="text2"/>
        </w:rPr>
      </w:pPr>
      <w:r w:rsidRPr="002F6569">
        <w:rPr>
          <w:color w:val="7F7F7F" w:themeColor="text2"/>
        </w:rPr>
        <w:t xml:space="preserve">Of the nine </w:t>
      </w:r>
      <w:r w:rsidR="005A735D" w:rsidRPr="002F6569">
        <w:rPr>
          <w:color w:val="7F7F7F" w:themeColor="text2"/>
        </w:rPr>
        <w:t>regional areas</w:t>
      </w:r>
      <w:r w:rsidRPr="002F6569">
        <w:rPr>
          <w:color w:val="7F7F7F" w:themeColor="text2"/>
        </w:rPr>
        <w:t xml:space="preserve">, the Eastern Metropolitan region had the largest </w:t>
      </w:r>
      <w:r w:rsidR="004F1CDB">
        <w:rPr>
          <w:color w:val="7F7F7F" w:themeColor="text2"/>
        </w:rPr>
        <w:t xml:space="preserve">percentage </w:t>
      </w:r>
      <w:r w:rsidRPr="002F6569">
        <w:rPr>
          <w:color w:val="7F7F7F" w:themeColor="text2"/>
        </w:rPr>
        <w:t xml:space="preserve">decrease </w:t>
      </w:r>
      <w:r w:rsidR="004F1CDB">
        <w:rPr>
          <w:color w:val="7F7F7F" w:themeColor="text2"/>
        </w:rPr>
        <w:t xml:space="preserve">of enrolments </w:t>
      </w:r>
      <w:r w:rsidRPr="002F6569">
        <w:rPr>
          <w:color w:val="7F7F7F" w:themeColor="text2"/>
        </w:rPr>
        <w:t xml:space="preserve">between 2014 and 2015 (half year) of 24 per cent, </w:t>
      </w:r>
      <w:r w:rsidR="004F1CDB">
        <w:rPr>
          <w:color w:val="7F7F7F" w:themeColor="text2"/>
        </w:rPr>
        <w:t xml:space="preserve">but the largest decline in enrolment number was in Western Metropolitan region with a decrease of 22,624 enrolments. </w:t>
      </w:r>
      <w:r w:rsidR="004F48D2">
        <w:rPr>
          <w:color w:val="7F7F7F" w:themeColor="text2"/>
        </w:rPr>
        <w:t>T</w:t>
      </w:r>
      <w:r w:rsidR="00B57540" w:rsidRPr="002F6569">
        <w:rPr>
          <w:color w:val="7F7F7F" w:themeColor="text2"/>
        </w:rPr>
        <w:t xml:space="preserve">he </w:t>
      </w:r>
      <w:r w:rsidRPr="002F6569">
        <w:rPr>
          <w:color w:val="7F7F7F" w:themeColor="text2"/>
        </w:rPr>
        <w:t>Northern Metropolitan region had the lowest decrease of 4 per cent</w:t>
      </w:r>
      <w:r w:rsidR="003E45C1" w:rsidRPr="002F6569">
        <w:rPr>
          <w:color w:val="7F7F7F" w:themeColor="text2"/>
        </w:rPr>
        <w:t xml:space="preserve"> over the same period</w:t>
      </w:r>
      <w:r w:rsidR="004F48D2">
        <w:rPr>
          <w:color w:val="7F7F7F" w:themeColor="text2"/>
        </w:rPr>
        <w:t>, whilst in terms of enrolment number</w:t>
      </w:r>
      <w:r w:rsidR="0084117E">
        <w:rPr>
          <w:color w:val="7F7F7F" w:themeColor="text2"/>
        </w:rPr>
        <w:t>s</w:t>
      </w:r>
      <w:r w:rsidR="004F48D2">
        <w:rPr>
          <w:color w:val="7F7F7F" w:themeColor="text2"/>
        </w:rPr>
        <w:t xml:space="preserve"> the Grampians region had the lowest decrease of 918 enrolments</w:t>
      </w:r>
      <w:r w:rsidRPr="002F6569">
        <w:rPr>
          <w:color w:val="7F7F7F" w:themeColor="text2"/>
        </w:rPr>
        <w:t>.</w:t>
      </w:r>
    </w:p>
    <w:p w:rsidR="00F30638" w:rsidRPr="00365EB2" w:rsidRDefault="00F30638" w:rsidP="001D446D">
      <w:pPr>
        <w:pBdr>
          <w:top w:val="single" w:sz="4" w:space="1" w:color="7F7F7F" w:themeColor="text2"/>
          <w:left w:val="single" w:sz="4" w:space="4" w:color="7F7F7F" w:themeColor="text2"/>
          <w:bottom w:val="single" w:sz="4" w:space="1" w:color="7F7F7F" w:themeColor="text2"/>
          <w:right w:val="single" w:sz="4" w:space="4" w:color="7F7F7F" w:themeColor="text2"/>
        </w:pBdr>
      </w:pPr>
    </w:p>
    <w:p w:rsidR="00E4188E" w:rsidRDefault="00E4188E" w:rsidP="001D446D"/>
    <w:p w:rsidR="001D446D" w:rsidRPr="00365EB2" w:rsidRDefault="001D446D" w:rsidP="001D446D"/>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1C59BF" w:rsidTr="001C59BF">
        <w:tc>
          <w:tcPr>
            <w:tcW w:w="1134" w:type="dxa"/>
            <w:tcMar>
              <w:left w:w="0" w:type="dxa"/>
              <w:right w:w="0" w:type="dxa"/>
            </w:tcMar>
          </w:tcPr>
          <w:p w:rsidR="001C59BF" w:rsidRDefault="00CB6C79" w:rsidP="001C59BF">
            <w:pPr>
              <w:pStyle w:val="Quote"/>
              <w:tabs>
                <w:tab w:val="left" w:pos="1134"/>
              </w:tabs>
              <w:rPr>
                <w:b w:val="0"/>
                <w:color w:val="B41F22" w:themeColor="accent1"/>
              </w:rPr>
            </w:pPr>
            <w:r>
              <w:rPr>
                <w:b w:val="0"/>
                <w:color w:val="B41F22" w:themeColor="accent1"/>
              </w:rPr>
              <w:t>Table 1.6</w:t>
            </w:r>
            <w:r w:rsidR="001C59BF">
              <w:rPr>
                <w:b w:val="0"/>
                <w:color w:val="B41F22" w:themeColor="accent1"/>
              </w:rPr>
              <w:t>.1:</w:t>
            </w:r>
          </w:p>
        </w:tc>
        <w:tc>
          <w:tcPr>
            <w:tcW w:w="6946" w:type="dxa"/>
            <w:tcMar>
              <w:left w:w="0" w:type="dxa"/>
              <w:right w:w="0" w:type="dxa"/>
            </w:tcMar>
          </w:tcPr>
          <w:p w:rsidR="001C59BF" w:rsidRDefault="001C59BF" w:rsidP="001C59BF">
            <w:pPr>
              <w:pStyle w:val="Quote"/>
              <w:tabs>
                <w:tab w:val="left" w:pos="1134"/>
              </w:tabs>
              <w:rPr>
                <w:b w:val="0"/>
                <w:color w:val="B41F22" w:themeColor="accent1"/>
              </w:rPr>
            </w:pPr>
            <w:r w:rsidRPr="001C59BF">
              <w:rPr>
                <w:b w:val="0"/>
                <w:color w:val="B41F22" w:themeColor="accent1"/>
              </w:rPr>
              <w:t>Government subsidised enrolments in accredited training by Departmental administrative delivery region, 2010 to 2015 (half year)</w:t>
            </w:r>
          </w:p>
        </w:tc>
      </w:tr>
    </w:tbl>
    <w:tbl>
      <w:tblPr>
        <w:tblW w:w="8147" w:type="dxa"/>
        <w:tblInd w:w="93" w:type="dxa"/>
        <w:tblLayout w:type="fixed"/>
        <w:tblLook w:val="04A0" w:firstRow="1" w:lastRow="0" w:firstColumn="1" w:lastColumn="0" w:noHBand="0" w:noVBand="1"/>
      </w:tblPr>
      <w:tblGrid>
        <w:gridCol w:w="2180"/>
        <w:gridCol w:w="994"/>
        <w:gridCol w:w="995"/>
        <w:gridCol w:w="994"/>
        <w:gridCol w:w="995"/>
        <w:gridCol w:w="994"/>
        <w:gridCol w:w="995"/>
      </w:tblGrid>
      <w:tr w:rsidR="001C59BF" w:rsidRPr="001C59BF" w:rsidTr="00025845">
        <w:trPr>
          <w:trHeight w:val="300"/>
        </w:trPr>
        <w:tc>
          <w:tcPr>
            <w:tcW w:w="2180" w:type="dxa"/>
            <w:tcBorders>
              <w:top w:val="nil"/>
              <w:left w:val="nil"/>
              <w:bottom w:val="nil"/>
              <w:right w:val="nil"/>
            </w:tcBorders>
            <w:shd w:val="clear" w:color="000000" w:fill="7F7F7F"/>
            <w:noWrap/>
            <w:vAlign w:val="center"/>
            <w:hideMark/>
          </w:tcPr>
          <w:p w:rsidR="001C59BF" w:rsidRPr="001C59BF" w:rsidRDefault="001C59BF" w:rsidP="001C59BF">
            <w:pPr>
              <w:rPr>
                <w:rFonts w:cs="Arial"/>
                <w:color w:val="FFFFFF"/>
                <w:szCs w:val="18"/>
                <w:lang w:eastAsia="en-AU"/>
              </w:rPr>
            </w:pPr>
            <w:r w:rsidRPr="001C59BF">
              <w:rPr>
                <w:rFonts w:cs="Arial"/>
                <w:color w:val="FFFFFF"/>
                <w:szCs w:val="18"/>
                <w:lang w:eastAsia="en-AU"/>
              </w:rPr>
              <w:t> </w:t>
            </w:r>
          </w:p>
        </w:tc>
        <w:tc>
          <w:tcPr>
            <w:tcW w:w="994" w:type="dxa"/>
            <w:tcBorders>
              <w:top w:val="nil"/>
              <w:left w:val="nil"/>
              <w:bottom w:val="nil"/>
              <w:right w:val="nil"/>
            </w:tcBorders>
            <w:shd w:val="clear" w:color="000000" w:fill="7F7F7F"/>
            <w:noWrap/>
            <w:vAlign w:val="center"/>
            <w:hideMark/>
          </w:tcPr>
          <w:p w:rsidR="001C59BF" w:rsidRPr="001C59BF" w:rsidRDefault="001C59BF" w:rsidP="001C59BF">
            <w:pPr>
              <w:jc w:val="right"/>
              <w:rPr>
                <w:rFonts w:cs="Arial"/>
                <w:b/>
                <w:bCs/>
                <w:color w:val="FFFFFF"/>
                <w:szCs w:val="18"/>
                <w:lang w:eastAsia="en-AU"/>
              </w:rPr>
            </w:pPr>
            <w:r w:rsidRPr="001C59BF">
              <w:rPr>
                <w:rFonts w:cs="Arial"/>
                <w:b/>
                <w:bCs/>
                <w:color w:val="FFFFFF"/>
                <w:szCs w:val="18"/>
                <w:lang w:eastAsia="en-AU"/>
              </w:rPr>
              <w:t>2010</w:t>
            </w:r>
          </w:p>
        </w:tc>
        <w:tc>
          <w:tcPr>
            <w:tcW w:w="995" w:type="dxa"/>
            <w:tcBorders>
              <w:top w:val="nil"/>
              <w:left w:val="nil"/>
              <w:bottom w:val="nil"/>
              <w:right w:val="nil"/>
            </w:tcBorders>
            <w:shd w:val="clear" w:color="000000" w:fill="7F7F7F"/>
            <w:noWrap/>
            <w:vAlign w:val="center"/>
            <w:hideMark/>
          </w:tcPr>
          <w:p w:rsidR="001C59BF" w:rsidRPr="001C59BF" w:rsidRDefault="001C59BF" w:rsidP="001C59BF">
            <w:pPr>
              <w:jc w:val="right"/>
              <w:rPr>
                <w:rFonts w:cs="Arial"/>
                <w:b/>
                <w:bCs/>
                <w:color w:val="FFFFFF"/>
                <w:szCs w:val="18"/>
                <w:lang w:eastAsia="en-AU"/>
              </w:rPr>
            </w:pPr>
            <w:r w:rsidRPr="001C59BF">
              <w:rPr>
                <w:rFonts w:cs="Arial"/>
                <w:b/>
                <w:bCs/>
                <w:color w:val="FFFFFF"/>
                <w:szCs w:val="18"/>
                <w:lang w:eastAsia="en-AU"/>
              </w:rPr>
              <w:t>2011</w:t>
            </w:r>
          </w:p>
        </w:tc>
        <w:tc>
          <w:tcPr>
            <w:tcW w:w="994" w:type="dxa"/>
            <w:tcBorders>
              <w:top w:val="nil"/>
              <w:left w:val="nil"/>
              <w:bottom w:val="nil"/>
              <w:right w:val="nil"/>
            </w:tcBorders>
            <w:shd w:val="clear" w:color="000000" w:fill="7F7F7F"/>
            <w:noWrap/>
            <w:vAlign w:val="center"/>
            <w:hideMark/>
          </w:tcPr>
          <w:p w:rsidR="001C59BF" w:rsidRPr="001C59BF" w:rsidRDefault="001C59BF" w:rsidP="001C59BF">
            <w:pPr>
              <w:jc w:val="right"/>
              <w:rPr>
                <w:rFonts w:cs="Arial"/>
                <w:b/>
                <w:bCs/>
                <w:color w:val="FFFFFF"/>
                <w:szCs w:val="18"/>
                <w:lang w:eastAsia="en-AU"/>
              </w:rPr>
            </w:pPr>
            <w:r w:rsidRPr="001C59BF">
              <w:rPr>
                <w:rFonts w:cs="Arial"/>
                <w:b/>
                <w:bCs/>
                <w:color w:val="FFFFFF"/>
                <w:szCs w:val="18"/>
                <w:lang w:eastAsia="en-AU"/>
              </w:rPr>
              <w:t>2012</w:t>
            </w:r>
          </w:p>
        </w:tc>
        <w:tc>
          <w:tcPr>
            <w:tcW w:w="995" w:type="dxa"/>
            <w:tcBorders>
              <w:top w:val="nil"/>
              <w:left w:val="nil"/>
              <w:bottom w:val="nil"/>
              <w:right w:val="nil"/>
            </w:tcBorders>
            <w:shd w:val="clear" w:color="000000" w:fill="7F7F7F"/>
            <w:noWrap/>
            <w:vAlign w:val="center"/>
            <w:hideMark/>
          </w:tcPr>
          <w:p w:rsidR="001C59BF" w:rsidRPr="001C59BF" w:rsidRDefault="001C59BF" w:rsidP="001C59BF">
            <w:pPr>
              <w:jc w:val="right"/>
              <w:rPr>
                <w:rFonts w:cs="Arial"/>
                <w:b/>
                <w:bCs/>
                <w:color w:val="FFFFFF"/>
                <w:szCs w:val="18"/>
                <w:lang w:eastAsia="en-AU"/>
              </w:rPr>
            </w:pPr>
            <w:r w:rsidRPr="001C59BF">
              <w:rPr>
                <w:rFonts w:cs="Arial"/>
                <w:b/>
                <w:bCs/>
                <w:color w:val="FFFFFF"/>
                <w:szCs w:val="18"/>
                <w:lang w:eastAsia="en-AU"/>
              </w:rPr>
              <w:t>2013</w:t>
            </w:r>
          </w:p>
        </w:tc>
        <w:tc>
          <w:tcPr>
            <w:tcW w:w="994" w:type="dxa"/>
            <w:tcBorders>
              <w:top w:val="nil"/>
              <w:left w:val="nil"/>
              <w:bottom w:val="nil"/>
              <w:right w:val="nil"/>
            </w:tcBorders>
            <w:shd w:val="clear" w:color="000000" w:fill="7F7F7F"/>
            <w:noWrap/>
            <w:vAlign w:val="center"/>
            <w:hideMark/>
          </w:tcPr>
          <w:p w:rsidR="001C59BF" w:rsidRPr="001C59BF" w:rsidRDefault="001C59BF" w:rsidP="001C59BF">
            <w:pPr>
              <w:jc w:val="right"/>
              <w:rPr>
                <w:rFonts w:cs="Arial"/>
                <w:b/>
                <w:bCs/>
                <w:color w:val="FFFFFF"/>
                <w:szCs w:val="18"/>
                <w:lang w:eastAsia="en-AU"/>
              </w:rPr>
            </w:pPr>
            <w:r w:rsidRPr="001C59BF">
              <w:rPr>
                <w:rFonts w:cs="Arial"/>
                <w:b/>
                <w:bCs/>
                <w:color w:val="FFFFFF"/>
                <w:szCs w:val="18"/>
                <w:lang w:eastAsia="en-AU"/>
              </w:rPr>
              <w:t>2014</w:t>
            </w:r>
          </w:p>
        </w:tc>
        <w:tc>
          <w:tcPr>
            <w:tcW w:w="995" w:type="dxa"/>
            <w:tcBorders>
              <w:top w:val="nil"/>
              <w:left w:val="nil"/>
              <w:bottom w:val="nil"/>
              <w:right w:val="nil"/>
            </w:tcBorders>
            <w:shd w:val="clear" w:color="000000" w:fill="7F7F7F"/>
            <w:noWrap/>
            <w:vAlign w:val="center"/>
            <w:hideMark/>
          </w:tcPr>
          <w:p w:rsidR="001C59BF" w:rsidRPr="001C59BF" w:rsidRDefault="001C59BF" w:rsidP="001C59BF">
            <w:pPr>
              <w:jc w:val="right"/>
              <w:rPr>
                <w:rFonts w:cs="Arial"/>
                <w:b/>
                <w:bCs/>
                <w:color w:val="FFFFFF"/>
                <w:szCs w:val="18"/>
                <w:lang w:eastAsia="en-AU"/>
              </w:rPr>
            </w:pPr>
            <w:r w:rsidRPr="001C59BF">
              <w:rPr>
                <w:rFonts w:cs="Arial"/>
                <w:b/>
                <w:bCs/>
                <w:color w:val="FFFFFF"/>
                <w:szCs w:val="18"/>
                <w:lang w:eastAsia="en-AU"/>
              </w:rPr>
              <w:t>2015</w:t>
            </w:r>
          </w:p>
        </w:tc>
      </w:tr>
      <w:tr w:rsidR="001C59BF" w:rsidRPr="001C59BF" w:rsidTr="00025845">
        <w:trPr>
          <w:trHeight w:val="300"/>
        </w:trPr>
        <w:tc>
          <w:tcPr>
            <w:tcW w:w="2180" w:type="dxa"/>
            <w:tcBorders>
              <w:top w:val="nil"/>
              <w:left w:val="nil"/>
              <w:bottom w:val="nil"/>
              <w:right w:val="nil"/>
            </w:tcBorders>
            <w:shd w:val="clear" w:color="auto" w:fill="auto"/>
            <w:noWrap/>
            <w:vAlign w:val="center"/>
            <w:hideMark/>
          </w:tcPr>
          <w:p w:rsidR="001C59BF" w:rsidRPr="001C59BF" w:rsidRDefault="001C59BF" w:rsidP="001C59BF">
            <w:pPr>
              <w:rPr>
                <w:rFonts w:cs="Arial"/>
                <w:color w:val="7F7F7F"/>
                <w:szCs w:val="18"/>
                <w:lang w:eastAsia="en-AU"/>
              </w:rPr>
            </w:pPr>
            <w:r w:rsidRPr="001C59BF">
              <w:rPr>
                <w:rFonts w:cs="Arial"/>
                <w:color w:val="7F7F7F"/>
                <w:szCs w:val="18"/>
                <w:lang w:eastAsia="en-AU"/>
              </w:rPr>
              <w:t>North-Eastern Victoria</w:t>
            </w:r>
          </w:p>
        </w:tc>
        <w:tc>
          <w:tcPr>
            <w:tcW w:w="994" w:type="dxa"/>
            <w:tcBorders>
              <w:top w:val="nil"/>
              <w:left w:val="nil"/>
              <w:bottom w:val="nil"/>
              <w:right w:val="nil"/>
            </w:tcBorders>
            <w:shd w:val="clear" w:color="auto" w:fill="auto"/>
            <w:noWrap/>
            <w:vAlign w:val="center"/>
            <w:hideMark/>
          </w:tcPr>
          <w:p w:rsidR="001C59BF" w:rsidRPr="001C59BF" w:rsidRDefault="001C59BF" w:rsidP="001C59BF">
            <w:pPr>
              <w:jc w:val="right"/>
              <w:rPr>
                <w:rFonts w:cs="Arial"/>
                <w:color w:val="7F7F7F"/>
                <w:szCs w:val="18"/>
                <w:lang w:eastAsia="en-AU"/>
              </w:rPr>
            </w:pPr>
            <w:r w:rsidRPr="001C59BF">
              <w:rPr>
                <w:rFonts w:cs="Arial"/>
                <w:color w:val="7F7F7F"/>
                <w:szCs w:val="18"/>
                <w:lang w:eastAsia="en-AU"/>
              </w:rPr>
              <w:t>49,153</w:t>
            </w:r>
          </w:p>
        </w:tc>
        <w:tc>
          <w:tcPr>
            <w:tcW w:w="995" w:type="dxa"/>
            <w:tcBorders>
              <w:top w:val="nil"/>
              <w:left w:val="nil"/>
              <w:bottom w:val="nil"/>
              <w:right w:val="nil"/>
            </w:tcBorders>
            <w:shd w:val="clear" w:color="auto" w:fill="auto"/>
            <w:noWrap/>
            <w:vAlign w:val="center"/>
            <w:hideMark/>
          </w:tcPr>
          <w:p w:rsidR="001C59BF" w:rsidRPr="001C59BF" w:rsidRDefault="001C59BF" w:rsidP="001C59BF">
            <w:pPr>
              <w:jc w:val="right"/>
              <w:rPr>
                <w:rFonts w:cs="Arial"/>
                <w:color w:val="7F7F7F"/>
                <w:szCs w:val="18"/>
                <w:lang w:eastAsia="en-AU"/>
              </w:rPr>
            </w:pPr>
            <w:r w:rsidRPr="001C59BF">
              <w:rPr>
                <w:rFonts w:cs="Arial"/>
                <w:color w:val="7F7F7F"/>
                <w:szCs w:val="18"/>
                <w:lang w:eastAsia="en-AU"/>
              </w:rPr>
              <w:t>62,906</w:t>
            </w:r>
          </w:p>
        </w:tc>
        <w:tc>
          <w:tcPr>
            <w:tcW w:w="994" w:type="dxa"/>
            <w:tcBorders>
              <w:top w:val="nil"/>
              <w:left w:val="nil"/>
              <w:bottom w:val="nil"/>
              <w:right w:val="nil"/>
            </w:tcBorders>
            <w:shd w:val="clear" w:color="auto" w:fill="auto"/>
            <w:noWrap/>
            <w:vAlign w:val="center"/>
            <w:hideMark/>
          </w:tcPr>
          <w:p w:rsidR="001C59BF" w:rsidRPr="001C59BF" w:rsidRDefault="001C59BF" w:rsidP="001C59BF">
            <w:pPr>
              <w:jc w:val="right"/>
              <w:rPr>
                <w:rFonts w:cs="Arial"/>
                <w:color w:val="7F7F7F"/>
                <w:szCs w:val="18"/>
                <w:lang w:eastAsia="en-AU"/>
              </w:rPr>
            </w:pPr>
            <w:r w:rsidRPr="001C59BF">
              <w:rPr>
                <w:rFonts w:cs="Arial"/>
                <w:color w:val="7F7F7F"/>
                <w:szCs w:val="18"/>
                <w:lang w:eastAsia="en-AU"/>
              </w:rPr>
              <w:t>75,311</w:t>
            </w:r>
          </w:p>
        </w:tc>
        <w:tc>
          <w:tcPr>
            <w:tcW w:w="995" w:type="dxa"/>
            <w:tcBorders>
              <w:top w:val="nil"/>
              <w:left w:val="nil"/>
              <w:bottom w:val="nil"/>
              <w:right w:val="nil"/>
            </w:tcBorders>
            <w:shd w:val="clear" w:color="auto" w:fill="auto"/>
            <w:noWrap/>
            <w:vAlign w:val="center"/>
            <w:hideMark/>
          </w:tcPr>
          <w:p w:rsidR="001C59BF" w:rsidRPr="001C59BF" w:rsidRDefault="001C59BF" w:rsidP="001C59BF">
            <w:pPr>
              <w:jc w:val="right"/>
              <w:rPr>
                <w:rFonts w:cs="Arial"/>
                <w:color w:val="7F7F7F"/>
                <w:szCs w:val="18"/>
                <w:lang w:eastAsia="en-AU"/>
              </w:rPr>
            </w:pPr>
            <w:r w:rsidRPr="001C59BF">
              <w:rPr>
                <w:rFonts w:cs="Arial"/>
                <w:color w:val="7F7F7F"/>
                <w:szCs w:val="18"/>
                <w:lang w:eastAsia="en-AU"/>
              </w:rPr>
              <w:t>71,276</w:t>
            </w:r>
          </w:p>
        </w:tc>
        <w:tc>
          <w:tcPr>
            <w:tcW w:w="994" w:type="dxa"/>
            <w:tcBorders>
              <w:top w:val="nil"/>
              <w:left w:val="nil"/>
              <w:bottom w:val="nil"/>
              <w:right w:val="nil"/>
            </w:tcBorders>
            <w:shd w:val="clear" w:color="auto" w:fill="auto"/>
            <w:noWrap/>
            <w:vAlign w:val="center"/>
            <w:hideMark/>
          </w:tcPr>
          <w:p w:rsidR="001C59BF" w:rsidRPr="001C59BF" w:rsidRDefault="001C59BF" w:rsidP="001C59BF">
            <w:pPr>
              <w:jc w:val="right"/>
              <w:rPr>
                <w:rFonts w:cs="Arial"/>
                <w:color w:val="7F7F7F"/>
                <w:szCs w:val="18"/>
                <w:lang w:eastAsia="en-AU"/>
              </w:rPr>
            </w:pPr>
            <w:r w:rsidRPr="001C59BF">
              <w:rPr>
                <w:rFonts w:cs="Arial"/>
                <w:color w:val="7F7F7F"/>
                <w:szCs w:val="18"/>
                <w:lang w:eastAsia="en-AU"/>
              </w:rPr>
              <w:t>59,541</w:t>
            </w:r>
          </w:p>
        </w:tc>
        <w:tc>
          <w:tcPr>
            <w:tcW w:w="995" w:type="dxa"/>
            <w:tcBorders>
              <w:top w:val="nil"/>
              <w:left w:val="nil"/>
              <w:bottom w:val="nil"/>
              <w:right w:val="nil"/>
            </w:tcBorders>
            <w:shd w:val="clear" w:color="auto" w:fill="auto"/>
            <w:noWrap/>
            <w:vAlign w:val="center"/>
            <w:hideMark/>
          </w:tcPr>
          <w:p w:rsidR="001C59BF" w:rsidRPr="001C59BF" w:rsidRDefault="001C59BF" w:rsidP="001C59BF">
            <w:pPr>
              <w:jc w:val="right"/>
              <w:rPr>
                <w:rFonts w:cs="Arial"/>
                <w:color w:val="7F7F7F"/>
                <w:szCs w:val="18"/>
                <w:lang w:eastAsia="en-AU"/>
              </w:rPr>
            </w:pPr>
            <w:r w:rsidRPr="001C59BF">
              <w:rPr>
                <w:rFonts w:cs="Arial"/>
                <w:color w:val="7F7F7F"/>
                <w:szCs w:val="18"/>
                <w:lang w:eastAsia="en-AU"/>
              </w:rPr>
              <w:t>46,221</w:t>
            </w:r>
          </w:p>
        </w:tc>
      </w:tr>
      <w:tr w:rsidR="001C59BF" w:rsidRPr="001C59BF" w:rsidTr="00025845">
        <w:trPr>
          <w:trHeight w:val="300"/>
        </w:trPr>
        <w:tc>
          <w:tcPr>
            <w:tcW w:w="2180" w:type="dxa"/>
            <w:tcBorders>
              <w:top w:val="nil"/>
              <w:left w:val="nil"/>
              <w:bottom w:val="nil"/>
              <w:right w:val="nil"/>
            </w:tcBorders>
            <w:shd w:val="clear" w:color="auto" w:fill="auto"/>
            <w:noWrap/>
            <w:vAlign w:val="center"/>
            <w:hideMark/>
          </w:tcPr>
          <w:p w:rsidR="001C59BF" w:rsidRPr="001C59BF" w:rsidRDefault="001C59BF" w:rsidP="001C59BF">
            <w:pPr>
              <w:rPr>
                <w:rFonts w:cs="Arial"/>
                <w:color w:val="7F7F7F"/>
                <w:szCs w:val="18"/>
                <w:lang w:eastAsia="en-AU"/>
              </w:rPr>
            </w:pPr>
            <w:r w:rsidRPr="001C59BF">
              <w:rPr>
                <w:rFonts w:cs="Arial"/>
                <w:color w:val="7F7F7F"/>
                <w:szCs w:val="18"/>
                <w:lang w:eastAsia="en-AU"/>
              </w:rPr>
              <w:t>North-Western Victoria</w:t>
            </w:r>
          </w:p>
        </w:tc>
        <w:tc>
          <w:tcPr>
            <w:tcW w:w="994" w:type="dxa"/>
            <w:tcBorders>
              <w:top w:val="nil"/>
              <w:left w:val="nil"/>
              <w:bottom w:val="nil"/>
              <w:right w:val="nil"/>
            </w:tcBorders>
            <w:shd w:val="clear" w:color="auto" w:fill="auto"/>
            <w:noWrap/>
            <w:vAlign w:val="center"/>
            <w:hideMark/>
          </w:tcPr>
          <w:p w:rsidR="001C59BF" w:rsidRPr="001C59BF" w:rsidRDefault="001C59BF" w:rsidP="001C59BF">
            <w:pPr>
              <w:jc w:val="right"/>
              <w:rPr>
                <w:rFonts w:cs="Arial"/>
                <w:color w:val="7F7F7F"/>
                <w:szCs w:val="18"/>
                <w:lang w:eastAsia="en-AU"/>
              </w:rPr>
            </w:pPr>
            <w:r w:rsidRPr="001C59BF">
              <w:rPr>
                <w:rFonts w:cs="Arial"/>
                <w:color w:val="7F7F7F"/>
                <w:szCs w:val="18"/>
                <w:lang w:eastAsia="en-AU"/>
              </w:rPr>
              <w:t>49,907</w:t>
            </w:r>
          </w:p>
        </w:tc>
        <w:tc>
          <w:tcPr>
            <w:tcW w:w="995" w:type="dxa"/>
            <w:tcBorders>
              <w:top w:val="nil"/>
              <w:left w:val="nil"/>
              <w:bottom w:val="nil"/>
              <w:right w:val="nil"/>
            </w:tcBorders>
            <w:shd w:val="clear" w:color="auto" w:fill="auto"/>
            <w:noWrap/>
            <w:vAlign w:val="center"/>
            <w:hideMark/>
          </w:tcPr>
          <w:p w:rsidR="001C59BF" w:rsidRPr="001C59BF" w:rsidRDefault="001C59BF" w:rsidP="001C59BF">
            <w:pPr>
              <w:jc w:val="right"/>
              <w:rPr>
                <w:rFonts w:cs="Arial"/>
                <w:color w:val="7F7F7F"/>
                <w:szCs w:val="18"/>
                <w:lang w:eastAsia="en-AU"/>
              </w:rPr>
            </w:pPr>
            <w:r w:rsidRPr="001C59BF">
              <w:rPr>
                <w:rFonts w:cs="Arial"/>
                <w:color w:val="7F7F7F"/>
                <w:szCs w:val="18"/>
                <w:lang w:eastAsia="en-AU"/>
              </w:rPr>
              <w:t>58,322</w:t>
            </w:r>
          </w:p>
        </w:tc>
        <w:tc>
          <w:tcPr>
            <w:tcW w:w="994" w:type="dxa"/>
            <w:tcBorders>
              <w:top w:val="nil"/>
              <w:left w:val="nil"/>
              <w:bottom w:val="nil"/>
              <w:right w:val="nil"/>
            </w:tcBorders>
            <w:shd w:val="clear" w:color="auto" w:fill="auto"/>
            <w:noWrap/>
            <w:vAlign w:val="center"/>
            <w:hideMark/>
          </w:tcPr>
          <w:p w:rsidR="001C59BF" w:rsidRPr="001C59BF" w:rsidRDefault="001C59BF" w:rsidP="001C59BF">
            <w:pPr>
              <w:jc w:val="right"/>
              <w:rPr>
                <w:rFonts w:cs="Arial"/>
                <w:color w:val="7F7F7F"/>
                <w:szCs w:val="18"/>
                <w:lang w:eastAsia="en-AU"/>
              </w:rPr>
            </w:pPr>
            <w:r w:rsidRPr="001C59BF">
              <w:rPr>
                <w:rFonts w:cs="Arial"/>
                <w:color w:val="7F7F7F"/>
                <w:szCs w:val="18"/>
                <w:lang w:eastAsia="en-AU"/>
              </w:rPr>
              <w:t>80,889</w:t>
            </w:r>
          </w:p>
        </w:tc>
        <w:tc>
          <w:tcPr>
            <w:tcW w:w="995" w:type="dxa"/>
            <w:tcBorders>
              <w:top w:val="nil"/>
              <w:left w:val="nil"/>
              <w:bottom w:val="nil"/>
              <w:right w:val="nil"/>
            </w:tcBorders>
            <w:shd w:val="clear" w:color="auto" w:fill="auto"/>
            <w:noWrap/>
            <w:vAlign w:val="center"/>
            <w:hideMark/>
          </w:tcPr>
          <w:p w:rsidR="001C59BF" w:rsidRPr="001C59BF" w:rsidRDefault="001C59BF" w:rsidP="001C59BF">
            <w:pPr>
              <w:jc w:val="right"/>
              <w:rPr>
                <w:rFonts w:cs="Arial"/>
                <w:color w:val="7F7F7F"/>
                <w:szCs w:val="18"/>
                <w:lang w:eastAsia="en-AU"/>
              </w:rPr>
            </w:pPr>
            <w:r w:rsidRPr="001C59BF">
              <w:rPr>
                <w:rFonts w:cs="Arial"/>
                <w:color w:val="7F7F7F"/>
                <w:szCs w:val="18"/>
                <w:lang w:eastAsia="en-AU"/>
              </w:rPr>
              <w:t>69,399</w:t>
            </w:r>
          </w:p>
        </w:tc>
        <w:tc>
          <w:tcPr>
            <w:tcW w:w="994" w:type="dxa"/>
            <w:tcBorders>
              <w:top w:val="nil"/>
              <w:left w:val="nil"/>
              <w:bottom w:val="nil"/>
              <w:right w:val="nil"/>
            </w:tcBorders>
            <w:shd w:val="clear" w:color="auto" w:fill="auto"/>
            <w:noWrap/>
            <w:vAlign w:val="center"/>
            <w:hideMark/>
          </w:tcPr>
          <w:p w:rsidR="001C59BF" w:rsidRPr="001C59BF" w:rsidRDefault="001C59BF" w:rsidP="001C59BF">
            <w:pPr>
              <w:jc w:val="right"/>
              <w:rPr>
                <w:rFonts w:cs="Arial"/>
                <w:color w:val="7F7F7F"/>
                <w:szCs w:val="18"/>
                <w:lang w:eastAsia="en-AU"/>
              </w:rPr>
            </w:pPr>
            <w:r w:rsidRPr="001C59BF">
              <w:rPr>
                <w:rFonts w:cs="Arial"/>
                <w:color w:val="7F7F7F"/>
                <w:szCs w:val="18"/>
                <w:lang w:eastAsia="en-AU"/>
              </w:rPr>
              <w:t>68,482</w:t>
            </w:r>
          </w:p>
        </w:tc>
        <w:tc>
          <w:tcPr>
            <w:tcW w:w="995" w:type="dxa"/>
            <w:tcBorders>
              <w:top w:val="nil"/>
              <w:left w:val="nil"/>
              <w:bottom w:val="nil"/>
              <w:right w:val="nil"/>
            </w:tcBorders>
            <w:shd w:val="clear" w:color="auto" w:fill="auto"/>
            <w:noWrap/>
            <w:vAlign w:val="center"/>
            <w:hideMark/>
          </w:tcPr>
          <w:p w:rsidR="001C59BF" w:rsidRPr="001C59BF" w:rsidRDefault="001C59BF" w:rsidP="001C59BF">
            <w:pPr>
              <w:jc w:val="right"/>
              <w:rPr>
                <w:rFonts w:cs="Arial"/>
                <w:color w:val="7F7F7F"/>
                <w:szCs w:val="18"/>
                <w:lang w:eastAsia="en-AU"/>
              </w:rPr>
            </w:pPr>
            <w:r w:rsidRPr="001C59BF">
              <w:rPr>
                <w:rFonts w:cs="Arial"/>
                <w:color w:val="7F7F7F"/>
                <w:szCs w:val="18"/>
                <w:lang w:eastAsia="en-AU"/>
              </w:rPr>
              <w:t>64,165</w:t>
            </w:r>
          </w:p>
        </w:tc>
      </w:tr>
      <w:tr w:rsidR="001C59BF" w:rsidRPr="001C59BF" w:rsidTr="00025845">
        <w:trPr>
          <w:trHeight w:val="300"/>
        </w:trPr>
        <w:tc>
          <w:tcPr>
            <w:tcW w:w="2180" w:type="dxa"/>
            <w:tcBorders>
              <w:top w:val="nil"/>
              <w:left w:val="nil"/>
              <w:bottom w:val="nil"/>
              <w:right w:val="nil"/>
            </w:tcBorders>
            <w:shd w:val="clear" w:color="auto" w:fill="auto"/>
            <w:noWrap/>
            <w:vAlign w:val="center"/>
            <w:hideMark/>
          </w:tcPr>
          <w:p w:rsidR="001C59BF" w:rsidRPr="001C59BF" w:rsidRDefault="001C59BF" w:rsidP="001C59BF">
            <w:pPr>
              <w:rPr>
                <w:rFonts w:cs="Arial"/>
                <w:color w:val="7F7F7F"/>
                <w:szCs w:val="18"/>
                <w:lang w:eastAsia="en-AU"/>
              </w:rPr>
            </w:pPr>
            <w:r w:rsidRPr="001C59BF">
              <w:rPr>
                <w:rFonts w:cs="Arial"/>
                <w:color w:val="7F7F7F"/>
                <w:szCs w:val="18"/>
                <w:lang w:eastAsia="en-AU"/>
              </w:rPr>
              <w:t>South-Eastern Victoria</w:t>
            </w:r>
          </w:p>
        </w:tc>
        <w:tc>
          <w:tcPr>
            <w:tcW w:w="994" w:type="dxa"/>
            <w:tcBorders>
              <w:top w:val="nil"/>
              <w:left w:val="nil"/>
              <w:bottom w:val="nil"/>
              <w:right w:val="nil"/>
            </w:tcBorders>
            <w:shd w:val="clear" w:color="auto" w:fill="auto"/>
            <w:noWrap/>
            <w:vAlign w:val="center"/>
            <w:hideMark/>
          </w:tcPr>
          <w:p w:rsidR="001C59BF" w:rsidRPr="001C59BF" w:rsidRDefault="001C59BF" w:rsidP="001C59BF">
            <w:pPr>
              <w:jc w:val="right"/>
              <w:rPr>
                <w:rFonts w:cs="Arial"/>
                <w:color w:val="7F7F7F"/>
                <w:szCs w:val="18"/>
                <w:lang w:eastAsia="en-AU"/>
              </w:rPr>
            </w:pPr>
            <w:r w:rsidRPr="001C59BF">
              <w:rPr>
                <w:rFonts w:cs="Arial"/>
                <w:color w:val="7F7F7F"/>
                <w:szCs w:val="18"/>
                <w:lang w:eastAsia="en-AU"/>
              </w:rPr>
              <w:t>59,821</w:t>
            </w:r>
          </w:p>
        </w:tc>
        <w:tc>
          <w:tcPr>
            <w:tcW w:w="995" w:type="dxa"/>
            <w:tcBorders>
              <w:top w:val="nil"/>
              <w:left w:val="nil"/>
              <w:bottom w:val="nil"/>
              <w:right w:val="nil"/>
            </w:tcBorders>
            <w:shd w:val="clear" w:color="auto" w:fill="auto"/>
            <w:noWrap/>
            <w:vAlign w:val="center"/>
            <w:hideMark/>
          </w:tcPr>
          <w:p w:rsidR="001C59BF" w:rsidRPr="001C59BF" w:rsidRDefault="001C59BF" w:rsidP="001C59BF">
            <w:pPr>
              <w:jc w:val="right"/>
              <w:rPr>
                <w:rFonts w:cs="Arial"/>
                <w:color w:val="7F7F7F"/>
                <w:szCs w:val="18"/>
                <w:lang w:eastAsia="en-AU"/>
              </w:rPr>
            </w:pPr>
            <w:r w:rsidRPr="001C59BF">
              <w:rPr>
                <w:rFonts w:cs="Arial"/>
                <w:color w:val="7F7F7F"/>
                <w:szCs w:val="18"/>
                <w:lang w:eastAsia="en-AU"/>
              </w:rPr>
              <w:t>68,751</w:t>
            </w:r>
          </w:p>
        </w:tc>
        <w:tc>
          <w:tcPr>
            <w:tcW w:w="994" w:type="dxa"/>
            <w:tcBorders>
              <w:top w:val="nil"/>
              <w:left w:val="nil"/>
              <w:bottom w:val="nil"/>
              <w:right w:val="nil"/>
            </w:tcBorders>
            <w:shd w:val="clear" w:color="auto" w:fill="auto"/>
            <w:noWrap/>
            <w:vAlign w:val="center"/>
            <w:hideMark/>
          </w:tcPr>
          <w:p w:rsidR="001C59BF" w:rsidRPr="001C59BF" w:rsidRDefault="001C59BF" w:rsidP="001C59BF">
            <w:pPr>
              <w:jc w:val="right"/>
              <w:rPr>
                <w:rFonts w:cs="Arial"/>
                <w:color w:val="7F7F7F"/>
                <w:szCs w:val="18"/>
                <w:lang w:eastAsia="en-AU"/>
              </w:rPr>
            </w:pPr>
            <w:r w:rsidRPr="001C59BF">
              <w:rPr>
                <w:rFonts w:cs="Arial"/>
                <w:color w:val="7F7F7F"/>
                <w:szCs w:val="18"/>
                <w:lang w:eastAsia="en-AU"/>
              </w:rPr>
              <w:t>100,016</w:t>
            </w:r>
          </w:p>
        </w:tc>
        <w:tc>
          <w:tcPr>
            <w:tcW w:w="995" w:type="dxa"/>
            <w:tcBorders>
              <w:top w:val="nil"/>
              <w:left w:val="nil"/>
              <w:bottom w:val="nil"/>
              <w:right w:val="nil"/>
            </w:tcBorders>
            <w:shd w:val="clear" w:color="auto" w:fill="auto"/>
            <w:noWrap/>
            <w:vAlign w:val="center"/>
            <w:hideMark/>
          </w:tcPr>
          <w:p w:rsidR="001C59BF" w:rsidRPr="001C59BF" w:rsidRDefault="001C59BF" w:rsidP="001C59BF">
            <w:pPr>
              <w:jc w:val="right"/>
              <w:rPr>
                <w:rFonts w:cs="Arial"/>
                <w:color w:val="7F7F7F"/>
                <w:szCs w:val="18"/>
                <w:lang w:eastAsia="en-AU"/>
              </w:rPr>
            </w:pPr>
            <w:r w:rsidRPr="001C59BF">
              <w:rPr>
                <w:rFonts w:cs="Arial"/>
                <w:color w:val="7F7F7F"/>
                <w:szCs w:val="18"/>
                <w:lang w:eastAsia="en-AU"/>
              </w:rPr>
              <w:t>87,804</w:t>
            </w:r>
          </w:p>
        </w:tc>
        <w:tc>
          <w:tcPr>
            <w:tcW w:w="994" w:type="dxa"/>
            <w:tcBorders>
              <w:top w:val="nil"/>
              <w:left w:val="nil"/>
              <w:bottom w:val="nil"/>
              <w:right w:val="nil"/>
            </w:tcBorders>
            <w:shd w:val="clear" w:color="auto" w:fill="auto"/>
            <w:noWrap/>
            <w:vAlign w:val="center"/>
            <w:hideMark/>
          </w:tcPr>
          <w:p w:rsidR="001C59BF" w:rsidRPr="001C59BF" w:rsidRDefault="001C59BF" w:rsidP="001C59BF">
            <w:pPr>
              <w:jc w:val="right"/>
              <w:rPr>
                <w:rFonts w:cs="Arial"/>
                <w:color w:val="7F7F7F"/>
                <w:szCs w:val="18"/>
                <w:lang w:eastAsia="en-AU"/>
              </w:rPr>
            </w:pPr>
            <w:r w:rsidRPr="001C59BF">
              <w:rPr>
                <w:rFonts w:cs="Arial"/>
                <w:color w:val="7F7F7F"/>
                <w:szCs w:val="18"/>
                <w:lang w:eastAsia="en-AU"/>
              </w:rPr>
              <w:t>80,023</w:t>
            </w:r>
          </w:p>
        </w:tc>
        <w:tc>
          <w:tcPr>
            <w:tcW w:w="995" w:type="dxa"/>
            <w:tcBorders>
              <w:top w:val="nil"/>
              <w:left w:val="nil"/>
              <w:bottom w:val="nil"/>
              <w:right w:val="nil"/>
            </w:tcBorders>
            <w:shd w:val="clear" w:color="auto" w:fill="auto"/>
            <w:noWrap/>
            <w:vAlign w:val="center"/>
            <w:hideMark/>
          </w:tcPr>
          <w:p w:rsidR="001C59BF" w:rsidRPr="001C59BF" w:rsidRDefault="001C59BF" w:rsidP="001C59BF">
            <w:pPr>
              <w:jc w:val="right"/>
              <w:rPr>
                <w:rFonts w:cs="Arial"/>
                <w:color w:val="7F7F7F"/>
                <w:szCs w:val="18"/>
                <w:lang w:eastAsia="en-AU"/>
              </w:rPr>
            </w:pPr>
            <w:r w:rsidRPr="001C59BF">
              <w:rPr>
                <w:rFonts w:cs="Arial"/>
                <w:color w:val="7F7F7F"/>
                <w:szCs w:val="18"/>
                <w:lang w:eastAsia="en-AU"/>
              </w:rPr>
              <w:t>74,317</w:t>
            </w:r>
          </w:p>
        </w:tc>
      </w:tr>
      <w:tr w:rsidR="001C59BF" w:rsidRPr="001C59BF" w:rsidTr="00025845">
        <w:trPr>
          <w:trHeight w:val="300"/>
        </w:trPr>
        <w:tc>
          <w:tcPr>
            <w:tcW w:w="2180" w:type="dxa"/>
            <w:tcBorders>
              <w:top w:val="nil"/>
              <w:left w:val="nil"/>
              <w:bottom w:val="nil"/>
              <w:right w:val="nil"/>
            </w:tcBorders>
            <w:shd w:val="clear" w:color="auto" w:fill="auto"/>
            <w:noWrap/>
            <w:vAlign w:val="center"/>
            <w:hideMark/>
          </w:tcPr>
          <w:p w:rsidR="001C59BF" w:rsidRPr="001C59BF" w:rsidRDefault="001C59BF" w:rsidP="00794B13">
            <w:pPr>
              <w:rPr>
                <w:rFonts w:cs="Arial"/>
                <w:color w:val="7F7F7F"/>
                <w:szCs w:val="18"/>
                <w:lang w:eastAsia="en-AU"/>
              </w:rPr>
            </w:pPr>
            <w:r w:rsidRPr="001C59BF">
              <w:rPr>
                <w:rFonts w:cs="Arial"/>
                <w:color w:val="7F7F7F"/>
                <w:szCs w:val="18"/>
                <w:lang w:eastAsia="en-AU"/>
              </w:rPr>
              <w:t>South</w:t>
            </w:r>
            <w:r w:rsidR="00794B13">
              <w:rPr>
                <w:rFonts w:cs="Arial"/>
                <w:color w:val="7F7F7F"/>
                <w:szCs w:val="18"/>
                <w:lang w:eastAsia="en-AU"/>
              </w:rPr>
              <w:t>-</w:t>
            </w:r>
            <w:r w:rsidRPr="001C59BF">
              <w:rPr>
                <w:rFonts w:cs="Arial"/>
                <w:color w:val="7F7F7F"/>
                <w:szCs w:val="18"/>
                <w:lang w:eastAsia="en-AU"/>
              </w:rPr>
              <w:t>Western Victoria</w:t>
            </w:r>
          </w:p>
        </w:tc>
        <w:tc>
          <w:tcPr>
            <w:tcW w:w="994" w:type="dxa"/>
            <w:tcBorders>
              <w:top w:val="nil"/>
              <w:left w:val="nil"/>
              <w:bottom w:val="nil"/>
              <w:right w:val="nil"/>
            </w:tcBorders>
            <w:shd w:val="clear" w:color="auto" w:fill="auto"/>
            <w:noWrap/>
            <w:vAlign w:val="center"/>
            <w:hideMark/>
          </w:tcPr>
          <w:p w:rsidR="001C59BF" w:rsidRPr="001C59BF" w:rsidRDefault="001C59BF" w:rsidP="001C59BF">
            <w:pPr>
              <w:jc w:val="right"/>
              <w:rPr>
                <w:rFonts w:cs="Arial"/>
                <w:color w:val="7F7F7F"/>
                <w:szCs w:val="18"/>
                <w:lang w:eastAsia="en-AU"/>
              </w:rPr>
            </w:pPr>
            <w:r w:rsidRPr="001C59BF">
              <w:rPr>
                <w:rFonts w:cs="Arial"/>
                <w:color w:val="7F7F7F"/>
                <w:szCs w:val="18"/>
                <w:lang w:eastAsia="en-AU"/>
              </w:rPr>
              <w:t>81,907</w:t>
            </w:r>
          </w:p>
        </w:tc>
        <w:tc>
          <w:tcPr>
            <w:tcW w:w="995" w:type="dxa"/>
            <w:tcBorders>
              <w:top w:val="nil"/>
              <w:left w:val="nil"/>
              <w:bottom w:val="nil"/>
              <w:right w:val="nil"/>
            </w:tcBorders>
            <w:shd w:val="clear" w:color="auto" w:fill="auto"/>
            <w:noWrap/>
            <w:vAlign w:val="center"/>
            <w:hideMark/>
          </w:tcPr>
          <w:p w:rsidR="001C59BF" w:rsidRPr="001C59BF" w:rsidRDefault="001C59BF" w:rsidP="001C59BF">
            <w:pPr>
              <w:jc w:val="right"/>
              <w:rPr>
                <w:rFonts w:cs="Arial"/>
                <w:color w:val="7F7F7F"/>
                <w:szCs w:val="18"/>
                <w:lang w:eastAsia="en-AU"/>
              </w:rPr>
            </w:pPr>
            <w:r w:rsidRPr="001C59BF">
              <w:rPr>
                <w:rFonts w:cs="Arial"/>
                <w:color w:val="7F7F7F"/>
                <w:szCs w:val="18"/>
                <w:lang w:eastAsia="en-AU"/>
              </w:rPr>
              <w:t>112,679</w:t>
            </w:r>
          </w:p>
        </w:tc>
        <w:tc>
          <w:tcPr>
            <w:tcW w:w="994" w:type="dxa"/>
            <w:tcBorders>
              <w:top w:val="nil"/>
              <w:left w:val="nil"/>
              <w:bottom w:val="nil"/>
              <w:right w:val="nil"/>
            </w:tcBorders>
            <w:shd w:val="clear" w:color="auto" w:fill="auto"/>
            <w:noWrap/>
            <w:vAlign w:val="center"/>
            <w:hideMark/>
          </w:tcPr>
          <w:p w:rsidR="001C59BF" w:rsidRPr="001C59BF" w:rsidRDefault="001C59BF" w:rsidP="001C59BF">
            <w:pPr>
              <w:jc w:val="right"/>
              <w:rPr>
                <w:rFonts w:cs="Arial"/>
                <w:color w:val="7F7F7F"/>
                <w:szCs w:val="18"/>
                <w:lang w:eastAsia="en-AU"/>
              </w:rPr>
            </w:pPr>
            <w:r w:rsidRPr="001C59BF">
              <w:rPr>
                <w:rFonts w:cs="Arial"/>
                <w:color w:val="7F7F7F"/>
                <w:szCs w:val="18"/>
                <w:lang w:eastAsia="en-AU"/>
              </w:rPr>
              <w:t>180,130</w:t>
            </w:r>
          </w:p>
        </w:tc>
        <w:tc>
          <w:tcPr>
            <w:tcW w:w="995" w:type="dxa"/>
            <w:tcBorders>
              <w:top w:val="nil"/>
              <w:left w:val="nil"/>
              <w:bottom w:val="nil"/>
              <w:right w:val="nil"/>
            </w:tcBorders>
            <w:shd w:val="clear" w:color="auto" w:fill="auto"/>
            <w:noWrap/>
            <w:vAlign w:val="center"/>
            <w:hideMark/>
          </w:tcPr>
          <w:p w:rsidR="001C59BF" w:rsidRPr="001C59BF" w:rsidRDefault="001C59BF" w:rsidP="001C59BF">
            <w:pPr>
              <w:jc w:val="right"/>
              <w:rPr>
                <w:rFonts w:cs="Arial"/>
                <w:color w:val="7F7F7F"/>
                <w:szCs w:val="18"/>
                <w:lang w:eastAsia="en-AU"/>
              </w:rPr>
            </w:pPr>
            <w:r w:rsidRPr="001C59BF">
              <w:rPr>
                <w:rFonts w:cs="Arial"/>
                <w:color w:val="7F7F7F"/>
                <w:szCs w:val="18"/>
                <w:lang w:eastAsia="en-AU"/>
              </w:rPr>
              <w:t>150,352</w:t>
            </w:r>
          </w:p>
        </w:tc>
        <w:tc>
          <w:tcPr>
            <w:tcW w:w="994" w:type="dxa"/>
            <w:tcBorders>
              <w:top w:val="nil"/>
              <w:left w:val="nil"/>
              <w:bottom w:val="nil"/>
              <w:right w:val="nil"/>
            </w:tcBorders>
            <w:shd w:val="clear" w:color="auto" w:fill="auto"/>
            <w:noWrap/>
            <w:vAlign w:val="center"/>
            <w:hideMark/>
          </w:tcPr>
          <w:p w:rsidR="001C59BF" w:rsidRPr="001C59BF" w:rsidRDefault="001C59BF" w:rsidP="001C59BF">
            <w:pPr>
              <w:jc w:val="right"/>
              <w:rPr>
                <w:rFonts w:cs="Arial"/>
                <w:color w:val="7F7F7F"/>
                <w:szCs w:val="18"/>
                <w:lang w:eastAsia="en-AU"/>
              </w:rPr>
            </w:pPr>
            <w:r w:rsidRPr="001C59BF">
              <w:rPr>
                <w:rFonts w:cs="Arial"/>
                <w:color w:val="7F7F7F"/>
                <w:szCs w:val="18"/>
                <w:lang w:eastAsia="en-AU"/>
              </w:rPr>
              <w:t>154,221</w:t>
            </w:r>
          </w:p>
        </w:tc>
        <w:tc>
          <w:tcPr>
            <w:tcW w:w="995" w:type="dxa"/>
            <w:tcBorders>
              <w:top w:val="nil"/>
              <w:left w:val="nil"/>
              <w:bottom w:val="nil"/>
              <w:right w:val="nil"/>
            </w:tcBorders>
            <w:shd w:val="clear" w:color="auto" w:fill="auto"/>
            <w:noWrap/>
            <w:vAlign w:val="center"/>
            <w:hideMark/>
          </w:tcPr>
          <w:p w:rsidR="001C59BF" w:rsidRPr="001C59BF" w:rsidRDefault="001C59BF" w:rsidP="001C59BF">
            <w:pPr>
              <w:jc w:val="right"/>
              <w:rPr>
                <w:rFonts w:cs="Arial"/>
                <w:color w:val="7F7F7F"/>
                <w:szCs w:val="18"/>
                <w:lang w:eastAsia="en-AU"/>
              </w:rPr>
            </w:pPr>
            <w:r w:rsidRPr="001C59BF">
              <w:rPr>
                <w:rFonts w:cs="Arial"/>
                <w:color w:val="7F7F7F"/>
                <w:szCs w:val="18"/>
                <w:lang w:eastAsia="en-AU"/>
              </w:rPr>
              <w:t>125,091</w:t>
            </w:r>
          </w:p>
        </w:tc>
      </w:tr>
      <w:tr w:rsidR="001C59BF" w:rsidRPr="001C59BF" w:rsidTr="00025845">
        <w:trPr>
          <w:trHeight w:val="300"/>
        </w:trPr>
        <w:tc>
          <w:tcPr>
            <w:tcW w:w="2180" w:type="dxa"/>
            <w:tcBorders>
              <w:top w:val="nil"/>
              <w:left w:val="nil"/>
              <w:bottom w:val="nil"/>
              <w:right w:val="nil"/>
            </w:tcBorders>
            <w:shd w:val="clear" w:color="auto" w:fill="auto"/>
            <w:noWrap/>
            <w:vAlign w:val="center"/>
            <w:hideMark/>
          </w:tcPr>
          <w:p w:rsidR="001C59BF" w:rsidRPr="001C59BF" w:rsidRDefault="001C59BF" w:rsidP="001C59BF">
            <w:pPr>
              <w:rPr>
                <w:rFonts w:cs="Arial"/>
                <w:color w:val="7F7F7F"/>
                <w:szCs w:val="18"/>
                <w:lang w:eastAsia="en-AU"/>
              </w:rPr>
            </w:pPr>
            <w:r w:rsidRPr="001C59BF">
              <w:rPr>
                <w:rFonts w:cs="Arial"/>
                <w:color w:val="7F7F7F"/>
                <w:szCs w:val="18"/>
                <w:lang w:eastAsia="en-AU"/>
              </w:rPr>
              <w:t>Interstate</w:t>
            </w:r>
          </w:p>
        </w:tc>
        <w:tc>
          <w:tcPr>
            <w:tcW w:w="994" w:type="dxa"/>
            <w:tcBorders>
              <w:top w:val="nil"/>
              <w:left w:val="nil"/>
              <w:bottom w:val="nil"/>
              <w:right w:val="nil"/>
            </w:tcBorders>
            <w:shd w:val="clear" w:color="auto" w:fill="auto"/>
            <w:noWrap/>
            <w:vAlign w:val="center"/>
            <w:hideMark/>
          </w:tcPr>
          <w:p w:rsidR="001C59BF" w:rsidRPr="001C59BF" w:rsidRDefault="001C59BF" w:rsidP="001C59BF">
            <w:pPr>
              <w:jc w:val="right"/>
              <w:rPr>
                <w:rFonts w:cs="Arial"/>
                <w:color w:val="7F7F7F"/>
                <w:szCs w:val="18"/>
                <w:lang w:eastAsia="en-AU"/>
              </w:rPr>
            </w:pPr>
            <w:r w:rsidRPr="001C59BF">
              <w:rPr>
                <w:rFonts w:cs="Arial"/>
                <w:color w:val="7F7F7F"/>
                <w:szCs w:val="18"/>
                <w:lang w:eastAsia="en-AU"/>
              </w:rPr>
              <w:t>93</w:t>
            </w:r>
          </w:p>
        </w:tc>
        <w:tc>
          <w:tcPr>
            <w:tcW w:w="995" w:type="dxa"/>
            <w:tcBorders>
              <w:top w:val="nil"/>
              <w:left w:val="nil"/>
              <w:bottom w:val="nil"/>
              <w:right w:val="nil"/>
            </w:tcBorders>
            <w:shd w:val="clear" w:color="auto" w:fill="auto"/>
            <w:noWrap/>
            <w:vAlign w:val="center"/>
            <w:hideMark/>
          </w:tcPr>
          <w:p w:rsidR="001C59BF" w:rsidRPr="001C59BF" w:rsidRDefault="001C59BF" w:rsidP="001C59BF">
            <w:pPr>
              <w:jc w:val="right"/>
              <w:rPr>
                <w:rFonts w:cs="Arial"/>
                <w:color w:val="7F7F7F"/>
                <w:szCs w:val="18"/>
                <w:lang w:eastAsia="en-AU"/>
              </w:rPr>
            </w:pPr>
            <w:r w:rsidRPr="001C59BF">
              <w:rPr>
                <w:rFonts w:cs="Arial"/>
                <w:color w:val="7F7F7F"/>
                <w:szCs w:val="18"/>
                <w:lang w:eastAsia="en-AU"/>
              </w:rPr>
              <w:t>14</w:t>
            </w:r>
          </w:p>
        </w:tc>
        <w:tc>
          <w:tcPr>
            <w:tcW w:w="994" w:type="dxa"/>
            <w:tcBorders>
              <w:top w:val="nil"/>
              <w:left w:val="nil"/>
              <w:bottom w:val="nil"/>
              <w:right w:val="nil"/>
            </w:tcBorders>
            <w:shd w:val="clear" w:color="auto" w:fill="auto"/>
            <w:noWrap/>
            <w:vAlign w:val="center"/>
            <w:hideMark/>
          </w:tcPr>
          <w:p w:rsidR="001C59BF" w:rsidRPr="001C59BF" w:rsidRDefault="001C59BF" w:rsidP="001C59BF">
            <w:pPr>
              <w:jc w:val="right"/>
              <w:rPr>
                <w:rFonts w:cs="Arial"/>
                <w:color w:val="7F7F7F"/>
                <w:szCs w:val="18"/>
                <w:lang w:eastAsia="en-AU"/>
              </w:rPr>
            </w:pPr>
            <w:r w:rsidRPr="001C59BF">
              <w:rPr>
                <w:rFonts w:cs="Arial"/>
                <w:color w:val="7F7F7F"/>
                <w:szCs w:val="18"/>
                <w:lang w:eastAsia="en-AU"/>
              </w:rPr>
              <w:t>63</w:t>
            </w:r>
          </w:p>
        </w:tc>
        <w:tc>
          <w:tcPr>
            <w:tcW w:w="995" w:type="dxa"/>
            <w:tcBorders>
              <w:top w:val="nil"/>
              <w:left w:val="nil"/>
              <w:bottom w:val="nil"/>
              <w:right w:val="nil"/>
            </w:tcBorders>
            <w:shd w:val="clear" w:color="auto" w:fill="auto"/>
            <w:noWrap/>
            <w:vAlign w:val="center"/>
            <w:hideMark/>
          </w:tcPr>
          <w:p w:rsidR="001C59BF" w:rsidRPr="001C59BF" w:rsidRDefault="001C59BF" w:rsidP="001C59BF">
            <w:pPr>
              <w:jc w:val="right"/>
              <w:rPr>
                <w:rFonts w:cs="Arial"/>
                <w:color w:val="7F7F7F"/>
                <w:szCs w:val="18"/>
                <w:lang w:eastAsia="en-AU"/>
              </w:rPr>
            </w:pPr>
            <w:r w:rsidRPr="001C59BF">
              <w:rPr>
                <w:rFonts w:cs="Arial"/>
                <w:color w:val="7F7F7F"/>
                <w:szCs w:val="18"/>
                <w:lang w:eastAsia="en-AU"/>
              </w:rPr>
              <w:t>39</w:t>
            </w:r>
          </w:p>
        </w:tc>
        <w:tc>
          <w:tcPr>
            <w:tcW w:w="994" w:type="dxa"/>
            <w:tcBorders>
              <w:top w:val="nil"/>
              <w:left w:val="nil"/>
              <w:bottom w:val="nil"/>
              <w:right w:val="nil"/>
            </w:tcBorders>
            <w:shd w:val="clear" w:color="auto" w:fill="auto"/>
            <w:noWrap/>
            <w:vAlign w:val="center"/>
            <w:hideMark/>
          </w:tcPr>
          <w:p w:rsidR="001C59BF" w:rsidRPr="001C59BF" w:rsidRDefault="001C59BF" w:rsidP="001C59BF">
            <w:pPr>
              <w:jc w:val="right"/>
              <w:rPr>
                <w:rFonts w:cs="Arial"/>
                <w:color w:val="7F7F7F"/>
                <w:szCs w:val="18"/>
                <w:lang w:eastAsia="en-AU"/>
              </w:rPr>
            </w:pPr>
            <w:r w:rsidRPr="001C59BF">
              <w:rPr>
                <w:rFonts w:cs="Arial"/>
                <w:color w:val="7F7F7F"/>
                <w:szCs w:val="18"/>
                <w:lang w:eastAsia="en-AU"/>
              </w:rPr>
              <w:t>194</w:t>
            </w:r>
          </w:p>
        </w:tc>
        <w:tc>
          <w:tcPr>
            <w:tcW w:w="995" w:type="dxa"/>
            <w:tcBorders>
              <w:top w:val="nil"/>
              <w:left w:val="nil"/>
              <w:bottom w:val="nil"/>
              <w:right w:val="nil"/>
            </w:tcBorders>
            <w:shd w:val="clear" w:color="auto" w:fill="auto"/>
            <w:noWrap/>
            <w:vAlign w:val="center"/>
            <w:hideMark/>
          </w:tcPr>
          <w:p w:rsidR="001C59BF" w:rsidRPr="001C59BF" w:rsidRDefault="001C59BF" w:rsidP="001C59BF">
            <w:pPr>
              <w:jc w:val="right"/>
              <w:rPr>
                <w:rFonts w:cs="Arial"/>
                <w:color w:val="7F7F7F"/>
                <w:szCs w:val="18"/>
                <w:lang w:eastAsia="en-AU"/>
              </w:rPr>
            </w:pPr>
            <w:r w:rsidRPr="001C59BF">
              <w:rPr>
                <w:rFonts w:cs="Arial"/>
                <w:color w:val="7F7F7F"/>
                <w:szCs w:val="18"/>
                <w:lang w:eastAsia="en-AU"/>
              </w:rPr>
              <w:t>6</w:t>
            </w:r>
          </w:p>
        </w:tc>
      </w:tr>
      <w:tr w:rsidR="001C59BF" w:rsidRPr="001C59BF" w:rsidTr="00025845">
        <w:trPr>
          <w:trHeight w:val="300"/>
        </w:trPr>
        <w:tc>
          <w:tcPr>
            <w:tcW w:w="2180" w:type="dxa"/>
            <w:tcBorders>
              <w:top w:val="nil"/>
              <w:left w:val="nil"/>
              <w:bottom w:val="nil"/>
              <w:right w:val="nil"/>
            </w:tcBorders>
            <w:shd w:val="clear" w:color="auto" w:fill="auto"/>
            <w:noWrap/>
            <w:vAlign w:val="center"/>
            <w:hideMark/>
          </w:tcPr>
          <w:p w:rsidR="001C59BF" w:rsidRPr="001C59BF" w:rsidRDefault="001C59BF" w:rsidP="001C59BF">
            <w:pPr>
              <w:rPr>
                <w:rFonts w:cs="Arial"/>
                <w:color w:val="7F7F7F"/>
                <w:szCs w:val="18"/>
                <w:lang w:eastAsia="en-AU"/>
              </w:rPr>
            </w:pPr>
            <w:r w:rsidRPr="001C59BF">
              <w:rPr>
                <w:rFonts w:cs="Arial"/>
                <w:color w:val="7F7F7F"/>
                <w:szCs w:val="18"/>
                <w:lang w:eastAsia="en-AU"/>
              </w:rPr>
              <w:t>Other*</w:t>
            </w:r>
          </w:p>
        </w:tc>
        <w:tc>
          <w:tcPr>
            <w:tcW w:w="994" w:type="dxa"/>
            <w:tcBorders>
              <w:top w:val="nil"/>
              <w:left w:val="nil"/>
              <w:bottom w:val="nil"/>
              <w:right w:val="nil"/>
            </w:tcBorders>
            <w:shd w:val="clear" w:color="auto" w:fill="auto"/>
            <w:noWrap/>
            <w:vAlign w:val="center"/>
            <w:hideMark/>
          </w:tcPr>
          <w:p w:rsidR="001C59BF" w:rsidRPr="001C59BF" w:rsidRDefault="001C59BF" w:rsidP="001C59BF">
            <w:pPr>
              <w:jc w:val="right"/>
              <w:rPr>
                <w:rFonts w:cs="Arial"/>
                <w:color w:val="7F7F7F"/>
                <w:szCs w:val="18"/>
                <w:lang w:eastAsia="en-AU"/>
              </w:rPr>
            </w:pPr>
            <w:r w:rsidRPr="001C59BF">
              <w:rPr>
                <w:rFonts w:cs="Arial"/>
                <w:color w:val="7F7F7F"/>
                <w:szCs w:val="18"/>
                <w:lang w:eastAsia="en-AU"/>
              </w:rPr>
              <w:t>7,566</w:t>
            </w:r>
          </w:p>
        </w:tc>
        <w:tc>
          <w:tcPr>
            <w:tcW w:w="995" w:type="dxa"/>
            <w:tcBorders>
              <w:top w:val="nil"/>
              <w:left w:val="nil"/>
              <w:bottom w:val="nil"/>
              <w:right w:val="nil"/>
            </w:tcBorders>
            <w:shd w:val="clear" w:color="auto" w:fill="auto"/>
            <w:noWrap/>
            <w:vAlign w:val="center"/>
            <w:hideMark/>
          </w:tcPr>
          <w:p w:rsidR="001C59BF" w:rsidRPr="001C59BF" w:rsidRDefault="001C59BF" w:rsidP="001C59BF">
            <w:pPr>
              <w:jc w:val="right"/>
              <w:rPr>
                <w:rFonts w:cs="Arial"/>
                <w:color w:val="7F7F7F"/>
                <w:szCs w:val="18"/>
                <w:lang w:eastAsia="en-AU"/>
              </w:rPr>
            </w:pPr>
            <w:r w:rsidRPr="001C59BF">
              <w:rPr>
                <w:rFonts w:cs="Arial"/>
                <w:color w:val="7F7F7F"/>
                <w:szCs w:val="18"/>
                <w:lang w:eastAsia="en-AU"/>
              </w:rPr>
              <w:t>7,489</w:t>
            </w:r>
          </w:p>
        </w:tc>
        <w:tc>
          <w:tcPr>
            <w:tcW w:w="994" w:type="dxa"/>
            <w:tcBorders>
              <w:top w:val="nil"/>
              <w:left w:val="nil"/>
              <w:bottom w:val="nil"/>
              <w:right w:val="nil"/>
            </w:tcBorders>
            <w:shd w:val="clear" w:color="auto" w:fill="auto"/>
            <w:noWrap/>
            <w:vAlign w:val="center"/>
            <w:hideMark/>
          </w:tcPr>
          <w:p w:rsidR="001C59BF" w:rsidRPr="001C59BF" w:rsidRDefault="001C59BF" w:rsidP="001C59BF">
            <w:pPr>
              <w:jc w:val="right"/>
              <w:rPr>
                <w:rFonts w:cs="Arial"/>
                <w:color w:val="7F7F7F"/>
                <w:szCs w:val="18"/>
                <w:lang w:eastAsia="en-AU"/>
              </w:rPr>
            </w:pPr>
            <w:r w:rsidRPr="001C59BF">
              <w:rPr>
                <w:rFonts w:cs="Arial"/>
                <w:color w:val="7F7F7F"/>
                <w:szCs w:val="18"/>
                <w:lang w:eastAsia="en-AU"/>
              </w:rPr>
              <w:t>10,285</w:t>
            </w:r>
          </w:p>
        </w:tc>
        <w:tc>
          <w:tcPr>
            <w:tcW w:w="995" w:type="dxa"/>
            <w:tcBorders>
              <w:top w:val="nil"/>
              <w:left w:val="nil"/>
              <w:bottom w:val="nil"/>
              <w:right w:val="nil"/>
            </w:tcBorders>
            <w:shd w:val="clear" w:color="auto" w:fill="auto"/>
            <w:noWrap/>
            <w:vAlign w:val="center"/>
            <w:hideMark/>
          </w:tcPr>
          <w:p w:rsidR="001C59BF" w:rsidRPr="001C59BF" w:rsidRDefault="001C59BF" w:rsidP="001C59BF">
            <w:pPr>
              <w:jc w:val="right"/>
              <w:rPr>
                <w:rFonts w:cs="Arial"/>
                <w:color w:val="7F7F7F"/>
                <w:szCs w:val="18"/>
                <w:lang w:eastAsia="en-AU"/>
              </w:rPr>
            </w:pPr>
            <w:r w:rsidRPr="001C59BF">
              <w:rPr>
                <w:rFonts w:cs="Arial"/>
                <w:color w:val="7F7F7F"/>
                <w:szCs w:val="18"/>
                <w:lang w:eastAsia="en-AU"/>
              </w:rPr>
              <w:t>7,306</w:t>
            </w:r>
          </w:p>
        </w:tc>
        <w:tc>
          <w:tcPr>
            <w:tcW w:w="994" w:type="dxa"/>
            <w:tcBorders>
              <w:top w:val="nil"/>
              <w:left w:val="nil"/>
              <w:bottom w:val="nil"/>
              <w:right w:val="nil"/>
            </w:tcBorders>
            <w:shd w:val="clear" w:color="auto" w:fill="auto"/>
            <w:noWrap/>
            <w:vAlign w:val="center"/>
            <w:hideMark/>
          </w:tcPr>
          <w:p w:rsidR="001C59BF" w:rsidRPr="001C59BF" w:rsidRDefault="001C59BF" w:rsidP="001C59BF">
            <w:pPr>
              <w:jc w:val="right"/>
              <w:rPr>
                <w:rFonts w:cs="Arial"/>
                <w:color w:val="7F7F7F"/>
                <w:szCs w:val="18"/>
                <w:lang w:eastAsia="en-AU"/>
              </w:rPr>
            </w:pPr>
            <w:r w:rsidRPr="001C59BF">
              <w:rPr>
                <w:rFonts w:cs="Arial"/>
                <w:color w:val="7F7F7F"/>
                <w:szCs w:val="18"/>
                <w:lang w:eastAsia="en-AU"/>
              </w:rPr>
              <w:t>2,218</w:t>
            </w:r>
          </w:p>
        </w:tc>
        <w:tc>
          <w:tcPr>
            <w:tcW w:w="995" w:type="dxa"/>
            <w:tcBorders>
              <w:top w:val="nil"/>
              <w:left w:val="nil"/>
              <w:bottom w:val="nil"/>
              <w:right w:val="nil"/>
            </w:tcBorders>
            <w:shd w:val="clear" w:color="auto" w:fill="auto"/>
            <w:noWrap/>
            <w:vAlign w:val="center"/>
            <w:hideMark/>
          </w:tcPr>
          <w:p w:rsidR="001C59BF" w:rsidRPr="001C59BF" w:rsidRDefault="001C59BF" w:rsidP="001C59BF">
            <w:pPr>
              <w:jc w:val="right"/>
              <w:rPr>
                <w:rFonts w:cs="Arial"/>
                <w:color w:val="7F7F7F"/>
                <w:szCs w:val="18"/>
                <w:lang w:eastAsia="en-AU"/>
              </w:rPr>
            </w:pPr>
            <w:r w:rsidRPr="001C59BF">
              <w:rPr>
                <w:rFonts w:cs="Arial"/>
                <w:color w:val="7F7F7F"/>
                <w:szCs w:val="18"/>
                <w:lang w:eastAsia="en-AU"/>
              </w:rPr>
              <w:t>1,408</w:t>
            </w:r>
          </w:p>
        </w:tc>
      </w:tr>
      <w:tr w:rsidR="001C59BF" w:rsidRPr="001C59BF" w:rsidTr="00025845">
        <w:trPr>
          <w:trHeight w:val="300"/>
        </w:trPr>
        <w:tc>
          <w:tcPr>
            <w:tcW w:w="2180" w:type="dxa"/>
            <w:tcBorders>
              <w:top w:val="nil"/>
              <w:left w:val="nil"/>
              <w:bottom w:val="nil"/>
              <w:right w:val="nil"/>
            </w:tcBorders>
            <w:shd w:val="clear" w:color="000000" w:fill="7F7F7F"/>
            <w:noWrap/>
            <w:vAlign w:val="center"/>
            <w:hideMark/>
          </w:tcPr>
          <w:p w:rsidR="001C59BF" w:rsidRPr="001C59BF" w:rsidRDefault="001C59BF" w:rsidP="001C59BF">
            <w:pPr>
              <w:rPr>
                <w:rFonts w:cs="Arial"/>
                <w:b/>
                <w:bCs/>
                <w:color w:val="FFFFFF"/>
                <w:szCs w:val="18"/>
                <w:lang w:eastAsia="en-AU"/>
              </w:rPr>
            </w:pPr>
            <w:r w:rsidRPr="001C59BF">
              <w:rPr>
                <w:rFonts w:cs="Arial"/>
                <w:b/>
                <w:bCs/>
                <w:color w:val="FFFFFF"/>
                <w:szCs w:val="18"/>
                <w:lang w:eastAsia="en-AU"/>
              </w:rPr>
              <w:t>Total**</w:t>
            </w:r>
          </w:p>
        </w:tc>
        <w:tc>
          <w:tcPr>
            <w:tcW w:w="994" w:type="dxa"/>
            <w:tcBorders>
              <w:top w:val="nil"/>
              <w:left w:val="nil"/>
              <w:bottom w:val="nil"/>
              <w:right w:val="nil"/>
            </w:tcBorders>
            <w:shd w:val="clear" w:color="000000" w:fill="7F7F7F"/>
            <w:noWrap/>
            <w:vAlign w:val="center"/>
            <w:hideMark/>
          </w:tcPr>
          <w:p w:rsidR="001C59BF" w:rsidRPr="001C59BF" w:rsidRDefault="001C59BF" w:rsidP="001C59BF">
            <w:pPr>
              <w:jc w:val="right"/>
              <w:rPr>
                <w:rFonts w:cs="Arial"/>
                <w:b/>
                <w:bCs/>
                <w:color w:val="FFFFFF"/>
                <w:szCs w:val="18"/>
                <w:lang w:eastAsia="en-AU"/>
              </w:rPr>
            </w:pPr>
            <w:r w:rsidRPr="001C59BF">
              <w:rPr>
                <w:rFonts w:cs="Arial"/>
                <w:b/>
                <w:bCs/>
                <w:color w:val="FFFFFF"/>
                <w:szCs w:val="18"/>
                <w:lang w:eastAsia="en-AU"/>
              </w:rPr>
              <w:t>247,685</w:t>
            </w:r>
          </w:p>
        </w:tc>
        <w:tc>
          <w:tcPr>
            <w:tcW w:w="995" w:type="dxa"/>
            <w:tcBorders>
              <w:top w:val="nil"/>
              <w:left w:val="nil"/>
              <w:bottom w:val="nil"/>
              <w:right w:val="nil"/>
            </w:tcBorders>
            <w:shd w:val="clear" w:color="000000" w:fill="7F7F7F"/>
            <w:noWrap/>
            <w:vAlign w:val="center"/>
            <w:hideMark/>
          </w:tcPr>
          <w:p w:rsidR="001C59BF" w:rsidRPr="001C59BF" w:rsidRDefault="001C59BF" w:rsidP="001C59BF">
            <w:pPr>
              <w:jc w:val="right"/>
              <w:rPr>
                <w:rFonts w:cs="Arial"/>
                <w:b/>
                <w:bCs/>
                <w:color w:val="FFFFFF"/>
                <w:szCs w:val="18"/>
                <w:lang w:eastAsia="en-AU"/>
              </w:rPr>
            </w:pPr>
            <w:r w:rsidRPr="001C59BF">
              <w:rPr>
                <w:rFonts w:cs="Arial"/>
                <w:b/>
                <w:bCs/>
                <w:color w:val="FFFFFF"/>
                <w:szCs w:val="18"/>
                <w:lang w:eastAsia="en-AU"/>
              </w:rPr>
              <w:t>309,420</w:t>
            </w:r>
          </w:p>
        </w:tc>
        <w:tc>
          <w:tcPr>
            <w:tcW w:w="994" w:type="dxa"/>
            <w:tcBorders>
              <w:top w:val="nil"/>
              <w:left w:val="nil"/>
              <w:bottom w:val="nil"/>
              <w:right w:val="nil"/>
            </w:tcBorders>
            <w:shd w:val="clear" w:color="000000" w:fill="7F7F7F"/>
            <w:noWrap/>
            <w:vAlign w:val="center"/>
            <w:hideMark/>
          </w:tcPr>
          <w:p w:rsidR="001C59BF" w:rsidRPr="001C59BF" w:rsidRDefault="001C59BF" w:rsidP="001C59BF">
            <w:pPr>
              <w:jc w:val="right"/>
              <w:rPr>
                <w:rFonts w:cs="Arial"/>
                <w:b/>
                <w:bCs/>
                <w:color w:val="FFFFFF"/>
                <w:szCs w:val="18"/>
                <w:lang w:eastAsia="en-AU"/>
              </w:rPr>
            </w:pPr>
            <w:r w:rsidRPr="001C59BF">
              <w:rPr>
                <w:rFonts w:cs="Arial"/>
                <w:b/>
                <w:bCs/>
                <w:color w:val="FFFFFF"/>
                <w:szCs w:val="18"/>
                <w:lang w:eastAsia="en-AU"/>
              </w:rPr>
              <w:t>444,501</w:t>
            </w:r>
          </w:p>
        </w:tc>
        <w:tc>
          <w:tcPr>
            <w:tcW w:w="995" w:type="dxa"/>
            <w:tcBorders>
              <w:top w:val="nil"/>
              <w:left w:val="nil"/>
              <w:bottom w:val="nil"/>
              <w:right w:val="nil"/>
            </w:tcBorders>
            <w:shd w:val="clear" w:color="000000" w:fill="7F7F7F"/>
            <w:noWrap/>
            <w:vAlign w:val="center"/>
            <w:hideMark/>
          </w:tcPr>
          <w:p w:rsidR="001C59BF" w:rsidRPr="001C59BF" w:rsidRDefault="001C59BF" w:rsidP="001C59BF">
            <w:pPr>
              <w:jc w:val="right"/>
              <w:rPr>
                <w:rFonts w:cs="Arial"/>
                <w:b/>
                <w:bCs/>
                <w:color w:val="FFFFFF"/>
                <w:szCs w:val="18"/>
                <w:lang w:eastAsia="en-AU"/>
              </w:rPr>
            </w:pPr>
            <w:r w:rsidRPr="001C59BF">
              <w:rPr>
                <w:rFonts w:cs="Arial"/>
                <w:b/>
                <w:bCs/>
                <w:color w:val="FFFFFF"/>
                <w:szCs w:val="18"/>
                <w:lang w:eastAsia="en-AU"/>
              </w:rPr>
              <w:t>383,963</w:t>
            </w:r>
          </w:p>
        </w:tc>
        <w:tc>
          <w:tcPr>
            <w:tcW w:w="994" w:type="dxa"/>
            <w:tcBorders>
              <w:top w:val="nil"/>
              <w:left w:val="nil"/>
              <w:bottom w:val="nil"/>
              <w:right w:val="nil"/>
            </w:tcBorders>
            <w:shd w:val="clear" w:color="000000" w:fill="7F7F7F"/>
            <w:noWrap/>
            <w:vAlign w:val="center"/>
            <w:hideMark/>
          </w:tcPr>
          <w:p w:rsidR="001C59BF" w:rsidRPr="001C59BF" w:rsidRDefault="001C59BF" w:rsidP="001C59BF">
            <w:pPr>
              <w:jc w:val="right"/>
              <w:rPr>
                <w:rFonts w:cs="Arial"/>
                <w:b/>
                <w:bCs/>
                <w:color w:val="FFFFFF"/>
                <w:szCs w:val="18"/>
                <w:lang w:eastAsia="en-AU"/>
              </w:rPr>
            </w:pPr>
            <w:r w:rsidRPr="001C59BF">
              <w:rPr>
                <w:rFonts w:cs="Arial"/>
                <w:b/>
                <w:bCs/>
                <w:color w:val="FFFFFF"/>
                <w:szCs w:val="18"/>
                <w:lang w:eastAsia="en-AU"/>
              </w:rPr>
              <w:t>362,784</w:t>
            </w:r>
          </w:p>
        </w:tc>
        <w:tc>
          <w:tcPr>
            <w:tcW w:w="995" w:type="dxa"/>
            <w:tcBorders>
              <w:top w:val="nil"/>
              <w:left w:val="nil"/>
              <w:bottom w:val="nil"/>
              <w:right w:val="nil"/>
            </w:tcBorders>
            <w:shd w:val="clear" w:color="000000" w:fill="7F7F7F"/>
            <w:noWrap/>
            <w:vAlign w:val="center"/>
            <w:hideMark/>
          </w:tcPr>
          <w:p w:rsidR="001C59BF" w:rsidRPr="001C59BF" w:rsidRDefault="001C59BF" w:rsidP="001C59BF">
            <w:pPr>
              <w:jc w:val="right"/>
              <w:rPr>
                <w:rFonts w:cs="Arial"/>
                <w:b/>
                <w:bCs/>
                <w:color w:val="FFFFFF"/>
                <w:szCs w:val="18"/>
                <w:lang w:eastAsia="en-AU"/>
              </w:rPr>
            </w:pPr>
            <w:r w:rsidRPr="001C59BF">
              <w:rPr>
                <w:rFonts w:cs="Arial"/>
                <w:b/>
                <w:bCs/>
                <w:color w:val="FFFFFF"/>
                <w:szCs w:val="18"/>
                <w:lang w:eastAsia="en-AU"/>
              </w:rPr>
              <w:t>310,089</w:t>
            </w:r>
          </w:p>
        </w:tc>
      </w:tr>
    </w:tbl>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4A0" w:firstRow="1" w:lastRow="0" w:firstColumn="1" w:lastColumn="0" w:noHBand="0" w:noVBand="1"/>
      </w:tblPr>
      <w:tblGrid>
        <w:gridCol w:w="431"/>
        <w:gridCol w:w="7649"/>
      </w:tblGrid>
      <w:tr w:rsidR="00025845" w:rsidRPr="00913551" w:rsidTr="009A601D">
        <w:tc>
          <w:tcPr>
            <w:tcW w:w="431" w:type="dxa"/>
            <w:tcMar>
              <w:left w:w="0" w:type="dxa"/>
              <w:right w:w="28" w:type="dxa"/>
            </w:tcMar>
          </w:tcPr>
          <w:p w:rsidR="00025845" w:rsidRPr="00913551" w:rsidRDefault="00025845" w:rsidP="009A601D">
            <w:pPr>
              <w:spacing w:after="0" w:line="240" w:lineRule="auto"/>
              <w:jc w:val="right"/>
              <w:rPr>
                <w:color w:val="7F7F7F" w:themeColor="text2"/>
                <w:sz w:val="16"/>
                <w:szCs w:val="16"/>
              </w:rPr>
            </w:pPr>
            <w:r w:rsidRPr="00913551">
              <w:rPr>
                <w:color w:val="7F7F7F" w:themeColor="text2"/>
                <w:sz w:val="16"/>
                <w:szCs w:val="16"/>
              </w:rPr>
              <w:t xml:space="preserve">* </w:t>
            </w:r>
          </w:p>
        </w:tc>
        <w:tc>
          <w:tcPr>
            <w:tcW w:w="7649" w:type="dxa"/>
            <w:tcMar>
              <w:left w:w="0" w:type="dxa"/>
              <w:right w:w="28" w:type="dxa"/>
            </w:tcMar>
          </w:tcPr>
          <w:p w:rsidR="00025845" w:rsidRPr="00913551" w:rsidRDefault="00025845" w:rsidP="009A601D">
            <w:pPr>
              <w:pStyle w:val="Note"/>
              <w:spacing w:after="0"/>
              <w:rPr>
                <w:i w:val="0"/>
                <w:color w:val="7F7F7F" w:themeColor="text2"/>
              </w:rPr>
            </w:pPr>
            <w:r w:rsidRPr="00913551">
              <w:t xml:space="preserve">'Other' includes on-line delivery and workplace delivery where the location </w:t>
            </w:r>
            <w:proofErr w:type="gramStart"/>
            <w:r w:rsidRPr="00913551">
              <w:t>cannot be defined</w:t>
            </w:r>
            <w:proofErr w:type="gramEnd"/>
            <w:r w:rsidRPr="00913551">
              <w:t>.</w:t>
            </w:r>
          </w:p>
        </w:tc>
      </w:tr>
      <w:tr w:rsidR="00025845" w:rsidRPr="00913551" w:rsidTr="009A601D">
        <w:tc>
          <w:tcPr>
            <w:tcW w:w="431" w:type="dxa"/>
            <w:tcMar>
              <w:left w:w="0" w:type="dxa"/>
              <w:right w:w="28" w:type="dxa"/>
            </w:tcMar>
          </w:tcPr>
          <w:p w:rsidR="00025845" w:rsidRPr="00913551" w:rsidRDefault="00025845" w:rsidP="009A601D">
            <w:pPr>
              <w:spacing w:after="0" w:line="240" w:lineRule="auto"/>
              <w:jc w:val="right"/>
              <w:rPr>
                <w:color w:val="7F7F7F" w:themeColor="text2"/>
                <w:sz w:val="16"/>
                <w:szCs w:val="16"/>
              </w:rPr>
            </w:pPr>
            <w:r w:rsidRPr="00913551">
              <w:rPr>
                <w:color w:val="7F7F7F" w:themeColor="text2"/>
                <w:sz w:val="16"/>
                <w:szCs w:val="16"/>
              </w:rPr>
              <w:t>**</w:t>
            </w:r>
          </w:p>
        </w:tc>
        <w:tc>
          <w:tcPr>
            <w:tcW w:w="7649" w:type="dxa"/>
            <w:tcMar>
              <w:left w:w="0" w:type="dxa"/>
              <w:right w:w="28" w:type="dxa"/>
            </w:tcMar>
          </w:tcPr>
          <w:p w:rsidR="00025845" w:rsidRPr="00913551" w:rsidRDefault="00C344DB" w:rsidP="001A6F4D">
            <w:pPr>
              <w:spacing w:after="0" w:line="240" w:lineRule="auto"/>
              <w:rPr>
                <w:i/>
                <w:sz w:val="16"/>
                <w:szCs w:val="16"/>
              </w:rPr>
            </w:pPr>
            <w:r w:rsidRPr="00C344DB">
              <w:rPr>
                <w:i/>
                <w:sz w:val="16"/>
                <w:szCs w:val="16"/>
              </w:rPr>
              <w:t xml:space="preserve">Where a course </w:t>
            </w:r>
            <w:proofErr w:type="gramStart"/>
            <w:r w:rsidR="001A6F4D">
              <w:rPr>
                <w:i/>
                <w:sz w:val="16"/>
                <w:szCs w:val="16"/>
              </w:rPr>
              <w:t>was</w:t>
            </w:r>
            <w:r w:rsidRPr="00C344DB">
              <w:rPr>
                <w:i/>
                <w:sz w:val="16"/>
                <w:szCs w:val="16"/>
              </w:rPr>
              <w:t xml:space="preserve"> delivered</w:t>
            </w:r>
            <w:proofErr w:type="gramEnd"/>
            <w:r w:rsidRPr="00C344DB">
              <w:rPr>
                <w:i/>
                <w:sz w:val="16"/>
                <w:szCs w:val="16"/>
              </w:rPr>
              <w:t xml:space="preserve"> across more than one region, an enrolment in this course is also counted in more than one region. The </w:t>
            </w:r>
            <w:r w:rsidR="001A6F4D">
              <w:rPr>
                <w:i/>
                <w:sz w:val="16"/>
                <w:szCs w:val="16"/>
              </w:rPr>
              <w:t>total has eliminated any duplicates.</w:t>
            </w:r>
          </w:p>
        </w:tc>
      </w:tr>
    </w:tbl>
    <w:p w:rsidR="001D446D" w:rsidRPr="001D446D" w:rsidRDefault="001D446D" w:rsidP="001D446D">
      <w:pPr>
        <w:pStyle w:val="Note"/>
        <w:rPr>
          <w:sz w:val="18"/>
          <w:szCs w:val="18"/>
        </w:rPr>
      </w:pPr>
    </w:p>
    <w:p w:rsidR="001D446D" w:rsidRPr="001D446D" w:rsidRDefault="001D446D" w:rsidP="001D446D">
      <w:pPr>
        <w:pStyle w:val="Note"/>
        <w:rPr>
          <w:sz w:val="18"/>
          <w:szCs w:val="18"/>
        </w:rPr>
      </w:pPr>
    </w:p>
    <w:p w:rsidR="00025845" w:rsidRDefault="00025845">
      <w:r>
        <w:rPr>
          <w:b/>
        </w:rPr>
        <w:br w:type="page"/>
      </w: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1C59BF" w:rsidTr="001C59BF">
        <w:tc>
          <w:tcPr>
            <w:tcW w:w="1134" w:type="dxa"/>
            <w:tcMar>
              <w:left w:w="0" w:type="dxa"/>
              <w:right w:w="0" w:type="dxa"/>
            </w:tcMar>
          </w:tcPr>
          <w:p w:rsidR="001C59BF" w:rsidRDefault="00CB6C79" w:rsidP="001C59BF">
            <w:pPr>
              <w:pStyle w:val="Quote"/>
              <w:tabs>
                <w:tab w:val="left" w:pos="1134"/>
              </w:tabs>
              <w:rPr>
                <w:b w:val="0"/>
                <w:color w:val="B41F22" w:themeColor="accent1"/>
              </w:rPr>
            </w:pPr>
            <w:r>
              <w:rPr>
                <w:b w:val="0"/>
                <w:color w:val="B41F22" w:themeColor="accent1"/>
              </w:rPr>
              <w:lastRenderedPageBreak/>
              <w:t>Table 1.6</w:t>
            </w:r>
            <w:r w:rsidR="001C59BF">
              <w:rPr>
                <w:b w:val="0"/>
                <w:color w:val="B41F22" w:themeColor="accent1"/>
              </w:rPr>
              <w:t>.2:</w:t>
            </w:r>
          </w:p>
        </w:tc>
        <w:tc>
          <w:tcPr>
            <w:tcW w:w="6946" w:type="dxa"/>
            <w:tcMar>
              <w:left w:w="0" w:type="dxa"/>
              <w:right w:w="0" w:type="dxa"/>
            </w:tcMar>
          </w:tcPr>
          <w:p w:rsidR="001C59BF" w:rsidRDefault="001C59BF" w:rsidP="001C59BF">
            <w:pPr>
              <w:pStyle w:val="Quote"/>
              <w:tabs>
                <w:tab w:val="left" w:pos="1134"/>
              </w:tabs>
              <w:rPr>
                <w:b w:val="0"/>
                <w:color w:val="B41F22" w:themeColor="accent1"/>
              </w:rPr>
            </w:pPr>
            <w:r w:rsidRPr="001C59BF">
              <w:rPr>
                <w:b w:val="0"/>
                <w:color w:val="B41F22" w:themeColor="accent1"/>
              </w:rPr>
              <w:t>Change in number of government subsidised enrolments in accredited training by Departmental administrative delivery region (half year)</w:t>
            </w:r>
          </w:p>
        </w:tc>
      </w:tr>
    </w:tbl>
    <w:tbl>
      <w:tblPr>
        <w:tblW w:w="8095" w:type="dxa"/>
        <w:tblInd w:w="93" w:type="dxa"/>
        <w:tblLayout w:type="fixed"/>
        <w:tblLook w:val="04A0" w:firstRow="1" w:lastRow="0" w:firstColumn="1" w:lastColumn="0" w:noHBand="0" w:noVBand="1"/>
      </w:tblPr>
      <w:tblGrid>
        <w:gridCol w:w="2180"/>
        <w:gridCol w:w="1183"/>
        <w:gridCol w:w="1183"/>
        <w:gridCol w:w="1183"/>
        <w:gridCol w:w="1183"/>
        <w:gridCol w:w="1183"/>
      </w:tblGrid>
      <w:tr w:rsidR="00025845" w:rsidRPr="00025845" w:rsidTr="00025845">
        <w:trPr>
          <w:trHeight w:val="720"/>
        </w:trPr>
        <w:tc>
          <w:tcPr>
            <w:tcW w:w="2180" w:type="dxa"/>
            <w:tcBorders>
              <w:top w:val="nil"/>
              <w:left w:val="nil"/>
              <w:bottom w:val="nil"/>
              <w:right w:val="nil"/>
            </w:tcBorders>
            <w:shd w:val="clear" w:color="000000" w:fill="7F7F7F"/>
            <w:noWrap/>
            <w:vAlign w:val="center"/>
            <w:hideMark/>
          </w:tcPr>
          <w:p w:rsidR="00025845" w:rsidRPr="00025845" w:rsidRDefault="00025845" w:rsidP="00025845">
            <w:pPr>
              <w:rPr>
                <w:rFonts w:cs="Arial"/>
                <w:color w:val="FFFFFF"/>
                <w:szCs w:val="18"/>
                <w:lang w:eastAsia="en-AU"/>
              </w:rPr>
            </w:pPr>
            <w:r w:rsidRPr="00025845">
              <w:rPr>
                <w:rFonts w:cs="Arial"/>
                <w:color w:val="FFFFFF"/>
                <w:szCs w:val="18"/>
                <w:lang w:eastAsia="en-AU"/>
              </w:rPr>
              <w:t> </w:t>
            </w:r>
          </w:p>
        </w:tc>
        <w:tc>
          <w:tcPr>
            <w:tcW w:w="1183" w:type="dxa"/>
            <w:tcBorders>
              <w:top w:val="nil"/>
              <w:left w:val="nil"/>
              <w:bottom w:val="nil"/>
              <w:right w:val="nil"/>
            </w:tcBorders>
            <w:shd w:val="clear" w:color="000000" w:fill="7F7F7F"/>
            <w:vAlign w:val="center"/>
            <w:hideMark/>
          </w:tcPr>
          <w:p w:rsidR="00025845" w:rsidRPr="00025845" w:rsidRDefault="00025845" w:rsidP="00025845">
            <w:pPr>
              <w:jc w:val="right"/>
              <w:rPr>
                <w:rFonts w:cs="Arial"/>
                <w:b/>
                <w:bCs/>
                <w:color w:val="FFFFFF"/>
                <w:szCs w:val="18"/>
                <w:lang w:eastAsia="en-AU"/>
              </w:rPr>
            </w:pPr>
            <w:r w:rsidRPr="00025845">
              <w:rPr>
                <w:rFonts w:cs="Arial"/>
                <w:b/>
                <w:bCs/>
                <w:color w:val="FFFFFF"/>
                <w:szCs w:val="18"/>
                <w:lang w:eastAsia="en-AU"/>
              </w:rPr>
              <w:t>% change 2010 to 2015</w:t>
            </w:r>
          </w:p>
        </w:tc>
        <w:tc>
          <w:tcPr>
            <w:tcW w:w="1183" w:type="dxa"/>
            <w:tcBorders>
              <w:top w:val="nil"/>
              <w:left w:val="nil"/>
              <w:bottom w:val="nil"/>
              <w:right w:val="nil"/>
            </w:tcBorders>
            <w:shd w:val="clear" w:color="000000" w:fill="7F7F7F"/>
            <w:vAlign w:val="center"/>
            <w:hideMark/>
          </w:tcPr>
          <w:p w:rsidR="00025845" w:rsidRPr="00025845" w:rsidRDefault="00025845" w:rsidP="00025845">
            <w:pPr>
              <w:jc w:val="right"/>
              <w:rPr>
                <w:rFonts w:cs="Arial"/>
                <w:b/>
                <w:bCs/>
                <w:color w:val="FFFFFF"/>
                <w:szCs w:val="18"/>
                <w:lang w:eastAsia="en-AU"/>
              </w:rPr>
            </w:pPr>
            <w:r w:rsidRPr="00025845">
              <w:rPr>
                <w:rFonts w:cs="Arial"/>
                <w:b/>
                <w:bCs/>
                <w:color w:val="FFFFFF"/>
                <w:szCs w:val="18"/>
                <w:lang w:eastAsia="en-AU"/>
              </w:rPr>
              <w:t>% change 2011 to 2015</w:t>
            </w:r>
          </w:p>
        </w:tc>
        <w:tc>
          <w:tcPr>
            <w:tcW w:w="1183" w:type="dxa"/>
            <w:tcBorders>
              <w:top w:val="nil"/>
              <w:left w:val="nil"/>
              <w:bottom w:val="nil"/>
              <w:right w:val="nil"/>
            </w:tcBorders>
            <w:shd w:val="clear" w:color="000000" w:fill="7F7F7F"/>
            <w:vAlign w:val="center"/>
            <w:hideMark/>
          </w:tcPr>
          <w:p w:rsidR="00025845" w:rsidRPr="00025845" w:rsidRDefault="00025845" w:rsidP="00025845">
            <w:pPr>
              <w:jc w:val="right"/>
              <w:rPr>
                <w:rFonts w:cs="Arial"/>
                <w:b/>
                <w:bCs/>
                <w:color w:val="FFFFFF"/>
                <w:szCs w:val="18"/>
                <w:lang w:eastAsia="en-AU"/>
              </w:rPr>
            </w:pPr>
            <w:r w:rsidRPr="00025845">
              <w:rPr>
                <w:rFonts w:cs="Arial"/>
                <w:b/>
                <w:bCs/>
                <w:color w:val="FFFFFF"/>
                <w:szCs w:val="18"/>
                <w:lang w:eastAsia="en-AU"/>
              </w:rPr>
              <w:t>% change 2012 to 2015</w:t>
            </w:r>
          </w:p>
        </w:tc>
        <w:tc>
          <w:tcPr>
            <w:tcW w:w="1183" w:type="dxa"/>
            <w:tcBorders>
              <w:top w:val="nil"/>
              <w:left w:val="nil"/>
              <w:bottom w:val="nil"/>
              <w:right w:val="nil"/>
            </w:tcBorders>
            <w:shd w:val="clear" w:color="000000" w:fill="7F7F7F"/>
            <w:vAlign w:val="center"/>
            <w:hideMark/>
          </w:tcPr>
          <w:p w:rsidR="00025845" w:rsidRPr="00025845" w:rsidRDefault="00025845" w:rsidP="00025845">
            <w:pPr>
              <w:jc w:val="right"/>
              <w:rPr>
                <w:rFonts w:cs="Arial"/>
                <w:b/>
                <w:bCs/>
                <w:color w:val="FFFFFF"/>
                <w:szCs w:val="18"/>
                <w:lang w:eastAsia="en-AU"/>
              </w:rPr>
            </w:pPr>
            <w:r w:rsidRPr="00025845">
              <w:rPr>
                <w:rFonts w:cs="Arial"/>
                <w:b/>
                <w:bCs/>
                <w:color w:val="FFFFFF"/>
                <w:szCs w:val="18"/>
                <w:lang w:eastAsia="en-AU"/>
              </w:rPr>
              <w:t>% change 2013 to 2015</w:t>
            </w:r>
          </w:p>
        </w:tc>
        <w:tc>
          <w:tcPr>
            <w:tcW w:w="1183" w:type="dxa"/>
            <w:tcBorders>
              <w:top w:val="nil"/>
              <w:left w:val="nil"/>
              <w:bottom w:val="nil"/>
              <w:right w:val="nil"/>
            </w:tcBorders>
            <w:shd w:val="clear" w:color="000000" w:fill="7F7F7F"/>
            <w:vAlign w:val="center"/>
            <w:hideMark/>
          </w:tcPr>
          <w:p w:rsidR="00025845" w:rsidRPr="00025845" w:rsidRDefault="00025845" w:rsidP="00025845">
            <w:pPr>
              <w:jc w:val="right"/>
              <w:rPr>
                <w:rFonts w:cs="Arial"/>
                <w:b/>
                <w:bCs/>
                <w:color w:val="FFFFFF"/>
                <w:szCs w:val="18"/>
                <w:lang w:eastAsia="en-AU"/>
              </w:rPr>
            </w:pPr>
            <w:r w:rsidRPr="00025845">
              <w:rPr>
                <w:rFonts w:cs="Arial"/>
                <w:b/>
                <w:bCs/>
                <w:color w:val="FFFFFF"/>
                <w:szCs w:val="18"/>
                <w:lang w:eastAsia="en-AU"/>
              </w:rPr>
              <w:t>% change 2014 to 2015</w:t>
            </w:r>
          </w:p>
        </w:tc>
      </w:tr>
      <w:tr w:rsidR="00025845" w:rsidRPr="00025845" w:rsidTr="00025845">
        <w:trPr>
          <w:trHeight w:val="300"/>
        </w:trPr>
        <w:tc>
          <w:tcPr>
            <w:tcW w:w="2180" w:type="dxa"/>
            <w:tcBorders>
              <w:top w:val="nil"/>
              <w:left w:val="nil"/>
              <w:bottom w:val="nil"/>
              <w:right w:val="nil"/>
            </w:tcBorders>
            <w:shd w:val="clear" w:color="auto" w:fill="auto"/>
            <w:noWrap/>
            <w:vAlign w:val="center"/>
            <w:hideMark/>
          </w:tcPr>
          <w:p w:rsidR="00025845" w:rsidRPr="00025845" w:rsidRDefault="00025845" w:rsidP="00025845">
            <w:pPr>
              <w:rPr>
                <w:rFonts w:cs="Arial"/>
                <w:color w:val="7F7F7F"/>
                <w:szCs w:val="18"/>
                <w:lang w:eastAsia="en-AU"/>
              </w:rPr>
            </w:pPr>
            <w:r w:rsidRPr="00025845">
              <w:rPr>
                <w:rFonts w:cs="Arial"/>
                <w:color w:val="7F7F7F"/>
                <w:szCs w:val="18"/>
                <w:lang w:eastAsia="en-AU"/>
              </w:rPr>
              <w:t>North-Eastern Victoria</w:t>
            </w:r>
          </w:p>
        </w:tc>
        <w:tc>
          <w:tcPr>
            <w:tcW w:w="1183" w:type="dxa"/>
            <w:tcBorders>
              <w:top w:val="nil"/>
              <w:left w:val="nil"/>
              <w:bottom w:val="nil"/>
              <w:right w:val="nil"/>
            </w:tcBorders>
            <w:shd w:val="clear" w:color="auto" w:fill="auto"/>
            <w:noWrap/>
            <w:vAlign w:val="center"/>
            <w:hideMark/>
          </w:tcPr>
          <w:p w:rsidR="00025845" w:rsidRPr="00025845" w:rsidRDefault="00025845" w:rsidP="00025845">
            <w:pPr>
              <w:jc w:val="right"/>
              <w:rPr>
                <w:rFonts w:cs="Arial"/>
                <w:color w:val="7F7F7F"/>
                <w:szCs w:val="18"/>
                <w:lang w:eastAsia="en-AU"/>
              </w:rPr>
            </w:pPr>
            <w:r w:rsidRPr="00025845">
              <w:rPr>
                <w:rFonts w:cs="Arial"/>
                <w:color w:val="7F7F7F"/>
                <w:szCs w:val="18"/>
                <w:lang w:eastAsia="en-AU"/>
              </w:rPr>
              <w:t>-6%</w:t>
            </w:r>
          </w:p>
        </w:tc>
        <w:tc>
          <w:tcPr>
            <w:tcW w:w="1183" w:type="dxa"/>
            <w:tcBorders>
              <w:top w:val="nil"/>
              <w:left w:val="nil"/>
              <w:bottom w:val="nil"/>
              <w:right w:val="nil"/>
            </w:tcBorders>
            <w:shd w:val="clear" w:color="auto" w:fill="auto"/>
            <w:noWrap/>
            <w:vAlign w:val="center"/>
            <w:hideMark/>
          </w:tcPr>
          <w:p w:rsidR="00025845" w:rsidRPr="00025845" w:rsidRDefault="00025845" w:rsidP="00025845">
            <w:pPr>
              <w:jc w:val="right"/>
              <w:rPr>
                <w:rFonts w:cs="Arial"/>
                <w:color w:val="7F7F7F"/>
                <w:szCs w:val="18"/>
                <w:lang w:eastAsia="en-AU"/>
              </w:rPr>
            </w:pPr>
            <w:r w:rsidRPr="00025845">
              <w:rPr>
                <w:rFonts w:cs="Arial"/>
                <w:color w:val="7F7F7F"/>
                <w:szCs w:val="18"/>
                <w:lang w:eastAsia="en-AU"/>
              </w:rPr>
              <w:t>-27%</w:t>
            </w:r>
          </w:p>
        </w:tc>
        <w:tc>
          <w:tcPr>
            <w:tcW w:w="1183" w:type="dxa"/>
            <w:tcBorders>
              <w:top w:val="nil"/>
              <w:left w:val="nil"/>
              <w:bottom w:val="nil"/>
              <w:right w:val="nil"/>
            </w:tcBorders>
            <w:shd w:val="clear" w:color="auto" w:fill="auto"/>
            <w:noWrap/>
            <w:vAlign w:val="center"/>
            <w:hideMark/>
          </w:tcPr>
          <w:p w:rsidR="00025845" w:rsidRPr="00025845" w:rsidRDefault="00025845" w:rsidP="00025845">
            <w:pPr>
              <w:jc w:val="right"/>
              <w:rPr>
                <w:rFonts w:cs="Arial"/>
                <w:color w:val="7F7F7F"/>
                <w:szCs w:val="18"/>
                <w:lang w:eastAsia="en-AU"/>
              </w:rPr>
            </w:pPr>
            <w:r w:rsidRPr="00025845">
              <w:rPr>
                <w:rFonts w:cs="Arial"/>
                <w:color w:val="7F7F7F"/>
                <w:szCs w:val="18"/>
                <w:lang w:eastAsia="en-AU"/>
              </w:rPr>
              <w:t>-39%</w:t>
            </w:r>
          </w:p>
        </w:tc>
        <w:tc>
          <w:tcPr>
            <w:tcW w:w="1183" w:type="dxa"/>
            <w:tcBorders>
              <w:top w:val="nil"/>
              <w:left w:val="nil"/>
              <w:bottom w:val="nil"/>
              <w:right w:val="nil"/>
            </w:tcBorders>
            <w:shd w:val="clear" w:color="auto" w:fill="auto"/>
            <w:noWrap/>
            <w:vAlign w:val="center"/>
            <w:hideMark/>
          </w:tcPr>
          <w:p w:rsidR="00025845" w:rsidRPr="00025845" w:rsidRDefault="00025845" w:rsidP="00025845">
            <w:pPr>
              <w:jc w:val="right"/>
              <w:rPr>
                <w:rFonts w:cs="Arial"/>
                <w:color w:val="7F7F7F"/>
                <w:szCs w:val="18"/>
                <w:lang w:eastAsia="en-AU"/>
              </w:rPr>
            </w:pPr>
            <w:r w:rsidRPr="00025845">
              <w:rPr>
                <w:rFonts w:cs="Arial"/>
                <w:color w:val="7F7F7F"/>
                <w:szCs w:val="18"/>
                <w:lang w:eastAsia="en-AU"/>
              </w:rPr>
              <w:t>-35%</w:t>
            </w:r>
          </w:p>
        </w:tc>
        <w:tc>
          <w:tcPr>
            <w:tcW w:w="1183" w:type="dxa"/>
            <w:tcBorders>
              <w:top w:val="nil"/>
              <w:left w:val="nil"/>
              <w:bottom w:val="nil"/>
              <w:right w:val="nil"/>
            </w:tcBorders>
            <w:shd w:val="clear" w:color="auto" w:fill="auto"/>
            <w:noWrap/>
            <w:vAlign w:val="center"/>
            <w:hideMark/>
          </w:tcPr>
          <w:p w:rsidR="00025845" w:rsidRPr="00025845" w:rsidRDefault="00025845" w:rsidP="00025845">
            <w:pPr>
              <w:jc w:val="right"/>
              <w:rPr>
                <w:rFonts w:cs="Arial"/>
                <w:color w:val="7F7F7F"/>
                <w:szCs w:val="18"/>
                <w:lang w:eastAsia="en-AU"/>
              </w:rPr>
            </w:pPr>
            <w:r w:rsidRPr="00025845">
              <w:rPr>
                <w:rFonts w:cs="Arial"/>
                <w:color w:val="7F7F7F"/>
                <w:szCs w:val="18"/>
                <w:lang w:eastAsia="en-AU"/>
              </w:rPr>
              <w:t>-22%</w:t>
            </w:r>
          </w:p>
        </w:tc>
      </w:tr>
      <w:tr w:rsidR="00025845" w:rsidRPr="00025845" w:rsidTr="00025845">
        <w:trPr>
          <w:trHeight w:val="300"/>
        </w:trPr>
        <w:tc>
          <w:tcPr>
            <w:tcW w:w="2180" w:type="dxa"/>
            <w:tcBorders>
              <w:top w:val="nil"/>
              <w:left w:val="nil"/>
              <w:bottom w:val="nil"/>
              <w:right w:val="nil"/>
            </w:tcBorders>
            <w:shd w:val="clear" w:color="auto" w:fill="auto"/>
            <w:noWrap/>
            <w:vAlign w:val="center"/>
            <w:hideMark/>
          </w:tcPr>
          <w:p w:rsidR="00025845" w:rsidRPr="00025845" w:rsidRDefault="00025845" w:rsidP="00025845">
            <w:pPr>
              <w:rPr>
                <w:rFonts w:cs="Arial"/>
                <w:color w:val="7F7F7F"/>
                <w:szCs w:val="18"/>
                <w:lang w:eastAsia="en-AU"/>
              </w:rPr>
            </w:pPr>
            <w:r w:rsidRPr="00025845">
              <w:rPr>
                <w:rFonts w:cs="Arial"/>
                <w:color w:val="7F7F7F"/>
                <w:szCs w:val="18"/>
                <w:lang w:eastAsia="en-AU"/>
              </w:rPr>
              <w:t>North-Western Victoria</w:t>
            </w:r>
          </w:p>
        </w:tc>
        <w:tc>
          <w:tcPr>
            <w:tcW w:w="1183" w:type="dxa"/>
            <w:tcBorders>
              <w:top w:val="nil"/>
              <w:left w:val="nil"/>
              <w:bottom w:val="nil"/>
              <w:right w:val="nil"/>
            </w:tcBorders>
            <w:shd w:val="clear" w:color="auto" w:fill="auto"/>
            <w:noWrap/>
            <w:vAlign w:val="center"/>
            <w:hideMark/>
          </w:tcPr>
          <w:p w:rsidR="00025845" w:rsidRPr="00025845" w:rsidRDefault="00025845" w:rsidP="00025845">
            <w:pPr>
              <w:jc w:val="right"/>
              <w:rPr>
                <w:rFonts w:cs="Arial"/>
                <w:color w:val="7F7F7F"/>
                <w:szCs w:val="18"/>
                <w:lang w:eastAsia="en-AU"/>
              </w:rPr>
            </w:pPr>
            <w:r w:rsidRPr="00025845">
              <w:rPr>
                <w:rFonts w:cs="Arial"/>
                <w:color w:val="7F7F7F"/>
                <w:szCs w:val="18"/>
                <w:lang w:eastAsia="en-AU"/>
              </w:rPr>
              <w:t>29%</w:t>
            </w:r>
          </w:p>
        </w:tc>
        <w:tc>
          <w:tcPr>
            <w:tcW w:w="1183" w:type="dxa"/>
            <w:tcBorders>
              <w:top w:val="nil"/>
              <w:left w:val="nil"/>
              <w:bottom w:val="nil"/>
              <w:right w:val="nil"/>
            </w:tcBorders>
            <w:shd w:val="clear" w:color="auto" w:fill="auto"/>
            <w:noWrap/>
            <w:vAlign w:val="center"/>
            <w:hideMark/>
          </w:tcPr>
          <w:p w:rsidR="00025845" w:rsidRPr="00025845" w:rsidRDefault="00025845" w:rsidP="00025845">
            <w:pPr>
              <w:jc w:val="right"/>
              <w:rPr>
                <w:rFonts w:cs="Arial"/>
                <w:color w:val="7F7F7F"/>
                <w:szCs w:val="18"/>
                <w:lang w:eastAsia="en-AU"/>
              </w:rPr>
            </w:pPr>
            <w:r w:rsidRPr="00025845">
              <w:rPr>
                <w:rFonts w:cs="Arial"/>
                <w:color w:val="7F7F7F"/>
                <w:szCs w:val="18"/>
                <w:lang w:eastAsia="en-AU"/>
              </w:rPr>
              <w:t>10%</w:t>
            </w:r>
          </w:p>
        </w:tc>
        <w:tc>
          <w:tcPr>
            <w:tcW w:w="1183" w:type="dxa"/>
            <w:tcBorders>
              <w:top w:val="nil"/>
              <w:left w:val="nil"/>
              <w:bottom w:val="nil"/>
              <w:right w:val="nil"/>
            </w:tcBorders>
            <w:shd w:val="clear" w:color="auto" w:fill="auto"/>
            <w:noWrap/>
            <w:vAlign w:val="center"/>
            <w:hideMark/>
          </w:tcPr>
          <w:p w:rsidR="00025845" w:rsidRPr="00025845" w:rsidRDefault="00025845" w:rsidP="00025845">
            <w:pPr>
              <w:jc w:val="right"/>
              <w:rPr>
                <w:rFonts w:cs="Arial"/>
                <w:color w:val="7F7F7F"/>
                <w:szCs w:val="18"/>
                <w:lang w:eastAsia="en-AU"/>
              </w:rPr>
            </w:pPr>
            <w:r w:rsidRPr="00025845">
              <w:rPr>
                <w:rFonts w:cs="Arial"/>
                <w:color w:val="7F7F7F"/>
                <w:szCs w:val="18"/>
                <w:lang w:eastAsia="en-AU"/>
              </w:rPr>
              <w:t>-21%</w:t>
            </w:r>
          </w:p>
        </w:tc>
        <w:tc>
          <w:tcPr>
            <w:tcW w:w="1183" w:type="dxa"/>
            <w:tcBorders>
              <w:top w:val="nil"/>
              <w:left w:val="nil"/>
              <w:bottom w:val="nil"/>
              <w:right w:val="nil"/>
            </w:tcBorders>
            <w:shd w:val="clear" w:color="auto" w:fill="auto"/>
            <w:noWrap/>
            <w:vAlign w:val="center"/>
            <w:hideMark/>
          </w:tcPr>
          <w:p w:rsidR="00025845" w:rsidRPr="00025845" w:rsidRDefault="00025845" w:rsidP="00025845">
            <w:pPr>
              <w:jc w:val="right"/>
              <w:rPr>
                <w:rFonts w:cs="Arial"/>
                <w:color w:val="7F7F7F"/>
                <w:szCs w:val="18"/>
                <w:lang w:eastAsia="en-AU"/>
              </w:rPr>
            </w:pPr>
            <w:r w:rsidRPr="00025845">
              <w:rPr>
                <w:rFonts w:cs="Arial"/>
                <w:color w:val="7F7F7F"/>
                <w:szCs w:val="18"/>
                <w:lang w:eastAsia="en-AU"/>
              </w:rPr>
              <w:t>-8%</w:t>
            </w:r>
          </w:p>
        </w:tc>
        <w:tc>
          <w:tcPr>
            <w:tcW w:w="1183" w:type="dxa"/>
            <w:tcBorders>
              <w:top w:val="nil"/>
              <w:left w:val="nil"/>
              <w:bottom w:val="nil"/>
              <w:right w:val="nil"/>
            </w:tcBorders>
            <w:shd w:val="clear" w:color="auto" w:fill="auto"/>
            <w:noWrap/>
            <w:vAlign w:val="center"/>
            <w:hideMark/>
          </w:tcPr>
          <w:p w:rsidR="00025845" w:rsidRPr="00025845" w:rsidRDefault="00025845" w:rsidP="00025845">
            <w:pPr>
              <w:jc w:val="right"/>
              <w:rPr>
                <w:rFonts w:cs="Arial"/>
                <w:color w:val="7F7F7F"/>
                <w:szCs w:val="18"/>
                <w:lang w:eastAsia="en-AU"/>
              </w:rPr>
            </w:pPr>
            <w:r w:rsidRPr="00025845">
              <w:rPr>
                <w:rFonts w:cs="Arial"/>
                <w:color w:val="7F7F7F"/>
                <w:szCs w:val="18"/>
                <w:lang w:eastAsia="en-AU"/>
              </w:rPr>
              <w:t>-6%</w:t>
            </w:r>
          </w:p>
        </w:tc>
      </w:tr>
      <w:tr w:rsidR="00025845" w:rsidRPr="00025845" w:rsidTr="00025845">
        <w:trPr>
          <w:trHeight w:val="300"/>
        </w:trPr>
        <w:tc>
          <w:tcPr>
            <w:tcW w:w="2180" w:type="dxa"/>
            <w:tcBorders>
              <w:top w:val="nil"/>
              <w:left w:val="nil"/>
              <w:bottom w:val="nil"/>
              <w:right w:val="nil"/>
            </w:tcBorders>
            <w:shd w:val="clear" w:color="auto" w:fill="auto"/>
            <w:noWrap/>
            <w:vAlign w:val="center"/>
            <w:hideMark/>
          </w:tcPr>
          <w:p w:rsidR="00025845" w:rsidRPr="00025845" w:rsidRDefault="00025845" w:rsidP="00025845">
            <w:pPr>
              <w:rPr>
                <w:rFonts w:cs="Arial"/>
                <w:color w:val="7F7F7F"/>
                <w:szCs w:val="18"/>
                <w:lang w:eastAsia="en-AU"/>
              </w:rPr>
            </w:pPr>
            <w:r w:rsidRPr="00025845">
              <w:rPr>
                <w:rFonts w:cs="Arial"/>
                <w:color w:val="7F7F7F"/>
                <w:szCs w:val="18"/>
                <w:lang w:eastAsia="en-AU"/>
              </w:rPr>
              <w:t>South-Eastern Victoria</w:t>
            </w:r>
          </w:p>
        </w:tc>
        <w:tc>
          <w:tcPr>
            <w:tcW w:w="1183" w:type="dxa"/>
            <w:tcBorders>
              <w:top w:val="nil"/>
              <w:left w:val="nil"/>
              <w:bottom w:val="nil"/>
              <w:right w:val="nil"/>
            </w:tcBorders>
            <w:shd w:val="clear" w:color="auto" w:fill="auto"/>
            <w:noWrap/>
            <w:vAlign w:val="center"/>
            <w:hideMark/>
          </w:tcPr>
          <w:p w:rsidR="00025845" w:rsidRPr="00025845" w:rsidRDefault="00025845" w:rsidP="00025845">
            <w:pPr>
              <w:jc w:val="right"/>
              <w:rPr>
                <w:rFonts w:cs="Arial"/>
                <w:color w:val="7F7F7F"/>
                <w:szCs w:val="18"/>
                <w:lang w:eastAsia="en-AU"/>
              </w:rPr>
            </w:pPr>
            <w:r w:rsidRPr="00025845">
              <w:rPr>
                <w:rFonts w:cs="Arial"/>
                <w:color w:val="7F7F7F"/>
                <w:szCs w:val="18"/>
                <w:lang w:eastAsia="en-AU"/>
              </w:rPr>
              <w:t>24%</w:t>
            </w:r>
          </w:p>
        </w:tc>
        <w:tc>
          <w:tcPr>
            <w:tcW w:w="1183" w:type="dxa"/>
            <w:tcBorders>
              <w:top w:val="nil"/>
              <w:left w:val="nil"/>
              <w:bottom w:val="nil"/>
              <w:right w:val="nil"/>
            </w:tcBorders>
            <w:shd w:val="clear" w:color="auto" w:fill="auto"/>
            <w:noWrap/>
            <w:vAlign w:val="center"/>
            <w:hideMark/>
          </w:tcPr>
          <w:p w:rsidR="00025845" w:rsidRPr="00025845" w:rsidRDefault="00025845" w:rsidP="00025845">
            <w:pPr>
              <w:jc w:val="right"/>
              <w:rPr>
                <w:rFonts w:cs="Arial"/>
                <w:color w:val="7F7F7F"/>
                <w:szCs w:val="18"/>
                <w:lang w:eastAsia="en-AU"/>
              </w:rPr>
            </w:pPr>
            <w:r w:rsidRPr="00025845">
              <w:rPr>
                <w:rFonts w:cs="Arial"/>
                <w:color w:val="7F7F7F"/>
                <w:szCs w:val="18"/>
                <w:lang w:eastAsia="en-AU"/>
              </w:rPr>
              <w:t>8%</w:t>
            </w:r>
          </w:p>
        </w:tc>
        <w:tc>
          <w:tcPr>
            <w:tcW w:w="1183" w:type="dxa"/>
            <w:tcBorders>
              <w:top w:val="nil"/>
              <w:left w:val="nil"/>
              <w:bottom w:val="nil"/>
              <w:right w:val="nil"/>
            </w:tcBorders>
            <w:shd w:val="clear" w:color="auto" w:fill="auto"/>
            <w:noWrap/>
            <w:vAlign w:val="center"/>
            <w:hideMark/>
          </w:tcPr>
          <w:p w:rsidR="00025845" w:rsidRPr="00025845" w:rsidRDefault="00025845" w:rsidP="00025845">
            <w:pPr>
              <w:jc w:val="right"/>
              <w:rPr>
                <w:rFonts w:cs="Arial"/>
                <w:color w:val="7F7F7F"/>
                <w:szCs w:val="18"/>
                <w:lang w:eastAsia="en-AU"/>
              </w:rPr>
            </w:pPr>
            <w:r w:rsidRPr="00025845">
              <w:rPr>
                <w:rFonts w:cs="Arial"/>
                <w:color w:val="7F7F7F"/>
                <w:szCs w:val="18"/>
                <w:lang w:eastAsia="en-AU"/>
              </w:rPr>
              <w:t>-26%</w:t>
            </w:r>
          </w:p>
        </w:tc>
        <w:tc>
          <w:tcPr>
            <w:tcW w:w="1183" w:type="dxa"/>
            <w:tcBorders>
              <w:top w:val="nil"/>
              <w:left w:val="nil"/>
              <w:bottom w:val="nil"/>
              <w:right w:val="nil"/>
            </w:tcBorders>
            <w:shd w:val="clear" w:color="auto" w:fill="auto"/>
            <w:noWrap/>
            <w:vAlign w:val="center"/>
            <w:hideMark/>
          </w:tcPr>
          <w:p w:rsidR="00025845" w:rsidRPr="00025845" w:rsidRDefault="00025845" w:rsidP="00025845">
            <w:pPr>
              <w:jc w:val="right"/>
              <w:rPr>
                <w:rFonts w:cs="Arial"/>
                <w:color w:val="7F7F7F"/>
                <w:szCs w:val="18"/>
                <w:lang w:eastAsia="en-AU"/>
              </w:rPr>
            </w:pPr>
            <w:r w:rsidRPr="00025845">
              <w:rPr>
                <w:rFonts w:cs="Arial"/>
                <w:color w:val="7F7F7F"/>
                <w:szCs w:val="18"/>
                <w:lang w:eastAsia="en-AU"/>
              </w:rPr>
              <w:t>-15%</w:t>
            </w:r>
          </w:p>
        </w:tc>
        <w:tc>
          <w:tcPr>
            <w:tcW w:w="1183" w:type="dxa"/>
            <w:tcBorders>
              <w:top w:val="nil"/>
              <w:left w:val="nil"/>
              <w:bottom w:val="nil"/>
              <w:right w:val="nil"/>
            </w:tcBorders>
            <w:shd w:val="clear" w:color="auto" w:fill="auto"/>
            <w:noWrap/>
            <w:vAlign w:val="center"/>
            <w:hideMark/>
          </w:tcPr>
          <w:p w:rsidR="00025845" w:rsidRPr="00025845" w:rsidRDefault="00025845" w:rsidP="00025845">
            <w:pPr>
              <w:jc w:val="right"/>
              <w:rPr>
                <w:rFonts w:cs="Arial"/>
                <w:color w:val="7F7F7F"/>
                <w:szCs w:val="18"/>
                <w:lang w:eastAsia="en-AU"/>
              </w:rPr>
            </w:pPr>
            <w:r w:rsidRPr="00025845">
              <w:rPr>
                <w:rFonts w:cs="Arial"/>
                <w:color w:val="7F7F7F"/>
                <w:szCs w:val="18"/>
                <w:lang w:eastAsia="en-AU"/>
              </w:rPr>
              <w:t>-7%</w:t>
            </w:r>
          </w:p>
        </w:tc>
      </w:tr>
      <w:tr w:rsidR="00025845" w:rsidRPr="00025845" w:rsidTr="00025845">
        <w:trPr>
          <w:trHeight w:val="300"/>
        </w:trPr>
        <w:tc>
          <w:tcPr>
            <w:tcW w:w="2180" w:type="dxa"/>
            <w:tcBorders>
              <w:top w:val="nil"/>
              <w:left w:val="nil"/>
              <w:bottom w:val="nil"/>
              <w:right w:val="nil"/>
            </w:tcBorders>
            <w:shd w:val="clear" w:color="auto" w:fill="auto"/>
            <w:noWrap/>
            <w:vAlign w:val="center"/>
            <w:hideMark/>
          </w:tcPr>
          <w:p w:rsidR="00025845" w:rsidRPr="00025845" w:rsidRDefault="00025845" w:rsidP="00794B13">
            <w:pPr>
              <w:rPr>
                <w:rFonts w:cs="Arial"/>
                <w:color w:val="7F7F7F"/>
                <w:szCs w:val="18"/>
                <w:lang w:eastAsia="en-AU"/>
              </w:rPr>
            </w:pPr>
            <w:r w:rsidRPr="00025845">
              <w:rPr>
                <w:rFonts w:cs="Arial"/>
                <w:color w:val="7F7F7F"/>
                <w:szCs w:val="18"/>
                <w:lang w:eastAsia="en-AU"/>
              </w:rPr>
              <w:t>South</w:t>
            </w:r>
            <w:r w:rsidR="00794B13">
              <w:rPr>
                <w:rFonts w:cs="Arial"/>
                <w:color w:val="7F7F7F"/>
                <w:szCs w:val="18"/>
                <w:lang w:eastAsia="en-AU"/>
              </w:rPr>
              <w:t>-</w:t>
            </w:r>
            <w:r w:rsidRPr="00025845">
              <w:rPr>
                <w:rFonts w:cs="Arial"/>
                <w:color w:val="7F7F7F"/>
                <w:szCs w:val="18"/>
                <w:lang w:eastAsia="en-AU"/>
              </w:rPr>
              <w:t>Western Victoria</w:t>
            </w:r>
          </w:p>
        </w:tc>
        <w:tc>
          <w:tcPr>
            <w:tcW w:w="1183" w:type="dxa"/>
            <w:tcBorders>
              <w:top w:val="nil"/>
              <w:left w:val="nil"/>
              <w:bottom w:val="nil"/>
              <w:right w:val="nil"/>
            </w:tcBorders>
            <w:shd w:val="clear" w:color="auto" w:fill="auto"/>
            <w:noWrap/>
            <w:vAlign w:val="center"/>
            <w:hideMark/>
          </w:tcPr>
          <w:p w:rsidR="00025845" w:rsidRPr="00025845" w:rsidRDefault="00025845" w:rsidP="00025845">
            <w:pPr>
              <w:jc w:val="right"/>
              <w:rPr>
                <w:rFonts w:cs="Arial"/>
                <w:color w:val="7F7F7F"/>
                <w:szCs w:val="18"/>
                <w:lang w:eastAsia="en-AU"/>
              </w:rPr>
            </w:pPr>
            <w:r w:rsidRPr="00025845">
              <w:rPr>
                <w:rFonts w:cs="Arial"/>
                <w:color w:val="7F7F7F"/>
                <w:szCs w:val="18"/>
                <w:lang w:eastAsia="en-AU"/>
              </w:rPr>
              <w:t>53%</w:t>
            </w:r>
          </w:p>
        </w:tc>
        <w:tc>
          <w:tcPr>
            <w:tcW w:w="1183" w:type="dxa"/>
            <w:tcBorders>
              <w:top w:val="nil"/>
              <w:left w:val="nil"/>
              <w:bottom w:val="nil"/>
              <w:right w:val="nil"/>
            </w:tcBorders>
            <w:shd w:val="clear" w:color="auto" w:fill="auto"/>
            <w:noWrap/>
            <w:vAlign w:val="center"/>
            <w:hideMark/>
          </w:tcPr>
          <w:p w:rsidR="00025845" w:rsidRPr="00025845" w:rsidRDefault="00025845" w:rsidP="00025845">
            <w:pPr>
              <w:jc w:val="right"/>
              <w:rPr>
                <w:rFonts w:cs="Arial"/>
                <w:color w:val="7F7F7F"/>
                <w:szCs w:val="18"/>
                <w:lang w:eastAsia="en-AU"/>
              </w:rPr>
            </w:pPr>
            <w:r w:rsidRPr="00025845">
              <w:rPr>
                <w:rFonts w:cs="Arial"/>
                <w:color w:val="7F7F7F"/>
                <w:szCs w:val="18"/>
                <w:lang w:eastAsia="en-AU"/>
              </w:rPr>
              <w:t>11%</w:t>
            </w:r>
          </w:p>
        </w:tc>
        <w:tc>
          <w:tcPr>
            <w:tcW w:w="1183" w:type="dxa"/>
            <w:tcBorders>
              <w:top w:val="nil"/>
              <w:left w:val="nil"/>
              <w:bottom w:val="nil"/>
              <w:right w:val="nil"/>
            </w:tcBorders>
            <w:shd w:val="clear" w:color="auto" w:fill="auto"/>
            <w:noWrap/>
            <w:vAlign w:val="center"/>
            <w:hideMark/>
          </w:tcPr>
          <w:p w:rsidR="00025845" w:rsidRPr="00025845" w:rsidRDefault="00025845" w:rsidP="00025845">
            <w:pPr>
              <w:jc w:val="right"/>
              <w:rPr>
                <w:rFonts w:cs="Arial"/>
                <w:color w:val="7F7F7F"/>
                <w:szCs w:val="18"/>
                <w:lang w:eastAsia="en-AU"/>
              </w:rPr>
            </w:pPr>
            <w:r w:rsidRPr="00025845">
              <w:rPr>
                <w:rFonts w:cs="Arial"/>
                <w:color w:val="7F7F7F"/>
                <w:szCs w:val="18"/>
                <w:lang w:eastAsia="en-AU"/>
              </w:rPr>
              <w:t>-31%</w:t>
            </w:r>
          </w:p>
        </w:tc>
        <w:tc>
          <w:tcPr>
            <w:tcW w:w="1183" w:type="dxa"/>
            <w:tcBorders>
              <w:top w:val="nil"/>
              <w:left w:val="nil"/>
              <w:bottom w:val="nil"/>
              <w:right w:val="nil"/>
            </w:tcBorders>
            <w:shd w:val="clear" w:color="auto" w:fill="auto"/>
            <w:noWrap/>
            <w:vAlign w:val="center"/>
            <w:hideMark/>
          </w:tcPr>
          <w:p w:rsidR="00025845" w:rsidRPr="00025845" w:rsidRDefault="00025845" w:rsidP="00025845">
            <w:pPr>
              <w:jc w:val="right"/>
              <w:rPr>
                <w:rFonts w:cs="Arial"/>
                <w:color w:val="7F7F7F"/>
                <w:szCs w:val="18"/>
                <w:lang w:eastAsia="en-AU"/>
              </w:rPr>
            </w:pPr>
            <w:r w:rsidRPr="00025845">
              <w:rPr>
                <w:rFonts w:cs="Arial"/>
                <w:color w:val="7F7F7F"/>
                <w:szCs w:val="18"/>
                <w:lang w:eastAsia="en-AU"/>
              </w:rPr>
              <w:t>-17%</w:t>
            </w:r>
          </w:p>
        </w:tc>
        <w:tc>
          <w:tcPr>
            <w:tcW w:w="1183" w:type="dxa"/>
            <w:tcBorders>
              <w:top w:val="nil"/>
              <w:left w:val="nil"/>
              <w:bottom w:val="nil"/>
              <w:right w:val="nil"/>
            </w:tcBorders>
            <w:shd w:val="clear" w:color="auto" w:fill="auto"/>
            <w:noWrap/>
            <w:vAlign w:val="center"/>
            <w:hideMark/>
          </w:tcPr>
          <w:p w:rsidR="00025845" w:rsidRPr="00025845" w:rsidRDefault="00025845" w:rsidP="00025845">
            <w:pPr>
              <w:jc w:val="right"/>
              <w:rPr>
                <w:rFonts w:cs="Arial"/>
                <w:color w:val="7F7F7F"/>
                <w:szCs w:val="18"/>
                <w:lang w:eastAsia="en-AU"/>
              </w:rPr>
            </w:pPr>
            <w:r w:rsidRPr="00025845">
              <w:rPr>
                <w:rFonts w:cs="Arial"/>
                <w:color w:val="7F7F7F"/>
                <w:szCs w:val="18"/>
                <w:lang w:eastAsia="en-AU"/>
              </w:rPr>
              <w:t>-19%</w:t>
            </w:r>
          </w:p>
        </w:tc>
      </w:tr>
      <w:tr w:rsidR="00025845" w:rsidRPr="00025845" w:rsidTr="00025845">
        <w:trPr>
          <w:trHeight w:val="300"/>
        </w:trPr>
        <w:tc>
          <w:tcPr>
            <w:tcW w:w="2180" w:type="dxa"/>
            <w:tcBorders>
              <w:top w:val="nil"/>
              <w:left w:val="nil"/>
              <w:bottom w:val="nil"/>
              <w:right w:val="nil"/>
            </w:tcBorders>
            <w:shd w:val="clear" w:color="auto" w:fill="auto"/>
            <w:noWrap/>
            <w:vAlign w:val="center"/>
            <w:hideMark/>
          </w:tcPr>
          <w:p w:rsidR="00025845" w:rsidRPr="00025845" w:rsidRDefault="00025845" w:rsidP="00025845">
            <w:pPr>
              <w:rPr>
                <w:rFonts w:cs="Arial"/>
                <w:color w:val="7F7F7F"/>
                <w:szCs w:val="18"/>
                <w:lang w:eastAsia="en-AU"/>
              </w:rPr>
            </w:pPr>
            <w:r w:rsidRPr="00025845">
              <w:rPr>
                <w:rFonts w:cs="Arial"/>
                <w:color w:val="7F7F7F"/>
                <w:szCs w:val="18"/>
                <w:lang w:eastAsia="en-AU"/>
              </w:rPr>
              <w:t>Interstate</w:t>
            </w:r>
          </w:p>
        </w:tc>
        <w:tc>
          <w:tcPr>
            <w:tcW w:w="1183" w:type="dxa"/>
            <w:tcBorders>
              <w:top w:val="nil"/>
              <w:left w:val="nil"/>
              <w:bottom w:val="nil"/>
              <w:right w:val="nil"/>
            </w:tcBorders>
            <w:shd w:val="clear" w:color="auto" w:fill="auto"/>
            <w:noWrap/>
            <w:vAlign w:val="center"/>
            <w:hideMark/>
          </w:tcPr>
          <w:p w:rsidR="00025845" w:rsidRPr="00025845" w:rsidRDefault="00025845" w:rsidP="00025845">
            <w:pPr>
              <w:jc w:val="right"/>
              <w:rPr>
                <w:rFonts w:cs="Arial"/>
                <w:color w:val="7F7F7F"/>
                <w:szCs w:val="18"/>
                <w:lang w:eastAsia="en-AU"/>
              </w:rPr>
            </w:pPr>
            <w:r w:rsidRPr="00025845">
              <w:rPr>
                <w:rFonts w:cs="Arial"/>
                <w:color w:val="7F7F7F"/>
                <w:szCs w:val="18"/>
                <w:lang w:eastAsia="en-AU"/>
              </w:rPr>
              <w:t>-94%</w:t>
            </w:r>
          </w:p>
        </w:tc>
        <w:tc>
          <w:tcPr>
            <w:tcW w:w="1183" w:type="dxa"/>
            <w:tcBorders>
              <w:top w:val="nil"/>
              <w:left w:val="nil"/>
              <w:bottom w:val="nil"/>
              <w:right w:val="nil"/>
            </w:tcBorders>
            <w:shd w:val="clear" w:color="auto" w:fill="auto"/>
            <w:noWrap/>
            <w:vAlign w:val="center"/>
            <w:hideMark/>
          </w:tcPr>
          <w:p w:rsidR="00025845" w:rsidRPr="00025845" w:rsidRDefault="00025845" w:rsidP="00025845">
            <w:pPr>
              <w:jc w:val="right"/>
              <w:rPr>
                <w:rFonts w:cs="Arial"/>
                <w:color w:val="7F7F7F"/>
                <w:szCs w:val="18"/>
                <w:lang w:eastAsia="en-AU"/>
              </w:rPr>
            </w:pPr>
            <w:r w:rsidRPr="00025845">
              <w:rPr>
                <w:rFonts w:cs="Arial"/>
                <w:color w:val="7F7F7F"/>
                <w:szCs w:val="18"/>
                <w:lang w:eastAsia="en-AU"/>
              </w:rPr>
              <w:t>-57%</w:t>
            </w:r>
          </w:p>
        </w:tc>
        <w:tc>
          <w:tcPr>
            <w:tcW w:w="1183" w:type="dxa"/>
            <w:tcBorders>
              <w:top w:val="nil"/>
              <w:left w:val="nil"/>
              <w:bottom w:val="nil"/>
              <w:right w:val="nil"/>
            </w:tcBorders>
            <w:shd w:val="clear" w:color="auto" w:fill="auto"/>
            <w:noWrap/>
            <w:vAlign w:val="center"/>
            <w:hideMark/>
          </w:tcPr>
          <w:p w:rsidR="00025845" w:rsidRPr="00025845" w:rsidRDefault="00025845" w:rsidP="00025845">
            <w:pPr>
              <w:jc w:val="right"/>
              <w:rPr>
                <w:rFonts w:cs="Arial"/>
                <w:color w:val="7F7F7F"/>
                <w:szCs w:val="18"/>
                <w:lang w:eastAsia="en-AU"/>
              </w:rPr>
            </w:pPr>
            <w:r w:rsidRPr="00025845">
              <w:rPr>
                <w:rFonts w:cs="Arial"/>
                <w:color w:val="7F7F7F"/>
                <w:szCs w:val="18"/>
                <w:lang w:eastAsia="en-AU"/>
              </w:rPr>
              <w:t>-90%</w:t>
            </w:r>
          </w:p>
        </w:tc>
        <w:tc>
          <w:tcPr>
            <w:tcW w:w="1183" w:type="dxa"/>
            <w:tcBorders>
              <w:top w:val="nil"/>
              <w:left w:val="nil"/>
              <w:bottom w:val="nil"/>
              <w:right w:val="nil"/>
            </w:tcBorders>
            <w:shd w:val="clear" w:color="auto" w:fill="auto"/>
            <w:noWrap/>
            <w:vAlign w:val="center"/>
            <w:hideMark/>
          </w:tcPr>
          <w:p w:rsidR="00025845" w:rsidRPr="00025845" w:rsidRDefault="00025845" w:rsidP="00025845">
            <w:pPr>
              <w:jc w:val="right"/>
              <w:rPr>
                <w:rFonts w:cs="Arial"/>
                <w:color w:val="7F7F7F"/>
                <w:szCs w:val="18"/>
                <w:lang w:eastAsia="en-AU"/>
              </w:rPr>
            </w:pPr>
            <w:r w:rsidRPr="00025845">
              <w:rPr>
                <w:rFonts w:cs="Arial"/>
                <w:color w:val="7F7F7F"/>
                <w:szCs w:val="18"/>
                <w:lang w:eastAsia="en-AU"/>
              </w:rPr>
              <w:t>-85%</w:t>
            </w:r>
          </w:p>
        </w:tc>
        <w:tc>
          <w:tcPr>
            <w:tcW w:w="1183" w:type="dxa"/>
            <w:tcBorders>
              <w:top w:val="nil"/>
              <w:left w:val="nil"/>
              <w:bottom w:val="nil"/>
              <w:right w:val="nil"/>
            </w:tcBorders>
            <w:shd w:val="clear" w:color="auto" w:fill="auto"/>
            <w:noWrap/>
            <w:vAlign w:val="center"/>
            <w:hideMark/>
          </w:tcPr>
          <w:p w:rsidR="00025845" w:rsidRPr="00025845" w:rsidRDefault="00025845" w:rsidP="00025845">
            <w:pPr>
              <w:jc w:val="right"/>
              <w:rPr>
                <w:rFonts w:cs="Arial"/>
                <w:color w:val="7F7F7F"/>
                <w:szCs w:val="18"/>
                <w:lang w:eastAsia="en-AU"/>
              </w:rPr>
            </w:pPr>
            <w:r w:rsidRPr="00025845">
              <w:rPr>
                <w:rFonts w:cs="Arial"/>
                <w:color w:val="7F7F7F"/>
                <w:szCs w:val="18"/>
                <w:lang w:eastAsia="en-AU"/>
              </w:rPr>
              <w:t>-97%</w:t>
            </w:r>
          </w:p>
        </w:tc>
      </w:tr>
      <w:tr w:rsidR="00025845" w:rsidRPr="00025845" w:rsidTr="00025845">
        <w:trPr>
          <w:trHeight w:val="300"/>
        </w:trPr>
        <w:tc>
          <w:tcPr>
            <w:tcW w:w="2180" w:type="dxa"/>
            <w:tcBorders>
              <w:top w:val="nil"/>
              <w:left w:val="nil"/>
              <w:bottom w:val="nil"/>
              <w:right w:val="nil"/>
            </w:tcBorders>
            <w:shd w:val="clear" w:color="auto" w:fill="auto"/>
            <w:noWrap/>
            <w:vAlign w:val="center"/>
            <w:hideMark/>
          </w:tcPr>
          <w:p w:rsidR="00025845" w:rsidRPr="00025845" w:rsidRDefault="00025845" w:rsidP="00025845">
            <w:pPr>
              <w:rPr>
                <w:rFonts w:cs="Arial"/>
                <w:color w:val="7F7F7F"/>
                <w:szCs w:val="18"/>
                <w:lang w:eastAsia="en-AU"/>
              </w:rPr>
            </w:pPr>
            <w:r w:rsidRPr="00025845">
              <w:rPr>
                <w:rFonts w:cs="Arial"/>
                <w:color w:val="7F7F7F"/>
                <w:szCs w:val="18"/>
                <w:lang w:eastAsia="en-AU"/>
              </w:rPr>
              <w:t>Other*</w:t>
            </w:r>
          </w:p>
        </w:tc>
        <w:tc>
          <w:tcPr>
            <w:tcW w:w="1183" w:type="dxa"/>
            <w:tcBorders>
              <w:top w:val="nil"/>
              <w:left w:val="nil"/>
              <w:bottom w:val="nil"/>
              <w:right w:val="nil"/>
            </w:tcBorders>
            <w:shd w:val="clear" w:color="auto" w:fill="auto"/>
            <w:noWrap/>
            <w:vAlign w:val="center"/>
            <w:hideMark/>
          </w:tcPr>
          <w:p w:rsidR="00025845" w:rsidRPr="00025845" w:rsidRDefault="00025845" w:rsidP="00025845">
            <w:pPr>
              <w:jc w:val="right"/>
              <w:rPr>
                <w:rFonts w:cs="Arial"/>
                <w:color w:val="7F7F7F"/>
                <w:szCs w:val="18"/>
                <w:lang w:eastAsia="en-AU"/>
              </w:rPr>
            </w:pPr>
            <w:r w:rsidRPr="00025845">
              <w:rPr>
                <w:rFonts w:cs="Arial"/>
                <w:color w:val="7F7F7F"/>
                <w:szCs w:val="18"/>
                <w:lang w:eastAsia="en-AU"/>
              </w:rPr>
              <w:t>-81%</w:t>
            </w:r>
          </w:p>
        </w:tc>
        <w:tc>
          <w:tcPr>
            <w:tcW w:w="1183" w:type="dxa"/>
            <w:tcBorders>
              <w:top w:val="nil"/>
              <w:left w:val="nil"/>
              <w:bottom w:val="nil"/>
              <w:right w:val="nil"/>
            </w:tcBorders>
            <w:shd w:val="clear" w:color="auto" w:fill="auto"/>
            <w:noWrap/>
            <w:vAlign w:val="center"/>
            <w:hideMark/>
          </w:tcPr>
          <w:p w:rsidR="00025845" w:rsidRPr="00025845" w:rsidRDefault="00025845" w:rsidP="00025845">
            <w:pPr>
              <w:jc w:val="right"/>
              <w:rPr>
                <w:rFonts w:cs="Arial"/>
                <w:color w:val="7F7F7F"/>
                <w:szCs w:val="18"/>
                <w:lang w:eastAsia="en-AU"/>
              </w:rPr>
            </w:pPr>
            <w:r w:rsidRPr="00025845">
              <w:rPr>
                <w:rFonts w:cs="Arial"/>
                <w:color w:val="7F7F7F"/>
                <w:szCs w:val="18"/>
                <w:lang w:eastAsia="en-AU"/>
              </w:rPr>
              <w:t>-81%</w:t>
            </w:r>
          </w:p>
        </w:tc>
        <w:tc>
          <w:tcPr>
            <w:tcW w:w="1183" w:type="dxa"/>
            <w:tcBorders>
              <w:top w:val="nil"/>
              <w:left w:val="nil"/>
              <w:bottom w:val="nil"/>
              <w:right w:val="nil"/>
            </w:tcBorders>
            <w:shd w:val="clear" w:color="auto" w:fill="auto"/>
            <w:noWrap/>
            <w:vAlign w:val="center"/>
            <w:hideMark/>
          </w:tcPr>
          <w:p w:rsidR="00025845" w:rsidRPr="00025845" w:rsidRDefault="00025845" w:rsidP="00025845">
            <w:pPr>
              <w:jc w:val="right"/>
              <w:rPr>
                <w:rFonts w:cs="Arial"/>
                <w:color w:val="7F7F7F"/>
                <w:szCs w:val="18"/>
                <w:lang w:eastAsia="en-AU"/>
              </w:rPr>
            </w:pPr>
            <w:r w:rsidRPr="00025845">
              <w:rPr>
                <w:rFonts w:cs="Arial"/>
                <w:color w:val="7F7F7F"/>
                <w:szCs w:val="18"/>
                <w:lang w:eastAsia="en-AU"/>
              </w:rPr>
              <w:t>-86%</w:t>
            </w:r>
          </w:p>
        </w:tc>
        <w:tc>
          <w:tcPr>
            <w:tcW w:w="1183" w:type="dxa"/>
            <w:tcBorders>
              <w:top w:val="nil"/>
              <w:left w:val="nil"/>
              <w:bottom w:val="nil"/>
              <w:right w:val="nil"/>
            </w:tcBorders>
            <w:shd w:val="clear" w:color="auto" w:fill="auto"/>
            <w:noWrap/>
            <w:vAlign w:val="center"/>
            <w:hideMark/>
          </w:tcPr>
          <w:p w:rsidR="00025845" w:rsidRPr="00025845" w:rsidRDefault="00025845" w:rsidP="00025845">
            <w:pPr>
              <w:jc w:val="right"/>
              <w:rPr>
                <w:rFonts w:cs="Arial"/>
                <w:color w:val="7F7F7F"/>
                <w:szCs w:val="18"/>
                <w:lang w:eastAsia="en-AU"/>
              </w:rPr>
            </w:pPr>
            <w:r w:rsidRPr="00025845">
              <w:rPr>
                <w:rFonts w:cs="Arial"/>
                <w:color w:val="7F7F7F"/>
                <w:szCs w:val="18"/>
                <w:lang w:eastAsia="en-AU"/>
              </w:rPr>
              <w:t>-81%</w:t>
            </w:r>
          </w:p>
        </w:tc>
        <w:tc>
          <w:tcPr>
            <w:tcW w:w="1183" w:type="dxa"/>
            <w:tcBorders>
              <w:top w:val="nil"/>
              <w:left w:val="nil"/>
              <w:bottom w:val="nil"/>
              <w:right w:val="nil"/>
            </w:tcBorders>
            <w:shd w:val="clear" w:color="auto" w:fill="auto"/>
            <w:noWrap/>
            <w:vAlign w:val="center"/>
            <w:hideMark/>
          </w:tcPr>
          <w:p w:rsidR="00025845" w:rsidRPr="00025845" w:rsidRDefault="00025845" w:rsidP="00025845">
            <w:pPr>
              <w:jc w:val="right"/>
              <w:rPr>
                <w:rFonts w:cs="Arial"/>
                <w:color w:val="7F7F7F"/>
                <w:szCs w:val="18"/>
                <w:lang w:eastAsia="en-AU"/>
              </w:rPr>
            </w:pPr>
            <w:r w:rsidRPr="00025845">
              <w:rPr>
                <w:rFonts w:cs="Arial"/>
                <w:color w:val="7F7F7F"/>
                <w:szCs w:val="18"/>
                <w:lang w:eastAsia="en-AU"/>
              </w:rPr>
              <w:t>-37%</w:t>
            </w:r>
          </w:p>
        </w:tc>
      </w:tr>
      <w:tr w:rsidR="00025845" w:rsidRPr="00025845" w:rsidTr="00025845">
        <w:trPr>
          <w:trHeight w:val="300"/>
        </w:trPr>
        <w:tc>
          <w:tcPr>
            <w:tcW w:w="2180" w:type="dxa"/>
            <w:tcBorders>
              <w:top w:val="nil"/>
              <w:left w:val="nil"/>
              <w:bottom w:val="nil"/>
              <w:right w:val="nil"/>
            </w:tcBorders>
            <w:shd w:val="clear" w:color="000000" w:fill="7F7F7F"/>
            <w:noWrap/>
            <w:vAlign w:val="center"/>
            <w:hideMark/>
          </w:tcPr>
          <w:p w:rsidR="00025845" w:rsidRPr="00025845" w:rsidRDefault="00025845" w:rsidP="00025845">
            <w:pPr>
              <w:rPr>
                <w:rFonts w:cs="Arial"/>
                <w:b/>
                <w:bCs/>
                <w:color w:val="FFFFFF"/>
                <w:szCs w:val="18"/>
                <w:lang w:eastAsia="en-AU"/>
              </w:rPr>
            </w:pPr>
            <w:r w:rsidRPr="00025845">
              <w:rPr>
                <w:rFonts w:cs="Arial"/>
                <w:b/>
                <w:bCs/>
                <w:color w:val="FFFFFF"/>
                <w:szCs w:val="18"/>
                <w:lang w:eastAsia="en-AU"/>
              </w:rPr>
              <w:t>Total</w:t>
            </w:r>
          </w:p>
        </w:tc>
        <w:tc>
          <w:tcPr>
            <w:tcW w:w="1183" w:type="dxa"/>
            <w:tcBorders>
              <w:top w:val="nil"/>
              <w:left w:val="nil"/>
              <w:bottom w:val="nil"/>
              <w:right w:val="nil"/>
            </w:tcBorders>
            <w:shd w:val="clear" w:color="000000" w:fill="7F7F7F"/>
            <w:noWrap/>
            <w:vAlign w:val="center"/>
            <w:hideMark/>
          </w:tcPr>
          <w:p w:rsidR="00025845" w:rsidRPr="00025845" w:rsidRDefault="00025845" w:rsidP="00025845">
            <w:pPr>
              <w:jc w:val="right"/>
              <w:rPr>
                <w:rFonts w:cs="Arial"/>
                <w:b/>
                <w:bCs/>
                <w:color w:val="FFFFFF"/>
                <w:szCs w:val="18"/>
                <w:lang w:eastAsia="en-AU"/>
              </w:rPr>
            </w:pPr>
            <w:r w:rsidRPr="00025845">
              <w:rPr>
                <w:rFonts w:cs="Arial"/>
                <w:b/>
                <w:bCs/>
                <w:color w:val="FFFFFF"/>
                <w:szCs w:val="18"/>
                <w:lang w:eastAsia="en-AU"/>
              </w:rPr>
              <w:t>25%</w:t>
            </w:r>
          </w:p>
        </w:tc>
        <w:tc>
          <w:tcPr>
            <w:tcW w:w="1183" w:type="dxa"/>
            <w:tcBorders>
              <w:top w:val="nil"/>
              <w:left w:val="nil"/>
              <w:bottom w:val="nil"/>
              <w:right w:val="nil"/>
            </w:tcBorders>
            <w:shd w:val="clear" w:color="000000" w:fill="7F7F7F"/>
            <w:noWrap/>
            <w:vAlign w:val="center"/>
            <w:hideMark/>
          </w:tcPr>
          <w:p w:rsidR="00025845" w:rsidRPr="00025845" w:rsidRDefault="00025845" w:rsidP="00025845">
            <w:pPr>
              <w:jc w:val="right"/>
              <w:rPr>
                <w:rFonts w:cs="Arial"/>
                <w:b/>
                <w:bCs/>
                <w:color w:val="FFFFFF"/>
                <w:szCs w:val="18"/>
                <w:lang w:eastAsia="en-AU"/>
              </w:rPr>
            </w:pPr>
            <w:r w:rsidRPr="00025845">
              <w:rPr>
                <w:rFonts w:cs="Arial"/>
                <w:b/>
                <w:bCs/>
                <w:color w:val="FFFFFF"/>
                <w:szCs w:val="18"/>
                <w:lang w:eastAsia="en-AU"/>
              </w:rPr>
              <w:t>0%</w:t>
            </w:r>
          </w:p>
        </w:tc>
        <w:tc>
          <w:tcPr>
            <w:tcW w:w="1183" w:type="dxa"/>
            <w:tcBorders>
              <w:top w:val="nil"/>
              <w:left w:val="nil"/>
              <w:bottom w:val="nil"/>
              <w:right w:val="nil"/>
            </w:tcBorders>
            <w:shd w:val="clear" w:color="000000" w:fill="7F7F7F"/>
            <w:noWrap/>
            <w:vAlign w:val="center"/>
            <w:hideMark/>
          </w:tcPr>
          <w:p w:rsidR="00025845" w:rsidRPr="00025845" w:rsidRDefault="00025845" w:rsidP="00025845">
            <w:pPr>
              <w:jc w:val="right"/>
              <w:rPr>
                <w:rFonts w:cs="Arial"/>
                <w:b/>
                <w:bCs/>
                <w:color w:val="FFFFFF"/>
                <w:szCs w:val="18"/>
                <w:lang w:eastAsia="en-AU"/>
              </w:rPr>
            </w:pPr>
            <w:r w:rsidRPr="00025845">
              <w:rPr>
                <w:rFonts w:cs="Arial"/>
                <w:b/>
                <w:bCs/>
                <w:color w:val="FFFFFF"/>
                <w:szCs w:val="18"/>
                <w:lang w:eastAsia="en-AU"/>
              </w:rPr>
              <w:t>-30%</w:t>
            </w:r>
          </w:p>
        </w:tc>
        <w:tc>
          <w:tcPr>
            <w:tcW w:w="1183" w:type="dxa"/>
            <w:tcBorders>
              <w:top w:val="nil"/>
              <w:left w:val="nil"/>
              <w:bottom w:val="nil"/>
              <w:right w:val="nil"/>
            </w:tcBorders>
            <w:shd w:val="clear" w:color="000000" w:fill="7F7F7F"/>
            <w:noWrap/>
            <w:vAlign w:val="center"/>
            <w:hideMark/>
          </w:tcPr>
          <w:p w:rsidR="00025845" w:rsidRPr="00025845" w:rsidRDefault="00025845" w:rsidP="00025845">
            <w:pPr>
              <w:jc w:val="right"/>
              <w:rPr>
                <w:rFonts w:cs="Arial"/>
                <w:b/>
                <w:bCs/>
                <w:color w:val="FFFFFF"/>
                <w:szCs w:val="18"/>
                <w:lang w:eastAsia="en-AU"/>
              </w:rPr>
            </w:pPr>
            <w:r w:rsidRPr="00025845">
              <w:rPr>
                <w:rFonts w:cs="Arial"/>
                <w:b/>
                <w:bCs/>
                <w:color w:val="FFFFFF"/>
                <w:szCs w:val="18"/>
                <w:lang w:eastAsia="en-AU"/>
              </w:rPr>
              <w:t>-19%</w:t>
            </w:r>
          </w:p>
        </w:tc>
        <w:tc>
          <w:tcPr>
            <w:tcW w:w="1183" w:type="dxa"/>
            <w:tcBorders>
              <w:top w:val="nil"/>
              <w:left w:val="nil"/>
              <w:bottom w:val="nil"/>
              <w:right w:val="nil"/>
            </w:tcBorders>
            <w:shd w:val="clear" w:color="000000" w:fill="7F7F7F"/>
            <w:noWrap/>
            <w:vAlign w:val="center"/>
            <w:hideMark/>
          </w:tcPr>
          <w:p w:rsidR="00025845" w:rsidRPr="00025845" w:rsidRDefault="00025845" w:rsidP="00025845">
            <w:pPr>
              <w:jc w:val="right"/>
              <w:rPr>
                <w:rFonts w:cs="Arial"/>
                <w:b/>
                <w:bCs/>
                <w:color w:val="FFFFFF"/>
                <w:szCs w:val="18"/>
                <w:lang w:eastAsia="en-AU"/>
              </w:rPr>
            </w:pPr>
            <w:r w:rsidRPr="00025845">
              <w:rPr>
                <w:rFonts w:cs="Arial"/>
                <w:b/>
                <w:bCs/>
                <w:color w:val="FFFFFF"/>
                <w:szCs w:val="18"/>
                <w:lang w:eastAsia="en-AU"/>
              </w:rPr>
              <w:t>-15%</w:t>
            </w:r>
          </w:p>
        </w:tc>
      </w:tr>
    </w:tbl>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4A0" w:firstRow="1" w:lastRow="0" w:firstColumn="1" w:lastColumn="0" w:noHBand="0" w:noVBand="1"/>
      </w:tblPr>
      <w:tblGrid>
        <w:gridCol w:w="431"/>
        <w:gridCol w:w="7649"/>
      </w:tblGrid>
      <w:tr w:rsidR="00025845" w:rsidRPr="00913551" w:rsidTr="009A601D">
        <w:tc>
          <w:tcPr>
            <w:tcW w:w="431" w:type="dxa"/>
            <w:tcMar>
              <w:left w:w="0" w:type="dxa"/>
              <w:right w:w="28" w:type="dxa"/>
            </w:tcMar>
          </w:tcPr>
          <w:p w:rsidR="00025845" w:rsidRPr="00913551" w:rsidRDefault="00025845" w:rsidP="009A601D">
            <w:pPr>
              <w:spacing w:after="0" w:line="240" w:lineRule="auto"/>
              <w:jc w:val="right"/>
              <w:rPr>
                <w:color w:val="7F7F7F" w:themeColor="text2"/>
                <w:sz w:val="16"/>
                <w:szCs w:val="16"/>
              </w:rPr>
            </w:pPr>
            <w:r w:rsidRPr="00913551">
              <w:rPr>
                <w:color w:val="7F7F7F" w:themeColor="text2"/>
                <w:sz w:val="16"/>
                <w:szCs w:val="16"/>
              </w:rPr>
              <w:t xml:space="preserve">* </w:t>
            </w:r>
          </w:p>
        </w:tc>
        <w:tc>
          <w:tcPr>
            <w:tcW w:w="7649" w:type="dxa"/>
            <w:tcMar>
              <w:left w:w="0" w:type="dxa"/>
              <w:right w:w="28" w:type="dxa"/>
            </w:tcMar>
          </w:tcPr>
          <w:p w:rsidR="00025845" w:rsidRPr="00913551" w:rsidRDefault="00025845" w:rsidP="009A601D">
            <w:pPr>
              <w:pStyle w:val="Note"/>
              <w:spacing w:after="0"/>
              <w:rPr>
                <w:i w:val="0"/>
                <w:color w:val="7F7F7F" w:themeColor="text2"/>
              </w:rPr>
            </w:pPr>
            <w:r w:rsidRPr="00913551">
              <w:t xml:space="preserve">'Other' includes on-line delivery and workplace delivery where the location </w:t>
            </w:r>
            <w:proofErr w:type="gramStart"/>
            <w:r w:rsidRPr="00913551">
              <w:t>cannot be defined</w:t>
            </w:r>
            <w:proofErr w:type="gramEnd"/>
            <w:r w:rsidRPr="00913551">
              <w:t>.</w:t>
            </w:r>
          </w:p>
        </w:tc>
      </w:tr>
    </w:tbl>
    <w:p w:rsidR="00EC6D21" w:rsidRPr="001D446D" w:rsidRDefault="00EC6D21" w:rsidP="001D446D">
      <w:pPr>
        <w:pStyle w:val="Quote"/>
        <w:rPr>
          <w:b w:val="0"/>
          <w:sz w:val="18"/>
          <w:szCs w:val="18"/>
        </w:rPr>
      </w:pPr>
    </w:p>
    <w:p w:rsidR="001D446D" w:rsidRDefault="001D446D" w:rsidP="001D446D">
      <w:pPr>
        <w:pStyle w:val="Quote"/>
        <w:rPr>
          <w:b w:val="0"/>
          <w:sz w:val="18"/>
          <w:szCs w:val="18"/>
        </w:rPr>
      </w:pP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417269" w:rsidTr="009A601D">
        <w:tc>
          <w:tcPr>
            <w:tcW w:w="1134" w:type="dxa"/>
            <w:tcMar>
              <w:left w:w="0" w:type="dxa"/>
              <w:right w:w="0" w:type="dxa"/>
            </w:tcMar>
          </w:tcPr>
          <w:p w:rsidR="00417269" w:rsidRDefault="00417269" w:rsidP="00FE2971">
            <w:pPr>
              <w:pStyle w:val="Quote"/>
              <w:tabs>
                <w:tab w:val="left" w:pos="1134"/>
              </w:tabs>
              <w:rPr>
                <w:b w:val="0"/>
                <w:color w:val="B41F22" w:themeColor="accent1"/>
              </w:rPr>
            </w:pPr>
            <w:r>
              <w:rPr>
                <w:b w:val="0"/>
                <w:color w:val="B41F22" w:themeColor="accent1"/>
              </w:rPr>
              <w:t>Table 1.</w:t>
            </w:r>
            <w:r w:rsidR="00FE2971">
              <w:rPr>
                <w:b w:val="0"/>
                <w:color w:val="B41F22" w:themeColor="accent1"/>
              </w:rPr>
              <w:t>7</w:t>
            </w:r>
            <w:r>
              <w:rPr>
                <w:b w:val="0"/>
                <w:color w:val="B41F22" w:themeColor="accent1"/>
              </w:rPr>
              <w:t>.</w:t>
            </w:r>
            <w:r w:rsidR="00CB6C79">
              <w:rPr>
                <w:b w:val="0"/>
                <w:color w:val="B41F22" w:themeColor="accent1"/>
              </w:rPr>
              <w:t>1</w:t>
            </w:r>
            <w:r>
              <w:rPr>
                <w:b w:val="0"/>
                <w:color w:val="B41F22" w:themeColor="accent1"/>
              </w:rPr>
              <w:t>:</w:t>
            </w:r>
          </w:p>
        </w:tc>
        <w:tc>
          <w:tcPr>
            <w:tcW w:w="6946" w:type="dxa"/>
            <w:tcMar>
              <w:left w:w="0" w:type="dxa"/>
              <w:right w:w="0" w:type="dxa"/>
            </w:tcMar>
          </w:tcPr>
          <w:p w:rsidR="00417269" w:rsidRDefault="00417269" w:rsidP="003603BF">
            <w:pPr>
              <w:pStyle w:val="Quote"/>
              <w:tabs>
                <w:tab w:val="left" w:pos="1134"/>
              </w:tabs>
              <w:rPr>
                <w:b w:val="0"/>
                <w:color w:val="B41F22" w:themeColor="accent1"/>
              </w:rPr>
            </w:pPr>
            <w:r w:rsidRPr="00417269">
              <w:rPr>
                <w:b w:val="0"/>
                <w:color w:val="B41F22" w:themeColor="accent1"/>
              </w:rPr>
              <w:t>Government subsidised enrolments in accredited training by delivery regional area, 2010 to 2015 (half year)</w:t>
            </w:r>
          </w:p>
        </w:tc>
      </w:tr>
    </w:tbl>
    <w:tbl>
      <w:tblPr>
        <w:tblW w:w="8147" w:type="dxa"/>
        <w:tblInd w:w="93" w:type="dxa"/>
        <w:tblLayout w:type="fixed"/>
        <w:tblLook w:val="04A0" w:firstRow="1" w:lastRow="0" w:firstColumn="1" w:lastColumn="0" w:noHBand="0" w:noVBand="1"/>
      </w:tblPr>
      <w:tblGrid>
        <w:gridCol w:w="2180"/>
        <w:gridCol w:w="994"/>
        <w:gridCol w:w="995"/>
        <w:gridCol w:w="994"/>
        <w:gridCol w:w="995"/>
        <w:gridCol w:w="994"/>
        <w:gridCol w:w="995"/>
      </w:tblGrid>
      <w:tr w:rsidR="00417269" w:rsidRPr="00417269" w:rsidTr="00417269">
        <w:trPr>
          <w:trHeight w:val="300"/>
        </w:trPr>
        <w:tc>
          <w:tcPr>
            <w:tcW w:w="2180" w:type="dxa"/>
            <w:tcBorders>
              <w:top w:val="nil"/>
              <w:left w:val="nil"/>
              <w:bottom w:val="nil"/>
              <w:right w:val="nil"/>
            </w:tcBorders>
            <w:shd w:val="clear" w:color="000000" w:fill="7F7F7F"/>
            <w:noWrap/>
            <w:vAlign w:val="center"/>
            <w:hideMark/>
          </w:tcPr>
          <w:p w:rsidR="00417269" w:rsidRPr="00417269" w:rsidRDefault="00417269" w:rsidP="00417269">
            <w:pPr>
              <w:rPr>
                <w:rFonts w:cs="Arial"/>
                <w:color w:val="FFFFFF"/>
                <w:szCs w:val="18"/>
                <w:lang w:eastAsia="en-AU"/>
              </w:rPr>
            </w:pPr>
            <w:r w:rsidRPr="00417269">
              <w:rPr>
                <w:rFonts w:cs="Arial"/>
                <w:color w:val="FFFFFF"/>
                <w:szCs w:val="18"/>
                <w:lang w:eastAsia="en-AU"/>
              </w:rPr>
              <w:t> </w:t>
            </w:r>
          </w:p>
        </w:tc>
        <w:tc>
          <w:tcPr>
            <w:tcW w:w="994" w:type="dxa"/>
            <w:tcBorders>
              <w:top w:val="nil"/>
              <w:left w:val="nil"/>
              <w:bottom w:val="nil"/>
              <w:right w:val="nil"/>
            </w:tcBorders>
            <w:shd w:val="clear" w:color="000000" w:fill="7F7F7F"/>
            <w:noWrap/>
            <w:vAlign w:val="center"/>
            <w:hideMark/>
          </w:tcPr>
          <w:p w:rsidR="00417269" w:rsidRPr="00417269" w:rsidRDefault="00417269" w:rsidP="00417269">
            <w:pPr>
              <w:jc w:val="right"/>
              <w:rPr>
                <w:rFonts w:cs="Arial"/>
                <w:b/>
                <w:bCs/>
                <w:color w:val="FFFFFF"/>
                <w:szCs w:val="18"/>
                <w:lang w:eastAsia="en-AU"/>
              </w:rPr>
            </w:pPr>
            <w:r w:rsidRPr="00417269">
              <w:rPr>
                <w:rFonts w:cs="Arial"/>
                <w:b/>
                <w:bCs/>
                <w:color w:val="FFFFFF"/>
                <w:szCs w:val="18"/>
                <w:lang w:eastAsia="en-AU"/>
              </w:rPr>
              <w:t>2010</w:t>
            </w:r>
          </w:p>
        </w:tc>
        <w:tc>
          <w:tcPr>
            <w:tcW w:w="995" w:type="dxa"/>
            <w:tcBorders>
              <w:top w:val="nil"/>
              <w:left w:val="nil"/>
              <w:bottom w:val="nil"/>
              <w:right w:val="nil"/>
            </w:tcBorders>
            <w:shd w:val="clear" w:color="000000" w:fill="7F7F7F"/>
            <w:noWrap/>
            <w:vAlign w:val="center"/>
            <w:hideMark/>
          </w:tcPr>
          <w:p w:rsidR="00417269" w:rsidRPr="00417269" w:rsidRDefault="00417269" w:rsidP="00417269">
            <w:pPr>
              <w:jc w:val="right"/>
              <w:rPr>
                <w:rFonts w:cs="Arial"/>
                <w:b/>
                <w:bCs/>
                <w:color w:val="FFFFFF"/>
                <w:szCs w:val="18"/>
                <w:lang w:eastAsia="en-AU"/>
              </w:rPr>
            </w:pPr>
            <w:r w:rsidRPr="00417269">
              <w:rPr>
                <w:rFonts w:cs="Arial"/>
                <w:b/>
                <w:bCs/>
                <w:color w:val="FFFFFF"/>
                <w:szCs w:val="18"/>
                <w:lang w:eastAsia="en-AU"/>
              </w:rPr>
              <w:t>2011</w:t>
            </w:r>
          </w:p>
        </w:tc>
        <w:tc>
          <w:tcPr>
            <w:tcW w:w="994" w:type="dxa"/>
            <w:tcBorders>
              <w:top w:val="nil"/>
              <w:left w:val="nil"/>
              <w:bottom w:val="nil"/>
              <w:right w:val="nil"/>
            </w:tcBorders>
            <w:shd w:val="clear" w:color="000000" w:fill="7F7F7F"/>
            <w:noWrap/>
            <w:vAlign w:val="center"/>
            <w:hideMark/>
          </w:tcPr>
          <w:p w:rsidR="00417269" w:rsidRPr="00417269" w:rsidRDefault="00417269" w:rsidP="00417269">
            <w:pPr>
              <w:jc w:val="right"/>
              <w:rPr>
                <w:rFonts w:cs="Arial"/>
                <w:b/>
                <w:bCs/>
                <w:color w:val="FFFFFF"/>
                <w:szCs w:val="18"/>
                <w:lang w:eastAsia="en-AU"/>
              </w:rPr>
            </w:pPr>
            <w:r w:rsidRPr="00417269">
              <w:rPr>
                <w:rFonts w:cs="Arial"/>
                <w:b/>
                <w:bCs/>
                <w:color w:val="FFFFFF"/>
                <w:szCs w:val="18"/>
                <w:lang w:eastAsia="en-AU"/>
              </w:rPr>
              <w:t>2012</w:t>
            </w:r>
          </w:p>
        </w:tc>
        <w:tc>
          <w:tcPr>
            <w:tcW w:w="995" w:type="dxa"/>
            <w:tcBorders>
              <w:top w:val="nil"/>
              <w:left w:val="nil"/>
              <w:bottom w:val="nil"/>
              <w:right w:val="nil"/>
            </w:tcBorders>
            <w:shd w:val="clear" w:color="000000" w:fill="7F7F7F"/>
            <w:noWrap/>
            <w:vAlign w:val="center"/>
            <w:hideMark/>
          </w:tcPr>
          <w:p w:rsidR="00417269" w:rsidRPr="00417269" w:rsidRDefault="00417269" w:rsidP="00417269">
            <w:pPr>
              <w:jc w:val="right"/>
              <w:rPr>
                <w:rFonts w:cs="Arial"/>
                <w:b/>
                <w:bCs/>
                <w:color w:val="FFFFFF"/>
                <w:szCs w:val="18"/>
                <w:lang w:eastAsia="en-AU"/>
              </w:rPr>
            </w:pPr>
            <w:r w:rsidRPr="00417269">
              <w:rPr>
                <w:rFonts w:cs="Arial"/>
                <w:b/>
                <w:bCs/>
                <w:color w:val="FFFFFF"/>
                <w:szCs w:val="18"/>
                <w:lang w:eastAsia="en-AU"/>
              </w:rPr>
              <w:t>2013</w:t>
            </w:r>
          </w:p>
        </w:tc>
        <w:tc>
          <w:tcPr>
            <w:tcW w:w="994" w:type="dxa"/>
            <w:tcBorders>
              <w:top w:val="nil"/>
              <w:left w:val="nil"/>
              <w:bottom w:val="nil"/>
              <w:right w:val="nil"/>
            </w:tcBorders>
            <w:shd w:val="clear" w:color="000000" w:fill="7F7F7F"/>
            <w:noWrap/>
            <w:vAlign w:val="center"/>
            <w:hideMark/>
          </w:tcPr>
          <w:p w:rsidR="00417269" w:rsidRPr="00417269" w:rsidRDefault="00417269" w:rsidP="00417269">
            <w:pPr>
              <w:jc w:val="right"/>
              <w:rPr>
                <w:rFonts w:cs="Arial"/>
                <w:b/>
                <w:bCs/>
                <w:color w:val="FFFFFF"/>
                <w:szCs w:val="18"/>
                <w:lang w:eastAsia="en-AU"/>
              </w:rPr>
            </w:pPr>
            <w:r w:rsidRPr="00417269">
              <w:rPr>
                <w:rFonts w:cs="Arial"/>
                <w:b/>
                <w:bCs/>
                <w:color w:val="FFFFFF"/>
                <w:szCs w:val="18"/>
                <w:lang w:eastAsia="en-AU"/>
              </w:rPr>
              <w:t>2014</w:t>
            </w:r>
          </w:p>
        </w:tc>
        <w:tc>
          <w:tcPr>
            <w:tcW w:w="995" w:type="dxa"/>
            <w:tcBorders>
              <w:top w:val="nil"/>
              <w:left w:val="nil"/>
              <w:bottom w:val="nil"/>
              <w:right w:val="nil"/>
            </w:tcBorders>
            <w:shd w:val="clear" w:color="000000" w:fill="7F7F7F"/>
            <w:noWrap/>
            <w:vAlign w:val="center"/>
            <w:hideMark/>
          </w:tcPr>
          <w:p w:rsidR="00417269" w:rsidRPr="00417269" w:rsidRDefault="00417269" w:rsidP="00417269">
            <w:pPr>
              <w:jc w:val="right"/>
              <w:rPr>
                <w:rFonts w:cs="Arial"/>
                <w:b/>
                <w:bCs/>
                <w:color w:val="FFFFFF"/>
                <w:szCs w:val="18"/>
                <w:lang w:eastAsia="en-AU"/>
              </w:rPr>
            </w:pPr>
            <w:r w:rsidRPr="00417269">
              <w:rPr>
                <w:rFonts w:cs="Arial"/>
                <w:b/>
                <w:bCs/>
                <w:color w:val="FFFFFF"/>
                <w:szCs w:val="18"/>
                <w:lang w:eastAsia="en-AU"/>
              </w:rPr>
              <w:t>2015</w:t>
            </w:r>
          </w:p>
        </w:tc>
      </w:tr>
      <w:tr w:rsidR="00417269" w:rsidRPr="00417269" w:rsidTr="00417269">
        <w:trPr>
          <w:trHeight w:val="300"/>
        </w:trPr>
        <w:tc>
          <w:tcPr>
            <w:tcW w:w="2180" w:type="dxa"/>
            <w:tcBorders>
              <w:top w:val="nil"/>
              <w:left w:val="nil"/>
              <w:bottom w:val="nil"/>
              <w:right w:val="nil"/>
            </w:tcBorders>
            <w:shd w:val="clear" w:color="auto" w:fill="auto"/>
            <w:noWrap/>
            <w:vAlign w:val="center"/>
            <w:hideMark/>
          </w:tcPr>
          <w:p w:rsidR="00417269" w:rsidRPr="00417269" w:rsidRDefault="00417269" w:rsidP="00417269">
            <w:pPr>
              <w:rPr>
                <w:rFonts w:cs="Arial"/>
                <w:color w:val="7F7F7F"/>
                <w:szCs w:val="18"/>
                <w:lang w:eastAsia="en-AU"/>
              </w:rPr>
            </w:pPr>
            <w:r w:rsidRPr="00417269">
              <w:rPr>
                <w:rFonts w:cs="Arial"/>
                <w:color w:val="7F7F7F"/>
                <w:szCs w:val="18"/>
                <w:lang w:eastAsia="en-AU"/>
              </w:rPr>
              <w:t>Barwon South West</w:t>
            </w:r>
          </w:p>
        </w:tc>
        <w:tc>
          <w:tcPr>
            <w:tcW w:w="994"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22,730</w:t>
            </w:r>
          </w:p>
        </w:tc>
        <w:tc>
          <w:tcPr>
            <w:tcW w:w="995"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28,017</w:t>
            </w:r>
          </w:p>
        </w:tc>
        <w:tc>
          <w:tcPr>
            <w:tcW w:w="994"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45,375</w:t>
            </w:r>
          </w:p>
        </w:tc>
        <w:tc>
          <w:tcPr>
            <w:tcW w:w="995"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29,977</w:t>
            </w:r>
          </w:p>
        </w:tc>
        <w:tc>
          <w:tcPr>
            <w:tcW w:w="994"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29,167</w:t>
            </w:r>
          </w:p>
        </w:tc>
        <w:tc>
          <w:tcPr>
            <w:tcW w:w="995"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23,612</w:t>
            </w:r>
          </w:p>
        </w:tc>
      </w:tr>
      <w:tr w:rsidR="00417269" w:rsidRPr="00417269" w:rsidTr="00417269">
        <w:trPr>
          <w:trHeight w:val="300"/>
        </w:trPr>
        <w:tc>
          <w:tcPr>
            <w:tcW w:w="2180" w:type="dxa"/>
            <w:tcBorders>
              <w:top w:val="nil"/>
              <w:left w:val="nil"/>
              <w:bottom w:val="nil"/>
              <w:right w:val="nil"/>
            </w:tcBorders>
            <w:shd w:val="clear" w:color="auto" w:fill="auto"/>
            <w:noWrap/>
            <w:vAlign w:val="center"/>
            <w:hideMark/>
          </w:tcPr>
          <w:p w:rsidR="00417269" w:rsidRPr="00417269" w:rsidRDefault="00417269" w:rsidP="00417269">
            <w:pPr>
              <w:rPr>
                <w:rFonts w:cs="Arial"/>
                <w:color w:val="7F7F7F"/>
                <w:szCs w:val="18"/>
                <w:lang w:eastAsia="en-AU"/>
              </w:rPr>
            </w:pPr>
            <w:r w:rsidRPr="00417269">
              <w:rPr>
                <w:rFonts w:cs="Arial"/>
                <w:color w:val="7F7F7F"/>
                <w:szCs w:val="18"/>
                <w:lang w:eastAsia="en-AU"/>
              </w:rPr>
              <w:t>Grampians</w:t>
            </w:r>
          </w:p>
        </w:tc>
        <w:tc>
          <w:tcPr>
            <w:tcW w:w="994"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8,349</w:t>
            </w:r>
          </w:p>
        </w:tc>
        <w:tc>
          <w:tcPr>
            <w:tcW w:w="995"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9,684</w:t>
            </w:r>
          </w:p>
        </w:tc>
        <w:tc>
          <w:tcPr>
            <w:tcW w:w="994"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11,996</w:t>
            </w:r>
          </w:p>
        </w:tc>
        <w:tc>
          <w:tcPr>
            <w:tcW w:w="995"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10,472</w:t>
            </w:r>
          </w:p>
        </w:tc>
        <w:tc>
          <w:tcPr>
            <w:tcW w:w="994"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9,930</w:t>
            </w:r>
          </w:p>
        </w:tc>
        <w:tc>
          <w:tcPr>
            <w:tcW w:w="995"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9,012</w:t>
            </w:r>
          </w:p>
        </w:tc>
      </w:tr>
      <w:tr w:rsidR="00417269" w:rsidRPr="00417269" w:rsidTr="00417269">
        <w:trPr>
          <w:trHeight w:val="300"/>
        </w:trPr>
        <w:tc>
          <w:tcPr>
            <w:tcW w:w="2180" w:type="dxa"/>
            <w:tcBorders>
              <w:top w:val="nil"/>
              <w:left w:val="nil"/>
              <w:bottom w:val="nil"/>
              <w:right w:val="nil"/>
            </w:tcBorders>
            <w:shd w:val="clear" w:color="auto" w:fill="auto"/>
            <w:noWrap/>
            <w:vAlign w:val="center"/>
            <w:hideMark/>
          </w:tcPr>
          <w:p w:rsidR="00417269" w:rsidRPr="00417269" w:rsidRDefault="00417269" w:rsidP="00417269">
            <w:pPr>
              <w:rPr>
                <w:rFonts w:cs="Arial"/>
                <w:color w:val="7F7F7F"/>
                <w:szCs w:val="18"/>
                <w:lang w:eastAsia="en-AU"/>
              </w:rPr>
            </w:pPr>
            <w:r w:rsidRPr="00417269">
              <w:rPr>
                <w:rFonts w:cs="Arial"/>
                <w:color w:val="7F7F7F"/>
                <w:szCs w:val="18"/>
                <w:lang w:eastAsia="en-AU"/>
              </w:rPr>
              <w:t>Loddon Mallee</w:t>
            </w:r>
          </w:p>
        </w:tc>
        <w:tc>
          <w:tcPr>
            <w:tcW w:w="994"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15,706</w:t>
            </w:r>
          </w:p>
        </w:tc>
        <w:tc>
          <w:tcPr>
            <w:tcW w:w="995"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18,882</w:t>
            </w:r>
          </w:p>
        </w:tc>
        <w:tc>
          <w:tcPr>
            <w:tcW w:w="994"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24,737</w:t>
            </w:r>
          </w:p>
        </w:tc>
        <w:tc>
          <w:tcPr>
            <w:tcW w:w="995"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19,701</w:t>
            </w:r>
          </w:p>
        </w:tc>
        <w:tc>
          <w:tcPr>
            <w:tcW w:w="994"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17,432</w:t>
            </w:r>
          </w:p>
        </w:tc>
        <w:tc>
          <w:tcPr>
            <w:tcW w:w="995"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15,139</w:t>
            </w:r>
          </w:p>
        </w:tc>
      </w:tr>
      <w:tr w:rsidR="00417269" w:rsidRPr="00417269" w:rsidTr="00417269">
        <w:trPr>
          <w:trHeight w:val="300"/>
        </w:trPr>
        <w:tc>
          <w:tcPr>
            <w:tcW w:w="2180" w:type="dxa"/>
            <w:tcBorders>
              <w:top w:val="nil"/>
              <w:left w:val="nil"/>
              <w:bottom w:val="nil"/>
              <w:right w:val="nil"/>
            </w:tcBorders>
            <w:shd w:val="clear" w:color="auto" w:fill="auto"/>
            <w:noWrap/>
            <w:vAlign w:val="center"/>
            <w:hideMark/>
          </w:tcPr>
          <w:p w:rsidR="00417269" w:rsidRPr="00417269" w:rsidRDefault="00417269" w:rsidP="00417269">
            <w:pPr>
              <w:rPr>
                <w:rFonts w:cs="Arial"/>
                <w:color w:val="7F7F7F"/>
                <w:szCs w:val="18"/>
                <w:lang w:eastAsia="en-AU"/>
              </w:rPr>
            </w:pPr>
            <w:r w:rsidRPr="00417269">
              <w:rPr>
                <w:rFonts w:cs="Arial"/>
                <w:color w:val="7F7F7F"/>
                <w:szCs w:val="18"/>
                <w:lang w:eastAsia="en-AU"/>
              </w:rPr>
              <w:t>Hume</w:t>
            </w:r>
          </w:p>
        </w:tc>
        <w:tc>
          <w:tcPr>
            <w:tcW w:w="994"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14,829</w:t>
            </w:r>
          </w:p>
        </w:tc>
        <w:tc>
          <w:tcPr>
            <w:tcW w:w="995"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14,954</w:t>
            </w:r>
          </w:p>
        </w:tc>
        <w:tc>
          <w:tcPr>
            <w:tcW w:w="994"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21,543</w:t>
            </w:r>
          </w:p>
        </w:tc>
        <w:tc>
          <w:tcPr>
            <w:tcW w:w="995"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28,085</w:t>
            </w:r>
          </w:p>
        </w:tc>
        <w:tc>
          <w:tcPr>
            <w:tcW w:w="994"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19,328</w:t>
            </w:r>
          </w:p>
        </w:tc>
        <w:tc>
          <w:tcPr>
            <w:tcW w:w="995"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15,683</w:t>
            </w:r>
          </w:p>
        </w:tc>
      </w:tr>
      <w:tr w:rsidR="00417269" w:rsidRPr="00417269" w:rsidTr="00417269">
        <w:trPr>
          <w:trHeight w:val="300"/>
        </w:trPr>
        <w:tc>
          <w:tcPr>
            <w:tcW w:w="2180" w:type="dxa"/>
            <w:tcBorders>
              <w:top w:val="nil"/>
              <w:left w:val="nil"/>
              <w:bottom w:val="nil"/>
              <w:right w:val="nil"/>
            </w:tcBorders>
            <w:shd w:val="clear" w:color="auto" w:fill="auto"/>
            <w:noWrap/>
            <w:vAlign w:val="center"/>
            <w:hideMark/>
          </w:tcPr>
          <w:p w:rsidR="00417269" w:rsidRPr="00417269" w:rsidRDefault="00417269" w:rsidP="00417269">
            <w:pPr>
              <w:rPr>
                <w:rFonts w:cs="Arial"/>
                <w:color w:val="7F7F7F"/>
                <w:szCs w:val="18"/>
                <w:lang w:eastAsia="en-AU"/>
              </w:rPr>
            </w:pPr>
            <w:r w:rsidRPr="00417269">
              <w:rPr>
                <w:rFonts w:cs="Arial"/>
                <w:color w:val="7F7F7F"/>
                <w:szCs w:val="18"/>
                <w:lang w:eastAsia="en-AU"/>
              </w:rPr>
              <w:t>Gippsland</w:t>
            </w:r>
          </w:p>
        </w:tc>
        <w:tc>
          <w:tcPr>
            <w:tcW w:w="994"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12,878</w:t>
            </w:r>
          </w:p>
        </w:tc>
        <w:tc>
          <w:tcPr>
            <w:tcW w:w="995"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11,618</w:t>
            </w:r>
          </w:p>
        </w:tc>
        <w:tc>
          <w:tcPr>
            <w:tcW w:w="994"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12,333</w:t>
            </w:r>
          </w:p>
        </w:tc>
        <w:tc>
          <w:tcPr>
            <w:tcW w:w="995"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9,180</w:t>
            </w:r>
          </w:p>
        </w:tc>
        <w:tc>
          <w:tcPr>
            <w:tcW w:w="994"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9,894</w:t>
            </w:r>
          </w:p>
        </w:tc>
        <w:tc>
          <w:tcPr>
            <w:tcW w:w="995"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8,770</w:t>
            </w:r>
          </w:p>
        </w:tc>
      </w:tr>
      <w:tr w:rsidR="00417269" w:rsidRPr="00417269" w:rsidTr="00417269">
        <w:trPr>
          <w:trHeight w:val="300"/>
        </w:trPr>
        <w:tc>
          <w:tcPr>
            <w:tcW w:w="2180" w:type="dxa"/>
            <w:tcBorders>
              <w:top w:val="nil"/>
              <w:left w:val="nil"/>
              <w:bottom w:val="nil"/>
              <w:right w:val="nil"/>
            </w:tcBorders>
            <w:shd w:val="clear" w:color="auto" w:fill="auto"/>
            <w:noWrap/>
            <w:vAlign w:val="center"/>
            <w:hideMark/>
          </w:tcPr>
          <w:p w:rsidR="00417269" w:rsidRPr="00417269" w:rsidRDefault="00417269" w:rsidP="00417269">
            <w:pPr>
              <w:rPr>
                <w:rFonts w:cs="Arial"/>
                <w:color w:val="7F7F7F"/>
                <w:szCs w:val="18"/>
                <w:lang w:eastAsia="en-AU"/>
              </w:rPr>
            </w:pPr>
            <w:r w:rsidRPr="00417269">
              <w:rPr>
                <w:rFonts w:cs="Arial"/>
                <w:color w:val="7F7F7F"/>
                <w:szCs w:val="18"/>
                <w:lang w:eastAsia="en-AU"/>
              </w:rPr>
              <w:t>Eastern Metropolitan</w:t>
            </w:r>
          </w:p>
        </w:tc>
        <w:tc>
          <w:tcPr>
            <w:tcW w:w="994"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34,324</w:t>
            </w:r>
          </w:p>
        </w:tc>
        <w:tc>
          <w:tcPr>
            <w:tcW w:w="995"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47,952</w:t>
            </w:r>
          </w:p>
        </w:tc>
        <w:tc>
          <w:tcPr>
            <w:tcW w:w="994"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53,769</w:t>
            </w:r>
          </w:p>
        </w:tc>
        <w:tc>
          <w:tcPr>
            <w:tcW w:w="995"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43,297</w:t>
            </w:r>
          </w:p>
        </w:tc>
        <w:tc>
          <w:tcPr>
            <w:tcW w:w="994"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40,279</w:t>
            </w:r>
          </w:p>
        </w:tc>
        <w:tc>
          <w:tcPr>
            <w:tcW w:w="995"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30,587</w:t>
            </w:r>
          </w:p>
        </w:tc>
      </w:tr>
      <w:tr w:rsidR="00417269" w:rsidRPr="00417269" w:rsidTr="00417269">
        <w:trPr>
          <w:trHeight w:val="300"/>
        </w:trPr>
        <w:tc>
          <w:tcPr>
            <w:tcW w:w="2180" w:type="dxa"/>
            <w:tcBorders>
              <w:top w:val="nil"/>
              <w:left w:val="nil"/>
              <w:bottom w:val="nil"/>
              <w:right w:val="nil"/>
            </w:tcBorders>
            <w:shd w:val="clear" w:color="auto" w:fill="auto"/>
            <w:noWrap/>
            <w:vAlign w:val="center"/>
            <w:hideMark/>
          </w:tcPr>
          <w:p w:rsidR="00417269" w:rsidRPr="00417269" w:rsidRDefault="00417269" w:rsidP="00417269">
            <w:pPr>
              <w:rPr>
                <w:rFonts w:cs="Arial"/>
                <w:color w:val="7F7F7F"/>
                <w:szCs w:val="18"/>
                <w:lang w:eastAsia="en-AU"/>
              </w:rPr>
            </w:pPr>
            <w:r w:rsidRPr="00417269">
              <w:rPr>
                <w:rFonts w:cs="Arial"/>
                <w:color w:val="7F7F7F"/>
                <w:szCs w:val="18"/>
                <w:lang w:eastAsia="en-AU"/>
              </w:rPr>
              <w:t>Western Metropolitan</w:t>
            </w:r>
          </w:p>
        </w:tc>
        <w:tc>
          <w:tcPr>
            <w:tcW w:w="994"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50,836</w:t>
            </w:r>
          </w:p>
        </w:tc>
        <w:tc>
          <w:tcPr>
            <w:tcW w:w="995"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75,014</w:t>
            </w:r>
          </w:p>
        </w:tc>
        <w:tc>
          <w:tcPr>
            <w:tcW w:w="994"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122,784</w:t>
            </w:r>
          </w:p>
        </w:tc>
        <w:tc>
          <w:tcPr>
            <w:tcW w:w="995"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109,981</w:t>
            </w:r>
          </w:p>
        </w:tc>
        <w:tc>
          <w:tcPr>
            <w:tcW w:w="994"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115,188</w:t>
            </w:r>
          </w:p>
        </w:tc>
        <w:tc>
          <w:tcPr>
            <w:tcW w:w="995"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92,564</w:t>
            </w:r>
          </w:p>
        </w:tc>
      </w:tr>
      <w:tr w:rsidR="00417269" w:rsidRPr="00417269" w:rsidTr="00417269">
        <w:trPr>
          <w:trHeight w:val="300"/>
        </w:trPr>
        <w:tc>
          <w:tcPr>
            <w:tcW w:w="2180" w:type="dxa"/>
            <w:tcBorders>
              <w:top w:val="nil"/>
              <w:left w:val="nil"/>
              <w:bottom w:val="nil"/>
              <w:right w:val="nil"/>
            </w:tcBorders>
            <w:shd w:val="clear" w:color="auto" w:fill="auto"/>
            <w:noWrap/>
            <w:vAlign w:val="center"/>
            <w:hideMark/>
          </w:tcPr>
          <w:p w:rsidR="00417269" w:rsidRPr="00417269" w:rsidRDefault="00417269" w:rsidP="00417269">
            <w:pPr>
              <w:rPr>
                <w:rFonts w:cs="Arial"/>
                <w:color w:val="7F7F7F"/>
                <w:szCs w:val="18"/>
                <w:lang w:eastAsia="en-AU"/>
              </w:rPr>
            </w:pPr>
            <w:r w:rsidRPr="00417269">
              <w:rPr>
                <w:rFonts w:cs="Arial"/>
                <w:color w:val="7F7F7F"/>
                <w:szCs w:val="18"/>
                <w:lang w:eastAsia="en-AU"/>
              </w:rPr>
              <w:t>Southern Metropolitan</w:t>
            </w:r>
          </w:p>
        </w:tc>
        <w:tc>
          <w:tcPr>
            <w:tcW w:w="994"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46,943</w:t>
            </w:r>
          </w:p>
        </w:tc>
        <w:tc>
          <w:tcPr>
            <w:tcW w:w="995"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57,135</w:t>
            </w:r>
          </w:p>
        </w:tc>
        <w:tc>
          <w:tcPr>
            <w:tcW w:w="994"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87,685</w:t>
            </w:r>
          </w:p>
        </w:tc>
        <w:tc>
          <w:tcPr>
            <w:tcW w:w="995"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78,629</w:t>
            </w:r>
          </w:p>
        </w:tc>
        <w:tc>
          <w:tcPr>
            <w:tcW w:w="994"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70,138</w:t>
            </w:r>
          </w:p>
        </w:tc>
        <w:tc>
          <w:tcPr>
            <w:tcW w:w="995"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65,555</w:t>
            </w:r>
          </w:p>
        </w:tc>
      </w:tr>
      <w:tr w:rsidR="00417269" w:rsidRPr="00417269" w:rsidTr="00417269">
        <w:trPr>
          <w:trHeight w:val="300"/>
        </w:trPr>
        <w:tc>
          <w:tcPr>
            <w:tcW w:w="2180" w:type="dxa"/>
            <w:tcBorders>
              <w:top w:val="nil"/>
              <w:left w:val="nil"/>
              <w:bottom w:val="nil"/>
              <w:right w:val="nil"/>
            </w:tcBorders>
            <w:shd w:val="clear" w:color="auto" w:fill="auto"/>
            <w:noWrap/>
            <w:vAlign w:val="center"/>
            <w:hideMark/>
          </w:tcPr>
          <w:p w:rsidR="00417269" w:rsidRPr="00417269" w:rsidRDefault="00417269" w:rsidP="00417269">
            <w:pPr>
              <w:rPr>
                <w:rFonts w:cs="Arial"/>
                <w:color w:val="7F7F7F"/>
                <w:szCs w:val="18"/>
                <w:lang w:eastAsia="en-AU"/>
              </w:rPr>
            </w:pPr>
            <w:r w:rsidRPr="00417269">
              <w:rPr>
                <w:rFonts w:cs="Arial"/>
                <w:color w:val="7F7F7F"/>
                <w:szCs w:val="18"/>
                <w:lang w:eastAsia="en-AU"/>
              </w:rPr>
              <w:t>Northern Metropolitan</w:t>
            </w:r>
          </w:p>
        </w:tc>
        <w:tc>
          <w:tcPr>
            <w:tcW w:w="994"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34,201</w:t>
            </w:r>
          </w:p>
        </w:tc>
        <w:tc>
          <w:tcPr>
            <w:tcW w:w="995"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39,440</w:t>
            </w:r>
          </w:p>
        </w:tc>
        <w:tc>
          <w:tcPr>
            <w:tcW w:w="994"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56,153</w:t>
            </w:r>
          </w:p>
        </w:tc>
        <w:tc>
          <w:tcPr>
            <w:tcW w:w="995"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49,698</w:t>
            </w:r>
          </w:p>
        </w:tc>
        <w:tc>
          <w:tcPr>
            <w:tcW w:w="994"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51,054</w:t>
            </w:r>
          </w:p>
        </w:tc>
        <w:tc>
          <w:tcPr>
            <w:tcW w:w="995"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49,031</w:t>
            </w:r>
          </w:p>
        </w:tc>
      </w:tr>
      <w:tr w:rsidR="00417269" w:rsidRPr="00417269" w:rsidTr="00417269">
        <w:trPr>
          <w:trHeight w:val="300"/>
        </w:trPr>
        <w:tc>
          <w:tcPr>
            <w:tcW w:w="2180" w:type="dxa"/>
            <w:tcBorders>
              <w:top w:val="nil"/>
              <w:left w:val="nil"/>
              <w:bottom w:val="nil"/>
              <w:right w:val="nil"/>
            </w:tcBorders>
            <w:shd w:val="clear" w:color="auto" w:fill="auto"/>
            <w:noWrap/>
            <w:vAlign w:val="center"/>
            <w:hideMark/>
          </w:tcPr>
          <w:p w:rsidR="00417269" w:rsidRPr="00417269" w:rsidRDefault="00417269" w:rsidP="00417269">
            <w:pPr>
              <w:rPr>
                <w:rFonts w:cs="Arial"/>
                <w:color w:val="7F7F7F"/>
                <w:szCs w:val="18"/>
                <w:lang w:eastAsia="en-AU"/>
              </w:rPr>
            </w:pPr>
            <w:r w:rsidRPr="00417269">
              <w:rPr>
                <w:rFonts w:cs="Arial"/>
                <w:color w:val="7F7F7F"/>
                <w:szCs w:val="18"/>
                <w:lang w:eastAsia="en-AU"/>
              </w:rPr>
              <w:t>Interstate</w:t>
            </w:r>
          </w:p>
        </w:tc>
        <w:tc>
          <w:tcPr>
            <w:tcW w:w="994"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93</w:t>
            </w:r>
          </w:p>
        </w:tc>
        <w:tc>
          <w:tcPr>
            <w:tcW w:w="995"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14</w:t>
            </w:r>
          </w:p>
        </w:tc>
        <w:tc>
          <w:tcPr>
            <w:tcW w:w="994"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63</w:t>
            </w:r>
          </w:p>
        </w:tc>
        <w:tc>
          <w:tcPr>
            <w:tcW w:w="995"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39</w:t>
            </w:r>
          </w:p>
        </w:tc>
        <w:tc>
          <w:tcPr>
            <w:tcW w:w="994"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194</w:t>
            </w:r>
          </w:p>
        </w:tc>
        <w:tc>
          <w:tcPr>
            <w:tcW w:w="995"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6</w:t>
            </w:r>
          </w:p>
        </w:tc>
      </w:tr>
      <w:tr w:rsidR="00417269" w:rsidRPr="00417269" w:rsidTr="00417269">
        <w:trPr>
          <w:trHeight w:val="300"/>
        </w:trPr>
        <w:tc>
          <w:tcPr>
            <w:tcW w:w="2180" w:type="dxa"/>
            <w:tcBorders>
              <w:top w:val="nil"/>
              <w:left w:val="nil"/>
              <w:bottom w:val="nil"/>
              <w:right w:val="nil"/>
            </w:tcBorders>
            <w:shd w:val="clear" w:color="auto" w:fill="auto"/>
            <w:noWrap/>
            <w:vAlign w:val="center"/>
            <w:hideMark/>
          </w:tcPr>
          <w:p w:rsidR="00417269" w:rsidRPr="00417269" w:rsidRDefault="00417269" w:rsidP="00417269">
            <w:pPr>
              <w:rPr>
                <w:rFonts w:cs="Arial"/>
                <w:color w:val="7F7F7F"/>
                <w:szCs w:val="18"/>
                <w:lang w:eastAsia="en-AU"/>
              </w:rPr>
            </w:pPr>
            <w:r w:rsidRPr="00417269">
              <w:rPr>
                <w:rFonts w:cs="Arial"/>
                <w:color w:val="7F7F7F"/>
                <w:szCs w:val="18"/>
                <w:lang w:eastAsia="en-AU"/>
              </w:rPr>
              <w:t>Other*</w:t>
            </w:r>
          </w:p>
        </w:tc>
        <w:tc>
          <w:tcPr>
            <w:tcW w:w="994"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7,566</w:t>
            </w:r>
          </w:p>
        </w:tc>
        <w:tc>
          <w:tcPr>
            <w:tcW w:w="995"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7,489</w:t>
            </w:r>
          </w:p>
        </w:tc>
        <w:tc>
          <w:tcPr>
            <w:tcW w:w="994"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10,285</w:t>
            </w:r>
          </w:p>
        </w:tc>
        <w:tc>
          <w:tcPr>
            <w:tcW w:w="995"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7,306</w:t>
            </w:r>
          </w:p>
        </w:tc>
        <w:tc>
          <w:tcPr>
            <w:tcW w:w="994"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2,218</w:t>
            </w:r>
          </w:p>
        </w:tc>
        <w:tc>
          <w:tcPr>
            <w:tcW w:w="995"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1,408</w:t>
            </w:r>
          </w:p>
        </w:tc>
      </w:tr>
      <w:tr w:rsidR="00417269" w:rsidRPr="00417269" w:rsidTr="00417269">
        <w:trPr>
          <w:trHeight w:val="300"/>
        </w:trPr>
        <w:tc>
          <w:tcPr>
            <w:tcW w:w="2180" w:type="dxa"/>
            <w:tcBorders>
              <w:top w:val="nil"/>
              <w:left w:val="nil"/>
              <w:bottom w:val="nil"/>
              <w:right w:val="nil"/>
            </w:tcBorders>
            <w:shd w:val="clear" w:color="000000" w:fill="7F7F7F"/>
            <w:noWrap/>
            <w:vAlign w:val="center"/>
            <w:hideMark/>
          </w:tcPr>
          <w:p w:rsidR="00417269" w:rsidRPr="00417269" w:rsidRDefault="00417269" w:rsidP="00417269">
            <w:pPr>
              <w:rPr>
                <w:rFonts w:cs="Arial"/>
                <w:b/>
                <w:bCs/>
                <w:color w:val="FFFFFF"/>
                <w:szCs w:val="18"/>
                <w:lang w:eastAsia="en-AU"/>
              </w:rPr>
            </w:pPr>
            <w:r w:rsidRPr="00417269">
              <w:rPr>
                <w:rFonts w:cs="Arial"/>
                <w:b/>
                <w:bCs/>
                <w:color w:val="FFFFFF"/>
                <w:szCs w:val="18"/>
                <w:lang w:eastAsia="en-AU"/>
              </w:rPr>
              <w:t>Total**</w:t>
            </w:r>
          </w:p>
        </w:tc>
        <w:tc>
          <w:tcPr>
            <w:tcW w:w="994" w:type="dxa"/>
            <w:tcBorders>
              <w:top w:val="nil"/>
              <w:left w:val="nil"/>
              <w:bottom w:val="nil"/>
              <w:right w:val="nil"/>
            </w:tcBorders>
            <w:shd w:val="clear" w:color="000000" w:fill="7F7F7F"/>
            <w:noWrap/>
            <w:vAlign w:val="center"/>
            <w:hideMark/>
          </w:tcPr>
          <w:p w:rsidR="00417269" w:rsidRPr="00417269" w:rsidRDefault="00417269" w:rsidP="00417269">
            <w:pPr>
              <w:jc w:val="right"/>
              <w:rPr>
                <w:rFonts w:cs="Arial"/>
                <w:b/>
                <w:bCs/>
                <w:color w:val="FFFFFF"/>
                <w:szCs w:val="18"/>
                <w:lang w:eastAsia="en-AU"/>
              </w:rPr>
            </w:pPr>
            <w:r w:rsidRPr="00417269">
              <w:rPr>
                <w:rFonts w:cs="Arial"/>
                <w:b/>
                <w:bCs/>
                <w:color w:val="FFFFFF"/>
                <w:szCs w:val="18"/>
                <w:lang w:eastAsia="en-AU"/>
              </w:rPr>
              <w:t>247,685</w:t>
            </w:r>
          </w:p>
        </w:tc>
        <w:tc>
          <w:tcPr>
            <w:tcW w:w="995" w:type="dxa"/>
            <w:tcBorders>
              <w:top w:val="nil"/>
              <w:left w:val="nil"/>
              <w:bottom w:val="nil"/>
              <w:right w:val="nil"/>
            </w:tcBorders>
            <w:shd w:val="clear" w:color="000000" w:fill="7F7F7F"/>
            <w:noWrap/>
            <w:vAlign w:val="center"/>
            <w:hideMark/>
          </w:tcPr>
          <w:p w:rsidR="00417269" w:rsidRPr="00417269" w:rsidRDefault="00417269" w:rsidP="00417269">
            <w:pPr>
              <w:jc w:val="right"/>
              <w:rPr>
                <w:rFonts w:cs="Arial"/>
                <w:b/>
                <w:bCs/>
                <w:color w:val="FFFFFF"/>
                <w:szCs w:val="18"/>
                <w:lang w:eastAsia="en-AU"/>
              </w:rPr>
            </w:pPr>
            <w:r w:rsidRPr="00417269">
              <w:rPr>
                <w:rFonts w:cs="Arial"/>
                <w:b/>
                <w:bCs/>
                <w:color w:val="FFFFFF"/>
                <w:szCs w:val="18"/>
                <w:lang w:eastAsia="en-AU"/>
              </w:rPr>
              <w:t>309,420</w:t>
            </w:r>
          </w:p>
        </w:tc>
        <w:tc>
          <w:tcPr>
            <w:tcW w:w="994" w:type="dxa"/>
            <w:tcBorders>
              <w:top w:val="nil"/>
              <w:left w:val="nil"/>
              <w:bottom w:val="nil"/>
              <w:right w:val="nil"/>
            </w:tcBorders>
            <w:shd w:val="clear" w:color="000000" w:fill="7F7F7F"/>
            <w:noWrap/>
            <w:vAlign w:val="center"/>
            <w:hideMark/>
          </w:tcPr>
          <w:p w:rsidR="00417269" w:rsidRPr="00417269" w:rsidRDefault="00417269" w:rsidP="00417269">
            <w:pPr>
              <w:jc w:val="right"/>
              <w:rPr>
                <w:rFonts w:cs="Arial"/>
                <w:b/>
                <w:bCs/>
                <w:color w:val="FFFFFF"/>
                <w:szCs w:val="18"/>
                <w:lang w:eastAsia="en-AU"/>
              </w:rPr>
            </w:pPr>
            <w:r w:rsidRPr="00417269">
              <w:rPr>
                <w:rFonts w:cs="Arial"/>
                <w:b/>
                <w:bCs/>
                <w:color w:val="FFFFFF"/>
                <w:szCs w:val="18"/>
                <w:lang w:eastAsia="en-AU"/>
              </w:rPr>
              <w:t>444,501</w:t>
            </w:r>
          </w:p>
        </w:tc>
        <w:tc>
          <w:tcPr>
            <w:tcW w:w="995" w:type="dxa"/>
            <w:tcBorders>
              <w:top w:val="nil"/>
              <w:left w:val="nil"/>
              <w:bottom w:val="nil"/>
              <w:right w:val="nil"/>
            </w:tcBorders>
            <w:shd w:val="clear" w:color="000000" w:fill="7F7F7F"/>
            <w:noWrap/>
            <w:vAlign w:val="center"/>
            <w:hideMark/>
          </w:tcPr>
          <w:p w:rsidR="00417269" w:rsidRPr="00417269" w:rsidRDefault="00417269" w:rsidP="00417269">
            <w:pPr>
              <w:jc w:val="right"/>
              <w:rPr>
                <w:rFonts w:cs="Arial"/>
                <w:b/>
                <w:bCs/>
                <w:color w:val="FFFFFF"/>
                <w:szCs w:val="18"/>
                <w:lang w:eastAsia="en-AU"/>
              </w:rPr>
            </w:pPr>
            <w:r w:rsidRPr="00417269">
              <w:rPr>
                <w:rFonts w:cs="Arial"/>
                <w:b/>
                <w:bCs/>
                <w:color w:val="FFFFFF"/>
                <w:szCs w:val="18"/>
                <w:lang w:eastAsia="en-AU"/>
              </w:rPr>
              <w:t>383,963</w:t>
            </w:r>
          </w:p>
        </w:tc>
        <w:tc>
          <w:tcPr>
            <w:tcW w:w="994" w:type="dxa"/>
            <w:tcBorders>
              <w:top w:val="nil"/>
              <w:left w:val="nil"/>
              <w:bottom w:val="nil"/>
              <w:right w:val="nil"/>
            </w:tcBorders>
            <w:shd w:val="clear" w:color="000000" w:fill="7F7F7F"/>
            <w:noWrap/>
            <w:vAlign w:val="center"/>
            <w:hideMark/>
          </w:tcPr>
          <w:p w:rsidR="00417269" w:rsidRPr="00417269" w:rsidRDefault="00417269" w:rsidP="00417269">
            <w:pPr>
              <w:jc w:val="right"/>
              <w:rPr>
                <w:rFonts w:cs="Arial"/>
                <w:b/>
                <w:bCs/>
                <w:color w:val="FFFFFF"/>
                <w:szCs w:val="18"/>
                <w:lang w:eastAsia="en-AU"/>
              </w:rPr>
            </w:pPr>
            <w:r w:rsidRPr="00417269">
              <w:rPr>
                <w:rFonts w:cs="Arial"/>
                <w:b/>
                <w:bCs/>
                <w:color w:val="FFFFFF"/>
                <w:szCs w:val="18"/>
                <w:lang w:eastAsia="en-AU"/>
              </w:rPr>
              <w:t>362,784</w:t>
            </w:r>
          </w:p>
        </w:tc>
        <w:tc>
          <w:tcPr>
            <w:tcW w:w="995" w:type="dxa"/>
            <w:tcBorders>
              <w:top w:val="nil"/>
              <w:left w:val="nil"/>
              <w:bottom w:val="nil"/>
              <w:right w:val="nil"/>
            </w:tcBorders>
            <w:shd w:val="clear" w:color="000000" w:fill="7F7F7F"/>
            <w:noWrap/>
            <w:vAlign w:val="center"/>
            <w:hideMark/>
          </w:tcPr>
          <w:p w:rsidR="00417269" w:rsidRPr="00417269" w:rsidRDefault="00417269" w:rsidP="00417269">
            <w:pPr>
              <w:jc w:val="right"/>
              <w:rPr>
                <w:rFonts w:cs="Arial"/>
                <w:b/>
                <w:bCs/>
                <w:color w:val="FFFFFF"/>
                <w:szCs w:val="18"/>
                <w:lang w:eastAsia="en-AU"/>
              </w:rPr>
            </w:pPr>
            <w:r w:rsidRPr="00417269">
              <w:rPr>
                <w:rFonts w:cs="Arial"/>
                <w:b/>
                <w:bCs/>
                <w:color w:val="FFFFFF"/>
                <w:szCs w:val="18"/>
                <w:lang w:eastAsia="en-AU"/>
              </w:rPr>
              <w:t>310,089</w:t>
            </w:r>
          </w:p>
        </w:tc>
      </w:tr>
    </w:tbl>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4A0" w:firstRow="1" w:lastRow="0" w:firstColumn="1" w:lastColumn="0" w:noHBand="0" w:noVBand="1"/>
      </w:tblPr>
      <w:tblGrid>
        <w:gridCol w:w="431"/>
        <w:gridCol w:w="7649"/>
      </w:tblGrid>
      <w:tr w:rsidR="00417269" w:rsidRPr="00913551" w:rsidTr="009A601D">
        <w:tc>
          <w:tcPr>
            <w:tcW w:w="431" w:type="dxa"/>
            <w:tcMar>
              <w:left w:w="0" w:type="dxa"/>
              <w:right w:w="28" w:type="dxa"/>
            </w:tcMar>
          </w:tcPr>
          <w:p w:rsidR="00417269" w:rsidRPr="00913551" w:rsidRDefault="00417269" w:rsidP="009A601D">
            <w:pPr>
              <w:spacing w:after="0" w:line="240" w:lineRule="auto"/>
              <w:jc w:val="right"/>
              <w:rPr>
                <w:color w:val="7F7F7F" w:themeColor="text2"/>
                <w:sz w:val="16"/>
                <w:szCs w:val="16"/>
              </w:rPr>
            </w:pPr>
            <w:r w:rsidRPr="00913551">
              <w:rPr>
                <w:color w:val="7F7F7F" w:themeColor="text2"/>
                <w:sz w:val="16"/>
                <w:szCs w:val="16"/>
              </w:rPr>
              <w:t xml:space="preserve">* </w:t>
            </w:r>
          </w:p>
        </w:tc>
        <w:tc>
          <w:tcPr>
            <w:tcW w:w="7649" w:type="dxa"/>
            <w:tcMar>
              <w:left w:w="0" w:type="dxa"/>
              <w:right w:w="28" w:type="dxa"/>
            </w:tcMar>
          </w:tcPr>
          <w:p w:rsidR="00417269" w:rsidRPr="00913551" w:rsidRDefault="00417269" w:rsidP="009A601D">
            <w:pPr>
              <w:pStyle w:val="Note"/>
              <w:spacing w:after="0"/>
              <w:rPr>
                <w:i w:val="0"/>
                <w:color w:val="7F7F7F" w:themeColor="text2"/>
              </w:rPr>
            </w:pPr>
            <w:r w:rsidRPr="00913551">
              <w:t xml:space="preserve">'Other' includes on-line delivery and workplace delivery where the location </w:t>
            </w:r>
            <w:proofErr w:type="gramStart"/>
            <w:r w:rsidRPr="00913551">
              <w:t>cannot be defined</w:t>
            </w:r>
            <w:proofErr w:type="gramEnd"/>
            <w:r w:rsidRPr="00913551">
              <w:t>.</w:t>
            </w:r>
          </w:p>
        </w:tc>
      </w:tr>
      <w:tr w:rsidR="00417269" w:rsidRPr="00913551" w:rsidTr="009A601D">
        <w:tc>
          <w:tcPr>
            <w:tcW w:w="431" w:type="dxa"/>
            <w:tcMar>
              <w:left w:w="0" w:type="dxa"/>
              <w:right w:w="28" w:type="dxa"/>
            </w:tcMar>
          </w:tcPr>
          <w:p w:rsidR="00417269" w:rsidRPr="00913551" w:rsidRDefault="00417269" w:rsidP="009A601D">
            <w:pPr>
              <w:spacing w:after="0" w:line="240" w:lineRule="auto"/>
              <w:jc w:val="right"/>
              <w:rPr>
                <w:color w:val="7F7F7F" w:themeColor="text2"/>
                <w:sz w:val="16"/>
                <w:szCs w:val="16"/>
              </w:rPr>
            </w:pPr>
            <w:r w:rsidRPr="00913551">
              <w:rPr>
                <w:color w:val="7F7F7F" w:themeColor="text2"/>
                <w:sz w:val="16"/>
                <w:szCs w:val="16"/>
              </w:rPr>
              <w:t>**</w:t>
            </w:r>
          </w:p>
        </w:tc>
        <w:tc>
          <w:tcPr>
            <w:tcW w:w="7649" w:type="dxa"/>
            <w:tcMar>
              <w:left w:w="0" w:type="dxa"/>
              <w:right w:w="28" w:type="dxa"/>
            </w:tcMar>
          </w:tcPr>
          <w:p w:rsidR="00417269" w:rsidRPr="00913551" w:rsidRDefault="001A6F4D" w:rsidP="009A601D">
            <w:pPr>
              <w:spacing w:after="0" w:line="240" w:lineRule="auto"/>
              <w:rPr>
                <w:i/>
                <w:sz w:val="16"/>
                <w:szCs w:val="16"/>
              </w:rPr>
            </w:pPr>
            <w:r w:rsidRPr="00C344DB">
              <w:rPr>
                <w:i/>
                <w:sz w:val="16"/>
                <w:szCs w:val="16"/>
              </w:rPr>
              <w:t xml:space="preserve">Where a course </w:t>
            </w:r>
            <w:proofErr w:type="gramStart"/>
            <w:r>
              <w:rPr>
                <w:i/>
                <w:sz w:val="16"/>
                <w:szCs w:val="16"/>
              </w:rPr>
              <w:t>was</w:t>
            </w:r>
            <w:r w:rsidRPr="00C344DB">
              <w:rPr>
                <w:i/>
                <w:sz w:val="16"/>
                <w:szCs w:val="16"/>
              </w:rPr>
              <w:t xml:space="preserve"> delivered</w:t>
            </w:r>
            <w:proofErr w:type="gramEnd"/>
            <w:r w:rsidRPr="00C344DB">
              <w:rPr>
                <w:i/>
                <w:sz w:val="16"/>
                <w:szCs w:val="16"/>
              </w:rPr>
              <w:t xml:space="preserve"> across more than one region, an enrolment in this course is also counted in more than one region. The </w:t>
            </w:r>
            <w:r>
              <w:rPr>
                <w:i/>
                <w:sz w:val="16"/>
                <w:szCs w:val="16"/>
              </w:rPr>
              <w:t>total has eliminated any duplicates.</w:t>
            </w:r>
          </w:p>
        </w:tc>
      </w:tr>
    </w:tbl>
    <w:p w:rsidR="00417269" w:rsidRDefault="00417269" w:rsidP="001D446D">
      <w:pPr>
        <w:pStyle w:val="Quote"/>
        <w:rPr>
          <w:b w:val="0"/>
          <w:sz w:val="18"/>
          <w:szCs w:val="18"/>
        </w:rPr>
      </w:pPr>
    </w:p>
    <w:p w:rsidR="00417269" w:rsidRDefault="00417269" w:rsidP="001D446D">
      <w:pPr>
        <w:pStyle w:val="Quote"/>
        <w:rPr>
          <w:b w:val="0"/>
          <w:sz w:val="18"/>
          <w:szCs w:val="18"/>
        </w:rPr>
      </w:pPr>
    </w:p>
    <w:p w:rsidR="00417269" w:rsidRDefault="00417269">
      <w:r>
        <w:rPr>
          <w:b/>
        </w:rPr>
        <w:br w:type="page"/>
      </w: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417269" w:rsidTr="009A601D">
        <w:tc>
          <w:tcPr>
            <w:tcW w:w="1134" w:type="dxa"/>
            <w:tcMar>
              <w:left w:w="0" w:type="dxa"/>
              <w:right w:w="0" w:type="dxa"/>
            </w:tcMar>
          </w:tcPr>
          <w:p w:rsidR="00417269" w:rsidRDefault="00417269" w:rsidP="00FE2971">
            <w:pPr>
              <w:pStyle w:val="Quote"/>
              <w:tabs>
                <w:tab w:val="left" w:pos="1134"/>
              </w:tabs>
              <w:rPr>
                <w:b w:val="0"/>
                <w:color w:val="B41F22" w:themeColor="accent1"/>
              </w:rPr>
            </w:pPr>
            <w:r>
              <w:rPr>
                <w:b w:val="0"/>
                <w:color w:val="B41F22" w:themeColor="accent1"/>
              </w:rPr>
              <w:lastRenderedPageBreak/>
              <w:t>Table 1.</w:t>
            </w:r>
            <w:r w:rsidR="00FE2971">
              <w:rPr>
                <w:b w:val="0"/>
                <w:color w:val="B41F22" w:themeColor="accent1"/>
              </w:rPr>
              <w:t>7</w:t>
            </w:r>
            <w:r>
              <w:rPr>
                <w:b w:val="0"/>
                <w:color w:val="B41F22" w:themeColor="accent1"/>
              </w:rPr>
              <w:t>.</w:t>
            </w:r>
            <w:r w:rsidR="00CB6C79">
              <w:rPr>
                <w:b w:val="0"/>
                <w:color w:val="B41F22" w:themeColor="accent1"/>
              </w:rPr>
              <w:t>2</w:t>
            </w:r>
            <w:r>
              <w:rPr>
                <w:b w:val="0"/>
                <w:color w:val="B41F22" w:themeColor="accent1"/>
              </w:rPr>
              <w:t>:</w:t>
            </w:r>
          </w:p>
        </w:tc>
        <w:tc>
          <w:tcPr>
            <w:tcW w:w="6946" w:type="dxa"/>
            <w:tcMar>
              <w:left w:w="0" w:type="dxa"/>
              <w:right w:w="0" w:type="dxa"/>
            </w:tcMar>
          </w:tcPr>
          <w:p w:rsidR="00417269" w:rsidRDefault="00417269" w:rsidP="003603BF">
            <w:pPr>
              <w:pStyle w:val="Quote"/>
              <w:tabs>
                <w:tab w:val="left" w:pos="1134"/>
              </w:tabs>
              <w:rPr>
                <w:b w:val="0"/>
                <w:color w:val="B41F22" w:themeColor="accent1"/>
              </w:rPr>
            </w:pPr>
            <w:r w:rsidRPr="00417269">
              <w:rPr>
                <w:b w:val="0"/>
                <w:color w:val="B41F22" w:themeColor="accent1"/>
              </w:rPr>
              <w:t>Change in number of government subsidised enrolments in accredited training by delivery regional area (half year)</w:t>
            </w:r>
          </w:p>
        </w:tc>
      </w:tr>
    </w:tbl>
    <w:tbl>
      <w:tblPr>
        <w:tblW w:w="8095" w:type="dxa"/>
        <w:tblInd w:w="93" w:type="dxa"/>
        <w:tblLayout w:type="fixed"/>
        <w:tblLook w:val="04A0" w:firstRow="1" w:lastRow="0" w:firstColumn="1" w:lastColumn="0" w:noHBand="0" w:noVBand="1"/>
      </w:tblPr>
      <w:tblGrid>
        <w:gridCol w:w="2180"/>
        <w:gridCol w:w="1183"/>
        <w:gridCol w:w="1183"/>
        <w:gridCol w:w="1183"/>
        <w:gridCol w:w="1183"/>
        <w:gridCol w:w="1183"/>
      </w:tblGrid>
      <w:tr w:rsidR="00417269" w:rsidRPr="00417269" w:rsidTr="00417269">
        <w:trPr>
          <w:trHeight w:val="720"/>
        </w:trPr>
        <w:tc>
          <w:tcPr>
            <w:tcW w:w="2180" w:type="dxa"/>
            <w:tcBorders>
              <w:top w:val="nil"/>
              <w:left w:val="nil"/>
              <w:bottom w:val="nil"/>
              <w:right w:val="nil"/>
            </w:tcBorders>
            <w:shd w:val="clear" w:color="000000" w:fill="7F7F7F"/>
            <w:noWrap/>
            <w:vAlign w:val="center"/>
            <w:hideMark/>
          </w:tcPr>
          <w:p w:rsidR="00417269" w:rsidRPr="00417269" w:rsidRDefault="00417269" w:rsidP="00417269">
            <w:pPr>
              <w:rPr>
                <w:rFonts w:cs="Arial"/>
                <w:color w:val="FFFFFF"/>
                <w:szCs w:val="18"/>
                <w:lang w:eastAsia="en-AU"/>
              </w:rPr>
            </w:pPr>
            <w:r w:rsidRPr="00417269">
              <w:rPr>
                <w:rFonts w:cs="Arial"/>
                <w:color w:val="FFFFFF"/>
                <w:szCs w:val="18"/>
                <w:lang w:eastAsia="en-AU"/>
              </w:rPr>
              <w:t> </w:t>
            </w:r>
          </w:p>
        </w:tc>
        <w:tc>
          <w:tcPr>
            <w:tcW w:w="1183" w:type="dxa"/>
            <w:tcBorders>
              <w:top w:val="nil"/>
              <w:left w:val="nil"/>
              <w:bottom w:val="nil"/>
              <w:right w:val="nil"/>
            </w:tcBorders>
            <w:shd w:val="clear" w:color="000000" w:fill="7F7F7F"/>
            <w:vAlign w:val="center"/>
            <w:hideMark/>
          </w:tcPr>
          <w:p w:rsidR="00417269" w:rsidRPr="00417269" w:rsidRDefault="00417269" w:rsidP="00417269">
            <w:pPr>
              <w:jc w:val="right"/>
              <w:rPr>
                <w:rFonts w:cs="Arial"/>
                <w:b/>
                <w:bCs/>
                <w:color w:val="FFFFFF"/>
                <w:szCs w:val="18"/>
                <w:lang w:eastAsia="en-AU"/>
              </w:rPr>
            </w:pPr>
            <w:r w:rsidRPr="00417269">
              <w:rPr>
                <w:rFonts w:cs="Arial"/>
                <w:b/>
                <w:bCs/>
                <w:color w:val="FFFFFF"/>
                <w:szCs w:val="18"/>
                <w:lang w:eastAsia="en-AU"/>
              </w:rPr>
              <w:t>% change 2010 to 2015</w:t>
            </w:r>
          </w:p>
        </w:tc>
        <w:tc>
          <w:tcPr>
            <w:tcW w:w="1183" w:type="dxa"/>
            <w:tcBorders>
              <w:top w:val="nil"/>
              <w:left w:val="nil"/>
              <w:bottom w:val="nil"/>
              <w:right w:val="nil"/>
            </w:tcBorders>
            <w:shd w:val="clear" w:color="000000" w:fill="7F7F7F"/>
            <w:vAlign w:val="center"/>
            <w:hideMark/>
          </w:tcPr>
          <w:p w:rsidR="00417269" w:rsidRPr="00417269" w:rsidRDefault="00417269" w:rsidP="00417269">
            <w:pPr>
              <w:jc w:val="right"/>
              <w:rPr>
                <w:rFonts w:cs="Arial"/>
                <w:b/>
                <w:bCs/>
                <w:color w:val="FFFFFF"/>
                <w:szCs w:val="18"/>
                <w:lang w:eastAsia="en-AU"/>
              </w:rPr>
            </w:pPr>
            <w:r w:rsidRPr="00417269">
              <w:rPr>
                <w:rFonts w:cs="Arial"/>
                <w:b/>
                <w:bCs/>
                <w:color w:val="FFFFFF"/>
                <w:szCs w:val="18"/>
                <w:lang w:eastAsia="en-AU"/>
              </w:rPr>
              <w:t>% change 2011 to 2015</w:t>
            </w:r>
          </w:p>
        </w:tc>
        <w:tc>
          <w:tcPr>
            <w:tcW w:w="1183" w:type="dxa"/>
            <w:tcBorders>
              <w:top w:val="nil"/>
              <w:left w:val="nil"/>
              <w:bottom w:val="nil"/>
              <w:right w:val="nil"/>
            </w:tcBorders>
            <w:shd w:val="clear" w:color="000000" w:fill="7F7F7F"/>
            <w:vAlign w:val="center"/>
            <w:hideMark/>
          </w:tcPr>
          <w:p w:rsidR="00417269" w:rsidRPr="00417269" w:rsidRDefault="00417269" w:rsidP="00417269">
            <w:pPr>
              <w:jc w:val="right"/>
              <w:rPr>
                <w:rFonts w:cs="Arial"/>
                <w:b/>
                <w:bCs/>
                <w:color w:val="FFFFFF"/>
                <w:szCs w:val="18"/>
                <w:lang w:eastAsia="en-AU"/>
              </w:rPr>
            </w:pPr>
            <w:r w:rsidRPr="00417269">
              <w:rPr>
                <w:rFonts w:cs="Arial"/>
                <w:b/>
                <w:bCs/>
                <w:color w:val="FFFFFF"/>
                <w:szCs w:val="18"/>
                <w:lang w:eastAsia="en-AU"/>
              </w:rPr>
              <w:t>% change 2012 to 2015</w:t>
            </w:r>
          </w:p>
        </w:tc>
        <w:tc>
          <w:tcPr>
            <w:tcW w:w="1183" w:type="dxa"/>
            <w:tcBorders>
              <w:top w:val="nil"/>
              <w:left w:val="nil"/>
              <w:bottom w:val="nil"/>
              <w:right w:val="nil"/>
            </w:tcBorders>
            <w:shd w:val="clear" w:color="000000" w:fill="7F7F7F"/>
            <w:vAlign w:val="center"/>
            <w:hideMark/>
          </w:tcPr>
          <w:p w:rsidR="00417269" w:rsidRPr="00417269" w:rsidRDefault="00417269" w:rsidP="00417269">
            <w:pPr>
              <w:jc w:val="right"/>
              <w:rPr>
                <w:rFonts w:cs="Arial"/>
                <w:b/>
                <w:bCs/>
                <w:color w:val="FFFFFF"/>
                <w:szCs w:val="18"/>
                <w:lang w:eastAsia="en-AU"/>
              </w:rPr>
            </w:pPr>
            <w:r w:rsidRPr="00417269">
              <w:rPr>
                <w:rFonts w:cs="Arial"/>
                <w:b/>
                <w:bCs/>
                <w:color w:val="FFFFFF"/>
                <w:szCs w:val="18"/>
                <w:lang w:eastAsia="en-AU"/>
              </w:rPr>
              <w:t>% change 2013 to 2015</w:t>
            </w:r>
          </w:p>
        </w:tc>
        <w:tc>
          <w:tcPr>
            <w:tcW w:w="1183" w:type="dxa"/>
            <w:tcBorders>
              <w:top w:val="nil"/>
              <w:left w:val="nil"/>
              <w:bottom w:val="nil"/>
              <w:right w:val="nil"/>
            </w:tcBorders>
            <w:shd w:val="clear" w:color="000000" w:fill="7F7F7F"/>
            <w:vAlign w:val="center"/>
            <w:hideMark/>
          </w:tcPr>
          <w:p w:rsidR="00417269" w:rsidRPr="00417269" w:rsidRDefault="00417269" w:rsidP="00417269">
            <w:pPr>
              <w:jc w:val="right"/>
              <w:rPr>
                <w:rFonts w:cs="Arial"/>
                <w:b/>
                <w:bCs/>
                <w:color w:val="FFFFFF"/>
                <w:szCs w:val="18"/>
                <w:lang w:eastAsia="en-AU"/>
              </w:rPr>
            </w:pPr>
            <w:r w:rsidRPr="00417269">
              <w:rPr>
                <w:rFonts w:cs="Arial"/>
                <w:b/>
                <w:bCs/>
                <w:color w:val="FFFFFF"/>
                <w:szCs w:val="18"/>
                <w:lang w:eastAsia="en-AU"/>
              </w:rPr>
              <w:t>% change 2014 to 2015</w:t>
            </w:r>
          </w:p>
        </w:tc>
      </w:tr>
      <w:tr w:rsidR="00417269" w:rsidRPr="00417269" w:rsidTr="00417269">
        <w:trPr>
          <w:trHeight w:val="300"/>
        </w:trPr>
        <w:tc>
          <w:tcPr>
            <w:tcW w:w="2180" w:type="dxa"/>
            <w:tcBorders>
              <w:top w:val="nil"/>
              <w:left w:val="nil"/>
              <w:bottom w:val="nil"/>
              <w:right w:val="nil"/>
            </w:tcBorders>
            <w:shd w:val="clear" w:color="auto" w:fill="auto"/>
            <w:noWrap/>
            <w:vAlign w:val="center"/>
            <w:hideMark/>
          </w:tcPr>
          <w:p w:rsidR="00417269" w:rsidRPr="00417269" w:rsidRDefault="00417269" w:rsidP="00417269">
            <w:pPr>
              <w:rPr>
                <w:rFonts w:cs="Arial"/>
                <w:color w:val="7F7F7F"/>
                <w:szCs w:val="18"/>
                <w:lang w:eastAsia="en-AU"/>
              </w:rPr>
            </w:pPr>
            <w:r w:rsidRPr="00417269">
              <w:rPr>
                <w:rFonts w:cs="Arial"/>
                <w:color w:val="7F7F7F"/>
                <w:szCs w:val="18"/>
                <w:lang w:eastAsia="en-AU"/>
              </w:rPr>
              <w:t>Barwon South West</w:t>
            </w:r>
          </w:p>
        </w:tc>
        <w:tc>
          <w:tcPr>
            <w:tcW w:w="1183"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4%</w:t>
            </w:r>
          </w:p>
        </w:tc>
        <w:tc>
          <w:tcPr>
            <w:tcW w:w="1183"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-16%</w:t>
            </w:r>
          </w:p>
        </w:tc>
        <w:tc>
          <w:tcPr>
            <w:tcW w:w="1183"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-48%</w:t>
            </w:r>
          </w:p>
        </w:tc>
        <w:tc>
          <w:tcPr>
            <w:tcW w:w="1183"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-21%</w:t>
            </w:r>
          </w:p>
        </w:tc>
        <w:tc>
          <w:tcPr>
            <w:tcW w:w="1183"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-19%</w:t>
            </w:r>
          </w:p>
        </w:tc>
      </w:tr>
      <w:tr w:rsidR="00417269" w:rsidRPr="00417269" w:rsidTr="00417269">
        <w:trPr>
          <w:trHeight w:val="300"/>
        </w:trPr>
        <w:tc>
          <w:tcPr>
            <w:tcW w:w="2180" w:type="dxa"/>
            <w:tcBorders>
              <w:top w:val="nil"/>
              <w:left w:val="nil"/>
              <w:bottom w:val="nil"/>
              <w:right w:val="nil"/>
            </w:tcBorders>
            <w:shd w:val="clear" w:color="auto" w:fill="auto"/>
            <w:noWrap/>
            <w:vAlign w:val="center"/>
            <w:hideMark/>
          </w:tcPr>
          <w:p w:rsidR="00417269" w:rsidRPr="00417269" w:rsidRDefault="00417269" w:rsidP="00417269">
            <w:pPr>
              <w:rPr>
                <w:rFonts w:cs="Arial"/>
                <w:color w:val="7F7F7F"/>
                <w:szCs w:val="18"/>
                <w:lang w:eastAsia="en-AU"/>
              </w:rPr>
            </w:pPr>
            <w:r w:rsidRPr="00417269">
              <w:rPr>
                <w:rFonts w:cs="Arial"/>
                <w:color w:val="7F7F7F"/>
                <w:szCs w:val="18"/>
                <w:lang w:eastAsia="en-AU"/>
              </w:rPr>
              <w:t>Grampians</w:t>
            </w:r>
          </w:p>
        </w:tc>
        <w:tc>
          <w:tcPr>
            <w:tcW w:w="1183"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8%</w:t>
            </w:r>
          </w:p>
        </w:tc>
        <w:tc>
          <w:tcPr>
            <w:tcW w:w="1183"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-7%</w:t>
            </w:r>
          </w:p>
        </w:tc>
        <w:tc>
          <w:tcPr>
            <w:tcW w:w="1183"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-25%</w:t>
            </w:r>
          </w:p>
        </w:tc>
        <w:tc>
          <w:tcPr>
            <w:tcW w:w="1183"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-14%</w:t>
            </w:r>
          </w:p>
        </w:tc>
        <w:tc>
          <w:tcPr>
            <w:tcW w:w="1183"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-9%</w:t>
            </w:r>
          </w:p>
        </w:tc>
      </w:tr>
      <w:tr w:rsidR="00417269" w:rsidRPr="00417269" w:rsidTr="00417269">
        <w:trPr>
          <w:trHeight w:val="300"/>
        </w:trPr>
        <w:tc>
          <w:tcPr>
            <w:tcW w:w="2180" w:type="dxa"/>
            <w:tcBorders>
              <w:top w:val="nil"/>
              <w:left w:val="nil"/>
              <w:bottom w:val="nil"/>
              <w:right w:val="nil"/>
            </w:tcBorders>
            <w:shd w:val="clear" w:color="auto" w:fill="auto"/>
            <w:noWrap/>
            <w:vAlign w:val="center"/>
            <w:hideMark/>
          </w:tcPr>
          <w:p w:rsidR="00417269" w:rsidRPr="00417269" w:rsidRDefault="00417269" w:rsidP="00417269">
            <w:pPr>
              <w:rPr>
                <w:rFonts w:cs="Arial"/>
                <w:color w:val="7F7F7F"/>
                <w:szCs w:val="18"/>
                <w:lang w:eastAsia="en-AU"/>
              </w:rPr>
            </w:pPr>
            <w:r w:rsidRPr="00417269">
              <w:rPr>
                <w:rFonts w:cs="Arial"/>
                <w:color w:val="7F7F7F"/>
                <w:szCs w:val="18"/>
                <w:lang w:eastAsia="en-AU"/>
              </w:rPr>
              <w:t>Loddon Mallee</w:t>
            </w:r>
          </w:p>
        </w:tc>
        <w:tc>
          <w:tcPr>
            <w:tcW w:w="1183"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-4%</w:t>
            </w:r>
          </w:p>
        </w:tc>
        <w:tc>
          <w:tcPr>
            <w:tcW w:w="1183"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-20%</w:t>
            </w:r>
          </w:p>
        </w:tc>
        <w:tc>
          <w:tcPr>
            <w:tcW w:w="1183"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-39%</w:t>
            </w:r>
          </w:p>
        </w:tc>
        <w:tc>
          <w:tcPr>
            <w:tcW w:w="1183"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-23%</w:t>
            </w:r>
          </w:p>
        </w:tc>
        <w:tc>
          <w:tcPr>
            <w:tcW w:w="1183"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-13%</w:t>
            </w:r>
          </w:p>
        </w:tc>
      </w:tr>
      <w:tr w:rsidR="00417269" w:rsidRPr="00417269" w:rsidTr="00417269">
        <w:trPr>
          <w:trHeight w:val="300"/>
        </w:trPr>
        <w:tc>
          <w:tcPr>
            <w:tcW w:w="2180" w:type="dxa"/>
            <w:tcBorders>
              <w:top w:val="nil"/>
              <w:left w:val="nil"/>
              <w:bottom w:val="nil"/>
              <w:right w:val="nil"/>
            </w:tcBorders>
            <w:shd w:val="clear" w:color="auto" w:fill="auto"/>
            <w:noWrap/>
            <w:vAlign w:val="center"/>
            <w:hideMark/>
          </w:tcPr>
          <w:p w:rsidR="00417269" w:rsidRPr="00417269" w:rsidRDefault="00417269" w:rsidP="00417269">
            <w:pPr>
              <w:rPr>
                <w:rFonts w:cs="Arial"/>
                <w:color w:val="7F7F7F"/>
                <w:szCs w:val="18"/>
                <w:lang w:eastAsia="en-AU"/>
              </w:rPr>
            </w:pPr>
            <w:r w:rsidRPr="00417269">
              <w:rPr>
                <w:rFonts w:cs="Arial"/>
                <w:color w:val="7F7F7F"/>
                <w:szCs w:val="18"/>
                <w:lang w:eastAsia="en-AU"/>
              </w:rPr>
              <w:t>Hume</w:t>
            </w:r>
          </w:p>
        </w:tc>
        <w:tc>
          <w:tcPr>
            <w:tcW w:w="1183"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6%</w:t>
            </w:r>
          </w:p>
        </w:tc>
        <w:tc>
          <w:tcPr>
            <w:tcW w:w="1183"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5%</w:t>
            </w:r>
          </w:p>
        </w:tc>
        <w:tc>
          <w:tcPr>
            <w:tcW w:w="1183"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-27%</w:t>
            </w:r>
          </w:p>
        </w:tc>
        <w:tc>
          <w:tcPr>
            <w:tcW w:w="1183"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-44%</w:t>
            </w:r>
          </w:p>
        </w:tc>
        <w:tc>
          <w:tcPr>
            <w:tcW w:w="1183"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-19%</w:t>
            </w:r>
          </w:p>
        </w:tc>
      </w:tr>
      <w:tr w:rsidR="00417269" w:rsidRPr="00417269" w:rsidTr="00417269">
        <w:trPr>
          <w:trHeight w:val="300"/>
        </w:trPr>
        <w:tc>
          <w:tcPr>
            <w:tcW w:w="2180" w:type="dxa"/>
            <w:tcBorders>
              <w:top w:val="nil"/>
              <w:left w:val="nil"/>
              <w:bottom w:val="nil"/>
              <w:right w:val="nil"/>
            </w:tcBorders>
            <w:shd w:val="clear" w:color="auto" w:fill="auto"/>
            <w:noWrap/>
            <w:vAlign w:val="center"/>
            <w:hideMark/>
          </w:tcPr>
          <w:p w:rsidR="00417269" w:rsidRPr="00417269" w:rsidRDefault="00417269" w:rsidP="00417269">
            <w:pPr>
              <w:rPr>
                <w:rFonts w:cs="Arial"/>
                <w:color w:val="7F7F7F"/>
                <w:szCs w:val="18"/>
                <w:lang w:eastAsia="en-AU"/>
              </w:rPr>
            </w:pPr>
            <w:r w:rsidRPr="00417269">
              <w:rPr>
                <w:rFonts w:cs="Arial"/>
                <w:color w:val="7F7F7F"/>
                <w:szCs w:val="18"/>
                <w:lang w:eastAsia="en-AU"/>
              </w:rPr>
              <w:t>Gippsland</w:t>
            </w:r>
          </w:p>
        </w:tc>
        <w:tc>
          <w:tcPr>
            <w:tcW w:w="1183"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-32%</w:t>
            </w:r>
          </w:p>
        </w:tc>
        <w:tc>
          <w:tcPr>
            <w:tcW w:w="1183"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-25%</w:t>
            </w:r>
          </w:p>
        </w:tc>
        <w:tc>
          <w:tcPr>
            <w:tcW w:w="1183"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-29%</w:t>
            </w:r>
          </w:p>
        </w:tc>
        <w:tc>
          <w:tcPr>
            <w:tcW w:w="1183"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-4%</w:t>
            </w:r>
          </w:p>
        </w:tc>
        <w:tc>
          <w:tcPr>
            <w:tcW w:w="1183"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-11%</w:t>
            </w:r>
          </w:p>
        </w:tc>
      </w:tr>
      <w:tr w:rsidR="00417269" w:rsidRPr="00417269" w:rsidTr="00417269">
        <w:trPr>
          <w:trHeight w:val="300"/>
        </w:trPr>
        <w:tc>
          <w:tcPr>
            <w:tcW w:w="2180" w:type="dxa"/>
            <w:tcBorders>
              <w:top w:val="nil"/>
              <w:left w:val="nil"/>
              <w:bottom w:val="nil"/>
              <w:right w:val="nil"/>
            </w:tcBorders>
            <w:shd w:val="clear" w:color="auto" w:fill="auto"/>
            <w:noWrap/>
            <w:vAlign w:val="center"/>
            <w:hideMark/>
          </w:tcPr>
          <w:p w:rsidR="00417269" w:rsidRPr="00417269" w:rsidRDefault="00417269" w:rsidP="00417269">
            <w:pPr>
              <w:rPr>
                <w:rFonts w:cs="Arial"/>
                <w:color w:val="7F7F7F"/>
                <w:szCs w:val="18"/>
                <w:lang w:eastAsia="en-AU"/>
              </w:rPr>
            </w:pPr>
            <w:r w:rsidRPr="00417269">
              <w:rPr>
                <w:rFonts w:cs="Arial"/>
                <w:color w:val="7F7F7F"/>
                <w:szCs w:val="18"/>
                <w:lang w:eastAsia="en-AU"/>
              </w:rPr>
              <w:t>Eastern Metropolitan</w:t>
            </w:r>
          </w:p>
        </w:tc>
        <w:tc>
          <w:tcPr>
            <w:tcW w:w="1183"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-11%</w:t>
            </w:r>
          </w:p>
        </w:tc>
        <w:tc>
          <w:tcPr>
            <w:tcW w:w="1183"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-36%</w:t>
            </w:r>
          </w:p>
        </w:tc>
        <w:tc>
          <w:tcPr>
            <w:tcW w:w="1183"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-43%</w:t>
            </w:r>
          </w:p>
        </w:tc>
        <w:tc>
          <w:tcPr>
            <w:tcW w:w="1183"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-29%</w:t>
            </w:r>
          </w:p>
        </w:tc>
        <w:tc>
          <w:tcPr>
            <w:tcW w:w="1183"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-24%</w:t>
            </w:r>
          </w:p>
        </w:tc>
      </w:tr>
      <w:tr w:rsidR="00417269" w:rsidRPr="00417269" w:rsidTr="00417269">
        <w:trPr>
          <w:trHeight w:val="300"/>
        </w:trPr>
        <w:tc>
          <w:tcPr>
            <w:tcW w:w="2180" w:type="dxa"/>
            <w:tcBorders>
              <w:top w:val="nil"/>
              <w:left w:val="nil"/>
              <w:bottom w:val="nil"/>
              <w:right w:val="nil"/>
            </w:tcBorders>
            <w:shd w:val="clear" w:color="auto" w:fill="auto"/>
            <w:noWrap/>
            <w:vAlign w:val="center"/>
            <w:hideMark/>
          </w:tcPr>
          <w:p w:rsidR="00417269" w:rsidRPr="00417269" w:rsidRDefault="00417269" w:rsidP="00417269">
            <w:pPr>
              <w:rPr>
                <w:rFonts w:cs="Arial"/>
                <w:color w:val="7F7F7F"/>
                <w:szCs w:val="18"/>
                <w:lang w:eastAsia="en-AU"/>
              </w:rPr>
            </w:pPr>
            <w:r w:rsidRPr="00417269">
              <w:rPr>
                <w:rFonts w:cs="Arial"/>
                <w:color w:val="7F7F7F"/>
                <w:szCs w:val="18"/>
                <w:lang w:eastAsia="en-AU"/>
              </w:rPr>
              <w:t>Western Metropolitan</w:t>
            </w:r>
          </w:p>
        </w:tc>
        <w:tc>
          <w:tcPr>
            <w:tcW w:w="1183"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82%</w:t>
            </w:r>
          </w:p>
        </w:tc>
        <w:tc>
          <w:tcPr>
            <w:tcW w:w="1183"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23%</w:t>
            </w:r>
          </w:p>
        </w:tc>
        <w:tc>
          <w:tcPr>
            <w:tcW w:w="1183"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-25%</w:t>
            </w:r>
          </w:p>
        </w:tc>
        <w:tc>
          <w:tcPr>
            <w:tcW w:w="1183"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-16%</w:t>
            </w:r>
          </w:p>
        </w:tc>
        <w:tc>
          <w:tcPr>
            <w:tcW w:w="1183"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-20%</w:t>
            </w:r>
          </w:p>
        </w:tc>
      </w:tr>
      <w:tr w:rsidR="00417269" w:rsidRPr="00417269" w:rsidTr="00417269">
        <w:trPr>
          <w:trHeight w:val="300"/>
        </w:trPr>
        <w:tc>
          <w:tcPr>
            <w:tcW w:w="2180" w:type="dxa"/>
            <w:tcBorders>
              <w:top w:val="nil"/>
              <w:left w:val="nil"/>
              <w:bottom w:val="nil"/>
              <w:right w:val="nil"/>
            </w:tcBorders>
            <w:shd w:val="clear" w:color="auto" w:fill="auto"/>
            <w:noWrap/>
            <w:vAlign w:val="center"/>
            <w:hideMark/>
          </w:tcPr>
          <w:p w:rsidR="00417269" w:rsidRPr="00417269" w:rsidRDefault="00417269" w:rsidP="00417269">
            <w:pPr>
              <w:rPr>
                <w:rFonts w:cs="Arial"/>
                <w:color w:val="7F7F7F"/>
                <w:szCs w:val="18"/>
                <w:lang w:eastAsia="en-AU"/>
              </w:rPr>
            </w:pPr>
            <w:r w:rsidRPr="00417269">
              <w:rPr>
                <w:rFonts w:cs="Arial"/>
                <w:color w:val="7F7F7F"/>
                <w:szCs w:val="18"/>
                <w:lang w:eastAsia="en-AU"/>
              </w:rPr>
              <w:t>Southern Metropolitan</w:t>
            </w:r>
          </w:p>
        </w:tc>
        <w:tc>
          <w:tcPr>
            <w:tcW w:w="1183"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40%</w:t>
            </w:r>
          </w:p>
        </w:tc>
        <w:tc>
          <w:tcPr>
            <w:tcW w:w="1183"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15%</w:t>
            </w:r>
          </w:p>
        </w:tc>
        <w:tc>
          <w:tcPr>
            <w:tcW w:w="1183"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-25%</w:t>
            </w:r>
          </w:p>
        </w:tc>
        <w:tc>
          <w:tcPr>
            <w:tcW w:w="1183"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-17%</w:t>
            </w:r>
          </w:p>
        </w:tc>
        <w:tc>
          <w:tcPr>
            <w:tcW w:w="1183"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-7%</w:t>
            </w:r>
          </w:p>
        </w:tc>
      </w:tr>
      <w:tr w:rsidR="00417269" w:rsidRPr="00417269" w:rsidTr="00417269">
        <w:trPr>
          <w:trHeight w:val="300"/>
        </w:trPr>
        <w:tc>
          <w:tcPr>
            <w:tcW w:w="2180" w:type="dxa"/>
            <w:tcBorders>
              <w:top w:val="nil"/>
              <w:left w:val="nil"/>
              <w:bottom w:val="nil"/>
              <w:right w:val="nil"/>
            </w:tcBorders>
            <w:shd w:val="clear" w:color="auto" w:fill="auto"/>
            <w:noWrap/>
            <w:vAlign w:val="center"/>
            <w:hideMark/>
          </w:tcPr>
          <w:p w:rsidR="00417269" w:rsidRPr="00417269" w:rsidRDefault="00417269" w:rsidP="00417269">
            <w:pPr>
              <w:rPr>
                <w:rFonts w:cs="Arial"/>
                <w:color w:val="7F7F7F"/>
                <w:szCs w:val="18"/>
                <w:lang w:eastAsia="en-AU"/>
              </w:rPr>
            </w:pPr>
            <w:r w:rsidRPr="00417269">
              <w:rPr>
                <w:rFonts w:cs="Arial"/>
                <w:color w:val="7F7F7F"/>
                <w:szCs w:val="18"/>
                <w:lang w:eastAsia="en-AU"/>
              </w:rPr>
              <w:t>Northern Metropolitan</w:t>
            </w:r>
          </w:p>
        </w:tc>
        <w:tc>
          <w:tcPr>
            <w:tcW w:w="1183"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43%</w:t>
            </w:r>
          </w:p>
        </w:tc>
        <w:tc>
          <w:tcPr>
            <w:tcW w:w="1183"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24%</w:t>
            </w:r>
          </w:p>
        </w:tc>
        <w:tc>
          <w:tcPr>
            <w:tcW w:w="1183"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-13%</w:t>
            </w:r>
          </w:p>
        </w:tc>
        <w:tc>
          <w:tcPr>
            <w:tcW w:w="1183"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-1%</w:t>
            </w:r>
          </w:p>
        </w:tc>
        <w:tc>
          <w:tcPr>
            <w:tcW w:w="1183"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-4%</w:t>
            </w:r>
          </w:p>
        </w:tc>
      </w:tr>
      <w:tr w:rsidR="00417269" w:rsidRPr="00417269" w:rsidTr="00417269">
        <w:trPr>
          <w:trHeight w:val="300"/>
        </w:trPr>
        <w:tc>
          <w:tcPr>
            <w:tcW w:w="2180" w:type="dxa"/>
            <w:tcBorders>
              <w:top w:val="nil"/>
              <w:left w:val="nil"/>
              <w:bottom w:val="nil"/>
              <w:right w:val="nil"/>
            </w:tcBorders>
            <w:shd w:val="clear" w:color="auto" w:fill="auto"/>
            <w:noWrap/>
            <w:vAlign w:val="center"/>
            <w:hideMark/>
          </w:tcPr>
          <w:p w:rsidR="00417269" w:rsidRPr="00417269" w:rsidRDefault="00417269" w:rsidP="00417269">
            <w:pPr>
              <w:rPr>
                <w:rFonts w:cs="Arial"/>
                <w:color w:val="7F7F7F"/>
                <w:szCs w:val="18"/>
                <w:lang w:eastAsia="en-AU"/>
              </w:rPr>
            </w:pPr>
            <w:r w:rsidRPr="00417269">
              <w:rPr>
                <w:rFonts w:cs="Arial"/>
                <w:color w:val="7F7F7F"/>
                <w:szCs w:val="18"/>
                <w:lang w:eastAsia="en-AU"/>
              </w:rPr>
              <w:t>Interstate</w:t>
            </w:r>
          </w:p>
        </w:tc>
        <w:tc>
          <w:tcPr>
            <w:tcW w:w="1183"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-94%</w:t>
            </w:r>
          </w:p>
        </w:tc>
        <w:tc>
          <w:tcPr>
            <w:tcW w:w="1183"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-57%</w:t>
            </w:r>
          </w:p>
        </w:tc>
        <w:tc>
          <w:tcPr>
            <w:tcW w:w="1183"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-90%</w:t>
            </w:r>
          </w:p>
        </w:tc>
        <w:tc>
          <w:tcPr>
            <w:tcW w:w="1183"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-85%</w:t>
            </w:r>
          </w:p>
        </w:tc>
        <w:tc>
          <w:tcPr>
            <w:tcW w:w="1183"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-97%</w:t>
            </w:r>
          </w:p>
        </w:tc>
      </w:tr>
      <w:tr w:rsidR="00417269" w:rsidRPr="00417269" w:rsidTr="00417269">
        <w:trPr>
          <w:trHeight w:val="300"/>
        </w:trPr>
        <w:tc>
          <w:tcPr>
            <w:tcW w:w="2180" w:type="dxa"/>
            <w:tcBorders>
              <w:top w:val="nil"/>
              <w:left w:val="nil"/>
              <w:bottom w:val="nil"/>
              <w:right w:val="nil"/>
            </w:tcBorders>
            <w:shd w:val="clear" w:color="auto" w:fill="auto"/>
            <w:noWrap/>
            <w:vAlign w:val="center"/>
            <w:hideMark/>
          </w:tcPr>
          <w:p w:rsidR="00417269" w:rsidRPr="00417269" w:rsidRDefault="00417269" w:rsidP="00417269">
            <w:pPr>
              <w:rPr>
                <w:rFonts w:cs="Arial"/>
                <w:color w:val="7F7F7F"/>
                <w:szCs w:val="18"/>
                <w:lang w:eastAsia="en-AU"/>
              </w:rPr>
            </w:pPr>
            <w:r w:rsidRPr="00417269">
              <w:rPr>
                <w:rFonts w:cs="Arial"/>
                <w:color w:val="7F7F7F"/>
                <w:szCs w:val="18"/>
                <w:lang w:eastAsia="en-AU"/>
              </w:rPr>
              <w:t>Other*</w:t>
            </w:r>
          </w:p>
        </w:tc>
        <w:tc>
          <w:tcPr>
            <w:tcW w:w="1183"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-81%</w:t>
            </w:r>
          </w:p>
        </w:tc>
        <w:tc>
          <w:tcPr>
            <w:tcW w:w="1183"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-81%</w:t>
            </w:r>
          </w:p>
        </w:tc>
        <w:tc>
          <w:tcPr>
            <w:tcW w:w="1183"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-86%</w:t>
            </w:r>
          </w:p>
        </w:tc>
        <w:tc>
          <w:tcPr>
            <w:tcW w:w="1183"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-81%</w:t>
            </w:r>
          </w:p>
        </w:tc>
        <w:tc>
          <w:tcPr>
            <w:tcW w:w="1183" w:type="dxa"/>
            <w:tcBorders>
              <w:top w:val="nil"/>
              <w:left w:val="nil"/>
              <w:bottom w:val="nil"/>
              <w:right w:val="nil"/>
            </w:tcBorders>
            <w:shd w:val="clear" w:color="auto" w:fill="auto"/>
            <w:noWrap/>
            <w:vAlign w:val="center"/>
            <w:hideMark/>
          </w:tcPr>
          <w:p w:rsidR="00417269" w:rsidRPr="00417269" w:rsidRDefault="00417269" w:rsidP="00417269">
            <w:pPr>
              <w:jc w:val="right"/>
              <w:rPr>
                <w:rFonts w:cs="Arial"/>
                <w:color w:val="7F7F7F"/>
                <w:szCs w:val="18"/>
                <w:lang w:eastAsia="en-AU"/>
              </w:rPr>
            </w:pPr>
            <w:r w:rsidRPr="00417269">
              <w:rPr>
                <w:rFonts w:cs="Arial"/>
                <w:color w:val="7F7F7F"/>
                <w:szCs w:val="18"/>
                <w:lang w:eastAsia="en-AU"/>
              </w:rPr>
              <w:t>-37%</w:t>
            </w:r>
          </w:p>
        </w:tc>
      </w:tr>
      <w:tr w:rsidR="00417269" w:rsidRPr="00417269" w:rsidTr="00417269">
        <w:trPr>
          <w:trHeight w:val="300"/>
        </w:trPr>
        <w:tc>
          <w:tcPr>
            <w:tcW w:w="2180" w:type="dxa"/>
            <w:tcBorders>
              <w:top w:val="nil"/>
              <w:left w:val="nil"/>
              <w:bottom w:val="nil"/>
              <w:right w:val="nil"/>
            </w:tcBorders>
            <w:shd w:val="clear" w:color="000000" w:fill="7F7F7F"/>
            <w:noWrap/>
            <w:vAlign w:val="center"/>
            <w:hideMark/>
          </w:tcPr>
          <w:p w:rsidR="00417269" w:rsidRPr="00417269" w:rsidRDefault="00417269" w:rsidP="00417269">
            <w:pPr>
              <w:rPr>
                <w:rFonts w:cs="Arial"/>
                <w:b/>
                <w:bCs/>
                <w:color w:val="FFFFFF"/>
                <w:szCs w:val="18"/>
                <w:lang w:eastAsia="en-AU"/>
              </w:rPr>
            </w:pPr>
            <w:r w:rsidRPr="00417269">
              <w:rPr>
                <w:rFonts w:cs="Arial"/>
                <w:b/>
                <w:bCs/>
                <w:color w:val="FFFFFF"/>
                <w:szCs w:val="18"/>
                <w:lang w:eastAsia="en-AU"/>
              </w:rPr>
              <w:t>Total</w:t>
            </w:r>
          </w:p>
        </w:tc>
        <w:tc>
          <w:tcPr>
            <w:tcW w:w="1183" w:type="dxa"/>
            <w:tcBorders>
              <w:top w:val="nil"/>
              <w:left w:val="nil"/>
              <w:bottom w:val="nil"/>
              <w:right w:val="nil"/>
            </w:tcBorders>
            <w:shd w:val="clear" w:color="000000" w:fill="7F7F7F"/>
            <w:noWrap/>
            <w:vAlign w:val="center"/>
            <w:hideMark/>
          </w:tcPr>
          <w:p w:rsidR="00417269" w:rsidRPr="00417269" w:rsidRDefault="00417269" w:rsidP="00417269">
            <w:pPr>
              <w:jc w:val="right"/>
              <w:rPr>
                <w:rFonts w:cs="Arial"/>
                <w:b/>
                <w:bCs/>
                <w:color w:val="FFFFFF"/>
                <w:szCs w:val="18"/>
                <w:lang w:eastAsia="en-AU"/>
              </w:rPr>
            </w:pPr>
            <w:r w:rsidRPr="00417269">
              <w:rPr>
                <w:rFonts w:cs="Arial"/>
                <w:b/>
                <w:bCs/>
                <w:color w:val="FFFFFF"/>
                <w:szCs w:val="18"/>
                <w:lang w:eastAsia="en-AU"/>
              </w:rPr>
              <w:t>25%</w:t>
            </w:r>
          </w:p>
        </w:tc>
        <w:tc>
          <w:tcPr>
            <w:tcW w:w="1183" w:type="dxa"/>
            <w:tcBorders>
              <w:top w:val="nil"/>
              <w:left w:val="nil"/>
              <w:bottom w:val="nil"/>
              <w:right w:val="nil"/>
            </w:tcBorders>
            <w:shd w:val="clear" w:color="000000" w:fill="7F7F7F"/>
            <w:noWrap/>
            <w:vAlign w:val="center"/>
            <w:hideMark/>
          </w:tcPr>
          <w:p w:rsidR="00417269" w:rsidRPr="00417269" w:rsidRDefault="00417269" w:rsidP="00417269">
            <w:pPr>
              <w:jc w:val="right"/>
              <w:rPr>
                <w:rFonts w:cs="Arial"/>
                <w:b/>
                <w:bCs/>
                <w:color w:val="FFFFFF"/>
                <w:szCs w:val="18"/>
                <w:lang w:eastAsia="en-AU"/>
              </w:rPr>
            </w:pPr>
            <w:r w:rsidRPr="00417269">
              <w:rPr>
                <w:rFonts w:cs="Arial"/>
                <w:b/>
                <w:bCs/>
                <w:color w:val="FFFFFF"/>
                <w:szCs w:val="18"/>
                <w:lang w:eastAsia="en-AU"/>
              </w:rPr>
              <w:t>0%</w:t>
            </w:r>
          </w:p>
        </w:tc>
        <w:tc>
          <w:tcPr>
            <w:tcW w:w="1183" w:type="dxa"/>
            <w:tcBorders>
              <w:top w:val="nil"/>
              <w:left w:val="nil"/>
              <w:bottom w:val="nil"/>
              <w:right w:val="nil"/>
            </w:tcBorders>
            <w:shd w:val="clear" w:color="000000" w:fill="7F7F7F"/>
            <w:noWrap/>
            <w:vAlign w:val="center"/>
            <w:hideMark/>
          </w:tcPr>
          <w:p w:rsidR="00417269" w:rsidRPr="00417269" w:rsidRDefault="00417269" w:rsidP="00417269">
            <w:pPr>
              <w:jc w:val="right"/>
              <w:rPr>
                <w:rFonts w:cs="Arial"/>
                <w:b/>
                <w:bCs/>
                <w:color w:val="FFFFFF"/>
                <w:szCs w:val="18"/>
                <w:lang w:eastAsia="en-AU"/>
              </w:rPr>
            </w:pPr>
            <w:r w:rsidRPr="00417269">
              <w:rPr>
                <w:rFonts w:cs="Arial"/>
                <w:b/>
                <w:bCs/>
                <w:color w:val="FFFFFF"/>
                <w:szCs w:val="18"/>
                <w:lang w:eastAsia="en-AU"/>
              </w:rPr>
              <w:t>-30%</w:t>
            </w:r>
          </w:p>
        </w:tc>
        <w:tc>
          <w:tcPr>
            <w:tcW w:w="1183" w:type="dxa"/>
            <w:tcBorders>
              <w:top w:val="nil"/>
              <w:left w:val="nil"/>
              <w:bottom w:val="nil"/>
              <w:right w:val="nil"/>
            </w:tcBorders>
            <w:shd w:val="clear" w:color="000000" w:fill="7F7F7F"/>
            <w:noWrap/>
            <w:vAlign w:val="center"/>
            <w:hideMark/>
          </w:tcPr>
          <w:p w:rsidR="00417269" w:rsidRPr="00417269" w:rsidRDefault="00417269" w:rsidP="00417269">
            <w:pPr>
              <w:jc w:val="right"/>
              <w:rPr>
                <w:rFonts w:cs="Arial"/>
                <w:b/>
                <w:bCs/>
                <w:color w:val="FFFFFF"/>
                <w:szCs w:val="18"/>
                <w:lang w:eastAsia="en-AU"/>
              </w:rPr>
            </w:pPr>
            <w:r w:rsidRPr="00417269">
              <w:rPr>
                <w:rFonts w:cs="Arial"/>
                <w:b/>
                <w:bCs/>
                <w:color w:val="FFFFFF"/>
                <w:szCs w:val="18"/>
                <w:lang w:eastAsia="en-AU"/>
              </w:rPr>
              <w:t>-19%</w:t>
            </w:r>
          </w:p>
        </w:tc>
        <w:tc>
          <w:tcPr>
            <w:tcW w:w="1183" w:type="dxa"/>
            <w:tcBorders>
              <w:top w:val="nil"/>
              <w:left w:val="nil"/>
              <w:bottom w:val="nil"/>
              <w:right w:val="nil"/>
            </w:tcBorders>
            <w:shd w:val="clear" w:color="000000" w:fill="7F7F7F"/>
            <w:noWrap/>
            <w:vAlign w:val="center"/>
            <w:hideMark/>
          </w:tcPr>
          <w:p w:rsidR="00417269" w:rsidRPr="00417269" w:rsidRDefault="00417269" w:rsidP="00417269">
            <w:pPr>
              <w:jc w:val="right"/>
              <w:rPr>
                <w:rFonts w:cs="Arial"/>
                <w:b/>
                <w:bCs/>
                <w:color w:val="FFFFFF"/>
                <w:szCs w:val="18"/>
                <w:lang w:eastAsia="en-AU"/>
              </w:rPr>
            </w:pPr>
            <w:r w:rsidRPr="00417269">
              <w:rPr>
                <w:rFonts w:cs="Arial"/>
                <w:b/>
                <w:bCs/>
                <w:color w:val="FFFFFF"/>
                <w:szCs w:val="18"/>
                <w:lang w:eastAsia="en-AU"/>
              </w:rPr>
              <w:t>-15%</w:t>
            </w:r>
          </w:p>
        </w:tc>
      </w:tr>
    </w:tbl>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4A0" w:firstRow="1" w:lastRow="0" w:firstColumn="1" w:lastColumn="0" w:noHBand="0" w:noVBand="1"/>
      </w:tblPr>
      <w:tblGrid>
        <w:gridCol w:w="431"/>
        <w:gridCol w:w="7649"/>
      </w:tblGrid>
      <w:tr w:rsidR="00417269" w:rsidRPr="00913551" w:rsidTr="009A601D">
        <w:tc>
          <w:tcPr>
            <w:tcW w:w="431" w:type="dxa"/>
            <w:tcMar>
              <w:left w:w="0" w:type="dxa"/>
              <w:right w:w="28" w:type="dxa"/>
            </w:tcMar>
          </w:tcPr>
          <w:p w:rsidR="00417269" w:rsidRPr="00913551" w:rsidRDefault="00417269" w:rsidP="009A601D">
            <w:pPr>
              <w:spacing w:after="0" w:line="240" w:lineRule="auto"/>
              <w:jc w:val="right"/>
              <w:rPr>
                <w:color w:val="7F7F7F" w:themeColor="text2"/>
                <w:sz w:val="16"/>
                <w:szCs w:val="16"/>
              </w:rPr>
            </w:pPr>
            <w:r w:rsidRPr="00913551">
              <w:rPr>
                <w:color w:val="7F7F7F" w:themeColor="text2"/>
                <w:sz w:val="16"/>
                <w:szCs w:val="16"/>
              </w:rPr>
              <w:t xml:space="preserve">* </w:t>
            </w:r>
          </w:p>
        </w:tc>
        <w:tc>
          <w:tcPr>
            <w:tcW w:w="7649" w:type="dxa"/>
            <w:tcMar>
              <w:left w:w="0" w:type="dxa"/>
              <w:right w:w="28" w:type="dxa"/>
            </w:tcMar>
          </w:tcPr>
          <w:p w:rsidR="00417269" w:rsidRPr="00913551" w:rsidRDefault="00417269" w:rsidP="009A601D">
            <w:pPr>
              <w:pStyle w:val="Note"/>
              <w:spacing w:after="0"/>
              <w:rPr>
                <w:i w:val="0"/>
                <w:color w:val="7F7F7F" w:themeColor="text2"/>
              </w:rPr>
            </w:pPr>
            <w:r w:rsidRPr="00913551">
              <w:t xml:space="preserve">'Other' includes on-line delivery and workplace delivery where the location </w:t>
            </w:r>
            <w:proofErr w:type="gramStart"/>
            <w:r w:rsidRPr="00913551">
              <w:t>cannot be defined</w:t>
            </w:r>
            <w:proofErr w:type="gramEnd"/>
            <w:r w:rsidRPr="00913551">
              <w:t>.</w:t>
            </w:r>
          </w:p>
        </w:tc>
      </w:tr>
    </w:tbl>
    <w:p w:rsidR="00417269" w:rsidRDefault="00417269" w:rsidP="001D446D">
      <w:pPr>
        <w:pStyle w:val="Quote"/>
        <w:rPr>
          <w:b w:val="0"/>
          <w:sz w:val="18"/>
          <w:szCs w:val="18"/>
        </w:rPr>
      </w:pPr>
    </w:p>
    <w:p w:rsidR="00417269" w:rsidRDefault="00417269" w:rsidP="001D446D">
      <w:pPr>
        <w:pStyle w:val="Quote"/>
        <w:rPr>
          <w:b w:val="0"/>
          <w:sz w:val="18"/>
          <w:szCs w:val="18"/>
        </w:rPr>
      </w:pPr>
    </w:p>
    <w:p w:rsidR="00417269" w:rsidRPr="001D446D" w:rsidRDefault="00417269" w:rsidP="001D446D">
      <w:pPr>
        <w:pStyle w:val="Quote"/>
        <w:rPr>
          <w:b w:val="0"/>
          <w:sz w:val="18"/>
          <w:szCs w:val="18"/>
        </w:rPr>
      </w:pPr>
    </w:p>
    <w:p w:rsidR="009150C4" w:rsidRDefault="009150C4">
      <w:pPr>
        <w:rPr>
          <w:rFonts w:cs="Arial"/>
          <w:b/>
          <w:bCs/>
          <w:color w:val="7F7F7F" w:themeColor="text2"/>
          <w:sz w:val="19"/>
          <w:szCs w:val="19"/>
        </w:rPr>
      </w:pPr>
      <w:r>
        <w:rPr>
          <w:color w:val="7F7F7F" w:themeColor="text2"/>
        </w:rPr>
        <w:br w:type="page"/>
      </w:r>
    </w:p>
    <w:p w:rsidR="00E423AC" w:rsidRPr="009925A0" w:rsidRDefault="00E423AC" w:rsidP="00E423AC">
      <w:pPr>
        <w:pStyle w:val="Heading2"/>
        <w:rPr>
          <w:color w:val="B41F22" w:themeColor="accent1"/>
        </w:rPr>
      </w:pPr>
      <w:bookmarkStart w:id="12" w:name="_Toc432758322"/>
      <w:r w:rsidRPr="004D29AE">
        <w:rPr>
          <w:color w:val="B41F22" w:themeColor="accent1"/>
        </w:rPr>
        <w:lastRenderedPageBreak/>
        <w:t>Government Subsidised Activity</w:t>
      </w:r>
      <w:r>
        <w:rPr>
          <w:color w:val="B41F22" w:themeColor="accent1"/>
        </w:rPr>
        <w:t xml:space="preserve"> by</w:t>
      </w:r>
      <w:r w:rsidRPr="004D29AE">
        <w:rPr>
          <w:color w:val="B41F22" w:themeColor="accent1"/>
        </w:rPr>
        <w:t xml:space="preserve"> </w:t>
      </w:r>
      <w:r>
        <w:rPr>
          <w:color w:val="B41F22" w:themeColor="accent1"/>
        </w:rPr>
        <w:t>Region where the student lives</w:t>
      </w:r>
      <w:bookmarkEnd w:id="12"/>
    </w:p>
    <w:p w:rsidR="00E423AC" w:rsidRDefault="009150C4" w:rsidP="00E423AC">
      <w:pPr>
        <w:spacing w:after="120"/>
        <w:rPr>
          <w:color w:val="7F7F7F" w:themeColor="text2"/>
        </w:rPr>
      </w:pPr>
      <w:r>
        <w:rPr>
          <w:color w:val="7F7F7F" w:themeColor="text2"/>
        </w:rPr>
        <w:t xml:space="preserve">The following </w:t>
      </w:r>
      <w:r w:rsidR="000F53F8" w:rsidRPr="002F6569">
        <w:rPr>
          <w:color w:val="7F7F7F" w:themeColor="text2"/>
        </w:rPr>
        <w:t xml:space="preserve">presents data on students undertaking </w:t>
      </w:r>
      <w:proofErr w:type="gramStart"/>
      <w:r w:rsidR="000F53F8" w:rsidRPr="002F6569">
        <w:rPr>
          <w:color w:val="7F7F7F" w:themeColor="text2"/>
        </w:rPr>
        <w:t>government subsidised</w:t>
      </w:r>
      <w:proofErr w:type="gramEnd"/>
      <w:r w:rsidR="000F53F8" w:rsidRPr="002F6569">
        <w:rPr>
          <w:color w:val="7F7F7F" w:themeColor="text2"/>
        </w:rPr>
        <w:t xml:space="preserve"> training by the area where they live. Areas </w:t>
      </w:r>
      <w:proofErr w:type="gramStart"/>
      <w:r w:rsidR="000F53F8" w:rsidRPr="002F6569">
        <w:rPr>
          <w:color w:val="7F7F7F" w:themeColor="text2"/>
        </w:rPr>
        <w:t>are defined</w:t>
      </w:r>
      <w:proofErr w:type="gramEnd"/>
      <w:r w:rsidR="000F53F8" w:rsidRPr="002F6569">
        <w:rPr>
          <w:color w:val="7F7F7F" w:themeColor="text2"/>
        </w:rPr>
        <w:t xml:space="preserve"> as </w:t>
      </w:r>
      <w:r w:rsidR="000425E3" w:rsidRPr="002F6569">
        <w:rPr>
          <w:color w:val="7F7F7F" w:themeColor="text2"/>
        </w:rPr>
        <w:t>four Departmental administrative regions and nine regional areas</w:t>
      </w:r>
      <w:r w:rsidR="000F53F8" w:rsidRPr="002F6569">
        <w:rPr>
          <w:color w:val="7F7F7F" w:themeColor="text2"/>
        </w:rPr>
        <w:t xml:space="preserve">. Students may undertake their training locally or travel to locations outside their local </w:t>
      </w:r>
      <w:r>
        <w:rPr>
          <w:color w:val="7F7F7F" w:themeColor="text2"/>
        </w:rPr>
        <w:t>area</w:t>
      </w:r>
      <w:r w:rsidR="000F53F8" w:rsidRPr="002F6569">
        <w:rPr>
          <w:color w:val="7F7F7F" w:themeColor="text2"/>
        </w:rPr>
        <w:t>.</w:t>
      </w:r>
      <w:r w:rsidR="00E423AC" w:rsidRPr="00E423AC">
        <w:rPr>
          <w:color w:val="7F7F7F" w:themeColor="text2"/>
        </w:rPr>
        <w:t xml:space="preserve"> </w:t>
      </w:r>
    </w:p>
    <w:p w:rsidR="000F53F8" w:rsidRPr="002F6569" w:rsidRDefault="000F53F8" w:rsidP="009D0570">
      <w:pPr>
        <w:spacing w:after="120"/>
        <w:rPr>
          <w:color w:val="7F7F7F" w:themeColor="text2"/>
        </w:rPr>
      </w:pPr>
    </w:p>
    <w:p w:rsidR="000F53F8" w:rsidRPr="002F6569" w:rsidRDefault="000F53F8" w:rsidP="00D5029F">
      <w:pPr>
        <w:pStyle w:val="Quote"/>
        <w:pBdr>
          <w:top w:val="single" w:sz="4" w:space="1" w:color="7F7F7F" w:themeColor="text2"/>
          <w:left w:val="single" w:sz="4" w:space="4" w:color="7F7F7F" w:themeColor="text2"/>
          <w:bottom w:val="single" w:sz="4" w:space="1" w:color="7F7F7F" w:themeColor="text2"/>
          <w:right w:val="single" w:sz="4" w:space="4" w:color="7F7F7F" w:themeColor="text2"/>
        </w:pBdr>
        <w:spacing w:before="120" w:after="120"/>
      </w:pPr>
      <w:r w:rsidRPr="002F6569">
        <w:t>Key points</w:t>
      </w:r>
    </w:p>
    <w:p w:rsidR="000F53F8" w:rsidRPr="002F6569" w:rsidRDefault="00316D3D" w:rsidP="00D5029F">
      <w:pPr>
        <w:pStyle w:val="ListParagraph"/>
        <w:numPr>
          <w:ilvl w:val="0"/>
          <w:numId w:val="18"/>
        </w:numPr>
        <w:pBdr>
          <w:top w:val="single" w:sz="4" w:space="1" w:color="7F7F7F" w:themeColor="text2"/>
          <w:left w:val="single" w:sz="4" w:space="4" w:color="7F7F7F" w:themeColor="text2"/>
          <w:bottom w:val="single" w:sz="4" w:space="1" w:color="7F7F7F" w:themeColor="text2"/>
          <w:right w:val="single" w:sz="4" w:space="4" w:color="7F7F7F" w:themeColor="text2"/>
        </w:pBdr>
        <w:spacing w:before="120" w:after="120"/>
        <w:ind w:left="426" w:hanging="426"/>
        <w:contextualSpacing w:val="0"/>
        <w:rPr>
          <w:color w:val="7F7F7F" w:themeColor="text2"/>
        </w:rPr>
      </w:pPr>
      <w:r>
        <w:rPr>
          <w:color w:val="7F7F7F" w:themeColor="text2"/>
        </w:rPr>
        <w:t>All</w:t>
      </w:r>
      <w:r w:rsidR="00D5029F" w:rsidRPr="002F6569">
        <w:rPr>
          <w:color w:val="7F7F7F" w:themeColor="text2"/>
        </w:rPr>
        <w:t xml:space="preserve"> </w:t>
      </w:r>
      <w:r w:rsidR="000F53F8" w:rsidRPr="002F6569">
        <w:rPr>
          <w:color w:val="7F7F7F" w:themeColor="text2"/>
        </w:rPr>
        <w:t xml:space="preserve">regions showed a decline </w:t>
      </w:r>
      <w:r w:rsidR="00547658" w:rsidRPr="002F6569">
        <w:rPr>
          <w:color w:val="7F7F7F" w:themeColor="text2"/>
        </w:rPr>
        <w:t xml:space="preserve">in the number of students participating in government subsidised </w:t>
      </w:r>
      <w:r w:rsidR="00D5029F" w:rsidRPr="002F6569">
        <w:rPr>
          <w:color w:val="7F7F7F" w:themeColor="text2"/>
        </w:rPr>
        <w:t xml:space="preserve">accredited </w:t>
      </w:r>
      <w:r w:rsidR="00547658" w:rsidRPr="002F6569">
        <w:rPr>
          <w:color w:val="7F7F7F" w:themeColor="text2"/>
        </w:rPr>
        <w:t>training between 201</w:t>
      </w:r>
      <w:r w:rsidR="00D5029F" w:rsidRPr="002F6569">
        <w:rPr>
          <w:color w:val="7F7F7F" w:themeColor="text2"/>
        </w:rPr>
        <w:t>4</w:t>
      </w:r>
      <w:r w:rsidR="00547658" w:rsidRPr="002F6569">
        <w:rPr>
          <w:color w:val="7F7F7F" w:themeColor="text2"/>
        </w:rPr>
        <w:t xml:space="preserve"> and 201</w:t>
      </w:r>
      <w:r w:rsidR="00D5029F" w:rsidRPr="002F6569">
        <w:rPr>
          <w:color w:val="7F7F7F" w:themeColor="text2"/>
        </w:rPr>
        <w:t>5 (half year)</w:t>
      </w:r>
      <w:r w:rsidR="00547658" w:rsidRPr="002F6569">
        <w:rPr>
          <w:color w:val="7F7F7F" w:themeColor="text2"/>
        </w:rPr>
        <w:t>.</w:t>
      </w:r>
    </w:p>
    <w:p w:rsidR="00DB4BA5" w:rsidRPr="002F6569" w:rsidRDefault="00F62501" w:rsidP="00D5029F">
      <w:pPr>
        <w:pStyle w:val="ListParagraph"/>
        <w:numPr>
          <w:ilvl w:val="0"/>
          <w:numId w:val="18"/>
        </w:numPr>
        <w:pBdr>
          <w:top w:val="single" w:sz="4" w:space="1" w:color="7F7F7F" w:themeColor="text2"/>
          <w:left w:val="single" w:sz="4" w:space="4" w:color="7F7F7F" w:themeColor="text2"/>
          <w:bottom w:val="single" w:sz="4" w:space="1" w:color="7F7F7F" w:themeColor="text2"/>
          <w:right w:val="single" w:sz="4" w:space="4" w:color="7F7F7F" w:themeColor="text2"/>
        </w:pBdr>
        <w:spacing w:before="120" w:after="120"/>
        <w:ind w:left="426" w:hanging="426"/>
        <w:contextualSpacing w:val="0"/>
        <w:rPr>
          <w:color w:val="7F7F7F" w:themeColor="text2"/>
        </w:rPr>
      </w:pPr>
      <w:r w:rsidRPr="002F6569">
        <w:rPr>
          <w:color w:val="7F7F7F" w:themeColor="text2"/>
        </w:rPr>
        <w:t xml:space="preserve">Of the four </w:t>
      </w:r>
      <w:r w:rsidR="000425E3" w:rsidRPr="002F6569">
        <w:rPr>
          <w:color w:val="7F7F7F" w:themeColor="text2"/>
        </w:rPr>
        <w:t xml:space="preserve">Departmental administrative </w:t>
      </w:r>
      <w:r w:rsidRPr="002F6569">
        <w:rPr>
          <w:color w:val="7F7F7F" w:themeColor="text2"/>
        </w:rPr>
        <w:t xml:space="preserve">regions, the </w:t>
      </w:r>
      <w:proofErr w:type="gramStart"/>
      <w:r w:rsidR="00316D3D">
        <w:rPr>
          <w:color w:val="7F7F7F" w:themeColor="text2"/>
        </w:rPr>
        <w:t>North</w:t>
      </w:r>
      <w:r w:rsidRPr="002F6569">
        <w:rPr>
          <w:color w:val="7F7F7F" w:themeColor="text2"/>
        </w:rPr>
        <w:t>-Eastern</w:t>
      </w:r>
      <w:proofErr w:type="gramEnd"/>
      <w:r w:rsidRPr="002F6569">
        <w:rPr>
          <w:color w:val="7F7F7F" w:themeColor="text2"/>
        </w:rPr>
        <w:t xml:space="preserve"> region had t</w:t>
      </w:r>
      <w:r w:rsidR="00DB4BA5" w:rsidRPr="002F6569">
        <w:rPr>
          <w:color w:val="7F7F7F" w:themeColor="text2"/>
        </w:rPr>
        <w:t xml:space="preserve">he largest percentage decline </w:t>
      </w:r>
      <w:r w:rsidR="00F636AA" w:rsidRPr="002F6569">
        <w:rPr>
          <w:color w:val="7F7F7F" w:themeColor="text2"/>
        </w:rPr>
        <w:t>in</w:t>
      </w:r>
      <w:r w:rsidR="00DB4BA5" w:rsidRPr="002F6569">
        <w:rPr>
          <w:color w:val="7F7F7F" w:themeColor="text2"/>
        </w:rPr>
        <w:t xml:space="preserve"> the number of students enrolled in government subsidised </w:t>
      </w:r>
      <w:r w:rsidR="00B57540" w:rsidRPr="002F6569">
        <w:rPr>
          <w:color w:val="7F7F7F" w:themeColor="text2"/>
        </w:rPr>
        <w:t xml:space="preserve">accredited </w:t>
      </w:r>
      <w:r w:rsidR="00DB4BA5" w:rsidRPr="002F6569">
        <w:rPr>
          <w:color w:val="7F7F7F" w:themeColor="text2"/>
        </w:rPr>
        <w:t xml:space="preserve">training </w:t>
      </w:r>
      <w:r w:rsidR="00B57540" w:rsidRPr="002F6569">
        <w:rPr>
          <w:color w:val="7F7F7F" w:themeColor="text2"/>
        </w:rPr>
        <w:t>between 2014 and 2015 (half year) of 1</w:t>
      </w:r>
      <w:r w:rsidR="00316D3D">
        <w:rPr>
          <w:color w:val="7F7F7F" w:themeColor="text2"/>
        </w:rPr>
        <w:t>5</w:t>
      </w:r>
      <w:r w:rsidR="00B57540" w:rsidRPr="002F6569">
        <w:rPr>
          <w:color w:val="7F7F7F" w:themeColor="text2"/>
        </w:rPr>
        <w:t xml:space="preserve"> per cent</w:t>
      </w:r>
      <w:r w:rsidR="00DB4BA5" w:rsidRPr="002F6569">
        <w:rPr>
          <w:color w:val="7F7F7F" w:themeColor="text2"/>
        </w:rPr>
        <w:t>.</w:t>
      </w:r>
    </w:p>
    <w:p w:rsidR="00B57540" w:rsidRPr="002F6569" w:rsidRDefault="00B57540" w:rsidP="00D5029F">
      <w:pPr>
        <w:pStyle w:val="ListParagraph"/>
        <w:numPr>
          <w:ilvl w:val="0"/>
          <w:numId w:val="18"/>
        </w:numPr>
        <w:pBdr>
          <w:top w:val="single" w:sz="4" w:space="1" w:color="7F7F7F" w:themeColor="text2"/>
          <w:left w:val="single" w:sz="4" w:space="4" w:color="7F7F7F" w:themeColor="text2"/>
          <w:bottom w:val="single" w:sz="4" w:space="1" w:color="7F7F7F" w:themeColor="text2"/>
          <w:right w:val="single" w:sz="4" w:space="4" w:color="7F7F7F" w:themeColor="text2"/>
        </w:pBdr>
        <w:spacing w:before="120" w:after="120"/>
        <w:ind w:left="426" w:hanging="426"/>
        <w:contextualSpacing w:val="0"/>
        <w:rPr>
          <w:color w:val="7F7F7F" w:themeColor="text2"/>
        </w:rPr>
      </w:pPr>
      <w:r w:rsidRPr="002F6569">
        <w:rPr>
          <w:color w:val="7F7F7F" w:themeColor="text2"/>
        </w:rPr>
        <w:t xml:space="preserve">Of the nine </w:t>
      </w:r>
      <w:r w:rsidR="000425E3" w:rsidRPr="002F6569">
        <w:rPr>
          <w:color w:val="7F7F7F" w:themeColor="text2"/>
        </w:rPr>
        <w:t>regional areas</w:t>
      </w:r>
      <w:r w:rsidRPr="002F6569">
        <w:rPr>
          <w:color w:val="7F7F7F" w:themeColor="text2"/>
        </w:rPr>
        <w:t xml:space="preserve">, the </w:t>
      </w:r>
      <w:r w:rsidR="00DE645B" w:rsidRPr="002F6569">
        <w:rPr>
          <w:color w:val="7F7F7F" w:themeColor="text2"/>
        </w:rPr>
        <w:t>Grampians</w:t>
      </w:r>
      <w:r w:rsidR="00316D3D">
        <w:rPr>
          <w:color w:val="7F7F7F" w:themeColor="text2"/>
        </w:rPr>
        <w:t xml:space="preserve">, Hume and Eastern Metropolitan </w:t>
      </w:r>
      <w:r w:rsidRPr="002F6569">
        <w:rPr>
          <w:color w:val="7F7F7F" w:themeColor="text2"/>
        </w:rPr>
        <w:t>region</w:t>
      </w:r>
      <w:r w:rsidR="00316D3D">
        <w:rPr>
          <w:color w:val="7F7F7F" w:themeColor="text2"/>
        </w:rPr>
        <w:t>s</w:t>
      </w:r>
      <w:r w:rsidRPr="002F6569">
        <w:rPr>
          <w:color w:val="7F7F7F" w:themeColor="text2"/>
        </w:rPr>
        <w:t xml:space="preserve"> had the largest percentage decline in the number of students enrolled in government subsidised accredited training between 2014 and 2015 (half year) of </w:t>
      </w:r>
      <w:r w:rsidR="00316D3D">
        <w:rPr>
          <w:color w:val="7F7F7F" w:themeColor="text2"/>
        </w:rPr>
        <w:t>15</w:t>
      </w:r>
      <w:r w:rsidRPr="002F6569">
        <w:rPr>
          <w:color w:val="7F7F7F" w:themeColor="text2"/>
        </w:rPr>
        <w:t xml:space="preserve"> per cent.</w:t>
      </w:r>
    </w:p>
    <w:p w:rsidR="00DB4BA5" w:rsidRPr="002F6569" w:rsidRDefault="003E45C1" w:rsidP="001D446D">
      <w:pPr>
        <w:pStyle w:val="ListParagraph"/>
        <w:numPr>
          <w:ilvl w:val="0"/>
          <w:numId w:val="18"/>
        </w:numPr>
        <w:pBdr>
          <w:top w:val="single" w:sz="4" w:space="1" w:color="7F7F7F" w:themeColor="text2"/>
          <w:left w:val="single" w:sz="4" w:space="4" w:color="7F7F7F" w:themeColor="text2"/>
          <w:bottom w:val="single" w:sz="4" w:space="1" w:color="7F7F7F" w:themeColor="text2"/>
          <w:right w:val="single" w:sz="4" w:space="4" w:color="7F7F7F" w:themeColor="text2"/>
        </w:pBdr>
        <w:spacing w:before="120"/>
        <w:ind w:left="425" w:hanging="425"/>
        <w:contextualSpacing w:val="0"/>
        <w:rPr>
          <w:color w:val="7F7F7F" w:themeColor="text2"/>
        </w:rPr>
      </w:pPr>
      <w:r w:rsidRPr="002F6569">
        <w:rPr>
          <w:color w:val="7F7F7F" w:themeColor="text2"/>
        </w:rPr>
        <w:t xml:space="preserve">Of the nine </w:t>
      </w:r>
      <w:r w:rsidR="000425E3" w:rsidRPr="002F6569">
        <w:rPr>
          <w:color w:val="7F7F7F" w:themeColor="text2"/>
        </w:rPr>
        <w:t>regional areas,</w:t>
      </w:r>
      <w:r w:rsidRPr="002F6569">
        <w:rPr>
          <w:color w:val="7F7F7F" w:themeColor="text2"/>
        </w:rPr>
        <w:t xml:space="preserve"> </w:t>
      </w:r>
      <w:r w:rsidR="00DB4BA5" w:rsidRPr="002F6569">
        <w:rPr>
          <w:color w:val="7F7F7F" w:themeColor="text2"/>
        </w:rPr>
        <w:t xml:space="preserve">there was a </w:t>
      </w:r>
      <w:r w:rsidR="00B23E00" w:rsidRPr="002F6569">
        <w:rPr>
          <w:color w:val="7F7F7F" w:themeColor="text2"/>
        </w:rPr>
        <w:t>13</w:t>
      </w:r>
      <w:r w:rsidR="00DB4BA5" w:rsidRPr="002F6569">
        <w:rPr>
          <w:color w:val="7F7F7F" w:themeColor="text2"/>
        </w:rPr>
        <w:t xml:space="preserve"> per cent </w:t>
      </w:r>
      <w:r w:rsidR="00F636AA" w:rsidRPr="002F6569">
        <w:rPr>
          <w:color w:val="7F7F7F" w:themeColor="text2"/>
        </w:rPr>
        <w:t xml:space="preserve">decline </w:t>
      </w:r>
      <w:r w:rsidR="00DB4BA5" w:rsidRPr="002F6569">
        <w:rPr>
          <w:color w:val="7F7F7F" w:themeColor="text2"/>
        </w:rPr>
        <w:t>between 201</w:t>
      </w:r>
      <w:r w:rsidRPr="002F6569">
        <w:rPr>
          <w:color w:val="7F7F7F" w:themeColor="text2"/>
        </w:rPr>
        <w:t>4</w:t>
      </w:r>
      <w:r w:rsidR="00DB4BA5" w:rsidRPr="002F6569">
        <w:rPr>
          <w:color w:val="7F7F7F" w:themeColor="text2"/>
        </w:rPr>
        <w:t xml:space="preserve"> and 201</w:t>
      </w:r>
      <w:r w:rsidRPr="002F6569">
        <w:rPr>
          <w:color w:val="7F7F7F" w:themeColor="text2"/>
        </w:rPr>
        <w:t>5 (half year)</w:t>
      </w:r>
      <w:r w:rsidR="00DB4BA5" w:rsidRPr="002F6569">
        <w:rPr>
          <w:color w:val="7F7F7F" w:themeColor="text2"/>
        </w:rPr>
        <w:t xml:space="preserve"> in the number of students living in regional Victoria</w:t>
      </w:r>
      <w:r w:rsidR="0082424E" w:rsidRPr="002F6569">
        <w:rPr>
          <w:color w:val="7F7F7F" w:themeColor="text2"/>
        </w:rPr>
        <w:t xml:space="preserve"> </w:t>
      </w:r>
      <w:r w:rsidR="00DB4BA5" w:rsidRPr="002F6569">
        <w:rPr>
          <w:color w:val="7F7F7F" w:themeColor="text2"/>
        </w:rPr>
        <w:t>enrolled in government subsi</w:t>
      </w:r>
      <w:r w:rsidR="00C26F4E" w:rsidRPr="002F6569">
        <w:rPr>
          <w:color w:val="7F7F7F" w:themeColor="text2"/>
        </w:rPr>
        <w:t xml:space="preserve">dised </w:t>
      </w:r>
      <w:r w:rsidRPr="002F6569">
        <w:rPr>
          <w:color w:val="7F7F7F" w:themeColor="text2"/>
        </w:rPr>
        <w:t xml:space="preserve">accredited </w:t>
      </w:r>
      <w:r w:rsidR="00C26F4E" w:rsidRPr="002F6569">
        <w:rPr>
          <w:color w:val="7F7F7F" w:themeColor="text2"/>
        </w:rPr>
        <w:t xml:space="preserve">training. </w:t>
      </w:r>
      <w:r w:rsidRPr="002F6569">
        <w:rPr>
          <w:color w:val="7F7F7F" w:themeColor="text2"/>
        </w:rPr>
        <w:t>I</w:t>
      </w:r>
      <w:r w:rsidR="00C26F4E" w:rsidRPr="002F6569">
        <w:rPr>
          <w:color w:val="7F7F7F" w:themeColor="text2"/>
        </w:rPr>
        <w:t>n m</w:t>
      </w:r>
      <w:r w:rsidR="00DB4BA5" w:rsidRPr="002F6569">
        <w:rPr>
          <w:color w:val="7F7F7F" w:themeColor="text2"/>
        </w:rPr>
        <w:t xml:space="preserve">etropolitan </w:t>
      </w:r>
      <w:proofErr w:type="gramStart"/>
      <w:r w:rsidR="00F636AA" w:rsidRPr="002F6569">
        <w:rPr>
          <w:color w:val="7F7F7F" w:themeColor="text2"/>
        </w:rPr>
        <w:t>Melbourne</w:t>
      </w:r>
      <w:proofErr w:type="gramEnd"/>
      <w:r w:rsidR="00F636AA" w:rsidRPr="002F6569">
        <w:rPr>
          <w:color w:val="7F7F7F" w:themeColor="text2"/>
        </w:rPr>
        <w:t xml:space="preserve"> </w:t>
      </w:r>
      <w:r w:rsidRPr="002F6569">
        <w:rPr>
          <w:color w:val="7F7F7F" w:themeColor="text2"/>
        </w:rPr>
        <w:t xml:space="preserve">there was a </w:t>
      </w:r>
      <w:r w:rsidR="00B23E00" w:rsidRPr="002F6569">
        <w:rPr>
          <w:color w:val="7F7F7F" w:themeColor="text2"/>
        </w:rPr>
        <w:t>de</w:t>
      </w:r>
      <w:r w:rsidRPr="002F6569">
        <w:rPr>
          <w:color w:val="7F7F7F" w:themeColor="text2"/>
        </w:rPr>
        <w:t xml:space="preserve">crease </w:t>
      </w:r>
      <w:r w:rsidR="00B23E00" w:rsidRPr="002F6569">
        <w:rPr>
          <w:color w:val="7F7F7F" w:themeColor="text2"/>
        </w:rPr>
        <w:t>of</w:t>
      </w:r>
      <w:r w:rsidRPr="002F6569">
        <w:rPr>
          <w:color w:val="7F7F7F" w:themeColor="text2"/>
        </w:rPr>
        <w:t xml:space="preserve"> </w:t>
      </w:r>
      <w:r w:rsidR="00B23E00" w:rsidRPr="002F6569">
        <w:rPr>
          <w:color w:val="7F7F7F" w:themeColor="text2"/>
        </w:rPr>
        <w:t>12</w:t>
      </w:r>
      <w:r w:rsidRPr="002F6569">
        <w:rPr>
          <w:color w:val="7F7F7F" w:themeColor="text2"/>
        </w:rPr>
        <w:t xml:space="preserve"> </w:t>
      </w:r>
      <w:r w:rsidR="00F636AA" w:rsidRPr="002F6569">
        <w:rPr>
          <w:color w:val="7F7F7F" w:themeColor="text2"/>
        </w:rPr>
        <w:t xml:space="preserve">per cent </w:t>
      </w:r>
      <w:r w:rsidR="000C2719" w:rsidRPr="002F6569">
        <w:rPr>
          <w:color w:val="7F7F7F" w:themeColor="text2"/>
        </w:rPr>
        <w:t>over the same period</w:t>
      </w:r>
      <w:r w:rsidR="00F636AA" w:rsidRPr="002F6569">
        <w:rPr>
          <w:color w:val="7F7F7F" w:themeColor="text2"/>
        </w:rPr>
        <w:t>.</w:t>
      </w:r>
    </w:p>
    <w:p w:rsidR="00D5029F" w:rsidRPr="00365EB2" w:rsidRDefault="00D5029F" w:rsidP="001D446D">
      <w:pPr>
        <w:pBdr>
          <w:top w:val="single" w:sz="4" w:space="1" w:color="7F7F7F" w:themeColor="text2"/>
          <w:left w:val="single" w:sz="4" w:space="4" w:color="7F7F7F" w:themeColor="text2"/>
          <w:bottom w:val="single" w:sz="4" w:space="1" w:color="7F7F7F" w:themeColor="text2"/>
          <w:right w:val="single" w:sz="4" w:space="4" w:color="7F7F7F" w:themeColor="text2"/>
        </w:pBdr>
      </w:pPr>
    </w:p>
    <w:p w:rsidR="000F53F8" w:rsidRDefault="000F53F8" w:rsidP="001D446D"/>
    <w:p w:rsidR="001D446D" w:rsidRPr="00365EB2" w:rsidRDefault="001D446D" w:rsidP="001D446D"/>
    <w:p w:rsidR="000425E3" w:rsidRPr="00FE2971" w:rsidRDefault="000425E3">
      <w:pPr>
        <w:rPr>
          <w:color w:val="7F7F7F" w:themeColor="text2"/>
          <w:szCs w:val="18"/>
        </w:rPr>
      </w:pPr>
      <w:r>
        <w:rPr>
          <w:b/>
          <w:color w:val="B41F22" w:themeColor="accent1"/>
        </w:rPr>
        <w:br w:type="page"/>
      </w: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0425E3" w:rsidTr="009A601D">
        <w:tc>
          <w:tcPr>
            <w:tcW w:w="1134" w:type="dxa"/>
            <w:tcMar>
              <w:left w:w="0" w:type="dxa"/>
              <w:right w:w="0" w:type="dxa"/>
            </w:tcMar>
          </w:tcPr>
          <w:p w:rsidR="000425E3" w:rsidRDefault="000425E3" w:rsidP="00FE2971">
            <w:pPr>
              <w:pStyle w:val="Quote"/>
              <w:tabs>
                <w:tab w:val="left" w:pos="1134"/>
              </w:tabs>
              <w:rPr>
                <w:b w:val="0"/>
                <w:color w:val="B41F22" w:themeColor="accent1"/>
              </w:rPr>
            </w:pPr>
            <w:r>
              <w:rPr>
                <w:b w:val="0"/>
                <w:color w:val="B41F22" w:themeColor="accent1"/>
              </w:rPr>
              <w:lastRenderedPageBreak/>
              <w:t>Table 1.</w:t>
            </w:r>
            <w:r w:rsidR="00FE2971">
              <w:rPr>
                <w:b w:val="0"/>
                <w:color w:val="B41F22" w:themeColor="accent1"/>
              </w:rPr>
              <w:t>8</w:t>
            </w:r>
            <w:r>
              <w:rPr>
                <w:b w:val="0"/>
                <w:color w:val="B41F22" w:themeColor="accent1"/>
              </w:rPr>
              <w:t>.1:</w:t>
            </w:r>
          </w:p>
        </w:tc>
        <w:tc>
          <w:tcPr>
            <w:tcW w:w="6946" w:type="dxa"/>
            <w:tcMar>
              <w:left w:w="0" w:type="dxa"/>
              <w:right w:w="0" w:type="dxa"/>
            </w:tcMar>
          </w:tcPr>
          <w:p w:rsidR="000425E3" w:rsidRDefault="000425E3" w:rsidP="009A601D">
            <w:pPr>
              <w:pStyle w:val="Quote"/>
              <w:tabs>
                <w:tab w:val="left" w:pos="1134"/>
              </w:tabs>
              <w:rPr>
                <w:b w:val="0"/>
                <w:color w:val="B41F22" w:themeColor="accent1"/>
              </w:rPr>
            </w:pPr>
            <w:r w:rsidRPr="000425E3">
              <w:rPr>
                <w:b w:val="0"/>
                <w:color w:val="B41F22" w:themeColor="accent1"/>
              </w:rPr>
              <w:t>Students enrolled in government subsidised accredited training by residential area - Departmental administ</w:t>
            </w:r>
            <w:r w:rsidR="003603BF">
              <w:rPr>
                <w:b w:val="0"/>
                <w:color w:val="B41F22" w:themeColor="accent1"/>
              </w:rPr>
              <w:t>r</w:t>
            </w:r>
            <w:r w:rsidRPr="000425E3">
              <w:rPr>
                <w:b w:val="0"/>
                <w:color w:val="B41F22" w:themeColor="accent1"/>
              </w:rPr>
              <w:t>ative region, 2010 to 2015 (half year)</w:t>
            </w:r>
          </w:p>
        </w:tc>
      </w:tr>
    </w:tbl>
    <w:tbl>
      <w:tblPr>
        <w:tblW w:w="8095" w:type="dxa"/>
        <w:tblInd w:w="93" w:type="dxa"/>
        <w:tblLayout w:type="fixed"/>
        <w:tblLook w:val="04A0" w:firstRow="1" w:lastRow="0" w:firstColumn="1" w:lastColumn="0" w:noHBand="0" w:noVBand="1"/>
      </w:tblPr>
      <w:tblGrid>
        <w:gridCol w:w="2180"/>
        <w:gridCol w:w="985"/>
        <w:gridCol w:w="986"/>
        <w:gridCol w:w="986"/>
        <w:gridCol w:w="986"/>
        <w:gridCol w:w="986"/>
        <w:gridCol w:w="986"/>
      </w:tblGrid>
      <w:tr w:rsidR="0005259C" w:rsidRPr="00D55C83" w:rsidTr="0005259C">
        <w:trPr>
          <w:trHeight w:val="300"/>
        </w:trPr>
        <w:tc>
          <w:tcPr>
            <w:tcW w:w="2180" w:type="dxa"/>
            <w:tcBorders>
              <w:top w:val="nil"/>
              <w:left w:val="nil"/>
              <w:bottom w:val="nil"/>
              <w:right w:val="nil"/>
            </w:tcBorders>
            <w:shd w:val="clear" w:color="000000" w:fill="7F7F7F"/>
            <w:noWrap/>
            <w:vAlign w:val="center"/>
            <w:hideMark/>
          </w:tcPr>
          <w:p w:rsidR="00D55C83" w:rsidRPr="00D55C83" w:rsidRDefault="00D55C83" w:rsidP="00D55C83">
            <w:pPr>
              <w:rPr>
                <w:rFonts w:cs="Arial"/>
                <w:color w:val="FFFFFF"/>
                <w:szCs w:val="18"/>
                <w:lang w:eastAsia="en-AU"/>
              </w:rPr>
            </w:pPr>
            <w:r w:rsidRPr="00D55C83">
              <w:rPr>
                <w:rFonts w:cs="Arial"/>
                <w:color w:val="FFFFFF"/>
                <w:szCs w:val="18"/>
                <w:lang w:eastAsia="en-AU"/>
              </w:rPr>
              <w:t> </w:t>
            </w:r>
          </w:p>
        </w:tc>
        <w:tc>
          <w:tcPr>
            <w:tcW w:w="985" w:type="dxa"/>
            <w:tcBorders>
              <w:top w:val="nil"/>
              <w:left w:val="nil"/>
              <w:bottom w:val="nil"/>
              <w:right w:val="nil"/>
            </w:tcBorders>
            <w:shd w:val="clear" w:color="000000" w:fill="7F7F7F"/>
            <w:noWrap/>
            <w:vAlign w:val="center"/>
            <w:hideMark/>
          </w:tcPr>
          <w:p w:rsidR="00D55C83" w:rsidRPr="00D55C83" w:rsidRDefault="00D55C83" w:rsidP="00D55C83">
            <w:pPr>
              <w:jc w:val="right"/>
              <w:rPr>
                <w:rFonts w:cs="Arial"/>
                <w:b/>
                <w:bCs/>
                <w:color w:val="FFFFFF"/>
                <w:szCs w:val="18"/>
                <w:lang w:eastAsia="en-AU"/>
              </w:rPr>
            </w:pPr>
            <w:r w:rsidRPr="00D55C83">
              <w:rPr>
                <w:rFonts w:cs="Arial"/>
                <w:b/>
                <w:bCs/>
                <w:color w:val="FFFFFF"/>
                <w:szCs w:val="18"/>
                <w:lang w:eastAsia="en-AU"/>
              </w:rPr>
              <w:t>2010</w:t>
            </w:r>
          </w:p>
        </w:tc>
        <w:tc>
          <w:tcPr>
            <w:tcW w:w="986" w:type="dxa"/>
            <w:tcBorders>
              <w:top w:val="nil"/>
              <w:left w:val="nil"/>
              <w:bottom w:val="nil"/>
              <w:right w:val="nil"/>
            </w:tcBorders>
            <w:shd w:val="clear" w:color="000000" w:fill="7F7F7F"/>
            <w:noWrap/>
            <w:vAlign w:val="center"/>
            <w:hideMark/>
          </w:tcPr>
          <w:p w:rsidR="00D55C83" w:rsidRPr="00D55C83" w:rsidRDefault="00D55C83" w:rsidP="00D55C83">
            <w:pPr>
              <w:jc w:val="right"/>
              <w:rPr>
                <w:rFonts w:cs="Arial"/>
                <w:b/>
                <w:bCs/>
                <w:color w:val="FFFFFF"/>
                <w:szCs w:val="18"/>
                <w:lang w:eastAsia="en-AU"/>
              </w:rPr>
            </w:pPr>
            <w:r w:rsidRPr="00D55C83">
              <w:rPr>
                <w:rFonts w:cs="Arial"/>
                <w:b/>
                <w:bCs/>
                <w:color w:val="FFFFFF"/>
                <w:szCs w:val="18"/>
                <w:lang w:eastAsia="en-AU"/>
              </w:rPr>
              <w:t>2011</w:t>
            </w:r>
          </w:p>
        </w:tc>
        <w:tc>
          <w:tcPr>
            <w:tcW w:w="986" w:type="dxa"/>
            <w:tcBorders>
              <w:top w:val="nil"/>
              <w:left w:val="nil"/>
              <w:bottom w:val="nil"/>
              <w:right w:val="nil"/>
            </w:tcBorders>
            <w:shd w:val="clear" w:color="000000" w:fill="7F7F7F"/>
            <w:noWrap/>
            <w:vAlign w:val="center"/>
            <w:hideMark/>
          </w:tcPr>
          <w:p w:rsidR="00D55C83" w:rsidRPr="00D55C83" w:rsidRDefault="00D55C83" w:rsidP="00D55C83">
            <w:pPr>
              <w:jc w:val="right"/>
              <w:rPr>
                <w:rFonts w:cs="Arial"/>
                <w:b/>
                <w:bCs/>
                <w:color w:val="FFFFFF"/>
                <w:szCs w:val="18"/>
                <w:lang w:eastAsia="en-AU"/>
              </w:rPr>
            </w:pPr>
            <w:r w:rsidRPr="00D55C83">
              <w:rPr>
                <w:rFonts w:cs="Arial"/>
                <w:b/>
                <w:bCs/>
                <w:color w:val="FFFFFF"/>
                <w:szCs w:val="18"/>
                <w:lang w:eastAsia="en-AU"/>
              </w:rPr>
              <w:t>2012</w:t>
            </w:r>
          </w:p>
        </w:tc>
        <w:tc>
          <w:tcPr>
            <w:tcW w:w="986" w:type="dxa"/>
            <w:tcBorders>
              <w:top w:val="nil"/>
              <w:left w:val="nil"/>
              <w:bottom w:val="nil"/>
              <w:right w:val="nil"/>
            </w:tcBorders>
            <w:shd w:val="clear" w:color="000000" w:fill="7F7F7F"/>
            <w:noWrap/>
            <w:vAlign w:val="center"/>
            <w:hideMark/>
          </w:tcPr>
          <w:p w:rsidR="00D55C83" w:rsidRPr="00D55C83" w:rsidRDefault="00D55C83" w:rsidP="00D55C83">
            <w:pPr>
              <w:jc w:val="right"/>
              <w:rPr>
                <w:rFonts w:cs="Arial"/>
                <w:b/>
                <w:bCs/>
                <w:color w:val="FFFFFF"/>
                <w:szCs w:val="18"/>
                <w:lang w:eastAsia="en-AU"/>
              </w:rPr>
            </w:pPr>
            <w:r w:rsidRPr="00D55C83">
              <w:rPr>
                <w:rFonts w:cs="Arial"/>
                <w:b/>
                <w:bCs/>
                <w:color w:val="FFFFFF"/>
                <w:szCs w:val="18"/>
                <w:lang w:eastAsia="en-AU"/>
              </w:rPr>
              <w:t>2013</w:t>
            </w:r>
          </w:p>
        </w:tc>
        <w:tc>
          <w:tcPr>
            <w:tcW w:w="986" w:type="dxa"/>
            <w:tcBorders>
              <w:top w:val="nil"/>
              <w:left w:val="nil"/>
              <w:bottom w:val="nil"/>
              <w:right w:val="nil"/>
            </w:tcBorders>
            <w:shd w:val="clear" w:color="000000" w:fill="7F7F7F"/>
            <w:noWrap/>
            <w:vAlign w:val="center"/>
            <w:hideMark/>
          </w:tcPr>
          <w:p w:rsidR="00D55C83" w:rsidRPr="00D55C83" w:rsidRDefault="00D55C83" w:rsidP="00D55C83">
            <w:pPr>
              <w:jc w:val="right"/>
              <w:rPr>
                <w:rFonts w:cs="Arial"/>
                <w:b/>
                <w:bCs/>
                <w:color w:val="FFFFFF"/>
                <w:szCs w:val="18"/>
                <w:lang w:eastAsia="en-AU"/>
              </w:rPr>
            </w:pPr>
            <w:r w:rsidRPr="00D55C83">
              <w:rPr>
                <w:rFonts w:cs="Arial"/>
                <w:b/>
                <w:bCs/>
                <w:color w:val="FFFFFF"/>
                <w:szCs w:val="18"/>
                <w:lang w:eastAsia="en-AU"/>
              </w:rPr>
              <w:t>2014</w:t>
            </w:r>
          </w:p>
        </w:tc>
        <w:tc>
          <w:tcPr>
            <w:tcW w:w="986" w:type="dxa"/>
            <w:tcBorders>
              <w:top w:val="nil"/>
              <w:left w:val="nil"/>
              <w:bottom w:val="nil"/>
              <w:right w:val="nil"/>
            </w:tcBorders>
            <w:shd w:val="clear" w:color="000000" w:fill="7F7F7F"/>
            <w:noWrap/>
            <w:vAlign w:val="center"/>
            <w:hideMark/>
          </w:tcPr>
          <w:p w:rsidR="00D55C83" w:rsidRPr="00D55C83" w:rsidRDefault="00D55C83" w:rsidP="00D55C83">
            <w:pPr>
              <w:jc w:val="right"/>
              <w:rPr>
                <w:rFonts w:cs="Arial"/>
                <w:b/>
                <w:bCs/>
                <w:color w:val="FFFFFF"/>
                <w:szCs w:val="18"/>
                <w:lang w:eastAsia="en-AU"/>
              </w:rPr>
            </w:pPr>
            <w:r w:rsidRPr="00D55C83">
              <w:rPr>
                <w:rFonts w:cs="Arial"/>
                <w:b/>
                <w:bCs/>
                <w:color w:val="FFFFFF"/>
                <w:szCs w:val="18"/>
                <w:lang w:eastAsia="en-AU"/>
              </w:rPr>
              <w:t>2015</w:t>
            </w:r>
          </w:p>
        </w:tc>
      </w:tr>
      <w:tr w:rsidR="00D55C83" w:rsidRPr="00D55C83" w:rsidTr="0005259C">
        <w:trPr>
          <w:trHeight w:val="300"/>
        </w:trPr>
        <w:tc>
          <w:tcPr>
            <w:tcW w:w="2180" w:type="dxa"/>
            <w:tcBorders>
              <w:top w:val="nil"/>
              <w:left w:val="nil"/>
              <w:bottom w:val="nil"/>
              <w:right w:val="nil"/>
            </w:tcBorders>
            <w:shd w:val="clear" w:color="auto" w:fill="auto"/>
            <w:noWrap/>
            <w:vAlign w:val="center"/>
            <w:hideMark/>
          </w:tcPr>
          <w:p w:rsidR="00D55C83" w:rsidRPr="00D55C83" w:rsidRDefault="00D55C83" w:rsidP="00D55C83">
            <w:pPr>
              <w:rPr>
                <w:rFonts w:cs="Arial"/>
                <w:color w:val="7F7F7F"/>
                <w:szCs w:val="18"/>
                <w:lang w:eastAsia="en-AU"/>
              </w:rPr>
            </w:pPr>
            <w:r w:rsidRPr="00D55C83">
              <w:rPr>
                <w:rFonts w:cs="Arial"/>
                <w:color w:val="7F7F7F"/>
                <w:szCs w:val="18"/>
                <w:lang w:eastAsia="en-AU"/>
              </w:rPr>
              <w:t>North-Eastern Victoria</w:t>
            </w:r>
          </w:p>
        </w:tc>
        <w:tc>
          <w:tcPr>
            <w:tcW w:w="985"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45,169</w:t>
            </w:r>
          </w:p>
        </w:tc>
        <w:tc>
          <w:tcPr>
            <w:tcW w:w="986"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55,567</w:t>
            </w:r>
          </w:p>
        </w:tc>
        <w:tc>
          <w:tcPr>
            <w:tcW w:w="986"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70,332</w:t>
            </w:r>
          </w:p>
        </w:tc>
        <w:tc>
          <w:tcPr>
            <w:tcW w:w="986"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59,395</w:t>
            </w:r>
          </w:p>
        </w:tc>
        <w:tc>
          <w:tcPr>
            <w:tcW w:w="986"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57,062</w:t>
            </w:r>
          </w:p>
        </w:tc>
        <w:tc>
          <w:tcPr>
            <w:tcW w:w="986"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48,381</w:t>
            </w:r>
          </w:p>
        </w:tc>
      </w:tr>
      <w:tr w:rsidR="00D55C83" w:rsidRPr="00D55C83" w:rsidTr="0005259C">
        <w:trPr>
          <w:trHeight w:val="300"/>
        </w:trPr>
        <w:tc>
          <w:tcPr>
            <w:tcW w:w="2180" w:type="dxa"/>
            <w:tcBorders>
              <w:top w:val="nil"/>
              <w:left w:val="nil"/>
              <w:bottom w:val="nil"/>
              <w:right w:val="nil"/>
            </w:tcBorders>
            <w:shd w:val="clear" w:color="auto" w:fill="auto"/>
            <w:noWrap/>
            <w:vAlign w:val="center"/>
            <w:hideMark/>
          </w:tcPr>
          <w:p w:rsidR="00D55C83" w:rsidRPr="00D55C83" w:rsidRDefault="00D55C83" w:rsidP="00D55C83">
            <w:pPr>
              <w:rPr>
                <w:rFonts w:cs="Arial"/>
                <w:color w:val="7F7F7F"/>
                <w:szCs w:val="18"/>
                <w:lang w:eastAsia="en-AU"/>
              </w:rPr>
            </w:pPr>
            <w:r w:rsidRPr="00D55C83">
              <w:rPr>
                <w:rFonts w:cs="Arial"/>
                <w:color w:val="7F7F7F"/>
                <w:szCs w:val="18"/>
                <w:lang w:eastAsia="en-AU"/>
              </w:rPr>
              <w:t>North-Western Victoria</w:t>
            </w:r>
          </w:p>
        </w:tc>
        <w:tc>
          <w:tcPr>
            <w:tcW w:w="985"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47,591</w:t>
            </w:r>
          </w:p>
        </w:tc>
        <w:tc>
          <w:tcPr>
            <w:tcW w:w="986"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59,721</w:t>
            </w:r>
          </w:p>
        </w:tc>
        <w:tc>
          <w:tcPr>
            <w:tcW w:w="986"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75,375</w:t>
            </w:r>
          </w:p>
        </w:tc>
        <w:tc>
          <w:tcPr>
            <w:tcW w:w="986"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65,654</w:t>
            </w:r>
          </w:p>
        </w:tc>
        <w:tc>
          <w:tcPr>
            <w:tcW w:w="986"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67,502</w:t>
            </w:r>
          </w:p>
        </w:tc>
        <w:tc>
          <w:tcPr>
            <w:tcW w:w="986"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59,629</w:t>
            </w:r>
          </w:p>
        </w:tc>
      </w:tr>
      <w:tr w:rsidR="00D55C83" w:rsidRPr="00D55C83" w:rsidTr="0005259C">
        <w:trPr>
          <w:trHeight w:val="300"/>
        </w:trPr>
        <w:tc>
          <w:tcPr>
            <w:tcW w:w="2180" w:type="dxa"/>
            <w:tcBorders>
              <w:top w:val="nil"/>
              <w:left w:val="nil"/>
              <w:bottom w:val="nil"/>
              <w:right w:val="nil"/>
            </w:tcBorders>
            <w:shd w:val="clear" w:color="auto" w:fill="auto"/>
            <w:noWrap/>
            <w:vAlign w:val="center"/>
            <w:hideMark/>
          </w:tcPr>
          <w:p w:rsidR="00D55C83" w:rsidRPr="00D55C83" w:rsidRDefault="00D55C83" w:rsidP="00D55C83">
            <w:pPr>
              <w:rPr>
                <w:rFonts w:cs="Arial"/>
                <w:color w:val="7F7F7F"/>
                <w:szCs w:val="18"/>
                <w:lang w:eastAsia="en-AU"/>
              </w:rPr>
            </w:pPr>
            <w:r w:rsidRPr="00D55C83">
              <w:rPr>
                <w:rFonts w:cs="Arial"/>
                <w:color w:val="7F7F7F"/>
                <w:szCs w:val="18"/>
                <w:lang w:eastAsia="en-AU"/>
              </w:rPr>
              <w:t>South-Eastern Victoria</w:t>
            </w:r>
          </w:p>
        </w:tc>
        <w:tc>
          <w:tcPr>
            <w:tcW w:w="985"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57,707</w:t>
            </w:r>
          </w:p>
        </w:tc>
        <w:tc>
          <w:tcPr>
            <w:tcW w:w="986"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69,527</w:t>
            </w:r>
          </w:p>
        </w:tc>
        <w:tc>
          <w:tcPr>
            <w:tcW w:w="986"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94,092</w:t>
            </w:r>
          </w:p>
        </w:tc>
        <w:tc>
          <w:tcPr>
            <w:tcW w:w="986"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80,890</w:t>
            </w:r>
          </w:p>
        </w:tc>
        <w:tc>
          <w:tcPr>
            <w:tcW w:w="986"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80,767</w:t>
            </w:r>
          </w:p>
        </w:tc>
        <w:tc>
          <w:tcPr>
            <w:tcW w:w="986"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71,888</w:t>
            </w:r>
          </w:p>
        </w:tc>
      </w:tr>
      <w:tr w:rsidR="00D55C83" w:rsidRPr="00D55C83" w:rsidTr="0005259C">
        <w:trPr>
          <w:trHeight w:val="300"/>
        </w:trPr>
        <w:tc>
          <w:tcPr>
            <w:tcW w:w="2180" w:type="dxa"/>
            <w:tcBorders>
              <w:top w:val="nil"/>
              <w:left w:val="nil"/>
              <w:bottom w:val="nil"/>
              <w:right w:val="nil"/>
            </w:tcBorders>
            <w:shd w:val="clear" w:color="auto" w:fill="auto"/>
            <w:noWrap/>
            <w:vAlign w:val="center"/>
            <w:hideMark/>
          </w:tcPr>
          <w:p w:rsidR="00D55C83" w:rsidRPr="00D55C83" w:rsidRDefault="00D55C83" w:rsidP="00794B13">
            <w:pPr>
              <w:rPr>
                <w:rFonts w:cs="Arial"/>
                <w:color w:val="7F7F7F"/>
                <w:szCs w:val="18"/>
                <w:lang w:eastAsia="en-AU"/>
              </w:rPr>
            </w:pPr>
            <w:r w:rsidRPr="00D55C83">
              <w:rPr>
                <w:rFonts w:cs="Arial"/>
                <w:color w:val="7F7F7F"/>
                <w:szCs w:val="18"/>
                <w:lang w:eastAsia="en-AU"/>
              </w:rPr>
              <w:t>South</w:t>
            </w:r>
            <w:r w:rsidR="00794B13">
              <w:rPr>
                <w:rFonts w:cs="Arial"/>
                <w:color w:val="7F7F7F"/>
                <w:szCs w:val="18"/>
                <w:lang w:eastAsia="en-AU"/>
              </w:rPr>
              <w:t>-</w:t>
            </w:r>
            <w:r w:rsidRPr="00D55C83">
              <w:rPr>
                <w:rFonts w:cs="Arial"/>
                <w:color w:val="7F7F7F"/>
                <w:szCs w:val="18"/>
                <w:lang w:eastAsia="en-AU"/>
              </w:rPr>
              <w:t>Western Victoria</w:t>
            </w:r>
          </w:p>
        </w:tc>
        <w:tc>
          <w:tcPr>
            <w:tcW w:w="985"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56,763</w:t>
            </w:r>
          </w:p>
        </w:tc>
        <w:tc>
          <w:tcPr>
            <w:tcW w:w="986"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71,994</w:t>
            </w:r>
          </w:p>
        </w:tc>
        <w:tc>
          <w:tcPr>
            <w:tcW w:w="986"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102,547</w:t>
            </w:r>
          </w:p>
        </w:tc>
        <w:tc>
          <w:tcPr>
            <w:tcW w:w="986"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87,519</w:t>
            </w:r>
          </w:p>
        </w:tc>
        <w:tc>
          <w:tcPr>
            <w:tcW w:w="986"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91,294</w:t>
            </w:r>
          </w:p>
        </w:tc>
        <w:tc>
          <w:tcPr>
            <w:tcW w:w="986"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80,464</w:t>
            </w:r>
          </w:p>
        </w:tc>
      </w:tr>
      <w:tr w:rsidR="00D55C83" w:rsidRPr="00D55C83" w:rsidTr="0005259C">
        <w:trPr>
          <w:trHeight w:val="300"/>
        </w:trPr>
        <w:tc>
          <w:tcPr>
            <w:tcW w:w="2180" w:type="dxa"/>
            <w:tcBorders>
              <w:top w:val="nil"/>
              <w:left w:val="nil"/>
              <w:bottom w:val="nil"/>
              <w:right w:val="nil"/>
            </w:tcBorders>
            <w:shd w:val="clear" w:color="auto" w:fill="auto"/>
            <w:noWrap/>
            <w:vAlign w:val="center"/>
            <w:hideMark/>
          </w:tcPr>
          <w:p w:rsidR="00D55C83" w:rsidRPr="00D55C83" w:rsidRDefault="00D55C83" w:rsidP="00D55C83">
            <w:pPr>
              <w:rPr>
                <w:rFonts w:cs="Arial"/>
                <w:color w:val="7F7F7F"/>
                <w:szCs w:val="18"/>
                <w:lang w:eastAsia="en-AU"/>
              </w:rPr>
            </w:pPr>
            <w:r w:rsidRPr="00D55C83">
              <w:rPr>
                <w:rFonts w:cs="Arial"/>
                <w:color w:val="7F7F7F"/>
                <w:szCs w:val="18"/>
                <w:lang w:eastAsia="en-AU"/>
              </w:rPr>
              <w:t>Interstate</w:t>
            </w:r>
          </w:p>
        </w:tc>
        <w:tc>
          <w:tcPr>
            <w:tcW w:w="985"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2,944</w:t>
            </w:r>
          </w:p>
        </w:tc>
        <w:tc>
          <w:tcPr>
            <w:tcW w:w="986"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3,256</w:t>
            </w:r>
          </w:p>
        </w:tc>
        <w:tc>
          <w:tcPr>
            <w:tcW w:w="986"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4,183</w:t>
            </w:r>
          </w:p>
        </w:tc>
        <w:tc>
          <w:tcPr>
            <w:tcW w:w="986"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3,823</w:t>
            </w:r>
          </w:p>
        </w:tc>
        <w:tc>
          <w:tcPr>
            <w:tcW w:w="986"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3,671</w:t>
            </w:r>
          </w:p>
        </w:tc>
        <w:tc>
          <w:tcPr>
            <w:tcW w:w="986"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3,468</w:t>
            </w:r>
          </w:p>
        </w:tc>
      </w:tr>
      <w:tr w:rsidR="00D55C83" w:rsidRPr="00D55C83" w:rsidTr="0005259C">
        <w:trPr>
          <w:trHeight w:val="300"/>
        </w:trPr>
        <w:tc>
          <w:tcPr>
            <w:tcW w:w="2180" w:type="dxa"/>
            <w:tcBorders>
              <w:top w:val="nil"/>
              <w:left w:val="nil"/>
              <w:bottom w:val="nil"/>
              <w:right w:val="nil"/>
            </w:tcBorders>
            <w:shd w:val="clear" w:color="auto" w:fill="auto"/>
            <w:noWrap/>
            <w:vAlign w:val="center"/>
            <w:hideMark/>
          </w:tcPr>
          <w:p w:rsidR="00D55C83" w:rsidRPr="00D55C83" w:rsidRDefault="00D55C83" w:rsidP="00D55C83">
            <w:pPr>
              <w:rPr>
                <w:rFonts w:cs="Arial"/>
                <w:color w:val="7F7F7F"/>
                <w:szCs w:val="18"/>
                <w:lang w:eastAsia="en-AU"/>
              </w:rPr>
            </w:pPr>
            <w:r w:rsidRPr="00D55C83">
              <w:rPr>
                <w:rFonts w:cs="Arial"/>
                <w:color w:val="7F7F7F"/>
                <w:szCs w:val="18"/>
                <w:lang w:eastAsia="en-AU"/>
              </w:rPr>
              <w:t>Other*</w:t>
            </w:r>
          </w:p>
        </w:tc>
        <w:tc>
          <w:tcPr>
            <w:tcW w:w="985"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1,354</w:t>
            </w:r>
          </w:p>
        </w:tc>
        <w:tc>
          <w:tcPr>
            <w:tcW w:w="986"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222</w:t>
            </w:r>
          </w:p>
        </w:tc>
        <w:tc>
          <w:tcPr>
            <w:tcW w:w="986"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657</w:t>
            </w:r>
          </w:p>
        </w:tc>
        <w:tc>
          <w:tcPr>
            <w:tcW w:w="986"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378</w:t>
            </w:r>
          </w:p>
        </w:tc>
        <w:tc>
          <w:tcPr>
            <w:tcW w:w="986"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1,157</w:t>
            </w:r>
          </w:p>
        </w:tc>
        <w:tc>
          <w:tcPr>
            <w:tcW w:w="986"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1,414</w:t>
            </w:r>
          </w:p>
        </w:tc>
      </w:tr>
      <w:tr w:rsidR="0005259C" w:rsidRPr="00D55C83" w:rsidTr="0005259C">
        <w:trPr>
          <w:trHeight w:val="300"/>
        </w:trPr>
        <w:tc>
          <w:tcPr>
            <w:tcW w:w="2180" w:type="dxa"/>
            <w:tcBorders>
              <w:top w:val="nil"/>
              <w:left w:val="nil"/>
              <w:bottom w:val="nil"/>
              <w:right w:val="nil"/>
            </w:tcBorders>
            <w:shd w:val="clear" w:color="000000" w:fill="7F7F7F"/>
            <w:noWrap/>
            <w:vAlign w:val="center"/>
            <w:hideMark/>
          </w:tcPr>
          <w:p w:rsidR="00D55C83" w:rsidRPr="00D55C83" w:rsidRDefault="00D55C83" w:rsidP="00D55C83">
            <w:pPr>
              <w:rPr>
                <w:rFonts w:cs="Arial"/>
                <w:b/>
                <w:bCs/>
                <w:color w:val="FFFFFF"/>
                <w:szCs w:val="18"/>
                <w:lang w:eastAsia="en-AU"/>
              </w:rPr>
            </w:pPr>
            <w:r w:rsidRPr="00D55C83">
              <w:rPr>
                <w:rFonts w:cs="Arial"/>
                <w:b/>
                <w:bCs/>
                <w:color w:val="FFFFFF"/>
                <w:szCs w:val="18"/>
                <w:lang w:eastAsia="en-AU"/>
              </w:rPr>
              <w:t>Total</w:t>
            </w:r>
          </w:p>
        </w:tc>
        <w:tc>
          <w:tcPr>
            <w:tcW w:w="985" w:type="dxa"/>
            <w:tcBorders>
              <w:top w:val="nil"/>
              <w:left w:val="nil"/>
              <w:bottom w:val="nil"/>
              <w:right w:val="nil"/>
            </w:tcBorders>
            <w:shd w:val="clear" w:color="000000" w:fill="7F7F7F"/>
            <w:noWrap/>
            <w:vAlign w:val="center"/>
            <w:hideMark/>
          </w:tcPr>
          <w:p w:rsidR="00D55C83" w:rsidRPr="00D55C83" w:rsidRDefault="00D55C83" w:rsidP="00D55C83">
            <w:pPr>
              <w:jc w:val="right"/>
              <w:rPr>
                <w:rFonts w:cs="Arial"/>
                <w:b/>
                <w:bCs/>
                <w:color w:val="FFFFFF"/>
                <w:szCs w:val="18"/>
                <w:lang w:eastAsia="en-AU"/>
              </w:rPr>
            </w:pPr>
            <w:r w:rsidRPr="00D55C83">
              <w:rPr>
                <w:rFonts w:cs="Arial"/>
                <w:b/>
                <w:bCs/>
                <w:color w:val="FFFFFF"/>
                <w:szCs w:val="18"/>
                <w:lang w:eastAsia="en-AU"/>
              </w:rPr>
              <w:t>211,528</w:t>
            </w:r>
          </w:p>
        </w:tc>
        <w:tc>
          <w:tcPr>
            <w:tcW w:w="986" w:type="dxa"/>
            <w:tcBorders>
              <w:top w:val="nil"/>
              <w:left w:val="nil"/>
              <w:bottom w:val="nil"/>
              <w:right w:val="nil"/>
            </w:tcBorders>
            <w:shd w:val="clear" w:color="000000" w:fill="7F7F7F"/>
            <w:noWrap/>
            <w:vAlign w:val="center"/>
            <w:hideMark/>
          </w:tcPr>
          <w:p w:rsidR="00D55C83" w:rsidRPr="00D55C83" w:rsidRDefault="00D55C83" w:rsidP="00D55C83">
            <w:pPr>
              <w:jc w:val="right"/>
              <w:rPr>
                <w:rFonts w:cs="Arial"/>
                <w:b/>
                <w:bCs/>
                <w:color w:val="FFFFFF"/>
                <w:szCs w:val="18"/>
                <w:lang w:eastAsia="en-AU"/>
              </w:rPr>
            </w:pPr>
            <w:r w:rsidRPr="00D55C83">
              <w:rPr>
                <w:rFonts w:cs="Arial"/>
                <w:b/>
                <w:bCs/>
                <w:color w:val="FFFFFF"/>
                <w:szCs w:val="18"/>
                <w:lang w:eastAsia="en-AU"/>
              </w:rPr>
              <w:t>260,287</w:t>
            </w:r>
          </w:p>
        </w:tc>
        <w:tc>
          <w:tcPr>
            <w:tcW w:w="986" w:type="dxa"/>
            <w:tcBorders>
              <w:top w:val="nil"/>
              <w:left w:val="nil"/>
              <w:bottom w:val="nil"/>
              <w:right w:val="nil"/>
            </w:tcBorders>
            <w:shd w:val="clear" w:color="000000" w:fill="7F7F7F"/>
            <w:noWrap/>
            <w:vAlign w:val="center"/>
            <w:hideMark/>
          </w:tcPr>
          <w:p w:rsidR="00D55C83" w:rsidRPr="00D55C83" w:rsidRDefault="00D55C83" w:rsidP="00D55C83">
            <w:pPr>
              <w:jc w:val="right"/>
              <w:rPr>
                <w:rFonts w:cs="Arial"/>
                <w:b/>
                <w:bCs/>
                <w:color w:val="FFFFFF"/>
                <w:szCs w:val="18"/>
                <w:lang w:eastAsia="en-AU"/>
              </w:rPr>
            </w:pPr>
            <w:r w:rsidRPr="00D55C83">
              <w:rPr>
                <w:rFonts w:cs="Arial"/>
                <w:b/>
                <w:bCs/>
                <w:color w:val="FFFFFF"/>
                <w:szCs w:val="18"/>
                <w:lang w:eastAsia="en-AU"/>
              </w:rPr>
              <w:t>347,186</w:t>
            </w:r>
          </w:p>
        </w:tc>
        <w:tc>
          <w:tcPr>
            <w:tcW w:w="986" w:type="dxa"/>
            <w:tcBorders>
              <w:top w:val="nil"/>
              <w:left w:val="nil"/>
              <w:bottom w:val="nil"/>
              <w:right w:val="nil"/>
            </w:tcBorders>
            <w:shd w:val="clear" w:color="000000" w:fill="7F7F7F"/>
            <w:noWrap/>
            <w:vAlign w:val="center"/>
            <w:hideMark/>
          </w:tcPr>
          <w:p w:rsidR="00D55C83" w:rsidRPr="00D55C83" w:rsidRDefault="00D55C83" w:rsidP="00D55C83">
            <w:pPr>
              <w:jc w:val="right"/>
              <w:rPr>
                <w:rFonts w:cs="Arial"/>
                <w:b/>
                <w:bCs/>
                <w:color w:val="FFFFFF"/>
                <w:szCs w:val="18"/>
                <w:lang w:eastAsia="en-AU"/>
              </w:rPr>
            </w:pPr>
            <w:r w:rsidRPr="00D55C83">
              <w:rPr>
                <w:rFonts w:cs="Arial"/>
                <w:b/>
                <w:bCs/>
                <w:color w:val="FFFFFF"/>
                <w:szCs w:val="18"/>
                <w:lang w:eastAsia="en-AU"/>
              </w:rPr>
              <w:t>297,659</w:t>
            </w:r>
          </w:p>
        </w:tc>
        <w:tc>
          <w:tcPr>
            <w:tcW w:w="986" w:type="dxa"/>
            <w:tcBorders>
              <w:top w:val="nil"/>
              <w:left w:val="nil"/>
              <w:bottom w:val="nil"/>
              <w:right w:val="nil"/>
            </w:tcBorders>
            <w:shd w:val="clear" w:color="000000" w:fill="7F7F7F"/>
            <w:noWrap/>
            <w:vAlign w:val="center"/>
            <w:hideMark/>
          </w:tcPr>
          <w:p w:rsidR="00D55C83" w:rsidRPr="00D55C83" w:rsidRDefault="00D55C83" w:rsidP="00D55C83">
            <w:pPr>
              <w:jc w:val="right"/>
              <w:rPr>
                <w:rFonts w:cs="Arial"/>
                <w:b/>
                <w:bCs/>
                <w:color w:val="FFFFFF"/>
                <w:szCs w:val="18"/>
                <w:lang w:eastAsia="en-AU"/>
              </w:rPr>
            </w:pPr>
            <w:r w:rsidRPr="00D55C83">
              <w:rPr>
                <w:rFonts w:cs="Arial"/>
                <w:b/>
                <w:bCs/>
                <w:color w:val="FFFFFF"/>
                <w:szCs w:val="18"/>
                <w:lang w:eastAsia="en-AU"/>
              </w:rPr>
              <w:t>301,453</w:t>
            </w:r>
          </w:p>
        </w:tc>
        <w:tc>
          <w:tcPr>
            <w:tcW w:w="986" w:type="dxa"/>
            <w:tcBorders>
              <w:top w:val="nil"/>
              <w:left w:val="nil"/>
              <w:bottom w:val="nil"/>
              <w:right w:val="nil"/>
            </w:tcBorders>
            <w:shd w:val="clear" w:color="000000" w:fill="7F7F7F"/>
            <w:noWrap/>
            <w:vAlign w:val="center"/>
            <w:hideMark/>
          </w:tcPr>
          <w:p w:rsidR="00D55C83" w:rsidRPr="00D55C83" w:rsidRDefault="00D55C83" w:rsidP="00D55C83">
            <w:pPr>
              <w:jc w:val="right"/>
              <w:rPr>
                <w:rFonts w:cs="Arial"/>
                <w:b/>
                <w:bCs/>
                <w:color w:val="FFFFFF"/>
                <w:szCs w:val="18"/>
                <w:lang w:eastAsia="en-AU"/>
              </w:rPr>
            </w:pPr>
            <w:r w:rsidRPr="00D55C83">
              <w:rPr>
                <w:rFonts w:cs="Arial"/>
                <w:b/>
                <w:bCs/>
                <w:color w:val="FFFFFF"/>
                <w:szCs w:val="18"/>
                <w:lang w:eastAsia="en-AU"/>
              </w:rPr>
              <w:t>265,244</w:t>
            </w:r>
          </w:p>
        </w:tc>
      </w:tr>
    </w:tbl>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tblCellMar>
        <w:tblLook w:val="04A0" w:firstRow="1" w:lastRow="0" w:firstColumn="1" w:lastColumn="0" w:noHBand="0" w:noVBand="1"/>
      </w:tblPr>
      <w:tblGrid>
        <w:gridCol w:w="431"/>
        <w:gridCol w:w="7649"/>
      </w:tblGrid>
      <w:tr w:rsidR="00D55C83" w:rsidRPr="00913551" w:rsidTr="0005259C">
        <w:tc>
          <w:tcPr>
            <w:tcW w:w="431" w:type="dxa"/>
            <w:tcMar>
              <w:left w:w="0" w:type="dxa"/>
              <w:right w:w="28" w:type="dxa"/>
            </w:tcMar>
          </w:tcPr>
          <w:p w:rsidR="00D55C83" w:rsidRPr="00913551" w:rsidRDefault="00D55C83" w:rsidP="009A601D">
            <w:pPr>
              <w:spacing w:after="0" w:line="240" w:lineRule="auto"/>
              <w:jc w:val="right"/>
              <w:rPr>
                <w:color w:val="7F7F7F" w:themeColor="text2"/>
                <w:sz w:val="16"/>
                <w:szCs w:val="16"/>
              </w:rPr>
            </w:pPr>
            <w:r w:rsidRPr="00913551">
              <w:rPr>
                <w:color w:val="7F7F7F" w:themeColor="text2"/>
                <w:sz w:val="16"/>
                <w:szCs w:val="16"/>
              </w:rPr>
              <w:t xml:space="preserve">* </w:t>
            </w:r>
          </w:p>
        </w:tc>
        <w:tc>
          <w:tcPr>
            <w:tcW w:w="7649" w:type="dxa"/>
            <w:tcMar>
              <w:left w:w="0" w:type="dxa"/>
              <w:right w:w="28" w:type="dxa"/>
            </w:tcMar>
          </w:tcPr>
          <w:p w:rsidR="00D55C83" w:rsidRPr="00913551" w:rsidRDefault="00D55C83" w:rsidP="00D55C83">
            <w:pPr>
              <w:pStyle w:val="Note"/>
              <w:spacing w:after="0"/>
              <w:rPr>
                <w:i w:val="0"/>
                <w:color w:val="7F7F7F" w:themeColor="text2"/>
              </w:rPr>
            </w:pPr>
            <w:r w:rsidRPr="00913551">
              <w:t>'Other' includes not stated and unknown.</w:t>
            </w:r>
          </w:p>
        </w:tc>
      </w:tr>
    </w:tbl>
    <w:p w:rsidR="000F53F8" w:rsidRDefault="000F53F8" w:rsidP="001D446D"/>
    <w:p w:rsidR="001D446D" w:rsidRPr="00365EB2" w:rsidRDefault="001D446D" w:rsidP="001D446D"/>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0425E3" w:rsidTr="009A601D">
        <w:tc>
          <w:tcPr>
            <w:tcW w:w="1134" w:type="dxa"/>
            <w:tcMar>
              <w:left w:w="0" w:type="dxa"/>
              <w:right w:w="0" w:type="dxa"/>
            </w:tcMar>
          </w:tcPr>
          <w:p w:rsidR="000425E3" w:rsidRDefault="000425E3" w:rsidP="00FE2971">
            <w:pPr>
              <w:pStyle w:val="Quote"/>
              <w:tabs>
                <w:tab w:val="left" w:pos="1134"/>
              </w:tabs>
              <w:rPr>
                <w:b w:val="0"/>
                <w:color w:val="B41F22" w:themeColor="accent1"/>
              </w:rPr>
            </w:pPr>
            <w:r>
              <w:rPr>
                <w:b w:val="0"/>
                <w:color w:val="B41F22" w:themeColor="accent1"/>
              </w:rPr>
              <w:t>Table 1.</w:t>
            </w:r>
            <w:r w:rsidR="00FE2971">
              <w:rPr>
                <w:b w:val="0"/>
                <w:color w:val="B41F22" w:themeColor="accent1"/>
              </w:rPr>
              <w:t>8</w:t>
            </w:r>
            <w:r>
              <w:rPr>
                <w:b w:val="0"/>
                <w:color w:val="B41F22" w:themeColor="accent1"/>
              </w:rPr>
              <w:t>.2:</w:t>
            </w:r>
          </w:p>
        </w:tc>
        <w:tc>
          <w:tcPr>
            <w:tcW w:w="6946" w:type="dxa"/>
            <w:tcMar>
              <w:left w:w="0" w:type="dxa"/>
              <w:right w:w="0" w:type="dxa"/>
            </w:tcMar>
          </w:tcPr>
          <w:p w:rsidR="000425E3" w:rsidRDefault="000425E3" w:rsidP="009A601D">
            <w:pPr>
              <w:pStyle w:val="Quote"/>
              <w:tabs>
                <w:tab w:val="left" w:pos="1134"/>
              </w:tabs>
              <w:rPr>
                <w:b w:val="0"/>
                <w:color w:val="B41F22" w:themeColor="accent1"/>
              </w:rPr>
            </w:pPr>
            <w:r w:rsidRPr="000425E3">
              <w:rPr>
                <w:b w:val="0"/>
                <w:color w:val="B41F22" w:themeColor="accent1"/>
              </w:rPr>
              <w:t>Change in number of students enrolled in government subsidised accredited training by residential area - Departmental administrative region (half year)</w:t>
            </w:r>
          </w:p>
        </w:tc>
      </w:tr>
    </w:tbl>
    <w:tbl>
      <w:tblPr>
        <w:tblW w:w="8095" w:type="dxa"/>
        <w:tblInd w:w="93" w:type="dxa"/>
        <w:tblLayout w:type="fixed"/>
        <w:tblLook w:val="04A0" w:firstRow="1" w:lastRow="0" w:firstColumn="1" w:lastColumn="0" w:noHBand="0" w:noVBand="1"/>
      </w:tblPr>
      <w:tblGrid>
        <w:gridCol w:w="2180"/>
        <w:gridCol w:w="1183"/>
        <w:gridCol w:w="1183"/>
        <w:gridCol w:w="1183"/>
        <w:gridCol w:w="1183"/>
        <w:gridCol w:w="1183"/>
      </w:tblGrid>
      <w:tr w:rsidR="00D55C83" w:rsidRPr="00D55C83" w:rsidTr="0005259C">
        <w:trPr>
          <w:trHeight w:val="720"/>
        </w:trPr>
        <w:tc>
          <w:tcPr>
            <w:tcW w:w="2180" w:type="dxa"/>
            <w:tcBorders>
              <w:top w:val="nil"/>
              <w:left w:val="nil"/>
              <w:bottom w:val="nil"/>
              <w:right w:val="nil"/>
            </w:tcBorders>
            <w:shd w:val="clear" w:color="000000" w:fill="7F7F7F"/>
            <w:noWrap/>
            <w:vAlign w:val="center"/>
            <w:hideMark/>
          </w:tcPr>
          <w:p w:rsidR="00D55C83" w:rsidRPr="00D55C83" w:rsidRDefault="00D55C83" w:rsidP="00D55C83">
            <w:pPr>
              <w:rPr>
                <w:rFonts w:cs="Arial"/>
                <w:color w:val="FFFFFF"/>
                <w:szCs w:val="18"/>
                <w:lang w:eastAsia="en-AU"/>
              </w:rPr>
            </w:pPr>
            <w:r w:rsidRPr="00D55C83">
              <w:rPr>
                <w:rFonts w:cs="Arial"/>
                <w:color w:val="FFFFFF"/>
                <w:szCs w:val="18"/>
                <w:lang w:eastAsia="en-AU"/>
              </w:rPr>
              <w:t> </w:t>
            </w:r>
          </w:p>
        </w:tc>
        <w:tc>
          <w:tcPr>
            <w:tcW w:w="1183" w:type="dxa"/>
            <w:tcBorders>
              <w:top w:val="nil"/>
              <w:left w:val="nil"/>
              <w:bottom w:val="nil"/>
              <w:right w:val="nil"/>
            </w:tcBorders>
            <w:shd w:val="clear" w:color="000000" w:fill="7F7F7F"/>
            <w:vAlign w:val="center"/>
            <w:hideMark/>
          </w:tcPr>
          <w:p w:rsidR="00D55C83" w:rsidRPr="00D55C83" w:rsidRDefault="00D55C83" w:rsidP="00D55C83">
            <w:pPr>
              <w:jc w:val="right"/>
              <w:rPr>
                <w:rFonts w:cs="Arial"/>
                <w:b/>
                <w:bCs/>
                <w:color w:val="FFFFFF"/>
                <w:szCs w:val="18"/>
                <w:lang w:eastAsia="en-AU"/>
              </w:rPr>
            </w:pPr>
            <w:r w:rsidRPr="00D55C83">
              <w:rPr>
                <w:rFonts w:cs="Arial"/>
                <w:b/>
                <w:bCs/>
                <w:color w:val="FFFFFF"/>
                <w:szCs w:val="18"/>
                <w:lang w:eastAsia="en-AU"/>
              </w:rPr>
              <w:t>% change 2010 to 2015</w:t>
            </w:r>
          </w:p>
        </w:tc>
        <w:tc>
          <w:tcPr>
            <w:tcW w:w="1183" w:type="dxa"/>
            <w:tcBorders>
              <w:top w:val="nil"/>
              <w:left w:val="nil"/>
              <w:bottom w:val="nil"/>
              <w:right w:val="nil"/>
            </w:tcBorders>
            <w:shd w:val="clear" w:color="000000" w:fill="7F7F7F"/>
            <w:vAlign w:val="center"/>
            <w:hideMark/>
          </w:tcPr>
          <w:p w:rsidR="00D55C83" w:rsidRPr="00D55C83" w:rsidRDefault="00D55C83" w:rsidP="00D55C83">
            <w:pPr>
              <w:jc w:val="right"/>
              <w:rPr>
                <w:rFonts w:cs="Arial"/>
                <w:b/>
                <w:bCs/>
                <w:color w:val="FFFFFF"/>
                <w:szCs w:val="18"/>
                <w:lang w:eastAsia="en-AU"/>
              </w:rPr>
            </w:pPr>
            <w:r w:rsidRPr="00D55C83">
              <w:rPr>
                <w:rFonts w:cs="Arial"/>
                <w:b/>
                <w:bCs/>
                <w:color w:val="FFFFFF"/>
                <w:szCs w:val="18"/>
                <w:lang w:eastAsia="en-AU"/>
              </w:rPr>
              <w:t>% change 2011 to 2015</w:t>
            </w:r>
          </w:p>
        </w:tc>
        <w:tc>
          <w:tcPr>
            <w:tcW w:w="1183" w:type="dxa"/>
            <w:tcBorders>
              <w:top w:val="nil"/>
              <w:left w:val="nil"/>
              <w:bottom w:val="nil"/>
              <w:right w:val="nil"/>
            </w:tcBorders>
            <w:shd w:val="clear" w:color="000000" w:fill="7F7F7F"/>
            <w:vAlign w:val="center"/>
            <w:hideMark/>
          </w:tcPr>
          <w:p w:rsidR="00D55C83" w:rsidRPr="00D55C83" w:rsidRDefault="00D55C83" w:rsidP="00D55C83">
            <w:pPr>
              <w:jc w:val="right"/>
              <w:rPr>
                <w:rFonts w:cs="Arial"/>
                <w:b/>
                <w:bCs/>
                <w:color w:val="FFFFFF"/>
                <w:szCs w:val="18"/>
                <w:lang w:eastAsia="en-AU"/>
              </w:rPr>
            </w:pPr>
            <w:r w:rsidRPr="00D55C83">
              <w:rPr>
                <w:rFonts w:cs="Arial"/>
                <w:b/>
                <w:bCs/>
                <w:color w:val="FFFFFF"/>
                <w:szCs w:val="18"/>
                <w:lang w:eastAsia="en-AU"/>
              </w:rPr>
              <w:t>% change 2012 to 2015</w:t>
            </w:r>
          </w:p>
        </w:tc>
        <w:tc>
          <w:tcPr>
            <w:tcW w:w="1183" w:type="dxa"/>
            <w:tcBorders>
              <w:top w:val="nil"/>
              <w:left w:val="nil"/>
              <w:bottom w:val="nil"/>
              <w:right w:val="nil"/>
            </w:tcBorders>
            <w:shd w:val="clear" w:color="000000" w:fill="7F7F7F"/>
            <w:vAlign w:val="center"/>
            <w:hideMark/>
          </w:tcPr>
          <w:p w:rsidR="00D55C83" w:rsidRPr="00D55C83" w:rsidRDefault="00D55C83" w:rsidP="00D55C83">
            <w:pPr>
              <w:jc w:val="right"/>
              <w:rPr>
                <w:rFonts w:cs="Arial"/>
                <w:b/>
                <w:bCs/>
                <w:color w:val="FFFFFF"/>
                <w:szCs w:val="18"/>
                <w:lang w:eastAsia="en-AU"/>
              </w:rPr>
            </w:pPr>
            <w:r w:rsidRPr="00D55C83">
              <w:rPr>
                <w:rFonts w:cs="Arial"/>
                <w:b/>
                <w:bCs/>
                <w:color w:val="FFFFFF"/>
                <w:szCs w:val="18"/>
                <w:lang w:eastAsia="en-AU"/>
              </w:rPr>
              <w:t>% change 2013 to 2015</w:t>
            </w:r>
          </w:p>
        </w:tc>
        <w:tc>
          <w:tcPr>
            <w:tcW w:w="1183" w:type="dxa"/>
            <w:tcBorders>
              <w:top w:val="nil"/>
              <w:left w:val="nil"/>
              <w:bottom w:val="nil"/>
              <w:right w:val="nil"/>
            </w:tcBorders>
            <w:shd w:val="clear" w:color="000000" w:fill="7F7F7F"/>
            <w:vAlign w:val="center"/>
            <w:hideMark/>
          </w:tcPr>
          <w:p w:rsidR="00D55C83" w:rsidRPr="00D55C83" w:rsidRDefault="00D55C83" w:rsidP="00D55C83">
            <w:pPr>
              <w:jc w:val="right"/>
              <w:rPr>
                <w:rFonts w:cs="Arial"/>
                <w:b/>
                <w:bCs/>
                <w:color w:val="FFFFFF"/>
                <w:szCs w:val="18"/>
                <w:lang w:eastAsia="en-AU"/>
              </w:rPr>
            </w:pPr>
            <w:r w:rsidRPr="00D55C83">
              <w:rPr>
                <w:rFonts w:cs="Arial"/>
                <w:b/>
                <w:bCs/>
                <w:color w:val="FFFFFF"/>
                <w:szCs w:val="18"/>
                <w:lang w:eastAsia="en-AU"/>
              </w:rPr>
              <w:t>% change 2014 to 2015</w:t>
            </w:r>
          </w:p>
        </w:tc>
      </w:tr>
      <w:tr w:rsidR="00D55C83" w:rsidRPr="00D55C83" w:rsidTr="0005259C">
        <w:trPr>
          <w:trHeight w:val="300"/>
        </w:trPr>
        <w:tc>
          <w:tcPr>
            <w:tcW w:w="2180" w:type="dxa"/>
            <w:tcBorders>
              <w:top w:val="nil"/>
              <w:left w:val="nil"/>
              <w:bottom w:val="nil"/>
              <w:right w:val="nil"/>
            </w:tcBorders>
            <w:shd w:val="clear" w:color="auto" w:fill="auto"/>
            <w:noWrap/>
            <w:vAlign w:val="center"/>
            <w:hideMark/>
          </w:tcPr>
          <w:p w:rsidR="00D55C83" w:rsidRPr="00D55C83" w:rsidRDefault="00D55C83" w:rsidP="00D55C83">
            <w:pPr>
              <w:rPr>
                <w:rFonts w:cs="Arial"/>
                <w:color w:val="7F7F7F"/>
                <w:szCs w:val="18"/>
                <w:lang w:eastAsia="en-AU"/>
              </w:rPr>
            </w:pPr>
            <w:r w:rsidRPr="00D55C83">
              <w:rPr>
                <w:rFonts w:cs="Arial"/>
                <w:color w:val="7F7F7F"/>
                <w:szCs w:val="18"/>
                <w:lang w:eastAsia="en-AU"/>
              </w:rPr>
              <w:t>North-Eastern Victoria</w:t>
            </w:r>
          </w:p>
        </w:tc>
        <w:tc>
          <w:tcPr>
            <w:tcW w:w="1183"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7%</w:t>
            </w:r>
          </w:p>
        </w:tc>
        <w:tc>
          <w:tcPr>
            <w:tcW w:w="1183"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-13%</w:t>
            </w:r>
          </w:p>
        </w:tc>
        <w:tc>
          <w:tcPr>
            <w:tcW w:w="1183"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-31%</w:t>
            </w:r>
          </w:p>
        </w:tc>
        <w:tc>
          <w:tcPr>
            <w:tcW w:w="1183"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-19%</w:t>
            </w:r>
          </w:p>
        </w:tc>
        <w:tc>
          <w:tcPr>
            <w:tcW w:w="1183"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-15%</w:t>
            </w:r>
          </w:p>
        </w:tc>
      </w:tr>
      <w:tr w:rsidR="00D55C83" w:rsidRPr="00D55C83" w:rsidTr="0005259C">
        <w:trPr>
          <w:trHeight w:val="300"/>
        </w:trPr>
        <w:tc>
          <w:tcPr>
            <w:tcW w:w="2180" w:type="dxa"/>
            <w:tcBorders>
              <w:top w:val="nil"/>
              <w:left w:val="nil"/>
              <w:bottom w:val="nil"/>
              <w:right w:val="nil"/>
            </w:tcBorders>
            <w:shd w:val="clear" w:color="auto" w:fill="auto"/>
            <w:noWrap/>
            <w:vAlign w:val="center"/>
            <w:hideMark/>
          </w:tcPr>
          <w:p w:rsidR="00D55C83" w:rsidRPr="00D55C83" w:rsidRDefault="00D55C83" w:rsidP="00D55C83">
            <w:pPr>
              <w:rPr>
                <w:rFonts w:cs="Arial"/>
                <w:color w:val="7F7F7F"/>
                <w:szCs w:val="18"/>
                <w:lang w:eastAsia="en-AU"/>
              </w:rPr>
            </w:pPr>
            <w:r w:rsidRPr="00D55C83">
              <w:rPr>
                <w:rFonts w:cs="Arial"/>
                <w:color w:val="7F7F7F"/>
                <w:szCs w:val="18"/>
                <w:lang w:eastAsia="en-AU"/>
              </w:rPr>
              <w:t>North-Western Victoria</w:t>
            </w:r>
          </w:p>
        </w:tc>
        <w:tc>
          <w:tcPr>
            <w:tcW w:w="1183"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25%</w:t>
            </w:r>
          </w:p>
        </w:tc>
        <w:tc>
          <w:tcPr>
            <w:tcW w:w="1183"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0%</w:t>
            </w:r>
          </w:p>
        </w:tc>
        <w:tc>
          <w:tcPr>
            <w:tcW w:w="1183"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-21%</w:t>
            </w:r>
          </w:p>
        </w:tc>
        <w:tc>
          <w:tcPr>
            <w:tcW w:w="1183"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-9%</w:t>
            </w:r>
          </w:p>
        </w:tc>
        <w:tc>
          <w:tcPr>
            <w:tcW w:w="1183"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-12%</w:t>
            </w:r>
          </w:p>
        </w:tc>
      </w:tr>
      <w:tr w:rsidR="00D55C83" w:rsidRPr="00D55C83" w:rsidTr="0005259C">
        <w:trPr>
          <w:trHeight w:val="300"/>
        </w:trPr>
        <w:tc>
          <w:tcPr>
            <w:tcW w:w="2180" w:type="dxa"/>
            <w:tcBorders>
              <w:top w:val="nil"/>
              <w:left w:val="nil"/>
              <w:bottom w:val="nil"/>
              <w:right w:val="nil"/>
            </w:tcBorders>
            <w:shd w:val="clear" w:color="auto" w:fill="auto"/>
            <w:noWrap/>
            <w:vAlign w:val="center"/>
            <w:hideMark/>
          </w:tcPr>
          <w:p w:rsidR="00D55C83" w:rsidRPr="00D55C83" w:rsidRDefault="00D55C83" w:rsidP="00D55C83">
            <w:pPr>
              <w:rPr>
                <w:rFonts w:cs="Arial"/>
                <w:color w:val="7F7F7F"/>
                <w:szCs w:val="18"/>
                <w:lang w:eastAsia="en-AU"/>
              </w:rPr>
            </w:pPr>
            <w:r w:rsidRPr="00D55C83">
              <w:rPr>
                <w:rFonts w:cs="Arial"/>
                <w:color w:val="7F7F7F"/>
                <w:szCs w:val="18"/>
                <w:lang w:eastAsia="en-AU"/>
              </w:rPr>
              <w:t>South-Eastern Victoria</w:t>
            </w:r>
          </w:p>
        </w:tc>
        <w:tc>
          <w:tcPr>
            <w:tcW w:w="1183"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25%</w:t>
            </w:r>
          </w:p>
        </w:tc>
        <w:tc>
          <w:tcPr>
            <w:tcW w:w="1183"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3%</w:t>
            </w:r>
          </w:p>
        </w:tc>
        <w:tc>
          <w:tcPr>
            <w:tcW w:w="1183"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-24%</w:t>
            </w:r>
          </w:p>
        </w:tc>
        <w:tc>
          <w:tcPr>
            <w:tcW w:w="1183"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-11%</w:t>
            </w:r>
          </w:p>
        </w:tc>
        <w:tc>
          <w:tcPr>
            <w:tcW w:w="1183"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-11%</w:t>
            </w:r>
          </w:p>
        </w:tc>
      </w:tr>
      <w:tr w:rsidR="00D55C83" w:rsidRPr="00D55C83" w:rsidTr="0005259C">
        <w:trPr>
          <w:trHeight w:val="300"/>
        </w:trPr>
        <w:tc>
          <w:tcPr>
            <w:tcW w:w="2180" w:type="dxa"/>
            <w:tcBorders>
              <w:top w:val="nil"/>
              <w:left w:val="nil"/>
              <w:bottom w:val="nil"/>
              <w:right w:val="nil"/>
            </w:tcBorders>
            <w:shd w:val="clear" w:color="auto" w:fill="auto"/>
            <w:noWrap/>
            <w:vAlign w:val="center"/>
            <w:hideMark/>
          </w:tcPr>
          <w:p w:rsidR="00D55C83" w:rsidRPr="00D55C83" w:rsidRDefault="00D55C83" w:rsidP="00794B13">
            <w:pPr>
              <w:rPr>
                <w:rFonts w:cs="Arial"/>
                <w:color w:val="7F7F7F"/>
                <w:szCs w:val="18"/>
                <w:lang w:eastAsia="en-AU"/>
              </w:rPr>
            </w:pPr>
            <w:r w:rsidRPr="00D55C83">
              <w:rPr>
                <w:rFonts w:cs="Arial"/>
                <w:color w:val="7F7F7F"/>
                <w:szCs w:val="18"/>
                <w:lang w:eastAsia="en-AU"/>
              </w:rPr>
              <w:t>South</w:t>
            </w:r>
            <w:r w:rsidR="00794B13">
              <w:rPr>
                <w:rFonts w:cs="Arial"/>
                <w:color w:val="7F7F7F"/>
                <w:szCs w:val="18"/>
                <w:lang w:eastAsia="en-AU"/>
              </w:rPr>
              <w:t>-</w:t>
            </w:r>
            <w:r w:rsidRPr="00D55C83">
              <w:rPr>
                <w:rFonts w:cs="Arial"/>
                <w:color w:val="7F7F7F"/>
                <w:szCs w:val="18"/>
                <w:lang w:eastAsia="en-AU"/>
              </w:rPr>
              <w:t>Western Victoria</w:t>
            </w:r>
          </w:p>
        </w:tc>
        <w:tc>
          <w:tcPr>
            <w:tcW w:w="1183"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42%</w:t>
            </w:r>
          </w:p>
        </w:tc>
        <w:tc>
          <w:tcPr>
            <w:tcW w:w="1183"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12%</w:t>
            </w:r>
          </w:p>
        </w:tc>
        <w:tc>
          <w:tcPr>
            <w:tcW w:w="1183"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-22%</w:t>
            </w:r>
          </w:p>
        </w:tc>
        <w:tc>
          <w:tcPr>
            <w:tcW w:w="1183"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-8%</w:t>
            </w:r>
          </w:p>
        </w:tc>
        <w:tc>
          <w:tcPr>
            <w:tcW w:w="1183"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-12%</w:t>
            </w:r>
          </w:p>
        </w:tc>
      </w:tr>
      <w:tr w:rsidR="00D55C83" w:rsidRPr="00D55C83" w:rsidTr="0005259C">
        <w:trPr>
          <w:trHeight w:val="300"/>
        </w:trPr>
        <w:tc>
          <w:tcPr>
            <w:tcW w:w="2180" w:type="dxa"/>
            <w:tcBorders>
              <w:top w:val="nil"/>
              <w:left w:val="nil"/>
              <w:bottom w:val="nil"/>
              <w:right w:val="nil"/>
            </w:tcBorders>
            <w:shd w:val="clear" w:color="auto" w:fill="auto"/>
            <w:noWrap/>
            <w:vAlign w:val="center"/>
            <w:hideMark/>
          </w:tcPr>
          <w:p w:rsidR="00D55C83" w:rsidRPr="00D55C83" w:rsidRDefault="00D55C83" w:rsidP="00D55C83">
            <w:pPr>
              <w:rPr>
                <w:rFonts w:cs="Arial"/>
                <w:color w:val="7F7F7F"/>
                <w:szCs w:val="18"/>
                <w:lang w:eastAsia="en-AU"/>
              </w:rPr>
            </w:pPr>
            <w:r w:rsidRPr="00D55C83">
              <w:rPr>
                <w:rFonts w:cs="Arial"/>
                <w:color w:val="7F7F7F"/>
                <w:szCs w:val="18"/>
                <w:lang w:eastAsia="en-AU"/>
              </w:rPr>
              <w:t>Interstate</w:t>
            </w:r>
          </w:p>
        </w:tc>
        <w:tc>
          <w:tcPr>
            <w:tcW w:w="1183"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18%</w:t>
            </w:r>
          </w:p>
        </w:tc>
        <w:tc>
          <w:tcPr>
            <w:tcW w:w="1183"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7%</w:t>
            </w:r>
          </w:p>
        </w:tc>
        <w:tc>
          <w:tcPr>
            <w:tcW w:w="1183"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-17%</w:t>
            </w:r>
          </w:p>
        </w:tc>
        <w:tc>
          <w:tcPr>
            <w:tcW w:w="1183"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-9%</w:t>
            </w:r>
          </w:p>
        </w:tc>
        <w:tc>
          <w:tcPr>
            <w:tcW w:w="1183"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-6%</w:t>
            </w:r>
          </w:p>
        </w:tc>
      </w:tr>
      <w:tr w:rsidR="00D55C83" w:rsidRPr="00D55C83" w:rsidTr="0005259C">
        <w:trPr>
          <w:trHeight w:val="300"/>
        </w:trPr>
        <w:tc>
          <w:tcPr>
            <w:tcW w:w="2180" w:type="dxa"/>
            <w:tcBorders>
              <w:top w:val="nil"/>
              <w:left w:val="nil"/>
              <w:bottom w:val="nil"/>
              <w:right w:val="nil"/>
            </w:tcBorders>
            <w:shd w:val="clear" w:color="auto" w:fill="auto"/>
            <w:noWrap/>
            <w:vAlign w:val="center"/>
            <w:hideMark/>
          </w:tcPr>
          <w:p w:rsidR="00D55C83" w:rsidRPr="00D55C83" w:rsidRDefault="00D55C83" w:rsidP="00D55C83">
            <w:pPr>
              <w:rPr>
                <w:rFonts w:cs="Arial"/>
                <w:color w:val="7F7F7F"/>
                <w:szCs w:val="18"/>
                <w:lang w:eastAsia="en-AU"/>
              </w:rPr>
            </w:pPr>
            <w:r w:rsidRPr="00D55C83">
              <w:rPr>
                <w:rFonts w:cs="Arial"/>
                <w:color w:val="7F7F7F"/>
                <w:szCs w:val="18"/>
                <w:lang w:eastAsia="en-AU"/>
              </w:rPr>
              <w:t>Other*</w:t>
            </w:r>
          </w:p>
        </w:tc>
        <w:tc>
          <w:tcPr>
            <w:tcW w:w="1183"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4%</w:t>
            </w:r>
          </w:p>
        </w:tc>
        <w:tc>
          <w:tcPr>
            <w:tcW w:w="1183"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537%</w:t>
            </w:r>
          </w:p>
        </w:tc>
        <w:tc>
          <w:tcPr>
            <w:tcW w:w="1183"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115%</w:t>
            </w:r>
          </w:p>
        </w:tc>
        <w:tc>
          <w:tcPr>
            <w:tcW w:w="1183"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274%</w:t>
            </w:r>
          </w:p>
        </w:tc>
        <w:tc>
          <w:tcPr>
            <w:tcW w:w="1183"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22%</w:t>
            </w:r>
          </w:p>
        </w:tc>
      </w:tr>
      <w:tr w:rsidR="00D55C83" w:rsidRPr="00D55C83" w:rsidTr="0005259C">
        <w:trPr>
          <w:trHeight w:val="300"/>
        </w:trPr>
        <w:tc>
          <w:tcPr>
            <w:tcW w:w="2180" w:type="dxa"/>
            <w:tcBorders>
              <w:top w:val="nil"/>
              <w:left w:val="nil"/>
              <w:bottom w:val="nil"/>
              <w:right w:val="nil"/>
            </w:tcBorders>
            <w:shd w:val="clear" w:color="000000" w:fill="7F7F7F"/>
            <w:noWrap/>
            <w:vAlign w:val="center"/>
            <w:hideMark/>
          </w:tcPr>
          <w:p w:rsidR="00D55C83" w:rsidRPr="00D55C83" w:rsidRDefault="00D55C83" w:rsidP="00D55C83">
            <w:pPr>
              <w:rPr>
                <w:rFonts w:cs="Arial"/>
                <w:b/>
                <w:bCs/>
                <w:color w:val="FFFFFF"/>
                <w:szCs w:val="18"/>
                <w:lang w:eastAsia="en-AU"/>
              </w:rPr>
            </w:pPr>
            <w:r w:rsidRPr="00D55C83">
              <w:rPr>
                <w:rFonts w:cs="Arial"/>
                <w:b/>
                <w:bCs/>
                <w:color w:val="FFFFFF"/>
                <w:szCs w:val="18"/>
                <w:lang w:eastAsia="en-AU"/>
              </w:rPr>
              <w:t>Total</w:t>
            </w:r>
          </w:p>
        </w:tc>
        <w:tc>
          <w:tcPr>
            <w:tcW w:w="1183" w:type="dxa"/>
            <w:tcBorders>
              <w:top w:val="nil"/>
              <w:left w:val="nil"/>
              <w:bottom w:val="nil"/>
              <w:right w:val="nil"/>
            </w:tcBorders>
            <w:shd w:val="clear" w:color="000000" w:fill="7F7F7F"/>
            <w:noWrap/>
            <w:vAlign w:val="center"/>
            <w:hideMark/>
          </w:tcPr>
          <w:p w:rsidR="00D55C83" w:rsidRPr="00D55C83" w:rsidRDefault="00D55C83" w:rsidP="00D55C83">
            <w:pPr>
              <w:jc w:val="right"/>
              <w:rPr>
                <w:rFonts w:cs="Arial"/>
                <w:b/>
                <w:bCs/>
                <w:color w:val="FFFFFF"/>
                <w:szCs w:val="18"/>
                <w:lang w:eastAsia="en-AU"/>
              </w:rPr>
            </w:pPr>
            <w:r w:rsidRPr="00D55C83">
              <w:rPr>
                <w:rFonts w:cs="Arial"/>
                <w:b/>
                <w:bCs/>
                <w:color w:val="FFFFFF"/>
                <w:szCs w:val="18"/>
                <w:lang w:eastAsia="en-AU"/>
              </w:rPr>
              <w:t>25%</w:t>
            </w:r>
          </w:p>
        </w:tc>
        <w:tc>
          <w:tcPr>
            <w:tcW w:w="1183" w:type="dxa"/>
            <w:tcBorders>
              <w:top w:val="nil"/>
              <w:left w:val="nil"/>
              <w:bottom w:val="nil"/>
              <w:right w:val="nil"/>
            </w:tcBorders>
            <w:shd w:val="clear" w:color="000000" w:fill="7F7F7F"/>
            <w:noWrap/>
            <w:vAlign w:val="center"/>
            <w:hideMark/>
          </w:tcPr>
          <w:p w:rsidR="00D55C83" w:rsidRPr="00D55C83" w:rsidRDefault="00D55C83" w:rsidP="00D55C83">
            <w:pPr>
              <w:jc w:val="right"/>
              <w:rPr>
                <w:rFonts w:cs="Arial"/>
                <w:b/>
                <w:bCs/>
                <w:color w:val="FFFFFF"/>
                <w:szCs w:val="18"/>
                <w:lang w:eastAsia="en-AU"/>
              </w:rPr>
            </w:pPr>
            <w:r w:rsidRPr="00D55C83">
              <w:rPr>
                <w:rFonts w:cs="Arial"/>
                <w:b/>
                <w:bCs/>
                <w:color w:val="FFFFFF"/>
                <w:szCs w:val="18"/>
                <w:lang w:eastAsia="en-AU"/>
              </w:rPr>
              <w:t>2%</w:t>
            </w:r>
          </w:p>
        </w:tc>
        <w:tc>
          <w:tcPr>
            <w:tcW w:w="1183" w:type="dxa"/>
            <w:tcBorders>
              <w:top w:val="nil"/>
              <w:left w:val="nil"/>
              <w:bottom w:val="nil"/>
              <w:right w:val="nil"/>
            </w:tcBorders>
            <w:shd w:val="clear" w:color="000000" w:fill="7F7F7F"/>
            <w:noWrap/>
            <w:vAlign w:val="center"/>
            <w:hideMark/>
          </w:tcPr>
          <w:p w:rsidR="00D55C83" w:rsidRPr="00D55C83" w:rsidRDefault="00D55C83" w:rsidP="00D55C83">
            <w:pPr>
              <w:jc w:val="right"/>
              <w:rPr>
                <w:rFonts w:cs="Arial"/>
                <w:b/>
                <w:bCs/>
                <w:color w:val="FFFFFF"/>
                <w:szCs w:val="18"/>
                <w:lang w:eastAsia="en-AU"/>
              </w:rPr>
            </w:pPr>
            <w:r w:rsidRPr="00D55C83">
              <w:rPr>
                <w:rFonts w:cs="Arial"/>
                <w:b/>
                <w:bCs/>
                <w:color w:val="FFFFFF"/>
                <w:szCs w:val="18"/>
                <w:lang w:eastAsia="en-AU"/>
              </w:rPr>
              <w:t>-24%</w:t>
            </w:r>
          </w:p>
        </w:tc>
        <w:tc>
          <w:tcPr>
            <w:tcW w:w="1183" w:type="dxa"/>
            <w:tcBorders>
              <w:top w:val="nil"/>
              <w:left w:val="nil"/>
              <w:bottom w:val="nil"/>
              <w:right w:val="nil"/>
            </w:tcBorders>
            <w:shd w:val="clear" w:color="000000" w:fill="7F7F7F"/>
            <w:noWrap/>
            <w:vAlign w:val="center"/>
            <w:hideMark/>
          </w:tcPr>
          <w:p w:rsidR="00D55C83" w:rsidRPr="00D55C83" w:rsidRDefault="00D55C83" w:rsidP="00D55C83">
            <w:pPr>
              <w:jc w:val="right"/>
              <w:rPr>
                <w:rFonts w:cs="Arial"/>
                <w:b/>
                <w:bCs/>
                <w:color w:val="FFFFFF"/>
                <w:szCs w:val="18"/>
                <w:lang w:eastAsia="en-AU"/>
              </w:rPr>
            </w:pPr>
            <w:r w:rsidRPr="00D55C83">
              <w:rPr>
                <w:rFonts w:cs="Arial"/>
                <w:b/>
                <w:bCs/>
                <w:color w:val="FFFFFF"/>
                <w:szCs w:val="18"/>
                <w:lang w:eastAsia="en-AU"/>
              </w:rPr>
              <w:t>-11%</w:t>
            </w:r>
          </w:p>
        </w:tc>
        <w:tc>
          <w:tcPr>
            <w:tcW w:w="1183" w:type="dxa"/>
            <w:tcBorders>
              <w:top w:val="nil"/>
              <w:left w:val="nil"/>
              <w:bottom w:val="nil"/>
              <w:right w:val="nil"/>
            </w:tcBorders>
            <w:shd w:val="clear" w:color="000000" w:fill="7F7F7F"/>
            <w:noWrap/>
            <w:vAlign w:val="center"/>
            <w:hideMark/>
          </w:tcPr>
          <w:p w:rsidR="00D55C83" w:rsidRPr="00D55C83" w:rsidRDefault="00D55C83" w:rsidP="00D55C83">
            <w:pPr>
              <w:jc w:val="right"/>
              <w:rPr>
                <w:rFonts w:cs="Arial"/>
                <w:b/>
                <w:bCs/>
                <w:color w:val="FFFFFF"/>
                <w:szCs w:val="18"/>
                <w:lang w:eastAsia="en-AU"/>
              </w:rPr>
            </w:pPr>
            <w:r w:rsidRPr="00D55C83">
              <w:rPr>
                <w:rFonts w:cs="Arial"/>
                <w:b/>
                <w:bCs/>
                <w:color w:val="FFFFFF"/>
                <w:szCs w:val="18"/>
                <w:lang w:eastAsia="en-AU"/>
              </w:rPr>
              <w:t>-12%</w:t>
            </w:r>
          </w:p>
        </w:tc>
      </w:tr>
    </w:tbl>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4A0" w:firstRow="1" w:lastRow="0" w:firstColumn="1" w:lastColumn="0" w:noHBand="0" w:noVBand="1"/>
      </w:tblPr>
      <w:tblGrid>
        <w:gridCol w:w="431"/>
        <w:gridCol w:w="7649"/>
      </w:tblGrid>
      <w:tr w:rsidR="00D55C83" w:rsidRPr="00913551" w:rsidTr="009A601D">
        <w:tc>
          <w:tcPr>
            <w:tcW w:w="431" w:type="dxa"/>
            <w:tcMar>
              <w:left w:w="0" w:type="dxa"/>
              <w:right w:w="28" w:type="dxa"/>
            </w:tcMar>
          </w:tcPr>
          <w:p w:rsidR="00D55C83" w:rsidRPr="00913551" w:rsidRDefault="00D55C83" w:rsidP="009A601D">
            <w:pPr>
              <w:spacing w:after="0" w:line="240" w:lineRule="auto"/>
              <w:jc w:val="right"/>
              <w:rPr>
                <w:color w:val="7F7F7F" w:themeColor="text2"/>
                <w:sz w:val="16"/>
                <w:szCs w:val="16"/>
              </w:rPr>
            </w:pPr>
            <w:r w:rsidRPr="00913551">
              <w:rPr>
                <w:color w:val="7F7F7F" w:themeColor="text2"/>
                <w:sz w:val="16"/>
                <w:szCs w:val="16"/>
              </w:rPr>
              <w:t xml:space="preserve">* </w:t>
            </w:r>
          </w:p>
        </w:tc>
        <w:tc>
          <w:tcPr>
            <w:tcW w:w="7649" w:type="dxa"/>
            <w:tcMar>
              <w:left w:w="0" w:type="dxa"/>
              <w:right w:w="28" w:type="dxa"/>
            </w:tcMar>
          </w:tcPr>
          <w:p w:rsidR="00D55C83" w:rsidRPr="00913551" w:rsidRDefault="00D55C83" w:rsidP="009A601D">
            <w:pPr>
              <w:pStyle w:val="Note"/>
              <w:spacing w:after="0"/>
              <w:rPr>
                <w:i w:val="0"/>
                <w:color w:val="7F7F7F" w:themeColor="text2"/>
              </w:rPr>
            </w:pPr>
            <w:r w:rsidRPr="00913551">
              <w:t>'Other' includes not stated and unknown.</w:t>
            </w:r>
          </w:p>
        </w:tc>
      </w:tr>
    </w:tbl>
    <w:p w:rsidR="00827D13" w:rsidRDefault="00827D13" w:rsidP="001D446D"/>
    <w:p w:rsidR="001D446D" w:rsidRPr="00365EB2" w:rsidRDefault="001D446D" w:rsidP="001D446D"/>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0425E3" w:rsidTr="009A601D">
        <w:tc>
          <w:tcPr>
            <w:tcW w:w="1134" w:type="dxa"/>
            <w:tcMar>
              <w:left w:w="0" w:type="dxa"/>
              <w:right w:w="0" w:type="dxa"/>
            </w:tcMar>
          </w:tcPr>
          <w:p w:rsidR="000425E3" w:rsidRDefault="000425E3" w:rsidP="00CB6C79">
            <w:pPr>
              <w:pStyle w:val="Quote"/>
              <w:tabs>
                <w:tab w:val="left" w:pos="1134"/>
              </w:tabs>
              <w:rPr>
                <w:b w:val="0"/>
                <w:color w:val="B41F22" w:themeColor="accent1"/>
              </w:rPr>
            </w:pPr>
            <w:r>
              <w:rPr>
                <w:b w:val="0"/>
                <w:color w:val="B41F22" w:themeColor="accent1"/>
              </w:rPr>
              <w:t>Table 1.</w:t>
            </w:r>
            <w:r w:rsidR="00CB6C79">
              <w:rPr>
                <w:b w:val="0"/>
                <w:color w:val="B41F22" w:themeColor="accent1"/>
              </w:rPr>
              <w:t>9</w:t>
            </w:r>
            <w:r>
              <w:rPr>
                <w:b w:val="0"/>
                <w:color w:val="B41F22" w:themeColor="accent1"/>
              </w:rPr>
              <w:t>.</w:t>
            </w:r>
            <w:r w:rsidR="00CB6C79">
              <w:rPr>
                <w:b w:val="0"/>
                <w:color w:val="B41F22" w:themeColor="accent1"/>
              </w:rPr>
              <w:t>1</w:t>
            </w:r>
            <w:r>
              <w:rPr>
                <w:b w:val="0"/>
                <w:color w:val="B41F22" w:themeColor="accent1"/>
              </w:rPr>
              <w:t>:</w:t>
            </w:r>
          </w:p>
        </w:tc>
        <w:tc>
          <w:tcPr>
            <w:tcW w:w="6946" w:type="dxa"/>
            <w:tcMar>
              <w:left w:w="0" w:type="dxa"/>
              <w:right w:w="0" w:type="dxa"/>
            </w:tcMar>
          </w:tcPr>
          <w:p w:rsidR="000425E3" w:rsidRDefault="000425E3" w:rsidP="009A601D">
            <w:pPr>
              <w:pStyle w:val="Quote"/>
              <w:tabs>
                <w:tab w:val="left" w:pos="1134"/>
              </w:tabs>
              <w:rPr>
                <w:b w:val="0"/>
                <w:color w:val="B41F22" w:themeColor="accent1"/>
              </w:rPr>
            </w:pPr>
            <w:r w:rsidRPr="000425E3">
              <w:rPr>
                <w:b w:val="0"/>
                <w:color w:val="B41F22" w:themeColor="accent1"/>
              </w:rPr>
              <w:t>Students enrolled in government subsidised accredited training by residential regional area, 2010 to 2015 (half year)</w:t>
            </w:r>
          </w:p>
        </w:tc>
      </w:tr>
    </w:tbl>
    <w:tbl>
      <w:tblPr>
        <w:tblW w:w="8095" w:type="dxa"/>
        <w:tblInd w:w="93" w:type="dxa"/>
        <w:tblLayout w:type="fixed"/>
        <w:tblLook w:val="04A0" w:firstRow="1" w:lastRow="0" w:firstColumn="1" w:lastColumn="0" w:noHBand="0" w:noVBand="1"/>
      </w:tblPr>
      <w:tblGrid>
        <w:gridCol w:w="2180"/>
        <w:gridCol w:w="985"/>
        <w:gridCol w:w="986"/>
        <w:gridCol w:w="986"/>
        <w:gridCol w:w="986"/>
        <w:gridCol w:w="986"/>
        <w:gridCol w:w="986"/>
      </w:tblGrid>
      <w:tr w:rsidR="0005259C" w:rsidRPr="00D55C83" w:rsidTr="0005259C">
        <w:trPr>
          <w:trHeight w:val="300"/>
        </w:trPr>
        <w:tc>
          <w:tcPr>
            <w:tcW w:w="2180" w:type="dxa"/>
            <w:tcBorders>
              <w:top w:val="nil"/>
              <w:left w:val="nil"/>
              <w:bottom w:val="nil"/>
              <w:right w:val="nil"/>
            </w:tcBorders>
            <w:shd w:val="clear" w:color="000000" w:fill="7F7F7F"/>
            <w:noWrap/>
            <w:vAlign w:val="center"/>
            <w:hideMark/>
          </w:tcPr>
          <w:p w:rsidR="00D55C83" w:rsidRPr="00D55C83" w:rsidRDefault="00D55C83" w:rsidP="00D55C83">
            <w:pPr>
              <w:rPr>
                <w:rFonts w:cs="Arial"/>
                <w:color w:val="FFFFFF"/>
                <w:szCs w:val="18"/>
                <w:lang w:eastAsia="en-AU"/>
              </w:rPr>
            </w:pPr>
            <w:r w:rsidRPr="00D55C83">
              <w:rPr>
                <w:rFonts w:cs="Arial"/>
                <w:color w:val="FFFFFF"/>
                <w:szCs w:val="18"/>
                <w:lang w:eastAsia="en-AU"/>
              </w:rPr>
              <w:t> </w:t>
            </w:r>
          </w:p>
        </w:tc>
        <w:tc>
          <w:tcPr>
            <w:tcW w:w="985" w:type="dxa"/>
            <w:tcBorders>
              <w:top w:val="nil"/>
              <w:left w:val="nil"/>
              <w:bottom w:val="nil"/>
              <w:right w:val="nil"/>
            </w:tcBorders>
            <w:shd w:val="clear" w:color="000000" w:fill="7F7F7F"/>
            <w:noWrap/>
            <w:vAlign w:val="center"/>
            <w:hideMark/>
          </w:tcPr>
          <w:p w:rsidR="00D55C83" w:rsidRPr="00D55C83" w:rsidRDefault="00D55C83" w:rsidP="00D55C83">
            <w:pPr>
              <w:jc w:val="right"/>
              <w:rPr>
                <w:rFonts w:cs="Arial"/>
                <w:b/>
                <w:bCs/>
                <w:color w:val="FFFFFF"/>
                <w:szCs w:val="18"/>
                <w:lang w:eastAsia="en-AU"/>
              </w:rPr>
            </w:pPr>
            <w:r w:rsidRPr="00D55C83">
              <w:rPr>
                <w:rFonts w:cs="Arial"/>
                <w:b/>
                <w:bCs/>
                <w:color w:val="FFFFFF"/>
                <w:szCs w:val="18"/>
                <w:lang w:eastAsia="en-AU"/>
              </w:rPr>
              <w:t>2010</w:t>
            </w:r>
          </w:p>
        </w:tc>
        <w:tc>
          <w:tcPr>
            <w:tcW w:w="986" w:type="dxa"/>
            <w:tcBorders>
              <w:top w:val="nil"/>
              <w:left w:val="nil"/>
              <w:bottom w:val="nil"/>
              <w:right w:val="nil"/>
            </w:tcBorders>
            <w:shd w:val="clear" w:color="000000" w:fill="7F7F7F"/>
            <w:noWrap/>
            <w:vAlign w:val="center"/>
            <w:hideMark/>
          </w:tcPr>
          <w:p w:rsidR="00D55C83" w:rsidRPr="00D55C83" w:rsidRDefault="00D55C83" w:rsidP="00D55C83">
            <w:pPr>
              <w:jc w:val="right"/>
              <w:rPr>
                <w:rFonts w:cs="Arial"/>
                <w:b/>
                <w:bCs/>
                <w:color w:val="FFFFFF"/>
                <w:szCs w:val="18"/>
                <w:lang w:eastAsia="en-AU"/>
              </w:rPr>
            </w:pPr>
            <w:r w:rsidRPr="00D55C83">
              <w:rPr>
                <w:rFonts w:cs="Arial"/>
                <w:b/>
                <w:bCs/>
                <w:color w:val="FFFFFF"/>
                <w:szCs w:val="18"/>
                <w:lang w:eastAsia="en-AU"/>
              </w:rPr>
              <w:t>2011</w:t>
            </w:r>
          </w:p>
        </w:tc>
        <w:tc>
          <w:tcPr>
            <w:tcW w:w="986" w:type="dxa"/>
            <w:tcBorders>
              <w:top w:val="nil"/>
              <w:left w:val="nil"/>
              <w:bottom w:val="nil"/>
              <w:right w:val="nil"/>
            </w:tcBorders>
            <w:shd w:val="clear" w:color="000000" w:fill="7F7F7F"/>
            <w:noWrap/>
            <w:vAlign w:val="center"/>
            <w:hideMark/>
          </w:tcPr>
          <w:p w:rsidR="00D55C83" w:rsidRPr="00D55C83" w:rsidRDefault="00D55C83" w:rsidP="00D55C83">
            <w:pPr>
              <w:jc w:val="right"/>
              <w:rPr>
                <w:rFonts w:cs="Arial"/>
                <w:b/>
                <w:bCs/>
                <w:color w:val="FFFFFF"/>
                <w:szCs w:val="18"/>
                <w:lang w:eastAsia="en-AU"/>
              </w:rPr>
            </w:pPr>
            <w:r w:rsidRPr="00D55C83">
              <w:rPr>
                <w:rFonts w:cs="Arial"/>
                <w:b/>
                <w:bCs/>
                <w:color w:val="FFFFFF"/>
                <w:szCs w:val="18"/>
                <w:lang w:eastAsia="en-AU"/>
              </w:rPr>
              <w:t>2012</w:t>
            </w:r>
          </w:p>
        </w:tc>
        <w:tc>
          <w:tcPr>
            <w:tcW w:w="986" w:type="dxa"/>
            <w:tcBorders>
              <w:top w:val="nil"/>
              <w:left w:val="nil"/>
              <w:bottom w:val="nil"/>
              <w:right w:val="nil"/>
            </w:tcBorders>
            <w:shd w:val="clear" w:color="000000" w:fill="7F7F7F"/>
            <w:noWrap/>
            <w:vAlign w:val="center"/>
            <w:hideMark/>
          </w:tcPr>
          <w:p w:rsidR="00D55C83" w:rsidRPr="00D55C83" w:rsidRDefault="00D55C83" w:rsidP="00D55C83">
            <w:pPr>
              <w:jc w:val="right"/>
              <w:rPr>
                <w:rFonts w:cs="Arial"/>
                <w:b/>
                <w:bCs/>
                <w:color w:val="FFFFFF"/>
                <w:szCs w:val="18"/>
                <w:lang w:eastAsia="en-AU"/>
              </w:rPr>
            </w:pPr>
            <w:r w:rsidRPr="00D55C83">
              <w:rPr>
                <w:rFonts w:cs="Arial"/>
                <w:b/>
                <w:bCs/>
                <w:color w:val="FFFFFF"/>
                <w:szCs w:val="18"/>
                <w:lang w:eastAsia="en-AU"/>
              </w:rPr>
              <w:t>2013</w:t>
            </w:r>
          </w:p>
        </w:tc>
        <w:tc>
          <w:tcPr>
            <w:tcW w:w="986" w:type="dxa"/>
            <w:tcBorders>
              <w:top w:val="nil"/>
              <w:left w:val="nil"/>
              <w:bottom w:val="nil"/>
              <w:right w:val="nil"/>
            </w:tcBorders>
            <w:shd w:val="clear" w:color="000000" w:fill="7F7F7F"/>
            <w:noWrap/>
            <w:vAlign w:val="center"/>
            <w:hideMark/>
          </w:tcPr>
          <w:p w:rsidR="00D55C83" w:rsidRPr="00D55C83" w:rsidRDefault="00D55C83" w:rsidP="00D55C83">
            <w:pPr>
              <w:jc w:val="right"/>
              <w:rPr>
                <w:rFonts w:cs="Arial"/>
                <w:b/>
                <w:bCs/>
                <w:color w:val="FFFFFF"/>
                <w:szCs w:val="18"/>
                <w:lang w:eastAsia="en-AU"/>
              </w:rPr>
            </w:pPr>
            <w:r w:rsidRPr="00D55C83">
              <w:rPr>
                <w:rFonts w:cs="Arial"/>
                <w:b/>
                <w:bCs/>
                <w:color w:val="FFFFFF"/>
                <w:szCs w:val="18"/>
                <w:lang w:eastAsia="en-AU"/>
              </w:rPr>
              <w:t>2014</w:t>
            </w:r>
          </w:p>
        </w:tc>
        <w:tc>
          <w:tcPr>
            <w:tcW w:w="986" w:type="dxa"/>
            <w:tcBorders>
              <w:top w:val="nil"/>
              <w:left w:val="nil"/>
              <w:bottom w:val="nil"/>
              <w:right w:val="nil"/>
            </w:tcBorders>
            <w:shd w:val="clear" w:color="000000" w:fill="7F7F7F"/>
            <w:noWrap/>
            <w:vAlign w:val="center"/>
            <w:hideMark/>
          </w:tcPr>
          <w:p w:rsidR="00D55C83" w:rsidRPr="00D55C83" w:rsidRDefault="00D55C83" w:rsidP="00D55C83">
            <w:pPr>
              <w:jc w:val="right"/>
              <w:rPr>
                <w:rFonts w:cs="Arial"/>
                <w:b/>
                <w:bCs/>
                <w:color w:val="FFFFFF"/>
                <w:szCs w:val="18"/>
                <w:lang w:eastAsia="en-AU"/>
              </w:rPr>
            </w:pPr>
            <w:r w:rsidRPr="00D55C83">
              <w:rPr>
                <w:rFonts w:cs="Arial"/>
                <w:b/>
                <w:bCs/>
                <w:color w:val="FFFFFF"/>
                <w:szCs w:val="18"/>
                <w:lang w:eastAsia="en-AU"/>
              </w:rPr>
              <w:t>2015</w:t>
            </w:r>
          </w:p>
        </w:tc>
      </w:tr>
      <w:tr w:rsidR="00D55C83" w:rsidRPr="00D55C83" w:rsidTr="0005259C">
        <w:trPr>
          <w:trHeight w:val="300"/>
        </w:trPr>
        <w:tc>
          <w:tcPr>
            <w:tcW w:w="2180" w:type="dxa"/>
            <w:tcBorders>
              <w:top w:val="nil"/>
              <w:left w:val="nil"/>
              <w:bottom w:val="nil"/>
              <w:right w:val="nil"/>
            </w:tcBorders>
            <w:shd w:val="clear" w:color="auto" w:fill="auto"/>
            <w:noWrap/>
            <w:vAlign w:val="center"/>
            <w:hideMark/>
          </w:tcPr>
          <w:p w:rsidR="00D55C83" w:rsidRPr="00D55C83" w:rsidRDefault="00D55C83" w:rsidP="00D55C83">
            <w:pPr>
              <w:rPr>
                <w:rFonts w:cs="Arial"/>
                <w:color w:val="7F7F7F"/>
                <w:szCs w:val="18"/>
                <w:lang w:eastAsia="en-AU"/>
              </w:rPr>
            </w:pPr>
            <w:r w:rsidRPr="00D55C83">
              <w:rPr>
                <w:rFonts w:cs="Arial"/>
                <w:color w:val="7F7F7F"/>
                <w:szCs w:val="18"/>
                <w:lang w:eastAsia="en-AU"/>
              </w:rPr>
              <w:t>Barwon South West</w:t>
            </w:r>
          </w:p>
        </w:tc>
        <w:tc>
          <w:tcPr>
            <w:tcW w:w="985"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18,587</w:t>
            </w:r>
          </w:p>
        </w:tc>
        <w:tc>
          <w:tcPr>
            <w:tcW w:w="986"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22,163</w:t>
            </w:r>
          </w:p>
        </w:tc>
        <w:tc>
          <w:tcPr>
            <w:tcW w:w="986"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29,457</w:t>
            </w:r>
          </w:p>
        </w:tc>
        <w:tc>
          <w:tcPr>
            <w:tcW w:w="986"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22,361</w:t>
            </w:r>
          </w:p>
        </w:tc>
        <w:tc>
          <w:tcPr>
            <w:tcW w:w="986"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21,849</w:t>
            </w:r>
          </w:p>
        </w:tc>
        <w:tc>
          <w:tcPr>
            <w:tcW w:w="986"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18,752</w:t>
            </w:r>
          </w:p>
        </w:tc>
      </w:tr>
      <w:tr w:rsidR="00D55C83" w:rsidRPr="00D55C83" w:rsidTr="0005259C">
        <w:trPr>
          <w:trHeight w:val="300"/>
        </w:trPr>
        <w:tc>
          <w:tcPr>
            <w:tcW w:w="2180" w:type="dxa"/>
            <w:tcBorders>
              <w:top w:val="nil"/>
              <w:left w:val="nil"/>
              <w:bottom w:val="nil"/>
              <w:right w:val="nil"/>
            </w:tcBorders>
            <w:shd w:val="clear" w:color="auto" w:fill="auto"/>
            <w:noWrap/>
            <w:vAlign w:val="center"/>
            <w:hideMark/>
          </w:tcPr>
          <w:p w:rsidR="00D55C83" w:rsidRPr="00D55C83" w:rsidRDefault="00D55C83" w:rsidP="00D55C83">
            <w:pPr>
              <w:rPr>
                <w:rFonts w:cs="Arial"/>
                <w:color w:val="7F7F7F"/>
                <w:szCs w:val="18"/>
                <w:lang w:eastAsia="en-AU"/>
              </w:rPr>
            </w:pPr>
            <w:r w:rsidRPr="00D55C83">
              <w:rPr>
                <w:rFonts w:cs="Arial"/>
                <w:color w:val="7F7F7F"/>
                <w:szCs w:val="18"/>
                <w:lang w:eastAsia="en-AU"/>
              </w:rPr>
              <w:t>Grampians</w:t>
            </w:r>
          </w:p>
        </w:tc>
        <w:tc>
          <w:tcPr>
            <w:tcW w:w="985"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9,039</w:t>
            </w:r>
          </w:p>
        </w:tc>
        <w:tc>
          <w:tcPr>
            <w:tcW w:w="986"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10,773</w:t>
            </w:r>
          </w:p>
        </w:tc>
        <w:tc>
          <w:tcPr>
            <w:tcW w:w="986"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13,846</w:t>
            </w:r>
          </w:p>
        </w:tc>
        <w:tc>
          <w:tcPr>
            <w:tcW w:w="986"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11,873</w:t>
            </w:r>
          </w:p>
        </w:tc>
        <w:tc>
          <w:tcPr>
            <w:tcW w:w="986"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11,749</w:t>
            </w:r>
          </w:p>
        </w:tc>
        <w:tc>
          <w:tcPr>
            <w:tcW w:w="986"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10,040</w:t>
            </w:r>
          </w:p>
        </w:tc>
      </w:tr>
      <w:tr w:rsidR="00D55C83" w:rsidRPr="00D55C83" w:rsidTr="0005259C">
        <w:trPr>
          <w:trHeight w:val="300"/>
        </w:trPr>
        <w:tc>
          <w:tcPr>
            <w:tcW w:w="2180" w:type="dxa"/>
            <w:tcBorders>
              <w:top w:val="nil"/>
              <w:left w:val="nil"/>
              <w:bottom w:val="nil"/>
              <w:right w:val="nil"/>
            </w:tcBorders>
            <w:shd w:val="clear" w:color="auto" w:fill="auto"/>
            <w:noWrap/>
            <w:vAlign w:val="center"/>
            <w:hideMark/>
          </w:tcPr>
          <w:p w:rsidR="00D55C83" w:rsidRPr="00D55C83" w:rsidRDefault="00D55C83" w:rsidP="00D55C83">
            <w:pPr>
              <w:rPr>
                <w:rFonts w:cs="Arial"/>
                <w:color w:val="7F7F7F"/>
                <w:szCs w:val="18"/>
                <w:lang w:eastAsia="en-AU"/>
              </w:rPr>
            </w:pPr>
            <w:r w:rsidRPr="00D55C83">
              <w:rPr>
                <w:rFonts w:cs="Arial"/>
                <w:color w:val="7F7F7F"/>
                <w:szCs w:val="18"/>
                <w:lang w:eastAsia="en-AU"/>
              </w:rPr>
              <w:t>Loddon Mallee</w:t>
            </w:r>
          </w:p>
        </w:tc>
        <w:tc>
          <w:tcPr>
            <w:tcW w:w="985"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12,872</w:t>
            </w:r>
          </w:p>
        </w:tc>
        <w:tc>
          <w:tcPr>
            <w:tcW w:w="986"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15,856</w:t>
            </w:r>
          </w:p>
        </w:tc>
        <w:tc>
          <w:tcPr>
            <w:tcW w:w="986"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21,012</w:t>
            </w:r>
          </w:p>
        </w:tc>
        <w:tc>
          <w:tcPr>
            <w:tcW w:w="986"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17,320</w:t>
            </w:r>
          </w:p>
        </w:tc>
        <w:tc>
          <w:tcPr>
            <w:tcW w:w="986"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15,761</w:t>
            </w:r>
          </w:p>
        </w:tc>
        <w:tc>
          <w:tcPr>
            <w:tcW w:w="986"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14,031</w:t>
            </w:r>
          </w:p>
        </w:tc>
      </w:tr>
      <w:tr w:rsidR="00D55C83" w:rsidRPr="00D55C83" w:rsidTr="0005259C">
        <w:trPr>
          <w:trHeight w:val="300"/>
        </w:trPr>
        <w:tc>
          <w:tcPr>
            <w:tcW w:w="2180" w:type="dxa"/>
            <w:tcBorders>
              <w:top w:val="nil"/>
              <w:left w:val="nil"/>
              <w:bottom w:val="nil"/>
              <w:right w:val="nil"/>
            </w:tcBorders>
            <w:shd w:val="clear" w:color="auto" w:fill="auto"/>
            <w:noWrap/>
            <w:vAlign w:val="center"/>
            <w:hideMark/>
          </w:tcPr>
          <w:p w:rsidR="00D55C83" w:rsidRPr="00D55C83" w:rsidRDefault="00D55C83" w:rsidP="00D55C83">
            <w:pPr>
              <w:rPr>
                <w:rFonts w:cs="Arial"/>
                <w:color w:val="7F7F7F"/>
                <w:szCs w:val="18"/>
                <w:lang w:eastAsia="en-AU"/>
              </w:rPr>
            </w:pPr>
            <w:r w:rsidRPr="00D55C83">
              <w:rPr>
                <w:rFonts w:cs="Arial"/>
                <w:color w:val="7F7F7F"/>
                <w:szCs w:val="18"/>
                <w:lang w:eastAsia="en-AU"/>
              </w:rPr>
              <w:t>Hume</w:t>
            </w:r>
          </w:p>
        </w:tc>
        <w:tc>
          <w:tcPr>
            <w:tcW w:w="985"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12,342</w:t>
            </w:r>
          </w:p>
        </w:tc>
        <w:tc>
          <w:tcPr>
            <w:tcW w:w="986"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13,948</w:t>
            </w:r>
          </w:p>
        </w:tc>
        <w:tc>
          <w:tcPr>
            <w:tcW w:w="986"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17,446</w:t>
            </w:r>
          </w:p>
        </w:tc>
        <w:tc>
          <w:tcPr>
            <w:tcW w:w="986"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16,496</w:t>
            </w:r>
          </w:p>
        </w:tc>
        <w:tc>
          <w:tcPr>
            <w:tcW w:w="986"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15,648</w:t>
            </w:r>
          </w:p>
        </w:tc>
        <w:tc>
          <w:tcPr>
            <w:tcW w:w="986"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13,313</w:t>
            </w:r>
          </w:p>
        </w:tc>
      </w:tr>
      <w:tr w:rsidR="00D55C83" w:rsidRPr="00D55C83" w:rsidTr="0005259C">
        <w:trPr>
          <w:trHeight w:val="300"/>
        </w:trPr>
        <w:tc>
          <w:tcPr>
            <w:tcW w:w="2180" w:type="dxa"/>
            <w:tcBorders>
              <w:top w:val="nil"/>
              <w:left w:val="nil"/>
              <w:bottom w:val="nil"/>
              <w:right w:val="nil"/>
            </w:tcBorders>
            <w:shd w:val="clear" w:color="auto" w:fill="auto"/>
            <w:noWrap/>
            <w:vAlign w:val="center"/>
            <w:hideMark/>
          </w:tcPr>
          <w:p w:rsidR="00D55C83" w:rsidRPr="00D55C83" w:rsidRDefault="00D55C83" w:rsidP="00D55C83">
            <w:pPr>
              <w:rPr>
                <w:rFonts w:cs="Arial"/>
                <w:color w:val="7F7F7F"/>
                <w:szCs w:val="18"/>
                <w:lang w:eastAsia="en-AU"/>
              </w:rPr>
            </w:pPr>
            <w:r w:rsidRPr="00D55C83">
              <w:rPr>
                <w:rFonts w:cs="Arial"/>
                <w:color w:val="7F7F7F"/>
                <w:szCs w:val="18"/>
                <w:lang w:eastAsia="en-AU"/>
              </w:rPr>
              <w:t>Gippsland</w:t>
            </w:r>
          </w:p>
        </w:tc>
        <w:tc>
          <w:tcPr>
            <w:tcW w:w="985"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12,939</w:t>
            </w:r>
          </w:p>
        </w:tc>
        <w:tc>
          <w:tcPr>
            <w:tcW w:w="986"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13,036</w:t>
            </w:r>
          </w:p>
        </w:tc>
        <w:tc>
          <w:tcPr>
            <w:tcW w:w="986"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14,770</w:t>
            </w:r>
          </w:p>
        </w:tc>
        <w:tc>
          <w:tcPr>
            <w:tcW w:w="986"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11,919</w:t>
            </w:r>
          </w:p>
        </w:tc>
        <w:tc>
          <w:tcPr>
            <w:tcW w:w="986"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11,559</w:t>
            </w:r>
          </w:p>
        </w:tc>
        <w:tc>
          <w:tcPr>
            <w:tcW w:w="986"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10,497</w:t>
            </w:r>
          </w:p>
        </w:tc>
      </w:tr>
      <w:tr w:rsidR="00D55C83" w:rsidRPr="00D55C83" w:rsidTr="0005259C">
        <w:trPr>
          <w:trHeight w:val="300"/>
        </w:trPr>
        <w:tc>
          <w:tcPr>
            <w:tcW w:w="2180" w:type="dxa"/>
            <w:tcBorders>
              <w:top w:val="nil"/>
              <w:left w:val="nil"/>
              <w:bottom w:val="nil"/>
              <w:right w:val="nil"/>
            </w:tcBorders>
            <w:shd w:val="clear" w:color="auto" w:fill="auto"/>
            <w:noWrap/>
            <w:vAlign w:val="center"/>
            <w:hideMark/>
          </w:tcPr>
          <w:p w:rsidR="00D55C83" w:rsidRPr="00D55C83" w:rsidRDefault="00D55C83" w:rsidP="00D55C83">
            <w:pPr>
              <w:rPr>
                <w:rFonts w:cs="Arial"/>
                <w:color w:val="7F7F7F"/>
                <w:szCs w:val="18"/>
                <w:lang w:eastAsia="en-AU"/>
              </w:rPr>
            </w:pPr>
            <w:r w:rsidRPr="00D55C83">
              <w:rPr>
                <w:rFonts w:cs="Arial"/>
                <w:color w:val="7F7F7F"/>
                <w:szCs w:val="18"/>
                <w:lang w:eastAsia="en-AU"/>
              </w:rPr>
              <w:t>Eastern Metropolitan</w:t>
            </w:r>
          </w:p>
        </w:tc>
        <w:tc>
          <w:tcPr>
            <w:tcW w:w="985"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32,827</w:t>
            </w:r>
          </w:p>
        </w:tc>
        <w:tc>
          <w:tcPr>
            <w:tcW w:w="986"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41,619</w:t>
            </w:r>
          </w:p>
        </w:tc>
        <w:tc>
          <w:tcPr>
            <w:tcW w:w="986"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52,886</w:t>
            </w:r>
          </w:p>
        </w:tc>
        <w:tc>
          <w:tcPr>
            <w:tcW w:w="986"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42,899</w:t>
            </w:r>
          </w:p>
        </w:tc>
        <w:tc>
          <w:tcPr>
            <w:tcW w:w="986"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41,414</w:t>
            </w:r>
          </w:p>
        </w:tc>
        <w:tc>
          <w:tcPr>
            <w:tcW w:w="986"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35,068</w:t>
            </w:r>
          </w:p>
        </w:tc>
      </w:tr>
      <w:tr w:rsidR="00D55C83" w:rsidRPr="00D55C83" w:rsidTr="0005259C">
        <w:trPr>
          <w:trHeight w:val="300"/>
        </w:trPr>
        <w:tc>
          <w:tcPr>
            <w:tcW w:w="2180" w:type="dxa"/>
            <w:tcBorders>
              <w:top w:val="nil"/>
              <w:left w:val="nil"/>
              <w:bottom w:val="nil"/>
              <w:right w:val="nil"/>
            </w:tcBorders>
            <w:shd w:val="clear" w:color="auto" w:fill="auto"/>
            <w:noWrap/>
            <w:vAlign w:val="center"/>
            <w:hideMark/>
          </w:tcPr>
          <w:p w:rsidR="00D55C83" w:rsidRPr="00D55C83" w:rsidRDefault="00D55C83" w:rsidP="00D55C83">
            <w:pPr>
              <w:rPr>
                <w:rFonts w:cs="Arial"/>
                <w:color w:val="7F7F7F"/>
                <w:szCs w:val="18"/>
                <w:lang w:eastAsia="en-AU"/>
              </w:rPr>
            </w:pPr>
            <w:r w:rsidRPr="00D55C83">
              <w:rPr>
                <w:rFonts w:cs="Arial"/>
                <w:color w:val="7F7F7F"/>
                <w:szCs w:val="18"/>
                <w:lang w:eastAsia="en-AU"/>
              </w:rPr>
              <w:t>Western Metropolitan</w:t>
            </w:r>
          </w:p>
        </w:tc>
        <w:tc>
          <w:tcPr>
            <w:tcW w:w="985"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29,137</w:t>
            </w:r>
          </w:p>
        </w:tc>
        <w:tc>
          <w:tcPr>
            <w:tcW w:w="986"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39,058</w:t>
            </w:r>
          </w:p>
        </w:tc>
        <w:tc>
          <w:tcPr>
            <w:tcW w:w="986"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59,244</w:t>
            </w:r>
          </w:p>
        </w:tc>
        <w:tc>
          <w:tcPr>
            <w:tcW w:w="986"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53,285</w:t>
            </w:r>
          </w:p>
        </w:tc>
        <w:tc>
          <w:tcPr>
            <w:tcW w:w="986"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57,696</w:t>
            </w:r>
          </w:p>
        </w:tc>
        <w:tc>
          <w:tcPr>
            <w:tcW w:w="986"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51,672</w:t>
            </w:r>
          </w:p>
        </w:tc>
      </w:tr>
      <w:tr w:rsidR="00D55C83" w:rsidRPr="00D55C83" w:rsidTr="0005259C">
        <w:trPr>
          <w:trHeight w:val="300"/>
        </w:trPr>
        <w:tc>
          <w:tcPr>
            <w:tcW w:w="2180" w:type="dxa"/>
            <w:tcBorders>
              <w:top w:val="nil"/>
              <w:left w:val="nil"/>
              <w:bottom w:val="nil"/>
              <w:right w:val="nil"/>
            </w:tcBorders>
            <w:shd w:val="clear" w:color="auto" w:fill="auto"/>
            <w:noWrap/>
            <w:vAlign w:val="center"/>
            <w:hideMark/>
          </w:tcPr>
          <w:p w:rsidR="00D55C83" w:rsidRPr="00D55C83" w:rsidRDefault="00D55C83" w:rsidP="00D55C83">
            <w:pPr>
              <w:rPr>
                <w:rFonts w:cs="Arial"/>
                <w:color w:val="7F7F7F"/>
                <w:szCs w:val="18"/>
                <w:lang w:eastAsia="en-AU"/>
              </w:rPr>
            </w:pPr>
            <w:r w:rsidRPr="00D55C83">
              <w:rPr>
                <w:rFonts w:cs="Arial"/>
                <w:color w:val="7F7F7F"/>
                <w:szCs w:val="18"/>
                <w:lang w:eastAsia="en-AU"/>
              </w:rPr>
              <w:t>Southern Metropolitan</w:t>
            </w:r>
          </w:p>
        </w:tc>
        <w:tc>
          <w:tcPr>
            <w:tcW w:w="985"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44,768</w:t>
            </w:r>
          </w:p>
        </w:tc>
        <w:tc>
          <w:tcPr>
            <w:tcW w:w="986"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56,491</w:t>
            </w:r>
          </w:p>
        </w:tc>
        <w:tc>
          <w:tcPr>
            <w:tcW w:w="986"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79,322</w:t>
            </w:r>
          </w:p>
        </w:tc>
        <w:tc>
          <w:tcPr>
            <w:tcW w:w="986"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68,971</w:t>
            </w:r>
          </w:p>
        </w:tc>
        <w:tc>
          <w:tcPr>
            <w:tcW w:w="986"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69,208</w:t>
            </w:r>
          </w:p>
        </w:tc>
        <w:tc>
          <w:tcPr>
            <w:tcW w:w="986"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61,391</w:t>
            </w:r>
          </w:p>
        </w:tc>
      </w:tr>
      <w:tr w:rsidR="00D55C83" w:rsidRPr="00D55C83" w:rsidTr="0005259C">
        <w:trPr>
          <w:trHeight w:val="300"/>
        </w:trPr>
        <w:tc>
          <w:tcPr>
            <w:tcW w:w="2180" w:type="dxa"/>
            <w:tcBorders>
              <w:top w:val="nil"/>
              <w:left w:val="nil"/>
              <w:bottom w:val="nil"/>
              <w:right w:val="nil"/>
            </w:tcBorders>
            <w:shd w:val="clear" w:color="auto" w:fill="auto"/>
            <w:noWrap/>
            <w:vAlign w:val="center"/>
            <w:hideMark/>
          </w:tcPr>
          <w:p w:rsidR="00D55C83" w:rsidRPr="00D55C83" w:rsidRDefault="00D55C83" w:rsidP="00D55C83">
            <w:pPr>
              <w:rPr>
                <w:rFonts w:cs="Arial"/>
                <w:color w:val="7F7F7F"/>
                <w:szCs w:val="18"/>
                <w:lang w:eastAsia="en-AU"/>
              </w:rPr>
            </w:pPr>
            <w:r w:rsidRPr="00D55C83">
              <w:rPr>
                <w:rFonts w:cs="Arial"/>
                <w:color w:val="7F7F7F"/>
                <w:szCs w:val="18"/>
                <w:lang w:eastAsia="en-AU"/>
              </w:rPr>
              <w:t>Northern Metropolitan</w:t>
            </w:r>
          </w:p>
        </w:tc>
        <w:tc>
          <w:tcPr>
            <w:tcW w:w="985"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34,719</w:t>
            </w:r>
          </w:p>
        </w:tc>
        <w:tc>
          <w:tcPr>
            <w:tcW w:w="986"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43,865</w:t>
            </w:r>
          </w:p>
        </w:tc>
        <w:tc>
          <w:tcPr>
            <w:tcW w:w="986"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54,363</w:t>
            </w:r>
          </w:p>
        </w:tc>
        <w:tc>
          <w:tcPr>
            <w:tcW w:w="986"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48,334</w:t>
            </w:r>
          </w:p>
        </w:tc>
        <w:tc>
          <w:tcPr>
            <w:tcW w:w="986"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51,741</w:t>
            </w:r>
          </w:p>
        </w:tc>
        <w:tc>
          <w:tcPr>
            <w:tcW w:w="986"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45,598</w:t>
            </w:r>
          </w:p>
        </w:tc>
      </w:tr>
      <w:tr w:rsidR="00D55C83" w:rsidRPr="00D55C83" w:rsidTr="0005259C">
        <w:trPr>
          <w:trHeight w:val="300"/>
        </w:trPr>
        <w:tc>
          <w:tcPr>
            <w:tcW w:w="2180" w:type="dxa"/>
            <w:tcBorders>
              <w:top w:val="nil"/>
              <w:left w:val="nil"/>
              <w:bottom w:val="nil"/>
              <w:right w:val="nil"/>
            </w:tcBorders>
            <w:shd w:val="clear" w:color="auto" w:fill="auto"/>
            <w:noWrap/>
            <w:vAlign w:val="center"/>
            <w:hideMark/>
          </w:tcPr>
          <w:p w:rsidR="00D55C83" w:rsidRPr="00D55C83" w:rsidRDefault="00D55C83" w:rsidP="00D55C83">
            <w:pPr>
              <w:rPr>
                <w:rFonts w:cs="Arial"/>
                <w:color w:val="7F7F7F"/>
                <w:szCs w:val="18"/>
                <w:lang w:eastAsia="en-AU"/>
              </w:rPr>
            </w:pPr>
            <w:r w:rsidRPr="00D55C83">
              <w:rPr>
                <w:rFonts w:cs="Arial"/>
                <w:color w:val="7F7F7F"/>
                <w:szCs w:val="18"/>
                <w:lang w:eastAsia="en-AU"/>
              </w:rPr>
              <w:t>Interstate</w:t>
            </w:r>
          </w:p>
        </w:tc>
        <w:tc>
          <w:tcPr>
            <w:tcW w:w="985"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2,944</w:t>
            </w:r>
          </w:p>
        </w:tc>
        <w:tc>
          <w:tcPr>
            <w:tcW w:w="986"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3,256</w:t>
            </w:r>
          </w:p>
        </w:tc>
        <w:tc>
          <w:tcPr>
            <w:tcW w:w="986"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4,183</w:t>
            </w:r>
          </w:p>
        </w:tc>
        <w:tc>
          <w:tcPr>
            <w:tcW w:w="986"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3,823</w:t>
            </w:r>
          </w:p>
        </w:tc>
        <w:tc>
          <w:tcPr>
            <w:tcW w:w="986"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3,671</w:t>
            </w:r>
          </w:p>
        </w:tc>
        <w:tc>
          <w:tcPr>
            <w:tcW w:w="986"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3,468</w:t>
            </w:r>
          </w:p>
        </w:tc>
      </w:tr>
      <w:tr w:rsidR="00D55C83" w:rsidRPr="00D55C83" w:rsidTr="0005259C">
        <w:trPr>
          <w:trHeight w:val="300"/>
        </w:trPr>
        <w:tc>
          <w:tcPr>
            <w:tcW w:w="2180" w:type="dxa"/>
            <w:tcBorders>
              <w:top w:val="nil"/>
              <w:left w:val="nil"/>
              <w:bottom w:val="nil"/>
              <w:right w:val="nil"/>
            </w:tcBorders>
            <w:shd w:val="clear" w:color="auto" w:fill="auto"/>
            <w:noWrap/>
            <w:vAlign w:val="center"/>
            <w:hideMark/>
          </w:tcPr>
          <w:p w:rsidR="00D55C83" w:rsidRPr="00D55C83" w:rsidRDefault="00D55C83" w:rsidP="00D55C83">
            <w:pPr>
              <w:rPr>
                <w:rFonts w:cs="Arial"/>
                <w:color w:val="7F7F7F"/>
                <w:szCs w:val="18"/>
                <w:lang w:eastAsia="en-AU"/>
              </w:rPr>
            </w:pPr>
            <w:r w:rsidRPr="00D55C83">
              <w:rPr>
                <w:rFonts w:cs="Arial"/>
                <w:color w:val="7F7F7F"/>
                <w:szCs w:val="18"/>
                <w:lang w:eastAsia="en-AU"/>
              </w:rPr>
              <w:t>Other*</w:t>
            </w:r>
          </w:p>
        </w:tc>
        <w:tc>
          <w:tcPr>
            <w:tcW w:w="985"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1,354</w:t>
            </w:r>
          </w:p>
        </w:tc>
        <w:tc>
          <w:tcPr>
            <w:tcW w:w="986"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222</w:t>
            </w:r>
          </w:p>
        </w:tc>
        <w:tc>
          <w:tcPr>
            <w:tcW w:w="986"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657</w:t>
            </w:r>
          </w:p>
        </w:tc>
        <w:tc>
          <w:tcPr>
            <w:tcW w:w="986"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378</w:t>
            </w:r>
          </w:p>
        </w:tc>
        <w:tc>
          <w:tcPr>
            <w:tcW w:w="986"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1,157</w:t>
            </w:r>
          </w:p>
        </w:tc>
        <w:tc>
          <w:tcPr>
            <w:tcW w:w="986"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1,414</w:t>
            </w:r>
          </w:p>
        </w:tc>
      </w:tr>
      <w:tr w:rsidR="0005259C" w:rsidRPr="00D55C83" w:rsidTr="0005259C">
        <w:trPr>
          <w:trHeight w:val="300"/>
        </w:trPr>
        <w:tc>
          <w:tcPr>
            <w:tcW w:w="2180" w:type="dxa"/>
            <w:tcBorders>
              <w:top w:val="nil"/>
              <w:left w:val="nil"/>
              <w:bottom w:val="nil"/>
              <w:right w:val="nil"/>
            </w:tcBorders>
            <w:shd w:val="clear" w:color="000000" w:fill="7F7F7F"/>
            <w:noWrap/>
            <w:vAlign w:val="center"/>
            <w:hideMark/>
          </w:tcPr>
          <w:p w:rsidR="00D55C83" w:rsidRPr="00D55C83" w:rsidRDefault="00D55C83" w:rsidP="00D55C83">
            <w:pPr>
              <w:rPr>
                <w:rFonts w:cs="Arial"/>
                <w:b/>
                <w:bCs/>
                <w:color w:val="FFFFFF"/>
                <w:szCs w:val="18"/>
                <w:lang w:eastAsia="en-AU"/>
              </w:rPr>
            </w:pPr>
            <w:r w:rsidRPr="00D55C83">
              <w:rPr>
                <w:rFonts w:cs="Arial"/>
                <w:b/>
                <w:bCs/>
                <w:color w:val="FFFFFF"/>
                <w:szCs w:val="18"/>
                <w:lang w:eastAsia="en-AU"/>
              </w:rPr>
              <w:t>Total</w:t>
            </w:r>
          </w:p>
        </w:tc>
        <w:tc>
          <w:tcPr>
            <w:tcW w:w="985" w:type="dxa"/>
            <w:tcBorders>
              <w:top w:val="nil"/>
              <w:left w:val="nil"/>
              <w:bottom w:val="nil"/>
              <w:right w:val="nil"/>
            </w:tcBorders>
            <w:shd w:val="clear" w:color="000000" w:fill="7F7F7F"/>
            <w:noWrap/>
            <w:vAlign w:val="center"/>
            <w:hideMark/>
          </w:tcPr>
          <w:p w:rsidR="00D55C83" w:rsidRPr="00D55C83" w:rsidRDefault="00D55C83" w:rsidP="00D55C83">
            <w:pPr>
              <w:jc w:val="right"/>
              <w:rPr>
                <w:rFonts w:cs="Arial"/>
                <w:b/>
                <w:bCs/>
                <w:color w:val="FFFFFF"/>
                <w:szCs w:val="18"/>
                <w:lang w:eastAsia="en-AU"/>
              </w:rPr>
            </w:pPr>
            <w:r w:rsidRPr="00D55C83">
              <w:rPr>
                <w:rFonts w:cs="Arial"/>
                <w:b/>
                <w:bCs/>
                <w:color w:val="FFFFFF"/>
                <w:szCs w:val="18"/>
                <w:lang w:eastAsia="en-AU"/>
              </w:rPr>
              <w:t>211,528</w:t>
            </w:r>
          </w:p>
        </w:tc>
        <w:tc>
          <w:tcPr>
            <w:tcW w:w="986" w:type="dxa"/>
            <w:tcBorders>
              <w:top w:val="nil"/>
              <w:left w:val="nil"/>
              <w:bottom w:val="nil"/>
              <w:right w:val="nil"/>
            </w:tcBorders>
            <w:shd w:val="clear" w:color="000000" w:fill="7F7F7F"/>
            <w:noWrap/>
            <w:vAlign w:val="center"/>
            <w:hideMark/>
          </w:tcPr>
          <w:p w:rsidR="00D55C83" w:rsidRPr="00D55C83" w:rsidRDefault="00D55C83" w:rsidP="00D55C83">
            <w:pPr>
              <w:jc w:val="right"/>
              <w:rPr>
                <w:rFonts w:cs="Arial"/>
                <w:b/>
                <w:bCs/>
                <w:color w:val="FFFFFF"/>
                <w:szCs w:val="18"/>
                <w:lang w:eastAsia="en-AU"/>
              </w:rPr>
            </w:pPr>
            <w:r w:rsidRPr="00D55C83">
              <w:rPr>
                <w:rFonts w:cs="Arial"/>
                <w:b/>
                <w:bCs/>
                <w:color w:val="FFFFFF"/>
                <w:szCs w:val="18"/>
                <w:lang w:eastAsia="en-AU"/>
              </w:rPr>
              <w:t>260,287</w:t>
            </w:r>
          </w:p>
        </w:tc>
        <w:tc>
          <w:tcPr>
            <w:tcW w:w="986" w:type="dxa"/>
            <w:tcBorders>
              <w:top w:val="nil"/>
              <w:left w:val="nil"/>
              <w:bottom w:val="nil"/>
              <w:right w:val="nil"/>
            </w:tcBorders>
            <w:shd w:val="clear" w:color="000000" w:fill="7F7F7F"/>
            <w:noWrap/>
            <w:vAlign w:val="center"/>
            <w:hideMark/>
          </w:tcPr>
          <w:p w:rsidR="00D55C83" w:rsidRPr="00D55C83" w:rsidRDefault="00D55C83" w:rsidP="00D55C83">
            <w:pPr>
              <w:jc w:val="right"/>
              <w:rPr>
                <w:rFonts w:cs="Arial"/>
                <w:b/>
                <w:bCs/>
                <w:color w:val="FFFFFF"/>
                <w:szCs w:val="18"/>
                <w:lang w:eastAsia="en-AU"/>
              </w:rPr>
            </w:pPr>
            <w:r w:rsidRPr="00D55C83">
              <w:rPr>
                <w:rFonts w:cs="Arial"/>
                <w:b/>
                <w:bCs/>
                <w:color w:val="FFFFFF"/>
                <w:szCs w:val="18"/>
                <w:lang w:eastAsia="en-AU"/>
              </w:rPr>
              <w:t>347,186</w:t>
            </w:r>
          </w:p>
        </w:tc>
        <w:tc>
          <w:tcPr>
            <w:tcW w:w="986" w:type="dxa"/>
            <w:tcBorders>
              <w:top w:val="nil"/>
              <w:left w:val="nil"/>
              <w:bottom w:val="nil"/>
              <w:right w:val="nil"/>
            </w:tcBorders>
            <w:shd w:val="clear" w:color="000000" w:fill="7F7F7F"/>
            <w:noWrap/>
            <w:vAlign w:val="center"/>
            <w:hideMark/>
          </w:tcPr>
          <w:p w:rsidR="00D55C83" w:rsidRPr="00D55C83" w:rsidRDefault="00D55C83" w:rsidP="00D55C83">
            <w:pPr>
              <w:jc w:val="right"/>
              <w:rPr>
                <w:rFonts w:cs="Arial"/>
                <w:b/>
                <w:bCs/>
                <w:color w:val="FFFFFF"/>
                <w:szCs w:val="18"/>
                <w:lang w:eastAsia="en-AU"/>
              </w:rPr>
            </w:pPr>
            <w:r w:rsidRPr="00D55C83">
              <w:rPr>
                <w:rFonts w:cs="Arial"/>
                <w:b/>
                <w:bCs/>
                <w:color w:val="FFFFFF"/>
                <w:szCs w:val="18"/>
                <w:lang w:eastAsia="en-AU"/>
              </w:rPr>
              <w:t>297,659</w:t>
            </w:r>
          </w:p>
        </w:tc>
        <w:tc>
          <w:tcPr>
            <w:tcW w:w="986" w:type="dxa"/>
            <w:tcBorders>
              <w:top w:val="nil"/>
              <w:left w:val="nil"/>
              <w:bottom w:val="nil"/>
              <w:right w:val="nil"/>
            </w:tcBorders>
            <w:shd w:val="clear" w:color="000000" w:fill="7F7F7F"/>
            <w:noWrap/>
            <w:vAlign w:val="center"/>
            <w:hideMark/>
          </w:tcPr>
          <w:p w:rsidR="00D55C83" w:rsidRPr="00D55C83" w:rsidRDefault="00D55C83" w:rsidP="00D55C83">
            <w:pPr>
              <w:jc w:val="right"/>
              <w:rPr>
                <w:rFonts w:cs="Arial"/>
                <w:b/>
                <w:bCs/>
                <w:color w:val="FFFFFF"/>
                <w:szCs w:val="18"/>
                <w:lang w:eastAsia="en-AU"/>
              </w:rPr>
            </w:pPr>
            <w:r w:rsidRPr="00D55C83">
              <w:rPr>
                <w:rFonts w:cs="Arial"/>
                <w:b/>
                <w:bCs/>
                <w:color w:val="FFFFFF"/>
                <w:szCs w:val="18"/>
                <w:lang w:eastAsia="en-AU"/>
              </w:rPr>
              <w:t>301,453</w:t>
            </w:r>
          </w:p>
        </w:tc>
        <w:tc>
          <w:tcPr>
            <w:tcW w:w="986" w:type="dxa"/>
            <w:tcBorders>
              <w:top w:val="nil"/>
              <w:left w:val="nil"/>
              <w:bottom w:val="nil"/>
              <w:right w:val="nil"/>
            </w:tcBorders>
            <w:shd w:val="clear" w:color="000000" w:fill="7F7F7F"/>
            <w:noWrap/>
            <w:vAlign w:val="center"/>
            <w:hideMark/>
          </w:tcPr>
          <w:p w:rsidR="00D55C83" w:rsidRPr="00D55C83" w:rsidRDefault="00D55C83" w:rsidP="00D55C83">
            <w:pPr>
              <w:jc w:val="right"/>
              <w:rPr>
                <w:rFonts w:cs="Arial"/>
                <w:b/>
                <w:bCs/>
                <w:color w:val="FFFFFF"/>
                <w:szCs w:val="18"/>
                <w:lang w:eastAsia="en-AU"/>
              </w:rPr>
            </w:pPr>
            <w:r w:rsidRPr="00D55C83">
              <w:rPr>
                <w:rFonts w:cs="Arial"/>
                <w:b/>
                <w:bCs/>
                <w:color w:val="FFFFFF"/>
                <w:szCs w:val="18"/>
                <w:lang w:eastAsia="en-AU"/>
              </w:rPr>
              <w:t>265,244</w:t>
            </w:r>
          </w:p>
        </w:tc>
      </w:tr>
    </w:tbl>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4A0" w:firstRow="1" w:lastRow="0" w:firstColumn="1" w:lastColumn="0" w:noHBand="0" w:noVBand="1"/>
      </w:tblPr>
      <w:tblGrid>
        <w:gridCol w:w="431"/>
        <w:gridCol w:w="7649"/>
      </w:tblGrid>
      <w:tr w:rsidR="00D55C83" w:rsidRPr="00913551" w:rsidTr="009A601D">
        <w:tc>
          <w:tcPr>
            <w:tcW w:w="431" w:type="dxa"/>
            <w:tcMar>
              <w:left w:w="0" w:type="dxa"/>
              <w:right w:w="28" w:type="dxa"/>
            </w:tcMar>
          </w:tcPr>
          <w:p w:rsidR="00D55C83" w:rsidRPr="00913551" w:rsidRDefault="00D55C83" w:rsidP="009A601D">
            <w:pPr>
              <w:spacing w:after="0" w:line="240" w:lineRule="auto"/>
              <w:jc w:val="right"/>
              <w:rPr>
                <w:color w:val="7F7F7F" w:themeColor="text2"/>
                <w:sz w:val="16"/>
                <w:szCs w:val="16"/>
              </w:rPr>
            </w:pPr>
            <w:r w:rsidRPr="00913551">
              <w:rPr>
                <w:color w:val="7F7F7F" w:themeColor="text2"/>
                <w:sz w:val="16"/>
                <w:szCs w:val="16"/>
              </w:rPr>
              <w:t xml:space="preserve">* </w:t>
            </w:r>
          </w:p>
        </w:tc>
        <w:tc>
          <w:tcPr>
            <w:tcW w:w="7649" w:type="dxa"/>
            <w:tcMar>
              <w:left w:w="0" w:type="dxa"/>
              <w:right w:w="28" w:type="dxa"/>
            </w:tcMar>
          </w:tcPr>
          <w:p w:rsidR="00D55C83" w:rsidRPr="00913551" w:rsidRDefault="00D55C83" w:rsidP="009A601D">
            <w:pPr>
              <w:pStyle w:val="Note"/>
              <w:spacing w:after="0"/>
              <w:rPr>
                <w:i w:val="0"/>
                <w:color w:val="7F7F7F" w:themeColor="text2"/>
              </w:rPr>
            </w:pPr>
            <w:r w:rsidRPr="00913551">
              <w:t>'Other' includes not stated and unknown.</w:t>
            </w:r>
          </w:p>
        </w:tc>
      </w:tr>
    </w:tbl>
    <w:p w:rsidR="000425E3" w:rsidRDefault="000425E3" w:rsidP="000425E3"/>
    <w:p w:rsidR="00D55C83" w:rsidRPr="00365EB2" w:rsidRDefault="00D55C83" w:rsidP="000425E3"/>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0425E3" w:rsidTr="009A601D">
        <w:tc>
          <w:tcPr>
            <w:tcW w:w="1134" w:type="dxa"/>
            <w:tcMar>
              <w:left w:w="0" w:type="dxa"/>
              <w:right w:w="0" w:type="dxa"/>
            </w:tcMar>
          </w:tcPr>
          <w:p w:rsidR="000425E3" w:rsidRDefault="000425E3" w:rsidP="00FE2971">
            <w:pPr>
              <w:pStyle w:val="Quote"/>
              <w:tabs>
                <w:tab w:val="left" w:pos="1134"/>
              </w:tabs>
              <w:rPr>
                <w:b w:val="0"/>
                <w:color w:val="B41F22" w:themeColor="accent1"/>
              </w:rPr>
            </w:pPr>
            <w:r>
              <w:rPr>
                <w:b w:val="0"/>
                <w:color w:val="B41F22" w:themeColor="accent1"/>
              </w:rPr>
              <w:lastRenderedPageBreak/>
              <w:t>Table 1.</w:t>
            </w:r>
            <w:r w:rsidR="00CB6C79">
              <w:rPr>
                <w:b w:val="0"/>
                <w:color w:val="B41F22" w:themeColor="accent1"/>
              </w:rPr>
              <w:t>9.2</w:t>
            </w:r>
            <w:r>
              <w:rPr>
                <w:b w:val="0"/>
                <w:color w:val="B41F22" w:themeColor="accent1"/>
              </w:rPr>
              <w:t>:</w:t>
            </w:r>
          </w:p>
        </w:tc>
        <w:tc>
          <w:tcPr>
            <w:tcW w:w="6946" w:type="dxa"/>
            <w:tcMar>
              <w:left w:w="0" w:type="dxa"/>
              <w:right w:w="0" w:type="dxa"/>
            </w:tcMar>
          </w:tcPr>
          <w:p w:rsidR="000425E3" w:rsidRDefault="000425E3" w:rsidP="009A601D">
            <w:pPr>
              <w:pStyle w:val="Quote"/>
              <w:tabs>
                <w:tab w:val="left" w:pos="1134"/>
              </w:tabs>
              <w:rPr>
                <w:b w:val="0"/>
                <w:color w:val="B41F22" w:themeColor="accent1"/>
              </w:rPr>
            </w:pPr>
            <w:r w:rsidRPr="000425E3">
              <w:rPr>
                <w:b w:val="0"/>
                <w:color w:val="B41F22" w:themeColor="accent1"/>
              </w:rPr>
              <w:t>Change in number of students enrolled in government subsidised accredited training by residential regional area (half year)</w:t>
            </w:r>
          </w:p>
        </w:tc>
      </w:tr>
    </w:tbl>
    <w:tbl>
      <w:tblPr>
        <w:tblW w:w="8095" w:type="dxa"/>
        <w:tblInd w:w="93" w:type="dxa"/>
        <w:tblLayout w:type="fixed"/>
        <w:tblLook w:val="04A0" w:firstRow="1" w:lastRow="0" w:firstColumn="1" w:lastColumn="0" w:noHBand="0" w:noVBand="1"/>
      </w:tblPr>
      <w:tblGrid>
        <w:gridCol w:w="2180"/>
        <w:gridCol w:w="1183"/>
        <w:gridCol w:w="1183"/>
        <w:gridCol w:w="1183"/>
        <w:gridCol w:w="1183"/>
        <w:gridCol w:w="1183"/>
      </w:tblGrid>
      <w:tr w:rsidR="00D55C83" w:rsidRPr="00D55C83" w:rsidTr="0005259C">
        <w:trPr>
          <w:trHeight w:val="720"/>
        </w:trPr>
        <w:tc>
          <w:tcPr>
            <w:tcW w:w="2180" w:type="dxa"/>
            <w:tcBorders>
              <w:top w:val="nil"/>
              <w:left w:val="nil"/>
              <w:bottom w:val="nil"/>
              <w:right w:val="nil"/>
            </w:tcBorders>
            <w:shd w:val="clear" w:color="000000" w:fill="7F7F7F"/>
            <w:noWrap/>
            <w:vAlign w:val="center"/>
            <w:hideMark/>
          </w:tcPr>
          <w:p w:rsidR="00D55C83" w:rsidRPr="00D55C83" w:rsidRDefault="00D55C83" w:rsidP="00D55C83">
            <w:pPr>
              <w:rPr>
                <w:rFonts w:cs="Arial"/>
                <w:color w:val="FFFFFF"/>
                <w:szCs w:val="18"/>
                <w:lang w:eastAsia="en-AU"/>
              </w:rPr>
            </w:pPr>
            <w:r w:rsidRPr="00D55C83">
              <w:rPr>
                <w:rFonts w:cs="Arial"/>
                <w:color w:val="FFFFFF"/>
                <w:szCs w:val="18"/>
                <w:lang w:eastAsia="en-AU"/>
              </w:rPr>
              <w:t> </w:t>
            </w:r>
          </w:p>
        </w:tc>
        <w:tc>
          <w:tcPr>
            <w:tcW w:w="1183" w:type="dxa"/>
            <w:tcBorders>
              <w:top w:val="nil"/>
              <w:left w:val="nil"/>
              <w:bottom w:val="nil"/>
              <w:right w:val="nil"/>
            </w:tcBorders>
            <w:shd w:val="clear" w:color="000000" w:fill="7F7F7F"/>
            <w:vAlign w:val="center"/>
            <w:hideMark/>
          </w:tcPr>
          <w:p w:rsidR="00D55C83" w:rsidRPr="00D55C83" w:rsidRDefault="00D55C83" w:rsidP="00D55C83">
            <w:pPr>
              <w:jc w:val="right"/>
              <w:rPr>
                <w:rFonts w:cs="Arial"/>
                <w:b/>
                <w:bCs/>
                <w:color w:val="FFFFFF"/>
                <w:szCs w:val="18"/>
                <w:lang w:eastAsia="en-AU"/>
              </w:rPr>
            </w:pPr>
            <w:r w:rsidRPr="00D55C83">
              <w:rPr>
                <w:rFonts w:cs="Arial"/>
                <w:b/>
                <w:bCs/>
                <w:color w:val="FFFFFF"/>
                <w:szCs w:val="18"/>
                <w:lang w:eastAsia="en-AU"/>
              </w:rPr>
              <w:t>% change 2010 to 2015</w:t>
            </w:r>
          </w:p>
        </w:tc>
        <w:tc>
          <w:tcPr>
            <w:tcW w:w="1183" w:type="dxa"/>
            <w:tcBorders>
              <w:top w:val="nil"/>
              <w:left w:val="nil"/>
              <w:bottom w:val="nil"/>
              <w:right w:val="nil"/>
            </w:tcBorders>
            <w:shd w:val="clear" w:color="000000" w:fill="7F7F7F"/>
            <w:vAlign w:val="center"/>
            <w:hideMark/>
          </w:tcPr>
          <w:p w:rsidR="00D55C83" w:rsidRPr="00D55C83" w:rsidRDefault="00D55C83" w:rsidP="00D55C83">
            <w:pPr>
              <w:jc w:val="right"/>
              <w:rPr>
                <w:rFonts w:cs="Arial"/>
                <w:b/>
                <w:bCs/>
                <w:color w:val="FFFFFF"/>
                <w:szCs w:val="18"/>
                <w:lang w:eastAsia="en-AU"/>
              </w:rPr>
            </w:pPr>
            <w:r w:rsidRPr="00D55C83">
              <w:rPr>
                <w:rFonts w:cs="Arial"/>
                <w:b/>
                <w:bCs/>
                <w:color w:val="FFFFFF"/>
                <w:szCs w:val="18"/>
                <w:lang w:eastAsia="en-AU"/>
              </w:rPr>
              <w:t>% change 2011 to 2015</w:t>
            </w:r>
          </w:p>
        </w:tc>
        <w:tc>
          <w:tcPr>
            <w:tcW w:w="1183" w:type="dxa"/>
            <w:tcBorders>
              <w:top w:val="nil"/>
              <w:left w:val="nil"/>
              <w:bottom w:val="nil"/>
              <w:right w:val="nil"/>
            </w:tcBorders>
            <w:shd w:val="clear" w:color="000000" w:fill="7F7F7F"/>
            <w:vAlign w:val="center"/>
            <w:hideMark/>
          </w:tcPr>
          <w:p w:rsidR="00D55C83" w:rsidRPr="00D55C83" w:rsidRDefault="00D55C83" w:rsidP="00D55C83">
            <w:pPr>
              <w:jc w:val="right"/>
              <w:rPr>
                <w:rFonts w:cs="Arial"/>
                <w:b/>
                <w:bCs/>
                <w:color w:val="FFFFFF"/>
                <w:szCs w:val="18"/>
                <w:lang w:eastAsia="en-AU"/>
              </w:rPr>
            </w:pPr>
            <w:r w:rsidRPr="00D55C83">
              <w:rPr>
                <w:rFonts w:cs="Arial"/>
                <w:b/>
                <w:bCs/>
                <w:color w:val="FFFFFF"/>
                <w:szCs w:val="18"/>
                <w:lang w:eastAsia="en-AU"/>
              </w:rPr>
              <w:t>% change 2012 to 2015</w:t>
            </w:r>
          </w:p>
        </w:tc>
        <w:tc>
          <w:tcPr>
            <w:tcW w:w="1183" w:type="dxa"/>
            <w:tcBorders>
              <w:top w:val="nil"/>
              <w:left w:val="nil"/>
              <w:bottom w:val="nil"/>
              <w:right w:val="nil"/>
            </w:tcBorders>
            <w:shd w:val="clear" w:color="000000" w:fill="7F7F7F"/>
            <w:vAlign w:val="center"/>
            <w:hideMark/>
          </w:tcPr>
          <w:p w:rsidR="00D55C83" w:rsidRPr="00D55C83" w:rsidRDefault="00D55C83" w:rsidP="00D55C83">
            <w:pPr>
              <w:jc w:val="right"/>
              <w:rPr>
                <w:rFonts w:cs="Arial"/>
                <w:b/>
                <w:bCs/>
                <w:color w:val="FFFFFF"/>
                <w:szCs w:val="18"/>
                <w:lang w:eastAsia="en-AU"/>
              </w:rPr>
            </w:pPr>
            <w:r w:rsidRPr="00D55C83">
              <w:rPr>
                <w:rFonts w:cs="Arial"/>
                <w:b/>
                <w:bCs/>
                <w:color w:val="FFFFFF"/>
                <w:szCs w:val="18"/>
                <w:lang w:eastAsia="en-AU"/>
              </w:rPr>
              <w:t>% change 2013 to 2015</w:t>
            </w:r>
          </w:p>
        </w:tc>
        <w:tc>
          <w:tcPr>
            <w:tcW w:w="1183" w:type="dxa"/>
            <w:tcBorders>
              <w:top w:val="nil"/>
              <w:left w:val="nil"/>
              <w:bottom w:val="nil"/>
              <w:right w:val="nil"/>
            </w:tcBorders>
            <w:shd w:val="clear" w:color="000000" w:fill="7F7F7F"/>
            <w:vAlign w:val="center"/>
            <w:hideMark/>
          </w:tcPr>
          <w:p w:rsidR="00D55C83" w:rsidRPr="00D55C83" w:rsidRDefault="00D55C83" w:rsidP="00D55C83">
            <w:pPr>
              <w:jc w:val="right"/>
              <w:rPr>
                <w:rFonts w:cs="Arial"/>
                <w:b/>
                <w:bCs/>
                <w:color w:val="FFFFFF"/>
                <w:szCs w:val="18"/>
                <w:lang w:eastAsia="en-AU"/>
              </w:rPr>
            </w:pPr>
            <w:r w:rsidRPr="00D55C83">
              <w:rPr>
                <w:rFonts w:cs="Arial"/>
                <w:b/>
                <w:bCs/>
                <w:color w:val="FFFFFF"/>
                <w:szCs w:val="18"/>
                <w:lang w:eastAsia="en-AU"/>
              </w:rPr>
              <w:t>% change 2014 to 2015</w:t>
            </w:r>
          </w:p>
        </w:tc>
      </w:tr>
      <w:tr w:rsidR="00D55C83" w:rsidRPr="00D55C83" w:rsidTr="0005259C">
        <w:trPr>
          <w:trHeight w:val="300"/>
        </w:trPr>
        <w:tc>
          <w:tcPr>
            <w:tcW w:w="2180" w:type="dxa"/>
            <w:tcBorders>
              <w:top w:val="nil"/>
              <w:left w:val="nil"/>
              <w:bottom w:val="nil"/>
              <w:right w:val="nil"/>
            </w:tcBorders>
            <w:shd w:val="clear" w:color="auto" w:fill="auto"/>
            <w:noWrap/>
            <w:vAlign w:val="center"/>
            <w:hideMark/>
          </w:tcPr>
          <w:p w:rsidR="00D55C83" w:rsidRPr="00D55C83" w:rsidRDefault="00D55C83" w:rsidP="00D55C83">
            <w:pPr>
              <w:rPr>
                <w:rFonts w:cs="Arial"/>
                <w:color w:val="7F7F7F"/>
                <w:szCs w:val="18"/>
                <w:lang w:eastAsia="en-AU"/>
              </w:rPr>
            </w:pPr>
            <w:r w:rsidRPr="00D55C83">
              <w:rPr>
                <w:rFonts w:cs="Arial"/>
                <w:color w:val="7F7F7F"/>
                <w:szCs w:val="18"/>
                <w:lang w:eastAsia="en-AU"/>
              </w:rPr>
              <w:t>Barwon South West</w:t>
            </w:r>
          </w:p>
        </w:tc>
        <w:tc>
          <w:tcPr>
            <w:tcW w:w="1183"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1%</w:t>
            </w:r>
          </w:p>
        </w:tc>
        <w:tc>
          <w:tcPr>
            <w:tcW w:w="1183"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-15%</w:t>
            </w:r>
          </w:p>
        </w:tc>
        <w:tc>
          <w:tcPr>
            <w:tcW w:w="1183"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-36%</w:t>
            </w:r>
          </w:p>
        </w:tc>
        <w:tc>
          <w:tcPr>
            <w:tcW w:w="1183"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-16%</w:t>
            </w:r>
          </w:p>
        </w:tc>
        <w:tc>
          <w:tcPr>
            <w:tcW w:w="1183"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-14%</w:t>
            </w:r>
          </w:p>
        </w:tc>
      </w:tr>
      <w:tr w:rsidR="00D55C83" w:rsidRPr="00D55C83" w:rsidTr="0005259C">
        <w:trPr>
          <w:trHeight w:val="300"/>
        </w:trPr>
        <w:tc>
          <w:tcPr>
            <w:tcW w:w="2180" w:type="dxa"/>
            <w:tcBorders>
              <w:top w:val="nil"/>
              <w:left w:val="nil"/>
              <w:bottom w:val="nil"/>
              <w:right w:val="nil"/>
            </w:tcBorders>
            <w:shd w:val="clear" w:color="auto" w:fill="auto"/>
            <w:noWrap/>
            <w:vAlign w:val="center"/>
            <w:hideMark/>
          </w:tcPr>
          <w:p w:rsidR="00D55C83" w:rsidRPr="00D55C83" w:rsidRDefault="00D55C83" w:rsidP="00D55C83">
            <w:pPr>
              <w:rPr>
                <w:rFonts w:cs="Arial"/>
                <w:color w:val="7F7F7F"/>
                <w:szCs w:val="18"/>
                <w:lang w:eastAsia="en-AU"/>
              </w:rPr>
            </w:pPr>
            <w:r w:rsidRPr="00D55C83">
              <w:rPr>
                <w:rFonts w:cs="Arial"/>
                <w:color w:val="7F7F7F"/>
                <w:szCs w:val="18"/>
                <w:lang w:eastAsia="en-AU"/>
              </w:rPr>
              <w:t>Grampians</w:t>
            </w:r>
          </w:p>
        </w:tc>
        <w:tc>
          <w:tcPr>
            <w:tcW w:w="1183"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11%</w:t>
            </w:r>
          </w:p>
        </w:tc>
        <w:tc>
          <w:tcPr>
            <w:tcW w:w="1183"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-7%</w:t>
            </w:r>
          </w:p>
        </w:tc>
        <w:tc>
          <w:tcPr>
            <w:tcW w:w="1183"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-27%</w:t>
            </w:r>
          </w:p>
        </w:tc>
        <w:tc>
          <w:tcPr>
            <w:tcW w:w="1183"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-15%</w:t>
            </w:r>
          </w:p>
        </w:tc>
        <w:tc>
          <w:tcPr>
            <w:tcW w:w="1183"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-15%</w:t>
            </w:r>
          </w:p>
        </w:tc>
      </w:tr>
      <w:tr w:rsidR="00D55C83" w:rsidRPr="00D55C83" w:rsidTr="0005259C">
        <w:trPr>
          <w:trHeight w:val="300"/>
        </w:trPr>
        <w:tc>
          <w:tcPr>
            <w:tcW w:w="2180" w:type="dxa"/>
            <w:tcBorders>
              <w:top w:val="nil"/>
              <w:left w:val="nil"/>
              <w:bottom w:val="nil"/>
              <w:right w:val="nil"/>
            </w:tcBorders>
            <w:shd w:val="clear" w:color="auto" w:fill="auto"/>
            <w:noWrap/>
            <w:vAlign w:val="center"/>
            <w:hideMark/>
          </w:tcPr>
          <w:p w:rsidR="00D55C83" w:rsidRPr="00D55C83" w:rsidRDefault="00D55C83" w:rsidP="00D55C83">
            <w:pPr>
              <w:rPr>
                <w:rFonts w:cs="Arial"/>
                <w:color w:val="7F7F7F"/>
                <w:szCs w:val="18"/>
                <w:lang w:eastAsia="en-AU"/>
              </w:rPr>
            </w:pPr>
            <w:r w:rsidRPr="00D55C83">
              <w:rPr>
                <w:rFonts w:cs="Arial"/>
                <w:color w:val="7F7F7F"/>
                <w:szCs w:val="18"/>
                <w:lang w:eastAsia="en-AU"/>
              </w:rPr>
              <w:t>Loddon Mallee</w:t>
            </w:r>
          </w:p>
        </w:tc>
        <w:tc>
          <w:tcPr>
            <w:tcW w:w="1183"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9%</w:t>
            </w:r>
          </w:p>
        </w:tc>
        <w:tc>
          <w:tcPr>
            <w:tcW w:w="1183"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-12%</w:t>
            </w:r>
          </w:p>
        </w:tc>
        <w:tc>
          <w:tcPr>
            <w:tcW w:w="1183"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-33%</w:t>
            </w:r>
          </w:p>
        </w:tc>
        <w:tc>
          <w:tcPr>
            <w:tcW w:w="1183"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-19%</w:t>
            </w:r>
          </w:p>
        </w:tc>
        <w:tc>
          <w:tcPr>
            <w:tcW w:w="1183"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-11%</w:t>
            </w:r>
          </w:p>
        </w:tc>
      </w:tr>
      <w:tr w:rsidR="00D55C83" w:rsidRPr="00D55C83" w:rsidTr="0005259C">
        <w:trPr>
          <w:trHeight w:val="300"/>
        </w:trPr>
        <w:tc>
          <w:tcPr>
            <w:tcW w:w="2180" w:type="dxa"/>
            <w:tcBorders>
              <w:top w:val="nil"/>
              <w:left w:val="nil"/>
              <w:bottom w:val="nil"/>
              <w:right w:val="nil"/>
            </w:tcBorders>
            <w:shd w:val="clear" w:color="auto" w:fill="auto"/>
            <w:noWrap/>
            <w:vAlign w:val="center"/>
            <w:hideMark/>
          </w:tcPr>
          <w:p w:rsidR="00D55C83" w:rsidRPr="00D55C83" w:rsidRDefault="00D55C83" w:rsidP="00D55C83">
            <w:pPr>
              <w:rPr>
                <w:rFonts w:cs="Arial"/>
                <w:color w:val="7F7F7F"/>
                <w:szCs w:val="18"/>
                <w:lang w:eastAsia="en-AU"/>
              </w:rPr>
            </w:pPr>
            <w:r w:rsidRPr="00D55C83">
              <w:rPr>
                <w:rFonts w:cs="Arial"/>
                <w:color w:val="7F7F7F"/>
                <w:szCs w:val="18"/>
                <w:lang w:eastAsia="en-AU"/>
              </w:rPr>
              <w:t>Hume</w:t>
            </w:r>
          </w:p>
        </w:tc>
        <w:tc>
          <w:tcPr>
            <w:tcW w:w="1183"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8%</w:t>
            </w:r>
          </w:p>
        </w:tc>
        <w:tc>
          <w:tcPr>
            <w:tcW w:w="1183"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-5%</w:t>
            </w:r>
          </w:p>
        </w:tc>
        <w:tc>
          <w:tcPr>
            <w:tcW w:w="1183"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-24%</w:t>
            </w:r>
          </w:p>
        </w:tc>
        <w:tc>
          <w:tcPr>
            <w:tcW w:w="1183"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-19%</w:t>
            </w:r>
          </w:p>
        </w:tc>
        <w:tc>
          <w:tcPr>
            <w:tcW w:w="1183"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-15%</w:t>
            </w:r>
          </w:p>
        </w:tc>
      </w:tr>
      <w:tr w:rsidR="00D55C83" w:rsidRPr="00D55C83" w:rsidTr="0005259C">
        <w:trPr>
          <w:trHeight w:val="300"/>
        </w:trPr>
        <w:tc>
          <w:tcPr>
            <w:tcW w:w="2180" w:type="dxa"/>
            <w:tcBorders>
              <w:top w:val="nil"/>
              <w:left w:val="nil"/>
              <w:bottom w:val="nil"/>
              <w:right w:val="nil"/>
            </w:tcBorders>
            <w:shd w:val="clear" w:color="auto" w:fill="auto"/>
            <w:noWrap/>
            <w:vAlign w:val="center"/>
            <w:hideMark/>
          </w:tcPr>
          <w:p w:rsidR="00D55C83" w:rsidRPr="00D55C83" w:rsidRDefault="00D55C83" w:rsidP="00D55C83">
            <w:pPr>
              <w:rPr>
                <w:rFonts w:cs="Arial"/>
                <w:color w:val="7F7F7F"/>
                <w:szCs w:val="18"/>
                <w:lang w:eastAsia="en-AU"/>
              </w:rPr>
            </w:pPr>
            <w:r w:rsidRPr="00D55C83">
              <w:rPr>
                <w:rFonts w:cs="Arial"/>
                <w:color w:val="7F7F7F"/>
                <w:szCs w:val="18"/>
                <w:lang w:eastAsia="en-AU"/>
              </w:rPr>
              <w:t>Gippsland</w:t>
            </w:r>
          </w:p>
        </w:tc>
        <w:tc>
          <w:tcPr>
            <w:tcW w:w="1183"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-19%</w:t>
            </w:r>
          </w:p>
        </w:tc>
        <w:tc>
          <w:tcPr>
            <w:tcW w:w="1183"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-19%</w:t>
            </w:r>
          </w:p>
        </w:tc>
        <w:tc>
          <w:tcPr>
            <w:tcW w:w="1183"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-29%</w:t>
            </w:r>
          </w:p>
        </w:tc>
        <w:tc>
          <w:tcPr>
            <w:tcW w:w="1183"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-12%</w:t>
            </w:r>
          </w:p>
        </w:tc>
        <w:tc>
          <w:tcPr>
            <w:tcW w:w="1183"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-9%</w:t>
            </w:r>
          </w:p>
        </w:tc>
      </w:tr>
      <w:tr w:rsidR="00D55C83" w:rsidRPr="00D55C83" w:rsidTr="0005259C">
        <w:trPr>
          <w:trHeight w:val="300"/>
        </w:trPr>
        <w:tc>
          <w:tcPr>
            <w:tcW w:w="2180" w:type="dxa"/>
            <w:tcBorders>
              <w:top w:val="nil"/>
              <w:left w:val="nil"/>
              <w:bottom w:val="nil"/>
              <w:right w:val="nil"/>
            </w:tcBorders>
            <w:shd w:val="clear" w:color="auto" w:fill="auto"/>
            <w:noWrap/>
            <w:vAlign w:val="center"/>
            <w:hideMark/>
          </w:tcPr>
          <w:p w:rsidR="00D55C83" w:rsidRPr="00D55C83" w:rsidRDefault="00D55C83" w:rsidP="00D55C83">
            <w:pPr>
              <w:rPr>
                <w:rFonts w:cs="Arial"/>
                <w:color w:val="7F7F7F"/>
                <w:szCs w:val="18"/>
                <w:lang w:eastAsia="en-AU"/>
              </w:rPr>
            </w:pPr>
            <w:r w:rsidRPr="00D55C83">
              <w:rPr>
                <w:rFonts w:cs="Arial"/>
                <w:color w:val="7F7F7F"/>
                <w:szCs w:val="18"/>
                <w:lang w:eastAsia="en-AU"/>
              </w:rPr>
              <w:t>Eastern Metropolitan</w:t>
            </w:r>
          </w:p>
        </w:tc>
        <w:tc>
          <w:tcPr>
            <w:tcW w:w="1183"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7%</w:t>
            </w:r>
          </w:p>
        </w:tc>
        <w:tc>
          <w:tcPr>
            <w:tcW w:w="1183"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-16%</w:t>
            </w:r>
          </w:p>
        </w:tc>
        <w:tc>
          <w:tcPr>
            <w:tcW w:w="1183"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-34%</w:t>
            </w:r>
          </w:p>
        </w:tc>
        <w:tc>
          <w:tcPr>
            <w:tcW w:w="1183"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-18%</w:t>
            </w:r>
          </w:p>
        </w:tc>
        <w:tc>
          <w:tcPr>
            <w:tcW w:w="1183"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-15%</w:t>
            </w:r>
          </w:p>
        </w:tc>
      </w:tr>
      <w:tr w:rsidR="00D55C83" w:rsidRPr="00D55C83" w:rsidTr="0005259C">
        <w:trPr>
          <w:trHeight w:val="300"/>
        </w:trPr>
        <w:tc>
          <w:tcPr>
            <w:tcW w:w="2180" w:type="dxa"/>
            <w:tcBorders>
              <w:top w:val="nil"/>
              <w:left w:val="nil"/>
              <w:bottom w:val="nil"/>
              <w:right w:val="nil"/>
            </w:tcBorders>
            <w:shd w:val="clear" w:color="auto" w:fill="auto"/>
            <w:noWrap/>
            <w:vAlign w:val="center"/>
            <w:hideMark/>
          </w:tcPr>
          <w:p w:rsidR="00D55C83" w:rsidRPr="00D55C83" w:rsidRDefault="00D55C83" w:rsidP="00D55C83">
            <w:pPr>
              <w:rPr>
                <w:rFonts w:cs="Arial"/>
                <w:color w:val="7F7F7F"/>
                <w:szCs w:val="18"/>
                <w:lang w:eastAsia="en-AU"/>
              </w:rPr>
            </w:pPr>
            <w:r w:rsidRPr="00D55C83">
              <w:rPr>
                <w:rFonts w:cs="Arial"/>
                <w:color w:val="7F7F7F"/>
                <w:szCs w:val="18"/>
                <w:lang w:eastAsia="en-AU"/>
              </w:rPr>
              <w:t>Western Metropolitan</w:t>
            </w:r>
          </w:p>
        </w:tc>
        <w:tc>
          <w:tcPr>
            <w:tcW w:w="1183"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77%</w:t>
            </w:r>
          </w:p>
        </w:tc>
        <w:tc>
          <w:tcPr>
            <w:tcW w:w="1183"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32%</w:t>
            </w:r>
          </w:p>
        </w:tc>
        <w:tc>
          <w:tcPr>
            <w:tcW w:w="1183"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-13%</w:t>
            </w:r>
          </w:p>
        </w:tc>
        <w:tc>
          <w:tcPr>
            <w:tcW w:w="1183"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-3%</w:t>
            </w:r>
          </w:p>
        </w:tc>
        <w:tc>
          <w:tcPr>
            <w:tcW w:w="1183"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-10%</w:t>
            </w:r>
          </w:p>
        </w:tc>
      </w:tr>
      <w:tr w:rsidR="00D55C83" w:rsidRPr="00D55C83" w:rsidTr="0005259C">
        <w:trPr>
          <w:trHeight w:val="300"/>
        </w:trPr>
        <w:tc>
          <w:tcPr>
            <w:tcW w:w="2180" w:type="dxa"/>
            <w:tcBorders>
              <w:top w:val="nil"/>
              <w:left w:val="nil"/>
              <w:bottom w:val="nil"/>
              <w:right w:val="nil"/>
            </w:tcBorders>
            <w:shd w:val="clear" w:color="auto" w:fill="auto"/>
            <w:noWrap/>
            <w:vAlign w:val="center"/>
            <w:hideMark/>
          </w:tcPr>
          <w:p w:rsidR="00D55C83" w:rsidRPr="00D55C83" w:rsidRDefault="00D55C83" w:rsidP="00D55C83">
            <w:pPr>
              <w:rPr>
                <w:rFonts w:cs="Arial"/>
                <w:color w:val="7F7F7F"/>
                <w:szCs w:val="18"/>
                <w:lang w:eastAsia="en-AU"/>
              </w:rPr>
            </w:pPr>
            <w:r w:rsidRPr="00D55C83">
              <w:rPr>
                <w:rFonts w:cs="Arial"/>
                <w:color w:val="7F7F7F"/>
                <w:szCs w:val="18"/>
                <w:lang w:eastAsia="en-AU"/>
              </w:rPr>
              <w:t>Southern Metropolitan</w:t>
            </w:r>
          </w:p>
        </w:tc>
        <w:tc>
          <w:tcPr>
            <w:tcW w:w="1183"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37%</w:t>
            </w:r>
          </w:p>
        </w:tc>
        <w:tc>
          <w:tcPr>
            <w:tcW w:w="1183"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9%</w:t>
            </w:r>
          </w:p>
        </w:tc>
        <w:tc>
          <w:tcPr>
            <w:tcW w:w="1183"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-23%</w:t>
            </w:r>
          </w:p>
        </w:tc>
        <w:tc>
          <w:tcPr>
            <w:tcW w:w="1183"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-11%</w:t>
            </w:r>
          </w:p>
        </w:tc>
        <w:tc>
          <w:tcPr>
            <w:tcW w:w="1183"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-11%</w:t>
            </w:r>
          </w:p>
        </w:tc>
      </w:tr>
      <w:tr w:rsidR="00D55C83" w:rsidRPr="00D55C83" w:rsidTr="0005259C">
        <w:trPr>
          <w:trHeight w:val="300"/>
        </w:trPr>
        <w:tc>
          <w:tcPr>
            <w:tcW w:w="2180" w:type="dxa"/>
            <w:tcBorders>
              <w:top w:val="nil"/>
              <w:left w:val="nil"/>
              <w:bottom w:val="nil"/>
              <w:right w:val="nil"/>
            </w:tcBorders>
            <w:shd w:val="clear" w:color="auto" w:fill="auto"/>
            <w:noWrap/>
            <w:vAlign w:val="center"/>
            <w:hideMark/>
          </w:tcPr>
          <w:p w:rsidR="00D55C83" w:rsidRPr="00D55C83" w:rsidRDefault="00D55C83" w:rsidP="00D55C83">
            <w:pPr>
              <w:rPr>
                <w:rFonts w:cs="Arial"/>
                <w:color w:val="7F7F7F"/>
                <w:szCs w:val="18"/>
                <w:lang w:eastAsia="en-AU"/>
              </w:rPr>
            </w:pPr>
            <w:r w:rsidRPr="00D55C83">
              <w:rPr>
                <w:rFonts w:cs="Arial"/>
                <w:color w:val="7F7F7F"/>
                <w:szCs w:val="18"/>
                <w:lang w:eastAsia="en-AU"/>
              </w:rPr>
              <w:t>Northern Metropolitan</w:t>
            </w:r>
          </w:p>
        </w:tc>
        <w:tc>
          <w:tcPr>
            <w:tcW w:w="1183"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31%</w:t>
            </w:r>
          </w:p>
        </w:tc>
        <w:tc>
          <w:tcPr>
            <w:tcW w:w="1183"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4%</w:t>
            </w:r>
          </w:p>
        </w:tc>
        <w:tc>
          <w:tcPr>
            <w:tcW w:w="1183"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-16%</w:t>
            </w:r>
          </w:p>
        </w:tc>
        <w:tc>
          <w:tcPr>
            <w:tcW w:w="1183"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-6%</w:t>
            </w:r>
          </w:p>
        </w:tc>
        <w:tc>
          <w:tcPr>
            <w:tcW w:w="1183"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-12%</w:t>
            </w:r>
          </w:p>
        </w:tc>
      </w:tr>
      <w:tr w:rsidR="00D55C83" w:rsidRPr="00D55C83" w:rsidTr="0005259C">
        <w:trPr>
          <w:trHeight w:val="300"/>
        </w:trPr>
        <w:tc>
          <w:tcPr>
            <w:tcW w:w="2180" w:type="dxa"/>
            <w:tcBorders>
              <w:top w:val="nil"/>
              <w:left w:val="nil"/>
              <w:bottom w:val="nil"/>
              <w:right w:val="nil"/>
            </w:tcBorders>
            <w:shd w:val="clear" w:color="auto" w:fill="auto"/>
            <w:noWrap/>
            <w:vAlign w:val="center"/>
            <w:hideMark/>
          </w:tcPr>
          <w:p w:rsidR="00D55C83" w:rsidRPr="00D55C83" w:rsidRDefault="00D55C83" w:rsidP="00D55C83">
            <w:pPr>
              <w:rPr>
                <w:rFonts w:cs="Arial"/>
                <w:color w:val="7F7F7F"/>
                <w:szCs w:val="18"/>
                <w:lang w:eastAsia="en-AU"/>
              </w:rPr>
            </w:pPr>
            <w:r w:rsidRPr="00D55C83">
              <w:rPr>
                <w:rFonts w:cs="Arial"/>
                <w:color w:val="7F7F7F"/>
                <w:szCs w:val="18"/>
                <w:lang w:eastAsia="en-AU"/>
              </w:rPr>
              <w:t>Interstate</w:t>
            </w:r>
          </w:p>
        </w:tc>
        <w:tc>
          <w:tcPr>
            <w:tcW w:w="1183"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18%</w:t>
            </w:r>
          </w:p>
        </w:tc>
        <w:tc>
          <w:tcPr>
            <w:tcW w:w="1183"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7%</w:t>
            </w:r>
          </w:p>
        </w:tc>
        <w:tc>
          <w:tcPr>
            <w:tcW w:w="1183"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-17%</w:t>
            </w:r>
          </w:p>
        </w:tc>
        <w:tc>
          <w:tcPr>
            <w:tcW w:w="1183"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-9%</w:t>
            </w:r>
          </w:p>
        </w:tc>
        <w:tc>
          <w:tcPr>
            <w:tcW w:w="1183"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-6%</w:t>
            </w:r>
          </w:p>
        </w:tc>
      </w:tr>
      <w:tr w:rsidR="00D55C83" w:rsidRPr="00D55C83" w:rsidTr="0005259C">
        <w:trPr>
          <w:trHeight w:val="300"/>
        </w:trPr>
        <w:tc>
          <w:tcPr>
            <w:tcW w:w="2180" w:type="dxa"/>
            <w:tcBorders>
              <w:top w:val="nil"/>
              <w:left w:val="nil"/>
              <w:bottom w:val="nil"/>
              <w:right w:val="nil"/>
            </w:tcBorders>
            <w:shd w:val="clear" w:color="auto" w:fill="auto"/>
            <w:noWrap/>
            <w:vAlign w:val="center"/>
            <w:hideMark/>
          </w:tcPr>
          <w:p w:rsidR="00D55C83" w:rsidRPr="00D55C83" w:rsidRDefault="00D55C83" w:rsidP="00D55C83">
            <w:pPr>
              <w:rPr>
                <w:rFonts w:cs="Arial"/>
                <w:color w:val="7F7F7F"/>
                <w:szCs w:val="18"/>
                <w:lang w:eastAsia="en-AU"/>
              </w:rPr>
            </w:pPr>
            <w:r w:rsidRPr="00D55C83">
              <w:rPr>
                <w:rFonts w:cs="Arial"/>
                <w:color w:val="7F7F7F"/>
                <w:szCs w:val="18"/>
                <w:lang w:eastAsia="en-AU"/>
              </w:rPr>
              <w:t>Other*</w:t>
            </w:r>
          </w:p>
        </w:tc>
        <w:tc>
          <w:tcPr>
            <w:tcW w:w="1183"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4%</w:t>
            </w:r>
          </w:p>
        </w:tc>
        <w:tc>
          <w:tcPr>
            <w:tcW w:w="1183"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537%</w:t>
            </w:r>
          </w:p>
        </w:tc>
        <w:tc>
          <w:tcPr>
            <w:tcW w:w="1183"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115%</w:t>
            </w:r>
          </w:p>
        </w:tc>
        <w:tc>
          <w:tcPr>
            <w:tcW w:w="1183"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274%</w:t>
            </w:r>
          </w:p>
        </w:tc>
        <w:tc>
          <w:tcPr>
            <w:tcW w:w="1183" w:type="dxa"/>
            <w:tcBorders>
              <w:top w:val="nil"/>
              <w:left w:val="nil"/>
              <w:bottom w:val="nil"/>
              <w:right w:val="nil"/>
            </w:tcBorders>
            <w:shd w:val="clear" w:color="auto" w:fill="auto"/>
            <w:noWrap/>
            <w:vAlign w:val="center"/>
            <w:hideMark/>
          </w:tcPr>
          <w:p w:rsidR="00D55C83" w:rsidRPr="00D55C83" w:rsidRDefault="00D55C83" w:rsidP="00D55C83">
            <w:pPr>
              <w:jc w:val="right"/>
              <w:rPr>
                <w:rFonts w:cs="Arial"/>
                <w:color w:val="7F7F7F"/>
                <w:szCs w:val="18"/>
                <w:lang w:eastAsia="en-AU"/>
              </w:rPr>
            </w:pPr>
            <w:r w:rsidRPr="00D55C83">
              <w:rPr>
                <w:rFonts w:cs="Arial"/>
                <w:color w:val="7F7F7F"/>
                <w:szCs w:val="18"/>
                <w:lang w:eastAsia="en-AU"/>
              </w:rPr>
              <w:t>22%</w:t>
            </w:r>
          </w:p>
        </w:tc>
      </w:tr>
      <w:tr w:rsidR="00D55C83" w:rsidRPr="00D55C83" w:rsidTr="0005259C">
        <w:trPr>
          <w:trHeight w:val="300"/>
        </w:trPr>
        <w:tc>
          <w:tcPr>
            <w:tcW w:w="2180" w:type="dxa"/>
            <w:tcBorders>
              <w:top w:val="nil"/>
              <w:left w:val="nil"/>
              <w:bottom w:val="nil"/>
              <w:right w:val="nil"/>
            </w:tcBorders>
            <w:shd w:val="clear" w:color="000000" w:fill="7F7F7F"/>
            <w:noWrap/>
            <w:vAlign w:val="center"/>
            <w:hideMark/>
          </w:tcPr>
          <w:p w:rsidR="00D55C83" w:rsidRPr="00D55C83" w:rsidRDefault="00D55C83" w:rsidP="00D55C83">
            <w:pPr>
              <w:rPr>
                <w:rFonts w:cs="Arial"/>
                <w:b/>
                <w:bCs/>
                <w:color w:val="FFFFFF"/>
                <w:szCs w:val="18"/>
                <w:lang w:eastAsia="en-AU"/>
              </w:rPr>
            </w:pPr>
            <w:r w:rsidRPr="00D55C83">
              <w:rPr>
                <w:rFonts w:cs="Arial"/>
                <w:b/>
                <w:bCs/>
                <w:color w:val="FFFFFF"/>
                <w:szCs w:val="18"/>
                <w:lang w:eastAsia="en-AU"/>
              </w:rPr>
              <w:t>Total</w:t>
            </w:r>
          </w:p>
        </w:tc>
        <w:tc>
          <w:tcPr>
            <w:tcW w:w="1183" w:type="dxa"/>
            <w:tcBorders>
              <w:top w:val="nil"/>
              <w:left w:val="nil"/>
              <w:bottom w:val="nil"/>
              <w:right w:val="nil"/>
            </w:tcBorders>
            <w:shd w:val="clear" w:color="000000" w:fill="7F7F7F"/>
            <w:noWrap/>
            <w:vAlign w:val="center"/>
            <w:hideMark/>
          </w:tcPr>
          <w:p w:rsidR="00D55C83" w:rsidRPr="00D55C83" w:rsidRDefault="00D55C83" w:rsidP="00D55C83">
            <w:pPr>
              <w:jc w:val="right"/>
              <w:rPr>
                <w:rFonts w:cs="Arial"/>
                <w:b/>
                <w:bCs/>
                <w:color w:val="FFFFFF"/>
                <w:szCs w:val="18"/>
                <w:lang w:eastAsia="en-AU"/>
              </w:rPr>
            </w:pPr>
            <w:r w:rsidRPr="00D55C83">
              <w:rPr>
                <w:rFonts w:cs="Arial"/>
                <w:b/>
                <w:bCs/>
                <w:color w:val="FFFFFF"/>
                <w:szCs w:val="18"/>
                <w:lang w:eastAsia="en-AU"/>
              </w:rPr>
              <w:t>25%</w:t>
            </w:r>
          </w:p>
        </w:tc>
        <w:tc>
          <w:tcPr>
            <w:tcW w:w="1183" w:type="dxa"/>
            <w:tcBorders>
              <w:top w:val="nil"/>
              <w:left w:val="nil"/>
              <w:bottom w:val="nil"/>
              <w:right w:val="nil"/>
            </w:tcBorders>
            <w:shd w:val="clear" w:color="000000" w:fill="7F7F7F"/>
            <w:noWrap/>
            <w:vAlign w:val="center"/>
            <w:hideMark/>
          </w:tcPr>
          <w:p w:rsidR="00D55C83" w:rsidRPr="00D55C83" w:rsidRDefault="00D55C83" w:rsidP="00D55C83">
            <w:pPr>
              <w:jc w:val="right"/>
              <w:rPr>
                <w:rFonts w:cs="Arial"/>
                <w:b/>
                <w:bCs/>
                <w:color w:val="FFFFFF"/>
                <w:szCs w:val="18"/>
                <w:lang w:eastAsia="en-AU"/>
              </w:rPr>
            </w:pPr>
            <w:r w:rsidRPr="00D55C83">
              <w:rPr>
                <w:rFonts w:cs="Arial"/>
                <w:b/>
                <w:bCs/>
                <w:color w:val="FFFFFF"/>
                <w:szCs w:val="18"/>
                <w:lang w:eastAsia="en-AU"/>
              </w:rPr>
              <w:t>2%</w:t>
            </w:r>
          </w:p>
        </w:tc>
        <w:tc>
          <w:tcPr>
            <w:tcW w:w="1183" w:type="dxa"/>
            <w:tcBorders>
              <w:top w:val="nil"/>
              <w:left w:val="nil"/>
              <w:bottom w:val="nil"/>
              <w:right w:val="nil"/>
            </w:tcBorders>
            <w:shd w:val="clear" w:color="000000" w:fill="7F7F7F"/>
            <w:noWrap/>
            <w:vAlign w:val="center"/>
            <w:hideMark/>
          </w:tcPr>
          <w:p w:rsidR="00D55C83" w:rsidRPr="00D55C83" w:rsidRDefault="00D55C83" w:rsidP="00D55C83">
            <w:pPr>
              <w:jc w:val="right"/>
              <w:rPr>
                <w:rFonts w:cs="Arial"/>
                <w:b/>
                <w:bCs/>
                <w:color w:val="FFFFFF"/>
                <w:szCs w:val="18"/>
                <w:lang w:eastAsia="en-AU"/>
              </w:rPr>
            </w:pPr>
            <w:r w:rsidRPr="00D55C83">
              <w:rPr>
                <w:rFonts w:cs="Arial"/>
                <w:b/>
                <w:bCs/>
                <w:color w:val="FFFFFF"/>
                <w:szCs w:val="18"/>
                <w:lang w:eastAsia="en-AU"/>
              </w:rPr>
              <w:t>-24%</w:t>
            </w:r>
          </w:p>
        </w:tc>
        <w:tc>
          <w:tcPr>
            <w:tcW w:w="1183" w:type="dxa"/>
            <w:tcBorders>
              <w:top w:val="nil"/>
              <w:left w:val="nil"/>
              <w:bottom w:val="nil"/>
              <w:right w:val="nil"/>
            </w:tcBorders>
            <w:shd w:val="clear" w:color="000000" w:fill="7F7F7F"/>
            <w:noWrap/>
            <w:vAlign w:val="center"/>
            <w:hideMark/>
          </w:tcPr>
          <w:p w:rsidR="00D55C83" w:rsidRPr="00D55C83" w:rsidRDefault="00D55C83" w:rsidP="00D55C83">
            <w:pPr>
              <w:jc w:val="right"/>
              <w:rPr>
                <w:rFonts w:cs="Arial"/>
                <w:b/>
                <w:bCs/>
                <w:color w:val="FFFFFF"/>
                <w:szCs w:val="18"/>
                <w:lang w:eastAsia="en-AU"/>
              </w:rPr>
            </w:pPr>
            <w:r w:rsidRPr="00D55C83">
              <w:rPr>
                <w:rFonts w:cs="Arial"/>
                <w:b/>
                <w:bCs/>
                <w:color w:val="FFFFFF"/>
                <w:szCs w:val="18"/>
                <w:lang w:eastAsia="en-AU"/>
              </w:rPr>
              <w:t>-11%</w:t>
            </w:r>
          </w:p>
        </w:tc>
        <w:tc>
          <w:tcPr>
            <w:tcW w:w="1183" w:type="dxa"/>
            <w:tcBorders>
              <w:top w:val="nil"/>
              <w:left w:val="nil"/>
              <w:bottom w:val="nil"/>
              <w:right w:val="nil"/>
            </w:tcBorders>
            <w:shd w:val="clear" w:color="000000" w:fill="7F7F7F"/>
            <w:noWrap/>
            <w:vAlign w:val="center"/>
            <w:hideMark/>
          </w:tcPr>
          <w:p w:rsidR="00D55C83" w:rsidRPr="00D55C83" w:rsidRDefault="00D55C83" w:rsidP="00D55C83">
            <w:pPr>
              <w:jc w:val="right"/>
              <w:rPr>
                <w:rFonts w:cs="Arial"/>
                <w:b/>
                <w:bCs/>
                <w:color w:val="FFFFFF"/>
                <w:szCs w:val="18"/>
                <w:lang w:eastAsia="en-AU"/>
              </w:rPr>
            </w:pPr>
            <w:r w:rsidRPr="00D55C83">
              <w:rPr>
                <w:rFonts w:cs="Arial"/>
                <w:b/>
                <w:bCs/>
                <w:color w:val="FFFFFF"/>
                <w:szCs w:val="18"/>
                <w:lang w:eastAsia="en-AU"/>
              </w:rPr>
              <w:t>-12%</w:t>
            </w:r>
          </w:p>
        </w:tc>
      </w:tr>
    </w:tbl>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4A0" w:firstRow="1" w:lastRow="0" w:firstColumn="1" w:lastColumn="0" w:noHBand="0" w:noVBand="1"/>
      </w:tblPr>
      <w:tblGrid>
        <w:gridCol w:w="431"/>
        <w:gridCol w:w="7649"/>
      </w:tblGrid>
      <w:tr w:rsidR="00D55C83" w:rsidRPr="00913551" w:rsidTr="009A601D">
        <w:tc>
          <w:tcPr>
            <w:tcW w:w="431" w:type="dxa"/>
            <w:tcMar>
              <w:left w:w="0" w:type="dxa"/>
              <w:right w:w="28" w:type="dxa"/>
            </w:tcMar>
          </w:tcPr>
          <w:p w:rsidR="00D55C83" w:rsidRPr="00913551" w:rsidRDefault="00D55C83" w:rsidP="009A601D">
            <w:pPr>
              <w:spacing w:after="0" w:line="240" w:lineRule="auto"/>
              <w:jc w:val="right"/>
              <w:rPr>
                <w:color w:val="7F7F7F" w:themeColor="text2"/>
                <w:sz w:val="16"/>
                <w:szCs w:val="16"/>
              </w:rPr>
            </w:pPr>
            <w:r w:rsidRPr="00913551">
              <w:rPr>
                <w:color w:val="7F7F7F" w:themeColor="text2"/>
                <w:sz w:val="16"/>
                <w:szCs w:val="16"/>
              </w:rPr>
              <w:t xml:space="preserve">* </w:t>
            </w:r>
          </w:p>
        </w:tc>
        <w:tc>
          <w:tcPr>
            <w:tcW w:w="7649" w:type="dxa"/>
            <w:tcMar>
              <w:left w:w="0" w:type="dxa"/>
              <w:right w:w="28" w:type="dxa"/>
            </w:tcMar>
          </w:tcPr>
          <w:p w:rsidR="00D55C83" w:rsidRPr="00913551" w:rsidRDefault="00D55C83" w:rsidP="009A601D">
            <w:pPr>
              <w:pStyle w:val="Note"/>
              <w:spacing w:after="0"/>
              <w:rPr>
                <w:i w:val="0"/>
                <w:color w:val="7F7F7F" w:themeColor="text2"/>
              </w:rPr>
            </w:pPr>
            <w:r w:rsidRPr="00913551">
              <w:t>'Other' includes not stated and unknown.</w:t>
            </w:r>
          </w:p>
        </w:tc>
      </w:tr>
    </w:tbl>
    <w:p w:rsidR="00D55C83" w:rsidRDefault="00D55C83" w:rsidP="000425E3"/>
    <w:p w:rsidR="000425E3" w:rsidRDefault="000425E3" w:rsidP="00FE2971"/>
    <w:p w:rsidR="00F636AA" w:rsidRPr="00FE2971" w:rsidRDefault="00F636AA" w:rsidP="001D446D">
      <w:pPr>
        <w:rPr>
          <w:rFonts w:cs="Arial"/>
          <w:b/>
          <w:bCs/>
          <w:szCs w:val="18"/>
        </w:rPr>
      </w:pPr>
      <w:r w:rsidRPr="00365EB2">
        <w:br w:type="page"/>
      </w:r>
    </w:p>
    <w:p w:rsidR="002B080E" w:rsidRPr="00DE7971" w:rsidRDefault="00B55785" w:rsidP="002B080E">
      <w:pPr>
        <w:pStyle w:val="Heading3"/>
        <w:rPr>
          <w:color w:val="7F7F7F" w:themeColor="text2"/>
        </w:rPr>
      </w:pPr>
      <w:r w:rsidRPr="00DE7971">
        <w:rPr>
          <w:color w:val="7F7F7F" w:themeColor="text2"/>
        </w:rPr>
        <w:lastRenderedPageBreak/>
        <w:t>Partic</w:t>
      </w:r>
      <w:r w:rsidR="00BE28D2" w:rsidRPr="00DE7971">
        <w:rPr>
          <w:color w:val="7F7F7F" w:themeColor="text2"/>
        </w:rPr>
        <w:t>ipation Rates of 15 to 64 Year o</w:t>
      </w:r>
      <w:r w:rsidR="002B080E" w:rsidRPr="00DE7971">
        <w:rPr>
          <w:color w:val="7F7F7F" w:themeColor="text2"/>
        </w:rPr>
        <w:t>lds</w:t>
      </w:r>
    </w:p>
    <w:p w:rsidR="002B080E" w:rsidRPr="002F6569" w:rsidRDefault="008F6E92" w:rsidP="009D0570">
      <w:pPr>
        <w:spacing w:after="120"/>
        <w:rPr>
          <w:color w:val="7F7F7F" w:themeColor="text2"/>
        </w:rPr>
      </w:pPr>
      <w:r w:rsidRPr="002F6569">
        <w:rPr>
          <w:color w:val="7F7F7F" w:themeColor="text2"/>
        </w:rPr>
        <w:t xml:space="preserve">This section presents estimates of the proportion of the population undertaking </w:t>
      </w:r>
      <w:proofErr w:type="gramStart"/>
      <w:r w:rsidRPr="002F6569">
        <w:rPr>
          <w:color w:val="7F7F7F" w:themeColor="text2"/>
        </w:rPr>
        <w:t>government subsidised</w:t>
      </w:r>
      <w:proofErr w:type="gramEnd"/>
      <w:r w:rsidRPr="002F6569">
        <w:rPr>
          <w:color w:val="7F7F7F" w:themeColor="text2"/>
        </w:rPr>
        <w:t xml:space="preserve"> training over time and by geographical region</w:t>
      </w:r>
      <w:r w:rsidR="00F83C30">
        <w:rPr>
          <w:color w:val="7F7F7F" w:themeColor="text2"/>
        </w:rPr>
        <w:t xml:space="preserve"> (both Departmental administrative region and regional area)</w:t>
      </w:r>
      <w:r w:rsidRPr="002F6569">
        <w:rPr>
          <w:color w:val="7F7F7F" w:themeColor="text2"/>
        </w:rPr>
        <w:t>.</w:t>
      </w:r>
      <w:r w:rsidR="002B080E" w:rsidRPr="002F6569">
        <w:rPr>
          <w:color w:val="7F7F7F" w:themeColor="text2"/>
        </w:rPr>
        <w:t xml:space="preserve"> Students may undertake their training locally or travel to locations outside their local region.</w:t>
      </w:r>
    </w:p>
    <w:p w:rsidR="002B080E" w:rsidRPr="00365EB2" w:rsidRDefault="002B080E" w:rsidP="00F90BE2">
      <w:pPr>
        <w:pStyle w:val="Quote"/>
        <w:pBdr>
          <w:top w:val="single" w:sz="4" w:space="1" w:color="7F7F7F" w:themeColor="text2"/>
          <w:left w:val="single" w:sz="4" w:space="4" w:color="7F7F7F" w:themeColor="text2"/>
          <w:bottom w:val="single" w:sz="4" w:space="0" w:color="7F7F7F" w:themeColor="text2"/>
          <w:right w:val="single" w:sz="4" w:space="4" w:color="7F7F7F" w:themeColor="text2"/>
        </w:pBdr>
        <w:spacing w:before="120" w:after="120"/>
      </w:pPr>
      <w:r w:rsidRPr="00BB466D">
        <w:t>Key points</w:t>
      </w:r>
    </w:p>
    <w:p w:rsidR="002B080E" w:rsidRPr="002F6569" w:rsidRDefault="00F636AA" w:rsidP="00F90BE2">
      <w:pPr>
        <w:pStyle w:val="ListParagraph"/>
        <w:numPr>
          <w:ilvl w:val="0"/>
          <w:numId w:val="18"/>
        </w:numPr>
        <w:pBdr>
          <w:top w:val="single" w:sz="4" w:space="1" w:color="7F7F7F" w:themeColor="text2"/>
          <w:left w:val="single" w:sz="4" w:space="4" w:color="7F7F7F" w:themeColor="text2"/>
          <w:bottom w:val="single" w:sz="4" w:space="0" w:color="7F7F7F" w:themeColor="text2"/>
          <w:right w:val="single" w:sz="4" w:space="4" w:color="7F7F7F" w:themeColor="text2"/>
        </w:pBdr>
        <w:spacing w:before="120" w:after="120"/>
        <w:ind w:left="426" w:hanging="426"/>
        <w:contextualSpacing w:val="0"/>
        <w:rPr>
          <w:color w:val="7F7F7F" w:themeColor="text2"/>
        </w:rPr>
      </w:pPr>
      <w:r w:rsidRPr="002F6569">
        <w:rPr>
          <w:color w:val="7F7F7F" w:themeColor="text2"/>
        </w:rPr>
        <w:t>In 201</w:t>
      </w:r>
      <w:r w:rsidR="00DA0127" w:rsidRPr="002F6569">
        <w:rPr>
          <w:color w:val="7F7F7F" w:themeColor="text2"/>
        </w:rPr>
        <w:t>5 (half year),</w:t>
      </w:r>
      <w:r w:rsidRPr="002F6569">
        <w:rPr>
          <w:color w:val="7F7F7F" w:themeColor="text2"/>
        </w:rPr>
        <w:t xml:space="preserve"> </w:t>
      </w:r>
      <w:r w:rsidR="00DA0127" w:rsidRPr="002F6569">
        <w:rPr>
          <w:color w:val="7F7F7F" w:themeColor="text2"/>
        </w:rPr>
        <w:t>6.</w:t>
      </w:r>
      <w:r w:rsidR="000F48ED">
        <w:rPr>
          <w:color w:val="7F7F7F" w:themeColor="text2"/>
        </w:rPr>
        <w:t>8</w:t>
      </w:r>
      <w:r w:rsidRPr="002F6569">
        <w:rPr>
          <w:color w:val="7F7F7F" w:themeColor="text2"/>
        </w:rPr>
        <w:t xml:space="preserve"> per cent of 15 to 64 year olds in the </w:t>
      </w:r>
      <w:r w:rsidR="00AE5D92" w:rsidRPr="002F6569">
        <w:rPr>
          <w:color w:val="7F7F7F" w:themeColor="text2"/>
        </w:rPr>
        <w:t xml:space="preserve">Victorian </w:t>
      </w:r>
      <w:r w:rsidRPr="002F6569">
        <w:rPr>
          <w:color w:val="7F7F7F" w:themeColor="text2"/>
        </w:rPr>
        <w:t xml:space="preserve">population were </w:t>
      </w:r>
      <w:r w:rsidR="00AE5D92" w:rsidRPr="002F6569">
        <w:rPr>
          <w:color w:val="7F7F7F" w:themeColor="text2"/>
        </w:rPr>
        <w:t>participating</w:t>
      </w:r>
      <w:r w:rsidRPr="002F6569">
        <w:rPr>
          <w:color w:val="7F7F7F" w:themeColor="text2"/>
        </w:rPr>
        <w:t xml:space="preserve"> in government subsidised </w:t>
      </w:r>
      <w:r w:rsidR="00AE5D92" w:rsidRPr="002F6569">
        <w:rPr>
          <w:color w:val="7F7F7F" w:themeColor="text2"/>
        </w:rPr>
        <w:t>training</w:t>
      </w:r>
      <w:r w:rsidR="00174380">
        <w:rPr>
          <w:color w:val="7F7F7F" w:themeColor="text2"/>
        </w:rPr>
        <w:t xml:space="preserve"> (both accredited and pre-accredited)</w:t>
      </w:r>
      <w:r w:rsidR="00AE5D92" w:rsidRPr="002F6569">
        <w:rPr>
          <w:color w:val="7F7F7F" w:themeColor="text2"/>
        </w:rPr>
        <w:t>, this was down on 201</w:t>
      </w:r>
      <w:r w:rsidR="00DA0127" w:rsidRPr="002F6569">
        <w:rPr>
          <w:color w:val="7F7F7F" w:themeColor="text2"/>
        </w:rPr>
        <w:t>4 (half year)</w:t>
      </w:r>
      <w:r w:rsidR="00AE5D92" w:rsidRPr="002F6569">
        <w:rPr>
          <w:color w:val="7F7F7F" w:themeColor="text2"/>
        </w:rPr>
        <w:t xml:space="preserve"> by </w:t>
      </w:r>
      <w:r w:rsidR="00DA0127" w:rsidRPr="002F6569">
        <w:rPr>
          <w:color w:val="7F7F7F" w:themeColor="text2"/>
        </w:rPr>
        <w:t>0.9</w:t>
      </w:r>
      <w:r w:rsidR="00AE5D92" w:rsidRPr="002F6569">
        <w:rPr>
          <w:color w:val="7F7F7F" w:themeColor="text2"/>
        </w:rPr>
        <w:t xml:space="preserve"> percentage points.</w:t>
      </w:r>
    </w:p>
    <w:p w:rsidR="00B9283A" w:rsidRPr="002F6569" w:rsidRDefault="00B9283A" w:rsidP="001D446D">
      <w:pPr>
        <w:pStyle w:val="ListParagraph"/>
        <w:numPr>
          <w:ilvl w:val="0"/>
          <w:numId w:val="18"/>
        </w:numPr>
        <w:pBdr>
          <w:top w:val="single" w:sz="4" w:space="1" w:color="7F7F7F" w:themeColor="text2"/>
          <w:left w:val="single" w:sz="4" w:space="4" w:color="7F7F7F" w:themeColor="text2"/>
          <w:bottom w:val="single" w:sz="4" w:space="0" w:color="7F7F7F" w:themeColor="text2"/>
          <w:right w:val="single" w:sz="4" w:space="4" w:color="7F7F7F" w:themeColor="text2"/>
        </w:pBdr>
        <w:spacing w:before="120"/>
        <w:ind w:left="425" w:hanging="425"/>
        <w:contextualSpacing w:val="0"/>
        <w:rPr>
          <w:color w:val="7F7F7F" w:themeColor="text2"/>
        </w:rPr>
      </w:pPr>
      <w:r w:rsidRPr="002F6569">
        <w:rPr>
          <w:color w:val="7F7F7F" w:themeColor="text2"/>
        </w:rPr>
        <w:t xml:space="preserve">By </w:t>
      </w:r>
      <w:r w:rsidR="004D221D" w:rsidRPr="002F6569">
        <w:rPr>
          <w:color w:val="7F7F7F" w:themeColor="text2"/>
        </w:rPr>
        <w:t xml:space="preserve">Departmental administrative region </w:t>
      </w:r>
      <w:r w:rsidRPr="002F6569">
        <w:rPr>
          <w:color w:val="7F7F7F" w:themeColor="text2"/>
        </w:rPr>
        <w:t xml:space="preserve">where </w:t>
      </w:r>
      <w:r w:rsidR="00764C31" w:rsidRPr="002F6569">
        <w:rPr>
          <w:color w:val="7F7F7F" w:themeColor="text2"/>
        </w:rPr>
        <w:t xml:space="preserve">the </w:t>
      </w:r>
      <w:r w:rsidRPr="002F6569">
        <w:rPr>
          <w:color w:val="7F7F7F" w:themeColor="text2"/>
        </w:rPr>
        <w:t xml:space="preserve">student </w:t>
      </w:r>
      <w:r w:rsidR="00797CC4" w:rsidRPr="002F6569">
        <w:rPr>
          <w:color w:val="7F7F7F" w:themeColor="text2"/>
        </w:rPr>
        <w:t>resides</w:t>
      </w:r>
      <w:r w:rsidR="00BE28D2" w:rsidRPr="002F6569">
        <w:rPr>
          <w:color w:val="7F7F7F" w:themeColor="text2"/>
        </w:rPr>
        <w:t>,</w:t>
      </w:r>
      <w:r w:rsidRPr="002F6569">
        <w:rPr>
          <w:color w:val="7F7F7F" w:themeColor="text2"/>
        </w:rPr>
        <w:t xml:space="preserve"> the </w:t>
      </w:r>
      <w:proofErr w:type="gramStart"/>
      <w:r w:rsidR="00985E58" w:rsidRPr="002F6569">
        <w:rPr>
          <w:color w:val="7F7F7F" w:themeColor="text2"/>
        </w:rPr>
        <w:t>South-Western</w:t>
      </w:r>
      <w:proofErr w:type="gramEnd"/>
      <w:r w:rsidR="00985E58" w:rsidRPr="002F6569">
        <w:rPr>
          <w:color w:val="7F7F7F" w:themeColor="text2"/>
        </w:rPr>
        <w:t xml:space="preserve"> region </w:t>
      </w:r>
      <w:r w:rsidRPr="002F6569">
        <w:rPr>
          <w:color w:val="7F7F7F" w:themeColor="text2"/>
        </w:rPr>
        <w:t xml:space="preserve">had the highest participation rate </w:t>
      </w:r>
      <w:r w:rsidR="00996B8B">
        <w:rPr>
          <w:color w:val="7F7F7F" w:themeColor="text2"/>
        </w:rPr>
        <w:t xml:space="preserve">in government subsidised accredited training </w:t>
      </w:r>
      <w:r w:rsidRPr="002F6569">
        <w:rPr>
          <w:color w:val="7F7F7F" w:themeColor="text2"/>
        </w:rPr>
        <w:t xml:space="preserve">at </w:t>
      </w:r>
      <w:r w:rsidR="00985E58" w:rsidRPr="002F6569">
        <w:rPr>
          <w:color w:val="7F7F7F" w:themeColor="text2"/>
        </w:rPr>
        <w:t>7.7</w:t>
      </w:r>
      <w:r w:rsidR="000C2719" w:rsidRPr="002F6569">
        <w:rPr>
          <w:color w:val="7F7F7F" w:themeColor="text2"/>
        </w:rPr>
        <w:t xml:space="preserve"> per cent in 201</w:t>
      </w:r>
      <w:r w:rsidR="00985E58" w:rsidRPr="002F6569">
        <w:rPr>
          <w:color w:val="7F7F7F" w:themeColor="text2"/>
        </w:rPr>
        <w:t>5 (half year)</w:t>
      </w:r>
      <w:r w:rsidR="000C2719" w:rsidRPr="002F6569">
        <w:rPr>
          <w:color w:val="7F7F7F" w:themeColor="text2"/>
        </w:rPr>
        <w:t xml:space="preserve"> and </w:t>
      </w:r>
      <w:r w:rsidR="00985E58" w:rsidRPr="002F6569">
        <w:rPr>
          <w:color w:val="7F7F7F" w:themeColor="text2"/>
        </w:rPr>
        <w:t xml:space="preserve">the North-Eastern region had the lowest </w:t>
      </w:r>
      <w:r w:rsidRPr="002F6569">
        <w:rPr>
          <w:color w:val="7F7F7F" w:themeColor="text2"/>
        </w:rPr>
        <w:t xml:space="preserve">at </w:t>
      </w:r>
      <w:r w:rsidR="00985E58" w:rsidRPr="002F6569">
        <w:rPr>
          <w:color w:val="7F7F7F" w:themeColor="text2"/>
        </w:rPr>
        <w:t>5.5</w:t>
      </w:r>
      <w:r w:rsidRPr="002F6569">
        <w:rPr>
          <w:color w:val="7F7F7F" w:themeColor="text2"/>
        </w:rPr>
        <w:t xml:space="preserve"> per cent.</w:t>
      </w:r>
    </w:p>
    <w:p w:rsidR="00985E58" w:rsidRPr="002F6569" w:rsidRDefault="00985E58" w:rsidP="001D446D">
      <w:pPr>
        <w:pStyle w:val="ListParagraph"/>
        <w:numPr>
          <w:ilvl w:val="0"/>
          <w:numId w:val="18"/>
        </w:numPr>
        <w:pBdr>
          <w:top w:val="single" w:sz="4" w:space="1" w:color="7F7F7F" w:themeColor="text2"/>
          <w:left w:val="single" w:sz="4" w:space="4" w:color="7F7F7F" w:themeColor="text2"/>
          <w:bottom w:val="single" w:sz="4" w:space="0" w:color="7F7F7F" w:themeColor="text2"/>
          <w:right w:val="single" w:sz="4" w:space="4" w:color="7F7F7F" w:themeColor="text2"/>
        </w:pBdr>
        <w:spacing w:before="120"/>
        <w:ind w:left="425" w:hanging="425"/>
        <w:contextualSpacing w:val="0"/>
        <w:rPr>
          <w:color w:val="7F7F7F" w:themeColor="text2"/>
        </w:rPr>
      </w:pPr>
      <w:r w:rsidRPr="002F6569">
        <w:rPr>
          <w:color w:val="7F7F7F" w:themeColor="text2"/>
        </w:rPr>
        <w:t xml:space="preserve">By regional area where the student resides, Barwon South West and Western Metropolitan regions had the highest participation rate </w:t>
      </w:r>
      <w:r w:rsidR="00996B8B">
        <w:rPr>
          <w:color w:val="7F7F7F" w:themeColor="text2"/>
        </w:rPr>
        <w:t xml:space="preserve">in government subsidised accredited training </w:t>
      </w:r>
      <w:r w:rsidRPr="002F6569">
        <w:rPr>
          <w:color w:val="7F7F7F" w:themeColor="text2"/>
        </w:rPr>
        <w:t>at 7.8 per cent in 2015 (half year) and Eastern Metropolitan region had the lowest at 4.9 per cent.</w:t>
      </w:r>
    </w:p>
    <w:p w:rsidR="00F90BE2" w:rsidRPr="00365EB2" w:rsidRDefault="00F90BE2" w:rsidP="001D446D">
      <w:pPr>
        <w:pBdr>
          <w:top w:val="single" w:sz="4" w:space="1" w:color="7F7F7F" w:themeColor="text2"/>
          <w:left w:val="single" w:sz="4" w:space="4" w:color="7F7F7F" w:themeColor="text2"/>
          <w:bottom w:val="single" w:sz="4" w:space="0" w:color="7F7F7F" w:themeColor="text2"/>
          <w:right w:val="single" w:sz="4" w:space="4" w:color="7F7F7F" w:themeColor="text2"/>
        </w:pBdr>
      </w:pPr>
    </w:p>
    <w:p w:rsidR="002B080E" w:rsidRDefault="002B080E" w:rsidP="001D446D"/>
    <w:p w:rsidR="001D446D" w:rsidRPr="00365EB2" w:rsidRDefault="001D446D" w:rsidP="001D446D"/>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9A601D" w:rsidTr="009A601D">
        <w:tc>
          <w:tcPr>
            <w:tcW w:w="1134" w:type="dxa"/>
            <w:tcMar>
              <w:left w:w="0" w:type="dxa"/>
              <w:right w:w="0" w:type="dxa"/>
            </w:tcMar>
          </w:tcPr>
          <w:p w:rsidR="009A601D" w:rsidRDefault="009A601D" w:rsidP="00AB1331">
            <w:pPr>
              <w:pStyle w:val="Quote"/>
              <w:tabs>
                <w:tab w:val="left" w:pos="1134"/>
              </w:tabs>
              <w:rPr>
                <w:b w:val="0"/>
                <w:color w:val="B41F22" w:themeColor="accent1"/>
              </w:rPr>
            </w:pPr>
            <w:r>
              <w:rPr>
                <w:b w:val="0"/>
                <w:color w:val="B41F22" w:themeColor="accent1"/>
              </w:rPr>
              <w:t>Figure 1.</w:t>
            </w:r>
            <w:r w:rsidR="00AB1331">
              <w:rPr>
                <w:b w:val="0"/>
                <w:color w:val="B41F22" w:themeColor="accent1"/>
              </w:rPr>
              <w:t>4</w:t>
            </w:r>
            <w:r>
              <w:rPr>
                <w:b w:val="0"/>
                <w:color w:val="B41F22" w:themeColor="accent1"/>
              </w:rPr>
              <w:t>:</w:t>
            </w:r>
          </w:p>
        </w:tc>
        <w:tc>
          <w:tcPr>
            <w:tcW w:w="6946" w:type="dxa"/>
            <w:tcMar>
              <w:left w:w="0" w:type="dxa"/>
              <w:right w:w="0" w:type="dxa"/>
            </w:tcMar>
          </w:tcPr>
          <w:p w:rsidR="009A601D" w:rsidRDefault="009A601D" w:rsidP="000F48ED">
            <w:pPr>
              <w:pStyle w:val="Quote"/>
              <w:tabs>
                <w:tab w:val="left" w:pos="1134"/>
              </w:tabs>
              <w:rPr>
                <w:b w:val="0"/>
                <w:color w:val="B41F22" w:themeColor="accent1"/>
              </w:rPr>
            </w:pPr>
            <w:r w:rsidRPr="00F90BE2">
              <w:rPr>
                <w:b w:val="0"/>
                <w:color w:val="B41F22" w:themeColor="accent1"/>
              </w:rPr>
              <w:t>Estimated participation rate of students aged 15 to 64 years in government subsidised training, 2010 to 2015 (half year)</w:t>
            </w:r>
          </w:p>
        </w:tc>
      </w:tr>
    </w:tbl>
    <w:p w:rsidR="000F48ED" w:rsidRDefault="000F48ED" w:rsidP="001D446D">
      <w:pPr>
        <w:pStyle w:val="Quote"/>
        <w:rPr>
          <w:b w:val="0"/>
          <w:sz w:val="18"/>
          <w:szCs w:val="18"/>
        </w:rPr>
      </w:pPr>
      <w:r>
        <w:rPr>
          <w:b w:val="0"/>
          <w:noProof/>
          <w:sz w:val="18"/>
          <w:szCs w:val="18"/>
          <w:lang w:eastAsia="en-AU"/>
        </w:rPr>
        <w:drawing>
          <wp:inline distT="0" distB="0" distL="0" distR="0" wp14:anchorId="4B6568B1" wp14:editId="0C6E20E0">
            <wp:extent cx="4860000" cy="3033362"/>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60000" cy="3033362"/>
                    </a:xfrm>
                    <a:prstGeom prst="rect">
                      <a:avLst/>
                    </a:prstGeom>
                    <a:noFill/>
                  </pic:spPr>
                </pic:pic>
              </a:graphicData>
            </a:graphic>
          </wp:inline>
        </w:drawing>
      </w: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4A0" w:firstRow="1" w:lastRow="0" w:firstColumn="1" w:lastColumn="0" w:noHBand="0" w:noVBand="1"/>
      </w:tblPr>
      <w:tblGrid>
        <w:gridCol w:w="431"/>
        <w:gridCol w:w="7649"/>
      </w:tblGrid>
      <w:tr w:rsidR="00DA0127" w:rsidRPr="00913551" w:rsidTr="004D221D">
        <w:tc>
          <w:tcPr>
            <w:tcW w:w="431" w:type="dxa"/>
            <w:tcMar>
              <w:left w:w="0" w:type="dxa"/>
              <w:right w:w="28" w:type="dxa"/>
            </w:tcMar>
          </w:tcPr>
          <w:p w:rsidR="00DA0127" w:rsidRPr="00913551" w:rsidRDefault="00DA0127" w:rsidP="004D221D">
            <w:pPr>
              <w:spacing w:after="0" w:line="240" w:lineRule="auto"/>
              <w:jc w:val="right"/>
              <w:rPr>
                <w:color w:val="7F7F7F" w:themeColor="text2"/>
                <w:sz w:val="16"/>
                <w:szCs w:val="16"/>
              </w:rPr>
            </w:pPr>
            <w:r w:rsidRPr="00913551">
              <w:rPr>
                <w:color w:val="7F7F7F" w:themeColor="text2"/>
                <w:sz w:val="16"/>
                <w:szCs w:val="16"/>
              </w:rPr>
              <w:t xml:space="preserve">* </w:t>
            </w:r>
          </w:p>
        </w:tc>
        <w:tc>
          <w:tcPr>
            <w:tcW w:w="7649" w:type="dxa"/>
            <w:tcMar>
              <w:left w:w="0" w:type="dxa"/>
              <w:right w:w="28" w:type="dxa"/>
            </w:tcMar>
          </w:tcPr>
          <w:p w:rsidR="00DA0127" w:rsidRPr="00913551" w:rsidRDefault="00DA0127" w:rsidP="004D221D">
            <w:pPr>
              <w:pStyle w:val="Note"/>
              <w:spacing w:after="0"/>
              <w:rPr>
                <w:i w:val="0"/>
                <w:color w:val="7F7F7F" w:themeColor="text2"/>
              </w:rPr>
            </w:pPr>
            <w:r w:rsidRPr="00913551">
              <w:t>The 2014 estimated resident population published by the Australian Bureau of Statistics was used to calculate the participation rate in both 2014 (half year) and 2015 (half year), as the 2015 population data at the state level was not yet available.</w:t>
            </w:r>
          </w:p>
        </w:tc>
      </w:tr>
    </w:tbl>
    <w:p w:rsidR="00F86CDD" w:rsidRDefault="00F86CDD" w:rsidP="001D446D">
      <w:pPr>
        <w:pStyle w:val="Quote"/>
        <w:rPr>
          <w:b w:val="0"/>
          <w:sz w:val="18"/>
          <w:szCs w:val="18"/>
        </w:rPr>
      </w:pPr>
    </w:p>
    <w:p w:rsidR="00DA0127" w:rsidRDefault="00DA0127" w:rsidP="001D446D">
      <w:pPr>
        <w:pStyle w:val="Quote"/>
        <w:rPr>
          <w:b w:val="0"/>
          <w:sz w:val="18"/>
          <w:szCs w:val="18"/>
        </w:rPr>
      </w:pPr>
    </w:p>
    <w:p w:rsidR="00DA0127" w:rsidRDefault="00DA0127">
      <w:r>
        <w:rPr>
          <w:b/>
        </w:rPr>
        <w:br w:type="page"/>
      </w: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9A601D" w:rsidTr="009A601D">
        <w:tc>
          <w:tcPr>
            <w:tcW w:w="1134" w:type="dxa"/>
            <w:tcMar>
              <w:left w:w="0" w:type="dxa"/>
              <w:right w:w="0" w:type="dxa"/>
            </w:tcMar>
          </w:tcPr>
          <w:p w:rsidR="009A601D" w:rsidRDefault="009A601D" w:rsidP="00AB1331">
            <w:pPr>
              <w:pStyle w:val="Quote"/>
              <w:tabs>
                <w:tab w:val="left" w:pos="1134"/>
              </w:tabs>
              <w:rPr>
                <w:b w:val="0"/>
                <w:color w:val="B41F22" w:themeColor="accent1"/>
              </w:rPr>
            </w:pPr>
            <w:r>
              <w:rPr>
                <w:b w:val="0"/>
                <w:color w:val="B41F22" w:themeColor="accent1"/>
              </w:rPr>
              <w:lastRenderedPageBreak/>
              <w:t>Figure 1.</w:t>
            </w:r>
            <w:r w:rsidR="00AB1331">
              <w:rPr>
                <w:b w:val="0"/>
                <w:color w:val="B41F22" w:themeColor="accent1"/>
              </w:rPr>
              <w:t>5</w:t>
            </w:r>
            <w:r w:rsidR="00DA0127">
              <w:rPr>
                <w:b w:val="0"/>
                <w:color w:val="B41F22" w:themeColor="accent1"/>
              </w:rPr>
              <w:t>.1</w:t>
            </w:r>
            <w:r>
              <w:rPr>
                <w:b w:val="0"/>
                <w:color w:val="B41F22" w:themeColor="accent1"/>
              </w:rPr>
              <w:t>:</w:t>
            </w:r>
          </w:p>
        </w:tc>
        <w:tc>
          <w:tcPr>
            <w:tcW w:w="6946" w:type="dxa"/>
            <w:tcMar>
              <w:left w:w="0" w:type="dxa"/>
              <w:right w:w="0" w:type="dxa"/>
            </w:tcMar>
          </w:tcPr>
          <w:p w:rsidR="009A601D" w:rsidRDefault="009A601D" w:rsidP="003603BF">
            <w:pPr>
              <w:pStyle w:val="Quote"/>
              <w:tabs>
                <w:tab w:val="left" w:pos="1134"/>
              </w:tabs>
              <w:rPr>
                <w:b w:val="0"/>
                <w:color w:val="B41F22" w:themeColor="accent1"/>
              </w:rPr>
            </w:pPr>
            <w:r w:rsidRPr="00644172">
              <w:rPr>
                <w:b w:val="0"/>
                <w:color w:val="B41F22" w:themeColor="accent1"/>
              </w:rPr>
              <w:t xml:space="preserve">Estimated participation rate of students aged 15 to 64 years in government subsidised accredited training by </w:t>
            </w:r>
            <w:r w:rsidR="003603BF">
              <w:rPr>
                <w:b w:val="0"/>
                <w:color w:val="B41F22" w:themeColor="accent1"/>
              </w:rPr>
              <w:t xml:space="preserve">Departmental administrative </w:t>
            </w:r>
            <w:r w:rsidRPr="00644172">
              <w:rPr>
                <w:b w:val="0"/>
                <w:color w:val="B41F22" w:themeColor="accent1"/>
              </w:rPr>
              <w:t xml:space="preserve">region, 2014 </w:t>
            </w:r>
            <w:r w:rsidR="003603BF">
              <w:rPr>
                <w:b w:val="0"/>
                <w:color w:val="B41F22" w:themeColor="accent1"/>
              </w:rPr>
              <w:t>to</w:t>
            </w:r>
            <w:r w:rsidRPr="00644172">
              <w:rPr>
                <w:b w:val="0"/>
                <w:color w:val="B41F22" w:themeColor="accent1"/>
              </w:rPr>
              <w:t xml:space="preserve"> 2015 (half year)</w:t>
            </w:r>
          </w:p>
        </w:tc>
      </w:tr>
    </w:tbl>
    <w:p w:rsidR="00F86CDD" w:rsidRDefault="00DA0127" w:rsidP="001D446D">
      <w:pPr>
        <w:pStyle w:val="Quote"/>
        <w:rPr>
          <w:b w:val="0"/>
          <w:sz w:val="18"/>
          <w:szCs w:val="18"/>
        </w:rPr>
      </w:pPr>
      <w:r>
        <w:rPr>
          <w:b w:val="0"/>
          <w:noProof/>
          <w:sz w:val="18"/>
          <w:szCs w:val="18"/>
          <w:lang w:eastAsia="en-AU"/>
        </w:rPr>
        <w:drawing>
          <wp:inline distT="0" distB="0" distL="0" distR="0" wp14:anchorId="77EFEB4B" wp14:editId="4A2285BF">
            <wp:extent cx="4860000" cy="303335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60000" cy="3033358"/>
                    </a:xfrm>
                    <a:prstGeom prst="rect">
                      <a:avLst/>
                    </a:prstGeom>
                    <a:noFill/>
                  </pic:spPr>
                </pic:pic>
              </a:graphicData>
            </a:graphic>
          </wp:inline>
        </w:drawing>
      </w: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4A0" w:firstRow="1" w:lastRow="0" w:firstColumn="1" w:lastColumn="0" w:noHBand="0" w:noVBand="1"/>
      </w:tblPr>
      <w:tblGrid>
        <w:gridCol w:w="431"/>
        <w:gridCol w:w="7649"/>
      </w:tblGrid>
      <w:tr w:rsidR="00DA0127" w:rsidRPr="00913551" w:rsidTr="004D221D">
        <w:tc>
          <w:tcPr>
            <w:tcW w:w="431" w:type="dxa"/>
            <w:tcMar>
              <w:left w:w="0" w:type="dxa"/>
              <w:right w:w="28" w:type="dxa"/>
            </w:tcMar>
          </w:tcPr>
          <w:p w:rsidR="00DA0127" w:rsidRPr="00913551" w:rsidRDefault="00DA0127" w:rsidP="004D221D">
            <w:pPr>
              <w:spacing w:after="0" w:line="240" w:lineRule="auto"/>
              <w:jc w:val="right"/>
              <w:rPr>
                <w:color w:val="7F7F7F" w:themeColor="text2"/>
                <w:sz w:val="16"/>
                <w:szCs w:val="16"/>
              </w:rPr>
            </w:pPr>
            <w:r w:rsidRPr="00913551">
              <w:rPr>
                <w:color w:val="7F7F7F" w:themeColor="text2"/>
                <w:sz w:val="16"/>
                <w:szCs w:val="16"/>
              </w:rPr>
              <w:t xml:space="preserve">* </w:t>
            </w:r>
          </w:p>
        </w:tc>
        <w:tc>
          <w:tcPr>
            <w:tcW w:w="7649" w:type="dxa"/>
            <w:tcMar>
              <w:left w:w="0" w:type="dxa"/>
              <w:right w:w="28" w:type="dxa"/>
            </w:tcMar>
          </w:tcPr>
          <w:p w:rsidR="00DA0127" w:rsidRPr="00913551" w:rsidRDefault="00DA0127" w:rsidP="004D221D">
            <w:pPr>
              <w:pStyle w:val="Note"/>
              <w:spacing w:after="0"/>
              <w:rPr>
                <w:i w:val="0"/>
                <w:color w:val="7F7F7F" w:themeColor="text2"/>
              </w:rPr>
            </w:pPr>
            <w:r w:rsidRPr="00913551">
              <w:t>The 2013 estimated resident population published by the Australian Bureau of Statistics was used to calculate the participation rate for each Departmental administrative region in both 2014 (half year) and 2015 (half year), as the 2014 and 2015 population data at the sub-state level was not yet available.</w:t>
            </w:r>
          </w:p>
        </w:tc>
      </w:tr>
    </w:tbl>
    <w:p w:rsidR="002D54B6" w:rsidRDefault="002D54B6" w:rsidP="001D446D">
      <w:pPr>
        <w:pStyle w:val="Quote"/>
        <w:rPr>
          <w:b w:val="0"/>
          <w:sz w:val="18"/>
          <w:szCs w:val="18"/>
        </w:rPr>
      </w:pPr>
    </w:p>
    <w:p w:rsidR="001D446D" w:rsidRPr="002D54B6" w:rsidRDefault="002D54B6" w:rsidP="001D446D">
      <w:pPr>
        <w:pStyle w:val="Quote"/>
        <w:rPr>
          <w:b w:val="0"/>
          <w:i/>
          <w:sz w:val="18"/>
          <w:szCs w:val="18"/>
        </w:rPr>
      </w:pPr>
      <w:r w:rsidRPr="002D54B6">
        <w:rPr>
          <w:b w:val="0"/>
          <w:i/>
          <w:sz w:val="18"/>
          <w:szCs w:val="18"/>
        </w:rPr>
        <w:t>Note: see next page for Departmental administrative region names.</w:t>
      </w:r>
    </w:p>
    <w:p w:rsidR="00535E5E" w:rsidRDefault="00535E5E" w:rsidP="00535E5E">
      <w:pPr>
        <w:pStyle w:val="Note"/>
        <w:rPr>
          <w:i w:val="0"/>
          <w:color w:val="7F7F7F" w:themeColor="text2"/>
          <w:sz w:val="18"/>
          <w:szCs w:val="18"/>
        </w:rPr>
      </w:pPr>
    </w:p>
    <w:p w:rsidR="002D54B6" w:rsidRDefault="002D54B6" w:rsidP="00535E5E">
      <w:pPr>
        <w:pStyle w:val="Note"/>
        <w:rPr>
          <w:i w:val="0"/>
          <w:color w:val="7F7F7F" w:themeColor="text2"/>
          <w:sz w:val="18"/>
          <w:szCs w:val="18"/>
        </w:rPr>
      </w:pP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DA0127" w:rsidTr="004D221D">
        <w:tc>
          <w:tcPr>
            <w:tcW w:w="1134" w:type="dxa"/>
            <w:tcMar>
              <w:left w:w="0" w:type="dxa"/>
              <w:right w:w="0" w:type="dxa"/>
            </w:tcMar>
          </w:tcPr>
          <w:p w:rsidR="00DA0127" w:rsidRDefault="00DA0127" w:rsidP="00AB1331">
            <w:pPr>
              <w:pStyle w:val="Quote"/>
              <w:tabs>
                <w:tab w:val="left" w:pos="1134"/>
              </w:tabs>
              <w:rPr>
                <w:b w:val="0"/>
                <w:color w:val="B41F22" w:themeColor="accent1"/>
              </w:rPr>
            </w:pPr>
            <w:r>
              <w:rPr>
                <w:b w:val="0"/>
                <w:color w:val="B41F22" w:themeColor="accent1"/>
              </w:rPr>
              <w:t>Figure 1.</w:t>
            </w:r>
            <w:r w:rsidR="00AB1331">
              <w:rPr>
                <w:b w:val="0"/>
                <w:color w:val="B41F22" w:themeColor="accent1"/>
              </w:rPr>
              <w:t>5</w:t>
            </w:r>
            <w:r>
              <w:rPr>
                <w:b w:val="0"/>
                <w:color w:val="B41F22" w:themeColor="accent1"/>
              </w:rPr>
              <w:t>.2:</w:t>
            </w:r>
          </w:p>
        </w:tc>
        <w:tc>
          <w:tcPr>
            <w:tcW w:w="6946" w:type="dxa"/>
            <w:tcMar>
              <w:left w:w="0" w:type="dxa"/>
              <w:right w:w="0" w:type="dxa"/>
            </w:tcMar>
          </w:tcPr>
          <w:p w:rsidR="00DA0127" w:rsidRDefault="00DA0127" w:rsidP="004D221D">
            <w:pPr>
              <w:pStyle w:val="Quote"/>
              <w:tabs>
                <w:tab w:val="left" w:pos="1134"/>
              </w:tabs>
              <w:rPr>
                <w:b w:val="0"/>
                <w:color w:val="B41F22" w:themeColor="accent1"/>
              </w:rPr>
            </w:pPr>
            <w:r w:rsidRPr="00DA0127">
              <w:rPr>
                <w:b w:val="0"/>
                <w:color w:val="B41F22" w:themeColor="accent1"/>
              </w:rPr>
              <w:t>Estimated participation rate of students aged 15 to 64 years in government subsidised accredited training by regional area, 2014 to 2015 (half year)</w:t>
            </w:r>
          </w:p>
        </w:tc>
      </w:tr>
    </w:tbl>
    <w:p w:rsidR="001D446D" w:rsidRDefault="00DA0127" w:rsidP="00535E5E">
      <w:pPr>
        <w:pStyle w:val="Note"/>
        <w:rPr>
          <w:i w:val="0"/>
          <w:color w:val="7F7F7F" w:themeColor="text2"/>
          <w:sz w:val="18"/>
          <w:szCs w:val="18"/>
        </w:rPr>
      </w:pPr>
      <w:r>
        <w:rPr>
          <w:i w:val="0"/>
          <w:noProof/>
          <w:color w:val="7F7F7F" w:themeColor="text2"/>
          <w:sz w:val="18"/>
          <w:szCs w:val="18"/>
          <w:lang w:eastAsia="en-AU"/>
        </w:rPr>
        <w:drawing>
          <wp:inline distT="0" distB="0" distL="0" distR="0" wp14:anchorId="2971C0A3" wp14:editId="0BF7F54D">
            <wp:extent cx="5400000" cy="2628461"/>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00000" cy="2628461"/>
                    </a:xfrm>
                    <a:prstGeom prst="rect">
                      <a:avLst/>
                    </a:prstGeom>
                    <a:noFill/>
                  </pic:spPr>
                </pic:pic>
              </a:graphicData>
            </a:graphic>
          </wp:inline>
        </w:drawing>
      </w: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4A0" w:firstRow="1" w:lastRow="0" w:firstColumn="1" w:lastColumn="0" w:noHBand="0" w:noVBand="1"/>
      </w:tblPr>
      <w:tblGrid>
        <w:gridCol w:w="431"/>
        <w:gridCol w:w="7649"/>
      </w:tblGrid>
      <w:tr w:rsidR="00DA0127" w:rsidRPr="00913551" w:rsidTr="004D221D">
        <w:tc>
          <w:tcPr>
            <w:tcW w:w="431" w:type="dxa"/>
            <w:tcMar>
              <w:left w:w="0" w:type="dxa"/>
              <w:right w:w="28" w:type="dxa"/>
            </w:tcMar>
          </w:tcPr>
          <w:p w:rsidR="00DA0127" w:rsidRPr="00913551" w:rsidRDefault="00DA0127" w:rsidP="004D221D">
            <w:pPr>
              <w:spacing w:after="0" w:line="240" w:lineRule="auto"/>
              <w:jc w:val="right"/>
              <w:rPr>
                <w:color w:val="7F7F7F" w:themeColor="text2"/>
                <w:sz w:val="16"/>
                <w:szCs w:val="16"/>
              </w:rPr>
            </w:pPr>
            <w:r w:rsidRPr="00913551">
              <w:rPr>
                <w:color w:val="7F7F7F" w:themeColor="text2"/>
                <w:sz w:val="16"/>
                <w:szCs w:val="16"/>
              </w:rPr>
              <w:t xml:space="preserve">* </w:t>
            </w:r>
          </w:p>
        </w:tc>
        <w:tc>
          <w:tcPr>
            <w:tcW w:w="7649" w:type="dxa"/>
            <w:tcMar>
              <w:left w:w="0" w:type="dxa"/>
              <w:right w:w="28" w:type="dxa"/>
            </w:tcMar>
          </w:tcPr>
          <w:p w:rsidR="00DA0127" w:rsidRPr="00913551" w:rsidRDefault="00DA0127" w:rsidP="004D221D">
            <w:pPr>
              <w:pStyle w:val="Note"/>
              <w:spacing w:after="0"/>
              <w:rPr>
                <w:i w:val="0"/>
                <w:color w:val="7F7F7F" w:themeColor="text2"/>
              </w:rPr>
            </w:pPr>
            <w:r w:rsidRPr="00913551">
              <w:t>The 2013 estimated resident population published by the Australian Bureau of Statistics was used to calculate the participation rate for each regional area in both 2014 (half year) and 2015 (half year), as the 2014 and 2015 population data at the sub-state level was not yet available.</w:t>
            </w:r>
          </w:p>
        </w:tc>
      </w:tr>
    </w:tbl>
    <w:p w:rsidR="00DA0127" w:rsidRDefault="00DA0127" w:rsidP="00535E5E">
      <w:pPr>
        <w:pStyle w:val="Note"/>
        <w:rPr>
          <w:i w:val="0"/>
          <w:color w:val="7F7F7F" w:themeColor="text2"/>
          <w:sz w:val="18"/>
          <w:szCs w:val="18"/>
        </w:rPr>
      </w:pPr>
    </w:p>
    <w:p w:rsidR="00DA0127" w:rsidRPr="002D54B6" w:rsidRDefault="002D54B6" w:rsidP="002D54B6">
      <w:pPr>
        <w:pStyle w:val="Quote"/>
        <w:rPr>
          <w:b w:val="0"/>
          <w:i/>
          <w:sz w:val="18"/>
          <w:szCs w:val="18"/>
        </w:rPr>
      </w:pPr>
      <w:r w:rsidRPr="002D54B6">
        <w:rPr>
          <w:b w:val="0"/>
          <w:i/>
          <w:sz w:val="18"/>
          <w:szCs w:val="18"/>
        </w:rPr>
        <w:t xml:space="preserve">Note: see next page for </w:t>
      </w:r>
      <w:r w:rsidR="00FB1A8A">
        <w:rPr>
          <w:b w:val="0"/>
          <w:i/>
          <w:sz w:val="18"/>
          <w:szCs w:val="18"/>
        </w:rPr>
        <w:t xml:space="preserve">regional area </w:t>
      </w:r>
      <w:r w:rsidRPr="002D54B6">
        <w:rPr>
          <w:b w:val="0"/>
          <w:i/>
          <w:sz w:val="18"/>
          <w:szCs w:val="18"/>
        </w:rPr>
        <w:t>names.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2905"/>
        <w:gridCol w:w="922"/>
        <w:gridCol w:w="2942"/>
      </w:tblGrid>
      <w:tr w:rsidR="00644172" w:rsidTr="00535E5E">
        <w:trPr>
          <w:trHeight w:val="284"/>
        </w:trPr>
        <w:tc>
          <w:tcPr>
            <w:tcW w:w="3864" w:type="dxa"/>
            <w:gridSpan w:val="2"/>
            <w:tcBorders>
              <w:bottom w:val="single" w:sz="4" w:space="0" w:color="7F7F7F" w:themeColor="text2"/>
            </w:tcBorders>
            <w:noWrap/>
            <w:vAlign w:val="center"/>
          </w:tcPr>
          <w:p w:rsidR="00644172" w:rsidRDefault="003603BF" w:rsidP="003603BF">
            <w:pPr>
              <w:spacing w:after="0"/>
            </w:pPr>
            <w:r>
              <w:lastRenderedPageBreak/>
              <w:t>Departmental administrative regions</w:t>
            </w:r>
          </w:p>
        </w:tc>
        <w:tc>
          <w:tcPr>
            <w:tcW w:w="3864" w:type="dxa"/>
            <w:gridSpan w:val="2"/>
            <w:tcBorders>
              <w:bottom w:val="single" w:sz="4" w:space="0" w:color="7F7F7F" w:themeColor="text2"/>
            </w:tcBorders>
            <w:noWrap/>
            <w:vAlign w:val="center"/>
          </w:tcPr>
          <w:p w:rsidR="00644172" w:rsidRDefault="003603BF" w:rsidP="003603BF">
            <w:pPr>
              <w:spacing w:after="0"/>
            </w:pPr>
            <w:r>
              <w:t>Regional areas</w:t>
            </w:r>
          </w:p>
        </w:tc>
      </w:tr>
      <w:tr w:rsidR="00644172" w:rsidTr="00535E5E">
        <w:trPr>
          <w:trHeight w:val="284"/>
        </w:trPr>
        <w:tc>
          <w:tcPr>
            <w:tcW w:w="959" w:type="dxa"/>
            <w:tcBorders>
              <w:top w:val="single" w:sz="4" w:space="0" w:color="7F7F7F" w:themeColor="text2"/>
            </w:tcBorders>
            <w:noWrap/>
            <w:vAlign w:val="center"/>
          </w:tcPr>
          <w:p w:rsidR="00644172" w:rsidRDefault="00535E5E" w:rsidP="00535E5E">
            <w:pPr>
              <w:spacing w:after="0"/>
            </w:pPr>
            <w:r>
              <w:t>NEV</w:t>
            </w:r>
          </w:p>
        </w:tc>
        <w:tc>
          <w:tcPr>
            <w:tcW w:w="2905" w:type="dxa"/>
            <w:tcBorders>
              <w:top w:val="single" w:sz="4" w:space="0" w:color="7F7F7F" w:themeColor="text2"/>
            </w:tcBorders>
            <w:noWrap/>
            <w:vAlign w:val="center"/>
          </w:tcPr>
          <w:p w:rsidR="00644172" w:rsidRDefault="00535E5E" w:rsidP="00535E5E">
            <w:pPr>
              <w:spacing w:after="0"/>
            </w:pPr>
            <w:r>
              <w:t>North-Eastern Victoria</w:t>
            </w:r>
          </w:p>
        </w:tc>
        <w:tc>
          <w:tcPr>
            <w:tcW w:w="922" w:type="dxa"/>
            <w:tcBorders>
              <w:top w:val="single" w:sz="4" w:space="0" w:color="7F7F7F" w:themeColor="text2"/>
            </w:tcBorders>
            <w:noWrap/>
            <w:vAlign w:val="center"/>
          </w:tcPr>
          <w:p w:rsidR="00644172" w:rsidRDefault="00535E5E" w:rsidP="00535E5E">
            <w:pPr>
              <w:spacing w:after="0"/>
            </w:pPr>
            <w:r>
              <w:t>BSW</w:t>
            </w:r>
          </w:p>
        </w:tc>
        <w:tc>
          <w:tcPr>
            <w:tcW w:w="2942" w:type="dxa"/>
            <w:tcBorders>
              <w:top w:val="single" w:sz="4" w:space="0" w:color="7F7F7F" w:themeColor="text2"/>
            </w:tcBorders>
            <w:noWrap/>
            <w:vAlign w:val="center"/>
          </w:tcPr>
          <w:p w:rsidR="00644172" w:rsidRDefault="00535E5E" w:rsidP="00535E5E">
            <w:pPr>
              <w:spacing w:after="0"/>
            </w:pPr>
            <w:r>
              <w:t>Barwon South West</w:t>
            </w:r>
          </w:p>
        </w:tc>
      </w:tr>
      <w:tr w:rsidR="00644172" w:rsidTr="00535E5E">
        <w:trPr>
          <w:trHeight w:val="284"/>
        </w:trPr>
        <w:tc>
          <w:tcPr>
            <w:tcW w:w="959" w:type="dxa"/>
            <w:noWrap/>
            <w:vAlign w:val="center"/>
          </w:tcPr>
          <w:p w:rsidR="00644172" w:rsidRDefault="00535E5E" w:rsidP="00535E5E">
            <w:pPr>
              <w:spacing w:after="0"/>
            </w:pPr>
            <w:r>
              <w:t>NWV</w:t>
            </w:r>
          </w:p>
        </w:tc>
        <w:tc>
          <w:tcPr>
            <w:tcW w:w="2905" w:type="dxa"/>
            <w:noWrap/>
            <w:vAlign w:val="center"/>
          </w:tcPr>
          <w:p w:rsidR="00644172" w:rsidRDefault="00535E5E" w:rsidP="00535E5E">
            <w:pPr>
              <w:spacing w:after="0"/>
            </w:pPr>
            <w:r>
              <w:t>North-Western Victoria</w:t>
            </w:r>
          </w:p>
        </w:tc>
        <w:tc>
          <w:tcPr>
            <w:tcW w:w="922" w:type="dxa"/>
            <w:noWrap/>
            <w:vAlign w:val="center"/>
          </w:tcPr>
          <w:p w:rsidR="00644172" w:rsidRDefault="00535E5E" w:rsidP="00535E5E">
            <w:pPr>
              <w:spacing w:after="0"/>
            </w:pPr>
            <w:r>
              <w:t>GRA</w:t>
            </w:r>
          </w:p>
        </w:tc>
        <w:tc>
          <w:tcPr>
            <w:tcW w:w="2942" w:type="dxa"/>
            <w:noWrap/>
            <w:vAlign w:val="center"/>
          </w:tcPr>
          <w:p w:rsidR="00644172" w:rsidRDefault="00535E5E" w:rsidP="00535E5E">
            <w:pPr>
              <w:spacing w:after="0"/>
            </w:pPr>
            <w:r>
              <w:t>Grampians</w:t>
            </w:r>
          </w:p>
        </w:tc>
      </w:tr>
      <w:tr w:rsidR="00644172" w:rsidTr="00535E5E">
        <w:trPr>
          <w:trHeight w:val="284"/>
        </w:trPr>
        <w:tc>
          <w:tcPr>
            <w:tcW w:w="959" w:type="dxa"/>
            <w:noWrap/>
            <w:vAlign w:val="center"/>
          </w:tcPr>
          <w:p w:rsidR="00644172" w:rsidRDefault="00535E5E" w:rsidP="00535E5E">
            <w:pPr>
              <w:spacing w:after="0"/>
            </w:pPr>
            <w:r>
              <w:t>SEV</w:t>
            </w:r>
          </w:p>
        </w:tc>
        <w:tc>
          <w:tcPr>
            <w:tcW w:w="2905" w:type="dxa"/>
            <w:noWrap/>
            <w:vAlign w:val="center"/>
          </w:tcPr>
          <w:p w:rsidR="00644172" w:rsidRDefault="00535E5E" w:rsidP="00535E5E">
            <w:pPr>
              <w:spacing w:after="0"/>
            </w:pPr>
            <w:r>
              <w:t xml:space="preserve">South-Eastern Victoria </w:t>
            </w:r>
          </w:p>
        </w:tc>
        <w:tc>
          <w:tcPr>
            <w:tcW w:w="922" w:type="dxa"/>
            <w:noWrap/>
            <w:vAlign w:val="center"/>
          </w:tcPr>
          <w:p w:rsidR="00644172" w:rsidRDefault="00535E5E" w:rsidP="00535E5E">
            <w:pPr>
              <w:spacing w:after="0"/>
            </w:pPr>
            <w:r>
              <w:t>LM</w:t>
            </w:r>
          </w:p>
        </w:tc>
        <w:tc>
          <w:tcPr>
            <w:tcW w:w="2942" w:type="dxa"/>
            <w:noWrap/>
            <w:vAlign w:val="center"/>
          </w:tcPr>
          <w:p w:rsidR="00644172" w:rsidRDefault="00535E5E" w:rsidP="00535E5E">
            <w:pPr>
              <w:spacing w:after="0"/>
            </w:pPr>
            <w:r>
              <w:t>Loddon Mallee</w:t>
            </w:r>
          </w:p>
        </w:tc>
      </w:tr>
      <w:tr w:rsidR="00644172" w:rsidTr="00535E5E">
        <w:trPr>
          <w:trHeight w:val="284"/>
        </w:trPr>
        <w:tc>
          <w:tcPr>
            <w:tcW w:w="959" w:type="dxa"/>
            <w:noWrap/>
            <w:vAlign w:val="center"/>
          </w:tcPr>
          <w:p w:rsidR="00644172" w:rsidRDefault="00535E5E" w:rsidP="00535E5E">
            <w:pPr>
              <w:spacing w:after="0"/>
            </w:pPr>
            <w:r>
              <w:t>SWV</w:t>
            </w:r>
          </w:p>
        </w:tc>
        <w:tc>
          <w:tcPr>
            <w:tcW w:w="2905" w:type="dxa"/>
            <w:noWrap/>
            <w:vAlign w:val="center"/>
          </w:tcPr>
          <w:p w:rsidR="00644172" w:rsidRDefault="00535E5E" w:rsidP="00535E5E">
            <w:pPr>
              <w:spacing w:after="0"/>
            </w:pPr>
            <w:r>
              <w:t xml:space="preserve">South-Western Victoria </w:t>
            </w:r>
          </w:p>
        </w:tc>
        <w:tc>
          <w:tcPr>
            <w:tcW w:w="922" w:type="dxa"/>
            <w:noWrap/>
            <w:vAlign w:val="center"/>
          </w:tcPr>
          <w:p w:rsidR="00644172" w:rsidRDefault="00535E5E" w:rsidP="00535E5E">
            <w:pPr>
              <w:spacing w:after="0"/>
            </w:pPr>
            <w:r>
              <w:t>HUM</w:t>
            </w:r>
          </w:p>
        </w:tc>
        <w:tc>
          <w:tcPr>
            <w:tcW w:w="2942" w:type="dxa"/>
            <w:noWrap/>
            <w:vAlign w:val="center"/>
          </w:tcPr>
          <w:p w:rsidR="00644172" w:rsidRDefault="00535E5E" w:rsidP="00535E5E">
            <w:pPr>
              <w:spacing w:after="0"/>
            </w:pPr>
            <w:r>
              <w:t>Hume</w:t>
            </w:r>
          </w:p>
        </w:tc>
      </w:tr>
      <w:tr w:rsidR="00644172" w:rsidTr="00535E5E">
        <w:trPr>
          <w:trHeight w:val="284"/>
        </w:trPr>
        <w:tc>
          <w:tcPr>
            <w:tcW w:w="959" w:type="dxa"/>
            <w:noWrap/>
            <w:vAlign w:val="center"/>
          </w:tcPr>
          <w:p w:rsidR="00644172" w:rsidRDefault="00644172" w:rsidP="00535E5E">
            <w:pPr>
              <w:spacing w:after="0"/>
            </w:pPr>
          </w:p>
        </w:tc>
        <w:tc>
          <w:tcPr>
            <w:tcW w:w="2905" w:type="dxa"/>
            <w:noWrap/>
            <w:vAlign w:val="center"/>
          </w:tcPr>
          <w:p w:rsidR="00644172" w:rsidRDefault="00644172" w:rsidP="00535E5E">
            <w:pPr>
              <w:spacing w:after="0"/>
            </w:pPr>
          </w:p>
        </w:tc>
        <w:tc>
          <w:tcPr>
            <w:tcW w:w="922" w:type="dxa"/>
            <w:noWrap/>
            <w:vAlign w:val="center"/>
          </w:tcPr>
          <w:p w:rsidR="00644172" w:rsidRDefault="00535E5E" w:rsidP="00535E5E">
            <w:pPr>
              <w:spacing w:after="0"/>
            </w:pPr>
            <w:r>
              <w:t>GIP</w:t>
            </w:r>
          </w:p>
        </w:tc>
        <w:tc>
          <w:tcPr>
            <w:tcW w:w="2942" w:type="dxa"/>
            <w:noWrap/>
            <w:vAlign w:val="center"/>
          </w:tcPr>
          <w:p w:rsidR="00644172" w:rsidRDefault="00535E5E" w:rsidP="00535E5E">
            <w:pPr>
              <w:spacing w:after="0"/>
            </w:pPr>
            <w:r>
              <w:t>Gippsland</w:t>
            </w:r>
          </w:p>
        </w:tc>
      </w:tr>
      <w:tr w:rsidR="00644172" w:rsidTr="00535E5E">
        <w:trPr>
          <w:trHeight w:val="284"/>
        </w:trPr>
        <w:tc>
          <w:tcPr>
            <w:tcW w:w="959" w:type="dxa"/>
            <w:noWrap/>
            <w:vAlign w:val="center"/>
          </w:tcPr>
          <w:p w:rsidR="00644172" w:rsidRDefault="00644172" w:rsidP="00535E5E">
            <w:pPr>
              <w:spacing w:after="0"/>
            </w:pPr>
          </w:p>
        </w:tc>
        <w:tc>
          <w:tcPr>
            <w:tcW w:w="2905" w:type="dxa"/>
            <w:noWrap/>
            <w:vAlign w:val="center"/>
          </w:tcPr>
          <w:p w:rsidR="00644172" w:rsidRDefault="00644172" w:rsidP="00535E5E">
            <w:pPr>
              <w:spacing w:after="0"/>
            </w:pPr>
          </w:p>
        </w:tc>
        <w:tc>
          <w:tcPr>
            <w:tcW w:w="922" w:type="dxa"/>
            <w:noWrap/>
            <w:vAlign w:val="center"/>
          </w:tcPr>
          <w:p w:rsidR="00644172" w:rsidRDefault="00535E5E" w:rsidP="00535E5E">
            <w:pPr>
              <w:spacing w:after="0"/>
            </w:pPr>
            <w:r>
              <w:t>EM</w:t>
            </w:r>
          </w:p>
        </w:tc>
        <w:tc>
          <w:tcPr>
            <w:tcW w:w="2942" w:type="dxa"/>
            <w:noWrap/>
            <w:vAlign w:val="center"/>
          </w:tcPr>
          <w:p w:rsidR="00644172" w:rsidRDefault="00535E5E" w:rsidP="00535E5E">
            <w:pPr>
              <w:spacing w:after="0"/>
            </w:pPr>
            <w:r>
              <w:t>Eastern Metropolitan</w:t>
            </w:r>
          </w:p>
        </w:tc>
      </w:tr>
      <w:tr w:rsidR="00644172" w:rsidTr="00535E5E">
        <w:trPr>
          <w:trHeight w:val="284"/>
        </w:trPr>
        <w:tc>
          <w:tcPr>
            <w:tcW w:w="959" w:type="dxa"/>
            <w:noWrap/>
            <w:vAlign w:val="center"/>
          </w:tcPr>
          <w:p w:rsidR="00644172" w:rsidRDefault="00644172" w:rsidP="00535E5E">
            <w:pPr>
              <w:spacing w:after="0"/>
            </w:pPr>
          </w:p>
        </w:tc>
        <w:tc>
          <w:tcPr>
            <w:tcW w:w="2905" w:type="dxa"/>
            <w:noWrap/>
            <w:vAlign w:val="center"/>
          </w:tcPr>
          <w:p w:rsidR="00644172" w:rsidRDefault="00644172" w:rsidP="00535E5E">
            <w:pPr>
              <w:spacing w:after="0"/>
            </w:pPr>
          </w:p>
        </w:tc>
        <w:tc>
          <w:tcPr>
            <w:tcW w:w="922" w:type="dxa"/>
            <w:noWrap/>
            <w:vAlign w:val="center"/>
          </w:tcPr>
          <w:p w:rsidR="00644172" w:rsidRDefault="00535E5E" w:rsidP="00535E5E">
            <w:pPr>
              <w:spacing w:after="0"/>
            </w:pPr>
            <w:r>
              <w:t>WM</w:t>
            </w:r>
          </w:p>
        </w:tc>
        <w:tc>
          <w:tcPr>
            <w:tcW w:w="2942" w:type="dxa"/>
            <w:noWrap/>
            <w:vAlign w:val="center"/>
          </w:tcPr>
          <w:p w:rsidR="00644172" w:rsidRDefault="00535E5E" w:rsidP="00535E5E">
            <w:pPr>
              <w:spacing w:after="0"/>
            </w:pPr>
            <w:r>
              <w:t>Western Metropolitan</w:t>
            </w:r>
          </w:p>
        </w:tc>
      </w:tr>
      <w:tr w:rsidR="00644172" w:rsidTr="00535E5E">
        <w:trPr>
          <w:trHeight w:val="284"/>
        </w:trPr>
        <w:tc>
          <w:tcPr>
            <w:tcW w:w="959" w:type="dxa"/>
            <w:noWrap/>
            <w:vAlign w:val="center"/>
          </w:tcPr>
          <w:p w:rsidR="00644172" w:rsidRDefault="00644172" w:rsidP="00535E5E">
            <w:pPr>
              <w:spacing w:after="0"/>
            </w:pPr>
          </w:p>
        </w:tc>
        <w:tc>
          <w:tcPr>
            <w:tcW w:w="2905" w:type="dxa"/>
            <w:noWrap/>
            <w:vAlign w:val="center"/>
          </w:tcPr>
          <w:p w:rsidR="00644172" w:rsidRDefault="00644172" w:rsidP="00535E5E">
            <w:pPr>
              <w:spacing w:after="0"/>
            </w:pPr>
          </w:p>
        </w:tc>
        <w:tc>
          <w:tcPr>
            <w:tcW w:w="922" w:type="dxa"/>
            <w:noWrap/>
            <w:vAlign w:val="center"/>
          </w:tcPr>
          <w:p w:rsidR="00644172" w:rsidRDefault="00535E5E" w:rsidP="00535E5E">
            <w:pPr>
              <w:spacing w:after="0"/>
            </w:pPr>
            <w:r>
              <w:t>SM</w:t>
            </w:r>
          </w:p>
        </w:tc>
        <w:tc>
          <w:tcPr>
            <w:tcW w:w="2942" w:type="dxa"/>
            <w:noWrap/>
            <w:vAlign w:val="center"/>
          </w:tcPr>
          <w:p w:rsidR="00644172" w:rsidRDefault="00535E5E" w:rsidP="00535E5E">
            <w:pPr>
              <w:spacing w:after="0"/>
            </w:pPr>
            <w:r>
              <w:t>Southern Metropolitan</w:t>
            </w:r>
          </w:p>
        </w:tc>
      </w:tr>
      <w:tr w:rsidR="00644172" w:rsidTr="00535E5E">
        <w:trPr>
          <w:trHeight w:val="284"/>
        </w:trPr>
        <w:tc>
          <w:tcPr>
            <w:tcW w:w="959" w:type="dxa"/>
            <w:noWrap/>
            <w:vAlign w:val="center"/>
          </w:tcPr>
          <w:p w:rsidR="00644172" w:rsidRDefault="00644172" w:rsidP="00535E5E">
            <w:pPr>
              <w:spacing w:after="0"/>
            </w:pPr>
          </w:p>
        </w:tc>
        <w:tc>
          <w:tcPr>
            <w:tcW w:w="2905" w:type="dxa"/>
            <w:noWrap/>
            <w:vAlign w:val="center"/>
          </w:tcPr>
          <w:p w:rsidR="00644172" w:rsidRDefault="00644172" w:rsidP="00535E5E">
            <w:pPr>
              <w:spacing w:after="0"/>
            </w:pPr>
          </w:p>
        </w:tc>
        <w:tc>
          <w:tcPr>
            <w:tcW w:w="922" w:type="dxa"/>
            <w:noWrap/>
            <w:vAlign w:val="center"/>
          </w:tcPr>
          <w:p w:rsidR="00644172" w:rsidRDefault="00535E5E" w:rsidP="00535E5E">
            <w:pPr>
              <w:spacing w:after="0"/>
            </w:pPr>
            <w:r>
              <w:t>NM</w:t>
            </w:r>
          </w:p>
        </w:tc>
        <w:tc>
          <w:tcPr>
            <w:tcW w:w="2942" w:type="dxa"/>
            <w:noWrap/>
            <w:vAlign w:val="center"/>
          </w:tcPr>
          <w:p w:rsidR="00644172" w:rsidRDefault="00535E5E" w:rsidP="00535E5E">
            <w:pPr>
              <w:spacing w:after="0"/>
            </w:pPr>
            <w:r>
              <w:t>Northern Metropolitan</w:t>
            </w:r>
          </w:p>
        </w:tc>
      </w:tr>
    </w:tbl>
    <w:p w:rsidR="00644172" w:rsidRPr="001D446D" w:rsidRDefault="00644172" w:rsidP="001D446D"/>
    <w:p w:rsidR="002B080E" w:rsidRPr="001D446D" w:rsidRDefault="002B080E" w:rsidP="001D446D">
      <w:pPr>
        <w:rPr>
          <w:rFonts w:cs="Arial"/>
          <w:bCs/>
          <w:iCs/>
          <w:color w:val="7F7F7F" w:themeColor="text2"/>
          <w:szCs w:val="18"/>
        </w:rPr>
      </w:pPr>
      <w:r w:rsidRPr="001D446D">
        <w:br w:type="page"/>
      </w:r>
    </w:p>
    <w:p w:rsidR="000F47B5" w:rsidRPr="00371C42" w:rsidRDefault="000F47B5" w:rsidP="000F47B5">
      <w:pPr>
        <w:pStyle w:val="Heading2"/>
        <w:rPr>
          <w:color w:val="B41F22" w:themeColor="accent1"/>
        </w:rPr>
      </w:pPr>
      <w:bookmarkStart w:id="13" w:name="_Toc432758323"/>
      <w:r w:rsidRPr="00371C42">
        <w:rPr>
          <w:color w:val="B41F22" w:themeColor="accent1"/>
        </w:rPr>
        <w:lastRenderedPageBreak/>
        <w:t xml:space="preserve">Government Subsidised Training by </w:t>
      </w:r>
      <w:r w:rsidR="00764C31" w:rsidRPr="00371C42">
        <w:rPr>
          <w:color w:val="B41F22" w:themeColor="accent1"/>
        </w:rPr>
        <w:t xml:space="preserve">Training </w:t>
      </w:r>
      <w:r w:rsidRPr="00371C42">
        <w:rPr>
          <w:color w:val="B41F22" w:themeColor="accent1"/>
        </w:rPr>
        <w:t>Provider Type</w:t>
      </w:r>
      <w:bookmarkEnd w:id="13"/>
    </w:p>
    <w:p w:rsidR="000F47B5" w:rsidRPr="00365EB2" w:rsidRDefault="000F47B5" w:rsidP="001D446D"/>
    <w:p w:rsidR="002842F1" w:rsidRPr="00365EB2" w:rsidRDefault="002842F1" w:rsidP="00371C42">
      <w:pPr>
        <w:pStyle w:val="Quote"/>
        <w:pBdr>
          <w:top w:val="single" w:sz="4" w:space="1" w:color="7F7F7F" w:themeColor="text2"/>
          <w:left w:val="single" w:sz="4" w:space="4" w:color="7F7F7F" w:themeColor="text2"/>
          <w:bottom w:val="single" w:sz="4" w:space="1" w:color="7F7F7F" w:themeColor="text2"/>
          <w:right w:val="single" w:sz="4" w:space="4" w:color="7F7F7F" w:themeColor="text2"/>
        </w:pBdr>
        <w:spacing w:before="120" w:after="120"/>
      </w:pPr>
      <w:r w:rsidRPr="00BB466D">
        <w:t>Key points</w:t>
      </w:r>
    </w:p>
    <w:p w:rsidR="00FF0DD7" w:rsidRPr="002F6569" w:rsidRDefault="00FF0DD7" w:rsidP="00371C42">
      <w:pPr>
        <w:pStyle w:val="ListParagraph"/>
        <w:numPr>
          <w:ilvl w:val="0"/>
          <w:numId w:val="18"/>
        </w:numPr>
        <w:pBdr>
          <w:top w:val="single" w:sz="4" w:space="1" w:color="7F7F7F" w:themeColor="text2"/>
          <w:left w:val="single" w:sz="4" w:space="4" w:color="7F7F7F" w:themeColor="text2"/>
          <w:bottom w:val="single" w:sz="4" w:space="1" w:color="7F7F7F" w:themeColor="text2"/>
          <w:right w:val="single" w:sz="4" w:space="4" w:color="7F7F7F" w:themeColor="text2"/>
        </w:pBdr>
        <w:spacing w:before="120" w:after="120"/>
        <w:ind w:left="426" w:hanging="426"/>
        <w:contextualSpacing w:val="0"/>
        <w:rPr>
          <w:color w:val="7F7F7F" w:themeColor="text2"/>
        </w:rPr>
      </w:pPr>
      <w:r w:rsidRPr="002F6569">
        <w:rPr>
          <w:color w:val="7F7F7F" w:themeColor="text2"/>
        </w:rPr>
        <w:t xml:space="preserve">All provider types showed a decline in the number of government subsidised enrolments </w:t>
      </w:r>
      <w:r w:rsidR="004A4A97" w:rsidRPr="002F6569">
        <w:rPr>
          <w:color w:val="7F7F7F" w:themeColor="text2"/>
        </w:rPr>
        <w:t xml:space="preserve">in accredited training </w:t>
      </w:r>
      <w:r w:rsidRPr="002F6569">
        <w:rPr>
          <w:color w:val="7F7F7F" w:themeColor="text2"/>
        </w:rPr>
        <w:t>between 201</w:t>
      </w:r>
      <w:r w:rsidR="004A4A97" w:rsidRPr="002F6569">
        <w:rPr>
          <w:color w:val="7F7F7F" w:themeColor="text2"/>
        </w:rPr>
        <w:t>4</w:t>
      </w:r>
      <w:r w:rsidRPr="002F6569">
        <w:rPr>
          <w:color w:val="7F7F7F" w:themeColor="text2"/>
        </w:rPr>
        <w:t xml:space="preserve"> </w:t>
      </w:r>
      <w:r w:rsidR="000C2719" w:rsidRPr="002F6569">
        <w:rPr>
          <w:color w:val="7F7F7F" w:themeColor="text2"/>
        </w:rPr>
        <w:t>and</w:t>
      </w:r>
      <w:r w:rsidRPr="002F6569">
        <w:rPr>
          <w:color w:val="7F7F7F" w:themeColor="text2"/>
        </w:rPr>
        <w:t xml:space="preserve"> 201</w:t>
      </w:r>
      <w:r w:rsidR="004A4A97" w:rsidRPr="002F6569">
        <w:rPr>
          <w:color w:val="7F7F7F" w:themeColor="text2"/>
        </w:rPr>
        <w:t>5 (half year)</w:t>
      </w:r>
      <w:r w:rsidRPr="002F6569">
        <w:rPr>
          <w:color w:val="7F7F7F" w:themeColor="text2"/>
        </w:rPr>
        <w:t>.</w:t>
      </w:r>
    </w:p>
    <w:p w:rsidR="002842F1" w:rsidRPr="002F6569" w:rsidRDefault="00377C7D" w:rsidP="001D446D">
      <w:pPr>
        <w:pStyle w:val="ListParagraph"/>
        <w:numPr>
          <w:ilvl w:val="0"/>
          <w:numId w:val="18"/>
        </w:numPr>
        <w:pBdr>
          <w:top w:val="single" w:sz="4" w:space="1" w:color="7F7F7F" w:themeColor="text2"/>
          <w:left w:val="single" w:sz="4" w:space="4" w:color="7F7F7F" w:themeColor="text2"/>
          <w:bottom w:val="single" w:sz="4" w:space="1" w:color="7F7F7F" w:themeColor="text2"/>
          <w:right w:val="single" w:sz="4" w:space="4" w:color="7F7F7F" w:themeColor="text2"/>
        </w:pBdr>
        <w:spacing w:before="120"/>
        <w:ind w:left="425" w:hanging="425"/>
        <w:contextualSpacing w:val="0"/>
        <w:rPr>
          <w:color w:val="7F7F7F" w:themeColor="text2"/>
        </w:rPr>
      </w:pPr>
      <w:r w:rsidRPr="002F6569">
        <w:rPr>
          <w:color w:val="7F7F7F" w:themeColor="text2"/>
        </w:rPr>
        <w:t>In 201</w:t>
      </w:r>
      <w:r w:rsidR="00037852" w:rsidRPr="002F6569">
        <w:rPr>
          <w:color w:val="7F7F7F" w:themeColor="text2"/>
        </w:rPr>
        <w:t xml:space="preserve">5 (half year) 59 </w:t>
      </w:r>
      <w:r w:rsidR="00FF0DD7" w:rsidRPr="002F6569">
        <w:rPr>
          <w:color w:val="7F7F7F" w:themeColor="text2"/>
        </w:rPr>
        <w:t xml:space="preserve">per cent </w:t>
      </w:r>
      <w:r w:rsidRPr="002F6569">
        <w:rPr>
          <w:color w:val="7F7F7F" w:themeColor="text2"/>
        </w:rPr>
        <w:t xml:space="preserve">of all </w:t>
      </w:r>
      <w:proofErr w:type="gramStart"/>
      <w:r w:rsidRPr="002F6569">
        <w:rPr>
          <w:color w:val="7F7F7F" w:themeColor="text2"/>
        </w:rPr>
        <w:t>government</w:t>
      </w:r>
      <w:proofErr w:type="gramEnd"/>
      <w:r w:rsidRPr="002F6569">
        <w:rPr>
          <w:color w:val="7F7F7F" w:themeColor="text2"/>
        </w:rPr>
        <w:t xml:space="preserve"> subsidised enrolments </w:t>
      </w:r>
      <w:r w:rsidR="00037852" w:rsidRPr="002F6569">
        <w:rPr>
          <w:color w:val="7F7F7F" w:themeColor="text2"/>
        </w:rPr>
        <w:t xml:space="preserve">in accredited training </w:t>
      </w:r>
      <w:r w:rsidRPr="002F6569">
        <w:rPr>
          <w:color w:val="7F7F7F" w:themeColor="text2"/>
        </w:rPr>
        <w:t>were with Private RTOs</w:t>
      </w:r>
      <w:r w:rsidR="00F26442" w:rsidRPr="002F6569">
        <w:rPr>
          <w:color w:val="7F7F7F" w:themeColor="text2"/>
        </w:rPr>
        <w:t xml:space="preserve">. </w:t>
      </w:r>
      <w:r w:rsidR="00983704" w:rsidRPr="002F6569">
        <w:rPr>
          <w:color w:val="7F7F7F" w:themeColor="text2"/>
        </w:rPr>
        <w:t>The share held by TAFEs was</w:t>
      </w:r>
      <w:r w:rsidR="00F26442" w:rsidRPr="002F6569">
        <w:rPr>
          <w:color w:val="7F7F7F" w:themeColor="text2"/>
        </w:rPr>
        <w:t xml:space="preserve"> 2</w:t>
      </w:r>
      <w:r w:rsidR="00037852" w:rsidRPr="002F6569">
        <w:rPr>
          <w:color w:val="7F7F7F" w:themeColor="text2"/>
        </w:rPr>
        <w:t>7</w:t>
      </w:r>
      <w:r w:rsidR="00F26442" w:rsidRPr="002F6569">
        <w:rPr>
          <w:color w:val="7F7F7F" w:themeColor="text2"/>
        </w:rPr>
        <w:t xml:space="preserve"> per cent in 201</w:t>
      </w:r>
      <w:r w:rsidR="00037852" w:rsidRPr="002F6569">
        <w:rPr>
          <w:color w:val="7F7F7F" w:themeColor="text2"/>
        </w:rPr>
        <w:t>5 (half year)</w:t>
      </w:r>
      <w:r w:rsidR="00983704" w:rsidRPr="002F6569">
        <w:rPr>
          <w:color w:val="7F7F7F" w:themeColor="text2"/>
        </w:rPr>
        <w:t>,</w:t>
      </w:r>
      <w:r w:rsidR="00037852" w:rsidRPr="002F6569">
        <w:rPr>
          <w:color w:val="7F7F7F" w:themeColor="text2"/>
        </w:rPr>
        <w:t xml:space="preserve"> d</w:t>
      </w:r>
      <w:r w:rsidR="00983704" w:rsidRPr="002F6569">
        <w:rPr>
          <w:color w:val="7F7F7F" w:themeColor="text2"/>
        </w:rPr>
        <w:t>own</w:t>
      </w:r>
      <w:r w:rsidR="00F26442" w:rsidRPr="002F6569">
        <w:rPr>
          <w:color w:val="7F7F7F" w:themeColor="text2"/>
        </w:rPr>
        <w:t xml:space="preserve"> from </w:t>
      </w:r>
      <w:r w:rsidR="00037852" w:rsidRPr="002F6569">
        <w:rPr>
          <w:color w:val="7F7F7F" w:themeColor="text2"/>
        </w:rPr>
        <w:t>28</w:t>
      </w:r>
      <w:r w:rsidR="00F26442" w:rsidRPr="002F6569">
        <w:rPr>
          <w:color w:val="7F7F7F" w:themeColor="text2"/>
        </w:rPr>
        <w:t xml:space="preserve"> per cent in 201</w:t>
      </w:r>
      <w:r w:rsidR="00037852" w:rsidRPr="002F6569">
        <w:rPr>
          <w:color w:val="7F7F7F" w:themeColor="text2"/>
        </w:rPr>
        <w:t>4</w:t>
      </w:r>
      <w:r w:rsidR="00F26442" w:rsidRPr="002F6569">
        <w:rPr>
          <w:color w:val="7F7F7F" w:themeColor="text2"/>
        </w:rPr>
        <w:t>.</w:t>
      </w:r>
    </w:p>
    <w:p w:rsidR="00371C42" w:rsidRPr="00365EB2" w:rsidRDefault="00371C42" w:rsidP="001D446D">
      <w:pPr>
        <w:pBdr>
          <w:top w:val="single" w:sz="4" w:space="1" w:color="7F7F7F" w:themeColor="text2"/>
          <w:left w:val="single" w:sz="4" w:space="4" w:color="7F7F7F" w:themeColor="text2"/>
          <w:bottom w:val="single" w:sz="4" w:space="1" w:color="7F7F7F" w:themeColor="text2"/>
          <w:right w:val="single" w:sz="4" w:space="4" w:color="7F7F7F" w:themeColor="text2"/>
        </w:pBdr>
      </w:pPr>
    </w:p>
    <w:p w:rsidR="002842F1" w:rsidRDefault="002842F1" w:rsidP="001D446D"/>
    <w:p w:rsidR="001D446D" w:rsidRPr="00365EB2" w:rsidRDefault="001D446D" w:rsidP="001D446D"/>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9A601D" w:rsidTr="009A601D">
        <w:tc>
          <w:tcPr>
            <w:tcW w:w="1134" w:type="dxa"/>
            <w:tcMar>
              <w:left w:w="0" w:type="dxa"/>
              <w:right w:w="0" w:type="dxa"/>
            </w:tcMar>
          </w:tcPr>
          <w:p w:rsidR="009A601D" w:rsidRDefault="009A601D" w:rsidP="00C33510">
            <w:pPr>
              <w:pStyle w:val="Quote"/>
              <w:tabs>
                <w:tab w:val="left" w:pos="1134"/>
              </w:tabs>
              <w:rPr>
                <w:b w:val="0"/>
                <w:color w:val="B41F22" w:themeColor="accent1"/>
              </w:rPr>
            </w:pPr>
            <w:r>
              <w:rPr>
                <w:b w:val="0"/>
                <w:color w:val="B41F22" w:themeColor="accent1"/>
              </w:rPr>
              <w:t>Table 1.</w:t>
            </w:r>
            <w:r w:rsidR="00CB6C79">
              <w:rPr>
                <w:b w:val="0"/>
                <w:color w:val="B41F22" w:themeColor="accent1"/>
              </w:rPr>
              <w:t>10</w:t>
            </w:r>
            <w:r>
              <w:rPr>
                <w:b w:val="0"/>
                <w:color w:val="B41F22" w:themeColor="accent1"/>
              </w:rPr>
              <w:t>.1:</w:t>
            </w:r>
          </w:p>
        </w:tc>
        <w:tc>
          <w:tcPr>
            <w:tcW w:w="6946" w:type="dxa"/>
            <w:tcMar>
              <w:left w:w="0" w:type="dxa"/>
              <w:right w:w="0" w:type="dxa"/>
            </w:tcMar>
          </w:tcPr>
          <w:p w:rsidR="009A601D" w:rsidRDefault="009A601D" w:rsidP="009A601D">
            <w:pPr>
              <w:pStyle w:val="Quote"/>
              <w:tabs>
                <w:tab w:val="left" w:pos="1134"/>
              </w:tabs>
              <w:rPr>
                <w:b w:val="0"/>
                <w:color w:val="B41F22" w:themeColor="accent1"/>
              </w:rPr>
            </w:pPr>
            <w:r w:rsidRPr="00EB78D8">
              <w:rPr>
                <w:b w:val="0"/>
                <w:color w:val="B41F22" w:themeColor="accent1"/>
              </w:rPr>
              <w:t>Number of government subsidised enrolments in accredited training by sector, 2010 to 2015 (half year)</w:t>
            </w:r>
          </w:p>
        </w:tc>
      </w:tr>
    </w:tbl>
    <w:tbl>
      <w:tblPr>
        <w:tblW w:w="8095" w:type="dxa"/>
        <w:tblInd w:w="93" w:type="dxa"/>
        <w:tblLayout w:type="fixed"/>
        <w:tblLook w:val="04A0" w:firstRow="1" w:lastRow="0" w:firstColumn="1" w:lastColumn="0" w:noHBand="0" w:noVBand="1"/>
      </w:tblPr>
      <w:tblGrid>
        <w:gridCol w:w="1860"/>
        <w:gridCol w:w="1039"/>
        <w:gridCol w:w="1039"/>
        <w:gridCol w:w="1039"/>
        <w:gridCol w:w="1039"/>
        <w:gridCol w:w="1039"/>
        <w:gridCol w:w="1040"/>
      </w:tblGrid>
      <w:tr w:rsidR="00473BDE" w:rsidRPr="00473BDE" w:rsidTr="00473BDE">
        <w:trPr>
          <w:trHeight w:val="300"/>
        </w:trPr>
        <w:tc>
          <w:tcPr>
            <w:tcW w:w="1860" w:type="dxa"/>
            <w:tcBorders>
              <w:top w:val="nil"/>
              <w:left w:val="nil"/>
              <w:bottom w:val="nil"/>
              <w:right w:val="nil"/>
            </w:tcBorders>
            <w:shd w:val="clear" w:color="000000" w:fill="7F7F7F"/>
            <w:noWrap/>
            <w:vAlign w:val="center"/>
            <w:hideMark/>
          </w:tcPr>
          <w:p w:rsidR="00473BDE" w:rsidRPr="00473BDE" w:rsidRDefault="00473BDE" w:rsidP="00473BDE">
            <w:pPr>
              <w:rPr>
                <w:rFonts w:cs="Arial"/>
                <w:color w:val="FFFFFF"/>
                <w:szCs w:val="18"/>
                <w:lang w:eastAsia="en-AU"/>
              </w:rPr>
            </w:pPr>
            <w:r w:rsidRPr="00473BDE">
              <w:rPr>
                <w:rFonts w:cs="Arial"/>
                <w:color w:val="FFFFFF"/>
                <w:szCs w:val="18"/>
                <w:lang w:eastAsia="en-AU"/>
              </w:rPr>
              <w:t> </w:t>
            </w:r>
          </w:p>
        </w:tc>
        <w:tc>
          <w:tcPr>
            <w:tcW w:w="1039" w:type="dxa"/>
            <w:tcBorders>
              <w:top w:val="nil"/>
              <w:left w:val="nil"/>
              <w:bottom w:val="nil"/>
              <w:right w:val="nil"/>
            </w:tcBorders>
            <w:shd w:val="clear" w:color="000000" w:fill="7F7F7F"/>
            <w:noWrap/>
            <w:vAlign w:val="center"/>
            <w:hideMark/>
          </w:tcPr>
          <w:p w:rsidR="00473BDE" w:rsidRPr="00473BDE" w:rsidRDefault="00473BDE" w:rsidP="00473BDE">
            <w:pPr>
              <w:jc w:val="right"/>
              <w:rPr>
                <w:rFonts w:cs="Arial"/>
                <w:b/>
                <w:bCs/>
                <w:color w:val="FFFFFF"/>
                <w:szCs w:val="18"/>
                <w:lang w:eastAsia="en-AU"/>
              </w:rPr>
            </w:pPr>
            <w:r w:rsidRPr="00473BDE">
              <w:rPr>
                <w:rFonts w:cs="Arial"/>
                <w:b/>
                <w:bCs/>
                <w:color w:val="FFFFFF"/>
                <w:szCs w:val="18"/>
                <w:lang w:eastAsia="en-AU"/>
              </w:rPr>
              <w:t>2010</w:t>
            </w:r>
          </w:p>
        </w:tc>
        <w:tc>
          <w:tcPr>
            <w:tcW w:w="1039" w:type="dxa"/>
            <w:tcBorders>
              <w:top w:val="nil"/>
              <w:left w:val="nil"/>
              <w:bottom w:val="nil"/>
              <w:right w:val="nil"/>
            </w:tcBorders>
            <w:shd w:val="clear" w:color="000000" w:fill="7F7F7F"/>
            <w:noWrap/>
            <w:vAlign w:val="center"/>
            <w:hideMark/>
          </w:tcPr>
          <w:p w:rsidR="00473BDE" w:rsidRPr="00473BDE" w:rsidRDefault="00473BDE" w:rsidP="00473BDE">
            <w:pPr>
              <w:jc w:val="right"/>
              <w:rPr>
                <w:rFonts w:cs="Arial"/>
                <w:b/>
                <w:bCs/>
                <w:color w:val="FFFFFF"/>
                <w:szCs w:val="18"/>
                <w:lang w:eastAsia="en-AU"/>
              </w:rPr>
            </w:pPr>
            <w:r w:rsidRPr="00473BDE">
              <w:rPr>
                <w:rFonts w:cs="Arial"/>
                <w:b/>
                <w:bCs/>
                <w:color w:val="FFFFFF"/>
                <w:szCs w:val="18"/>
                <w:lang w:eastAsia="en-AU"/>
              </w:rPr>
              <w:t>2011</w:t>
            </w:r>
          </w:p>
        </w:tc>
        <w:tc>
          <w:tcPr>
            <w:tcW w:w="1039" w:type="dxa"/>
            <w:tcBorders>
              <w:top w:val="nil"/>
              <w:left w:val="nil"/>
              <w:bottom w:val="nil"/>
              <w:right w:val="nil"/>
            </w:tcBorders>
            <w:shd w:val="clear" w:color="000000" w:fill="7F7F7F"/>
            <w:noWrap/>
            <w:vAlign w:val="center"/>
            <w:hideMark/>
          </w:tcPr>
          <w:p w:rsidR="00473BDE" w:rsidRPr="00473BDE" w:rsidRDefault="00473BDE" w:rsidP="00473BDE">
            <w:pPr>
              <w:jc w:val="right"/>
              <w:rPr>
                <w:rFonts w:cs="Arial"/>
                <w:b/>
                <w:bCs/>
                <w:color w:val="FFFFFF"/>
                <w:szCs w:val="18"/>
                <w:lang w:eastAsia="en-AU"/>
              </w:rPr>
            </w:pPr>
            <w:r w:rsidRPr="00473BDE">
              <w:rPr>
                <w:rFonts w:cs="Arial"/>
                <w:b/>
                <w:bCs/>
                <w:color w:val="FFFFFF"/>
                <w:szCs w:val="18"/>
                <w:lang w:eastAsia="en-AU"/>
              </w:rPr>
              <w:t>2012</w:t>
            </w:r>
          </w:p>
        </w:tc>
        <w:tc>
          <w:tcPr>
            <w:tcW w:w="1039" w:type="dxa"/>
            <w:tcBorders>
              <w:top w:val="nil"/>
              <w:left w:val="nil"/>
              <w:bottom w:val="nil"/>
              <w:right w:val="nil"/>
            </w:tcBorders>
            <w:shd w:val="clear" w:color="000000" w:fill="7F7F7F"/>
            <w:noWrap/>
            <w:vAlign w:val="center"/>
            <w:hideMark/>
          </w:tcPr>
          <w:p w:rsidR="00473BDE" w:rsidRPr="00473BDE" w:rsidRDefault="00473BDE" w:rsidP="00473BDE">
            <w:pPr>
              <w:jc w:val="right"/>
              <w:rPr>
                <w:rFonts w:cs="Arial"/>
                <w:b/>
                <w:bCs/>
                <w:color w:val="FFFFFF"/>
                <w:szCs w:val="18"/>
                <w:lang w:eastAsia="en-AU"/>
              </w:rPr>
            </w:pPr>
            <w:r w:rsidRPr="00473BDE">
              <w:rPr>
                <w:rFonts w:cs="Arial"/>
                <w:b/>
                <w:bCs/>
                <w:color w:val="FFFFFF"/>
                <w:szCs w:val="18"/>
                <w:lang w:eastAsia="en-AU"/>
              </w:rPr>
              <w:t>2013</w:t>
            </w:r>
          </w:p>
        </w:tc>
        <w:tc>
          <w:tcPr>
            <w:tcW w:w="1039" w:type="dxa"/>
            <w:tcBorders>
              <w:top w:val="nil"/>
              <w:left w:val="nil"/>
              <w:bottom w:val="nil"/>
              <w:right w:val="nil"/>
            </w:tcBorders>
            <w:shd w:val="clear" w:color="000000" w:fill="7F7F7F"/>
            <w:noWrap/>
            <w:vAlign w:val="center"/>
            <w:hideMark/>
          </w:tcPr>
          <w:p w:rsidR="00473BDE" w:rsidRPr="00473BDE" w:rsidRDefault="00473BDE" w:rsidP="00473BDE">
            <w:pPr>
              <w:jc w:val="right"/>
              <w:rPr>
                <w:rFonts w:cs="Arial"/>
                <w:b/>
                <w:bCs/>
                <w:color w:val="FFFFFF"/>
                <w:szCs w:val="18"/>
                <w:lang w:eastAsia="en-AU"/>
              </w:rPr>
            </w:pPr>
            <w:r w:rsidRPr="00473BDE">
              <w:rPr>
                <w:rFonts w:cs="Arial"/>
                <w:b/>
                <w:bCs/>
                <w:color w:val="FFFFFF"/>
                <w:szCs w:val="18"/>
                <w:lang w:eastAsia="en-AU"/>
              </w:rPr>
              <w:t>2014</w:t>
            </w:r>
          </w:p>
        </w:tc>
        <w:tc>
          <w:tcPr>
            <w:tcW w:w="1040" w:type="dxa"/>
            <w:tcBorders>
              <w:top w:val="nil"/>
              <w:left w:val="nil"/>
              <w:bottom w:val="nil"/>
              <w:right w:val="nil"/>
            </w:tcBorders>
            <w:shd w:val="clear" w:color="000000" w:fill="7F7F7F"/>
            <w:noWrap/>
            <w:vAlign w:val="center"/>
            <w:hideMark/>
          </w:tcPr>
          <w:p w:rsidR="00473BDE" w:rsidRPr="00473BDE" w:rsidRDefault="00473BDE" w:rsidP="00473BDE">
            <w:pPr>
              <w:jc w:val="right"/>
              <w:rPr>
                <w:rFonts w:cs="Arial"/>
                <w:b/>
                <w:bCs/>
                <w:color w:val="FFFFFF"/>
                <w:szCs w:val="18"/>
                <w:lang w:eastAsia="en-AU"/>
              </w:rPr>
            </w:pPr>
            <w:r w:rsidRPr="00473BDE">
              <w:rPr>
                <w:rFonts w:cs="Arial"/>
                <w:b/>
                <w:bCs/>
                <w:color w:val="FFFFFF"/>
                <w:szCs w:val="18"/>
                <w:lang w:eastAsia="en-AU"/>
              </w:rPr>
              <w:t>2015</w:t>
            </w:r>
          </w:p>
        </w:tc>
      </w:tr>
      <w:tr w:rsidR="00473BDE" w:rsidRPr="00473BDE" w:rsidTr="00473BDE">
        <w:trPr>
          <w:trHeight w:val="300"/>
        </w:trPr>
        <w:tc>
          <w:tcPr>
            <w:tcW w:w="1860" w:type="dxa"/>
            <w:tcBorders>
              <w:top w:val="nil"/>
              <w:left w:val="nil"/>
              <w:bottom w:val="nil"/>
              <w:right w:val="nil"/>
            </w:tcBorders>
            <w:shd w:val="clear" w:color="auto" w:fill="auto"/>
            <w:noWrap/>
            <w:vAlign w:val="center"/>
            <w:hideMark/>
          </w:tcPr>
          <w:p w:rsidR="00473BDE" w:rsidRPr="00473BDE" w:rsidRDefault="00473BDE" w:rsidP="00473BDE">
            <w:pPr>
              <w:rPr>
                <w:rFonts w:cs="Arial"/>
                <w:color w:val="7F7F7F"/>
                <w:szCs w:val="18"/>
                <w:lang w:eastAsia="en-AU"/>
              </w:rPr>
            </w:pPr>
            <w:r w:rsidRPr="00473BDE">
              <w:rPr>
                <w:rFonts w:cs="Arial"/>
                <w:color w:val="7F7F7F"/>
                <w:szCs w:val="18"/>
                <w:lang w:eastAsia="en-AU"/>
              </w:rPr>
              <w:t>Private RTO</w:t>
            </w:r>
          </w:p>
        </w:tc>
        <w:tc>
          <w:tcPr>
            <w:tcW w:w="1039"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52,638</w:t>
            </w:r>
          </w:p>
        </w:tc>
        <w:tc>
          <w:tcPr>
            <w:tcW w:w="1039"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112,042</w:t>
            </w:r>
          </w:p>
        </w:tc>
        <w:tc>
          <w:tcPr>
            <w:tcW w:w="1039"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200,513</w:t>
            </w:r>
          </w:p>
        </w:tc>
        <w:tc>
          <w:tcPr>
            <w:tcW w:w="1039"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179,956</w:t>
            </w:r>
          </w:p>
        </w:tc>
        <w:tc>
          <w:tcPr>
            <w:tcW w:w="1039"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214,310</w:t>
            </w:r>
          </w:p>
        </w:tc>
        <w:tc>
          <w:tcPr>
            <w:tcW w:w="1040"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182,951</w:t>
            </w:r>
          </w:p>
        </w:tc>
      </w:tr>
      <w:tr w:rsidR="00473BDE" w:rsidRPr="00473BDE" w:rsidTr="00473BDE">
        <w:trPr>
          <w:trHeight w:val="300"/>
        </w:trPr>
        <w:tc>
          <w:tcPr>
            <w:tcW w:w="1860" w:type="dxa"/>
            <w:tcBorders>
              <w:top w:val="nil"/>
              <w:left w:val="nil"/>
              <w:bottom w:val="nil"/>
              <w:right w:val="nil"/>
            </w:tcBorders>
            <w:shd w:val="clear" w:color="auto" w:fill="auto"/>
            <w:noWrap/>
            <w:vAlign w:val="center"/>
            <w:hideMark/>
          </w:tcPr>
          <w:p w:rsidR="00473BDE" w:rsidRPr="00473BDE" w:rsidRDefault="00473BDE" w:rsidP="00473BDE">
            <w:pPr>
              <w:rPr>
                <w:rFonts w:cs="Arial"/>
                <w:color w:val="7F7F7F"/>
                <w:szCs w:val="18"/>
                <w:lang w:eastAsia="en-AU"/>
              </w:rPr>
            </w:pPr>
            <w:r w:rsidRPr="00473BDE">
              <w:rPr>
                <w:rFonts w:cs="Arial"/>
                <w:color w:val="7F7F7F"/>
                <w:szCs w:val="18"/>
                <w:lang w:eastAsia="en-AU"/>
              </w:rPr>
              <w:t>Learn Local</w:t>
            </w:r>
          </w:p>
        </w:tc>
        <w:tc>
          <w:tcPr>
            <w:tcW w:w="1039"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24,656</w:t>
            </w:r>
          </w:p>
        </w:tc>
        <w:tc>
          <w:tcPr>
            <w:tcW w:w="1039"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21,491</w:t>
            </w:r>
          </w:p>
        </w:tc>
        <w:tc>
          <w:tcPr>
            <w:tcW w:w="1039"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31,510</w:t>
            </w:r>
          </w:p>
        </w:tc>
        <w:tc>
          <w:tcPr>
            <w:tcW w:w="1039"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24,893</w:t>
            </w:r>
          </w:p>
        </w:tc>
        <w:tc>
          <w:tcPr>
            <w:tcW w:w="1039"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21,051</w:t>
            </w:r>
          </w:p>
        </w:tc>
        <w:tc>
          <w:tcPr>
            <w:tcW w:w="1040"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19,155</w:t>
            </w:r>
          </w:p>
        </w:tc>
      </w:tr>
      <w:tr w:rsidR="00473BDE" w:rsidRPr="00473BDE" w:rsidTr="0097544A">
        <w:trPr>
          <w:trHeight w:val="300"/>
        </w:trPr>
        <w:tc>
          <w:tcPr>
            <w:tcW w:w="8095" w:type="dxa"/>
            <w:gridSpan w:val="7"/>
            <w:tcBorders>
              <w:top w:val="nil"/>
              <w:left w:val="nil"/>
              <w:bottom w:val="nil"/>
              <w:right w:val="nil"/>
            </w:tcBorders>
            <w:shd w:val="clear" w:color="auto" w:fill="auto"/>
            <w:noWrap/>
            <w:vAlign w:val="center"/>
            <w:hideMark/>
          </w:tcPr>
          <w:p w:rsidR="00473BDE" w:rsidRPr="00473BDE" w:rsidRDefault="00473BDE" w:rsidP="00473BDE">
            <w:pPr>
              <w:rPr>
                <w:rFonts w:cs="Arial"/>
                <w:color w:val="7F7F7F"/>
                <w:szCs w:val="18"/>
                <w:lang w:eastAsia="en-AU"/>
              </w:rPr>
            </w:pPr>
            <w:r w:rsidRPr="00473BDE">
              <w:rPr>
                <w:rFonts w:cs="Arial"/>
                <w:b/>
                <w:bCs/>
                <w:color w:val="7F7F7F"/>
                <w:szCs w:val="18"/>
                <w:lang w:eastAsia="en-AU"/>
              </w:rPr>
              <w:t>TAFE and University</w:t>
            </w:r>
          </w:p>
        </w:tc>
      </w:tr>
      <w:tr w:rsidR="00473BDE" w:rsidRPr="00473BDE" w:rsidTr="00473BDE">
        <w:trPr>
          <w:trHeight w:val="300"/>
        </w:trPr>
        <w:tc>
          <w:tcPr>
            <w:tcW w:w="1860" w:type="dxa"/>
            <w:tcBorders>
              <w:top w:val="nil"/>
              <w:left w:val="nil"/>
              <w:bottom w:val="nil"/>
              <w:right w:val="nil"/>
            </w:tcBorders>
            <w:shd w:val="clear" w:color="auto" w:fill="auto"/>
            <w:noWrap/>
            <w:vAlign w:val="center"/>
            <w:hideMark/>
          </w:tcPr>
          <w:p w:rsidR="00473BDE" w:rsidRPr="00473BDE" w:rsidRDefault="00473BDE" w:rsidP="00473BDE">
            <w:pPr>
              <w:ind w:firstLineChars="200" w:firstLine="360"/>
              <w:rPr>
                <w:rFonts w:cs="Arial"/>
                <w:color w:val="7F7F7F"/>
                <w:szCs w:val="18"/>
                <w:lang w:eastAsia="en-AU"/>
              </w:rPr>
            </w:pPr>
            <w:r w:rsidRPr="00473BDE">
              <w:rPr>
                <w:rFonts w:cs="Arial"/>
                <w:color w:val="7F7F7F"/>
                <w:szCs w:val="18"/>
                <w:lang w:eastAsia="en-AU"/>
              </w:rPr>
              <w:t>TAFE</w:t>
            </w:r>
          </w:p>
        </w:tc>
        <w:tc>
          <w:tcPr>
            <w:tcW w:w="1039"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121,795</w:t>
            </w:r>
          </w:p>
        </w:tc>
        <w:tc>
          <w:tcPr>
            <w:tcW w:w="1039"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127,562</w:t>
            </w:r>
          </w:p>
        </w:tc>
        <w:tc>
          <w:tcPr>
            <w:tcW w:w="1039"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157,119</w:t>
            </w:r>
          </w:p>
        </w:tc>
        <w:tc>
          <w:tcPr>
            <w:tcW w:w="1039"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138,260</w:t>
            </w:r>
          </w:p>
        </w:tc>
        <w:tc>
          <w:tcPr>
            <w:tcW w:w="1039"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100,224</w:t>
            </w:r>
          </w:p>
        </w:tc>
        <w:tc>
          <w:tcPr>
            <w:tcW w:w="1040"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82,680</w:t>
            </w:r>
          </w:p>
        </w:tc>
      </w:tr>
      <w:tr w:rsidR="00473BDE" w:rsidRPr="00473BDE" w:rsidTr="00473BDE">
        <w:trPr>
          <w:trHeight w:val="300"/>
        </w:trPr>
        <w:tc>
          <w:tcPr>
            <w:tcW w:w="1860" w:type="dxa"/>
            <w:tcBorders>
              <w:top w:val="nil"/>
              <w:left w:val="nil"/>
              <w:bottom w:val="nil"/>
              <w:right w:val="nil"/>
            </w:tcBorders>
            <w:shd w:val="clear" w:color="auto" w:fill="auto"/>
            <w:noWrap/>
            <w:vAlign w:val="center"/>
            <w:hideMark/>
          </w:tcPr>
          <w:p w:rsidR="00473BDE" w:rsidRPr="00473BDE" w:rsidRDefault="00473BDE" w:rsidP="00473BDE">
            <w:pPr>
              <w:ind w:firstLineChars="200" w:firstLine="360"/>
              <w:rPr>
                <w:rFonts w:cs="Arial"/>
                <w:color w:val="7F7F7F"/>
                <w:szCs w:val="18"/>
                <w:lang w:eastAsia="en-AU"/>
              </w:rPr>
            </w:pPr>
            <w:r w:rsidRPr="00473BDE">
              <w:rPr>
                <w:rFonts w:cs="Arial"/>
                <w:color w:val="7F7F7F"/>
                <w:szCs w:val="18"/>
                <w:lang w:eastAsia="en-AU"/>
              </w:rPr>
              <w:t>University</w:t>
            </w:r>
          </w:p>
        </w:tc>
        <w:tc>
          <w:tcPr>
            <w:tcW w:w="1039"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48,596</w:t>
            </w:r>
          </w:p>
        </w:tc>
        <w:tc>
          <w:tcPr>
            <w:tcW w:w="1039"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48,325</w:t>
            </w:r>
          </w:p>
        </w:tc>
        <w:tc>
          <w:tcPr>
            <w:tcW w:w="1039"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55,359</w:t>
            </w:r>
          </w:p>
        </w:tc>
        <w:tc>
          <w:tcPr>
            <w:tcW w:w="1039"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40,854</w:t>
            </w:r>
          </w:p>
        </w:tc>
        <w:tc>
          <w:tcPr>
            <w:tcW w:w="1039"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27,199</w:t>
            </w:r>
          </w:p>
        </w:tc>
        <w:tc>
          <w:tcPr>
            <w:tcW w:w="1040"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25,303</w:t>
            </w:r>
          </w:p>
        </w:tc>
      </w:tr>
      <w:tr w:rsidR="00473BDE" w:rsidRPr="00473BDE" w:rsidTr="00473BDE">
        <w:trPr>
          <w:trHeight w:val="300"/>
        </w:trPr>
        <w:tc>
          <w:tcPr>
            <w:tcW w:w="1860" w:type="dxa"/>
            <w:tcBorders>
              <w:top w:val="nil"/>
              <w:left w:val="nil"/>
              <w:bottom w:val="nil"/>
              <w:right w:val="nil"/>
            </w:tcBorders>
            <w:shd w:val="clear" w:color="000000" w:fill="7F7F7F"/>
            <w:noWrap/>
            <w:vAlign w:val="center"/>
            <w:hideMark/>
          </w:tcPr>
          <w:p w:rsidR="00473BDE" w:rsidRPr="00473BDE" w:rsidRDefault="00473BDE" w:rsidP="00473BDE">
            <w:pPr>
              <w:rPr>
                <w:rFonts w:cs="Arial"/>
                <w:b/>
                <w:bCs/>
                <w:color w:val="FFFFFF"/>
                <w:szCs w:val="18"/>
                <w:lang w:eastAsia="en-AU"/>
              </w:rPr>
            </w:pPr>
            <w:r w:rsidRPr="00473BDE">
              <w:rPr>
                <w:rFonts w:cs="Arial"/>
                <w:b/>
                <w:bCs/>
                <w:color w:val="FFFFFF"/>
                <w:szCs w:val="18"/>
                <w:lang w:eastAsia="en-AU"/>
              </w:rPr>
              <w:t>Total</w:t>
            </w:r>
          </w:p>
        </w:tc>
        <w:tc>
          <w:tcPr>
            <w:tcW w:w="1039" w:type="dxa"/>
            <w:tcBorders>
              <w:top w:val="nil"/>
              <w:left w:val="nil"/>
              <w:bottom w:val="nil"/>
              <w:right w:val="nil"/>
            </w:tcBorders>
            <w:shd w:val="clear" w:color="000000" w:fill="7F7F7F"/>
            <w:noWrap/>
            <w:vAlign w:val="center"/>
            <w:hideMark/>
          </w:tcPr>
          <w:p w:rsidR="00473BDE" w:rsidRPr="00473BDE" w:rsidRDefault="00473BDE" w:rsidP="00473BDE">
            <w:pPr>
              <w:jc w:val="right"/>
              <w:rPr>
                <w:rFonts w:cs="Arial"/>
                <w:b/>
                <w:bCs/>
                <w:color w:val="FFFFFF"/>
                <w:szCs w:val="18"/>
                <w:lang w:eastAsia="en-AU"/>
              </w:rPr>
            </w:pPr>
            <w:r w:rsidRPr="00473BDE">
              <w:rPr>
                <w:rFonts w:cs="Arial"/>
                <w:b/>
                <w:bCs/>
                <w:color w:val="FFFFFF"/>
                <w:szCs w:val="18"/>
                <w:lang w:eastAsia="en-AU"/>
              </w:rPr>
              <w:t>247,685</w:t>
            </w:r>
          </w:p>
        </w:tc>
        <w:tc>
          <w:tcPr>
            <w:tcW w:w="1039" w:type="dxa"/>
            <w:tcBorders>
              <w:top w:val="nil"/>
              <w:left w:val="nil"/>
              <w:bottom w:val="nil"/>
              <w:right w:val="nil"/>
            </w:tcBorders>
            <w:shd w:val="clear" w:color="000000" w:fill="7F7F7F"/>
            <w:noWrap/>
            <w:vAlign w:val="center"/>
            <w:hideMark/>
          </w:tcPr>
          <w:p w:rsidR="00473BDE" w:rsidRPr="00473BDE" w:rsidRDefault="00473BDE" w:rsidP="00473BDE">
            <w:pPr>
              <w:jc w:val="right"/>
              <w:rPr>
                <w:rFonts w:cs="Arial"/>
                <w:b/>
                <w:bCs/>
                <w:color w:val="FFFFFF"/>
                <w:szCs w:val="18"/>
                <w:lang w:eastAsia="en-AU"/>
              </w:rPr>
            </w:pPr>
            <w:r w:rsidRPr="00473BDE">
              <w:rPr>
                <w:rFonts w:cs="Arial"/>
                <w:b/>
                <w:bCs/>
                <w:color w:val="FFFFFF"/>
                <w:szCs w:val="18"/>
                <w:lang w:eastAsia="en-AU"/>
              </w:rPr>
              <w:t>309,420</w:t>
            </w:r>
          </w:p>
        </w:tc>
        <w:tc>
          <w:tcPr>
            <w:tcW w:w="1039" w:type="dxa"/>
            <w:tcBorders>
              <w:top w:val="nil"/>
              <w:left w:val="nil"/>
              <w:bottom w:val="nil"/>
              <w:right w:val="nil"/>
            </w:tcBorders>
            <w:shd w:val="clear" w:color="000000" w:fill="7F7F7F"/>
            <w:noWrap/>
            <w:vAlign w:val="center"/>
            <w:hideMark/>
          </w:tcPr>
          <w:p w:rsidR="00473BDE" w:rsidRPr="00473BDE" w:rsidRDefault="00473BDE" w:rsidP="00473BDE">
            <w:pPr>
              <w:jc w:val="right"/>
              <w:rPr>
                <w:rFonts w:cs="Arial"/>
                <w:b/>
                <w:bCs/>
                <w:color w:val="FFFFFF"/>
                <w:szCs w:val="18"/>
                <w:lang w:eastAsia="en-AU"/>
              </w:rPr>
            </w:pPr>
            <w:r w:rsidRPr="00473BDE">
              <w:rPr>
                <w:rFonts w:cs="Arial"/>
                <w:b/>
                <w:bCs/>
                <w:color w:val="FFFFFF"/>
                <w:szCs w:val="18"/>
                <w:lang w:eastAsia="en-AU"/>
              </w:rPr>
              <w:t>444,501</w:t>
            </w:r>
          </w:p>
        </w:tc>
        <w:tc>
          <w:tcPr>
            <w:tcW w:w="1039" w:type="dxa"/>
            <w:tcBorders>
              <w:top w:val="nil"/>
              <w:left w:val="nil"/>
              <w:bottom w:val="nil"/>
              <w:right w:val="nil"/>
            </w:tcBorders>
            <w:shd w:val="clear" w:color="000000" w:fill="7F7F7F"/>
            <w:noWrap/>
            <w:vAlign w:val="center"/>
            <w:hideMark/>
          </w:tcPr>
          <w:p w:rsidR="00473BDE" w:rsidRPr="00473BDE" w:rsidRDefault="00473BDE" w:rsidP="00473BDE">
            <w:pPr>
              <w:jc w:val="right"/>
              <w:rPr>
                <w:rFonts w:cs="Arial"/>
                <w:b/>
                <w:bCs/>
                <w:color w:val="FFFFFF"/>
                <w:szCs w:val="18"/>
                <w:lang w:eastAsia="en-AU"/>
              </w:rPr>
            </w:pPr>
            <w:r w:rsidRPr="00473BDE">
              <w:rPr>
                <w:rFonts w:cs="Arial"/>
                <w:b/>
                <w:bCs/>
                <w:color w:val="FFFFFF"/>
                <w:szCs w:val="18"/>
                <w:lang w:eastAsia="en-AU"/>
              </w:rPr>
              <w:t>383,963</w:t>
            </w:r>
          </w:p>
        </w:tc>
        <w:tc>
          <w:tcPr>
            <w:tcW w:w="1039" w:type="dxa"/>
            <w:tcBorders>
              <w:top w:val="nil"/>
              <w:left w:val="nil"/>
              <w:bottom w:val="nil"/>
              <w:right w:val="nil"/>
            </w:tcBorders>
            <w:shd w:val="clear" w:color="000000" w:fill="7F7F7F"/>
            <w:noWrap/>
            <w:vAlign w:val="center"/>
            <w:hideMark/>
          </w:tcPr>
          <w:p w:rsidR="00473BDE" w:rsidRPr="00473BDE" w:rsidRDefault="00473BDE" w:rsidP="00473BDE">
            <w:pPr>
              <w:jc w:val="right"/>
              <w:rPr>
                <w:rFonts w:cs="Arial"/>
                <w:b/>
                <w:bCs/>
                <w:color w:val="FFFFFF"/>
                <w:szCs w:val="18"/>
                <w:lang w:eastAsia="en-AU"/>
              </w:rPr>
            </w:pPr>
            <w:r w:rsidRPr="00473BDE">
              <w:rPr>
                <w:rFonts w:cs="Arial"/>
                <w:b/>
                <w:bCs/>
                <w:color w:val="FFFFFF"/>
                <w:szCs w:val="18"/>
                <w:lang w:eastAsia="en-AU"/>
              </w:rPr>
              <w:t>362,784</w:t>
            </w:r>
          </w:p>
        </w:tc>
        <w:tc>
          <w:tcPr>
            <w:tcW w:w="1040" w:type="dxa"/>
            <w:tcBorders>
              <w:top w:val="nil"/>
              <w:left w:val="nil"/>
              <w:bottom w:val="nil"/>
              <w:right w:val="nil"/>
            </w:tcBorders>
            <w:shd w:val="clear" w:color="000000" w:fill="7F7F7F"/>
            <w:noWrap/>
            <w:vAlign w:val="center"/>
            <w:hideMark/>
          </w:tcPr>
          <w:p w:rsidR="00473BDE" w:rsidRPr="00473BDE" w:rsidRDefault="00473BDE" w:rsidP="00473BDE">
            <w:pPr>
              <w:jc w:val="right"/>
              <w:rPr>
                <w:rFonts w:cs="Arial"/>
                <w:b/>
                <w:bCs/>
                <w:color w:val="FFFFFF"/>
                <w:szCs w:val="18"/>
                <w:lang w:eastAsia="en-AU"/>
              </w:rPr>
            </w:pPr>
            <w:r w:rsidRPr="00473BDE">
              <w:rPr>
                <w:rFonts w:cs="Arial"/>
                <w:b/>
                <w:bCs/>
                <w:color w:val="FFFFFF"/>
                <w:szCs w:val="18"/>
                <w:lang w:eastAsia="en-AU"/>
              </w:rPr>
              <w:t>310,089</w:t>
            </w:r>
          </w:p>
        </w:tc>
      </w:tr>
    </w:tbl>
    <w:p w:rsidR="00377C7D" w:rsidRPr="001D446D" w:rsidRDefault="00377C7D"/>
    <w:p w:rsidR="00983704" w:rsidRPr="001D446D" w:rsidRDefault="00983704">
      <w:pPr>
        <w:rPr>
          <w:color w:val="7F7F7F" w:themeColor="text2"/>
          <w:szCs w:val="18"/>
        </w:rPr>
      </w:pP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9A601D" w:rsidTr="009A601D">
        <w:tc>
          <w:tcPr>
            <w:tcW w:w="1134" w:type="dxa"/>
            <w:tcMar>
              <w:left w:w="0" w:type="dxa"/>
              <w:right w:w="0" w:type="dxa"/>
            </w:tcMar>
          </w:tcPr>
          <w:p w:rsidR="009A601D" w:rsidRDefault="009A601D" w:rsidP="00C33510">
            <w:pPr>
              <w:pStyle w:val="Quote"/>
              <w:tabs>
                <w:tab w:val="left" w:pos="1134"/>
              </w:tabs>
              <w:rPr>
                <w:b w:val="0"/>
                <w:color w:val="B41F22" w:themeColor="accent1"/>
              </w:rPr>
            </w:pPr>
            <w:r>
              <w:rPr>
                <w:b w:val="0"/>
                <w:color w:val="B41F22" w:themeColor="accent1"/>
              </w:rPr>
              <w:t>Table 1.</w:t>
            </w:r>
            <w:r w:rsidR="00CB6C79">
              <w:rPr>
                <w:b w:val="0"/>
                <w:color w:val="B41F22" w:themeColor="accent1"/>
              </w:rPr>
              <w:t>10</w:t>
            </w:r>
            <w:r>
              <w:rPr>
                <w:b w:val="0"/>
                <w:color w:val="B41F22" w:themeColor="accent1"/>
              </w:rPr>
              <w:t>.2:</w:t>
            </w:r>
          </w:p>
        </w:tc>
        <w:tc>
          <w:tcPr>
            <w:tcW w:w="6946" w:type="dxa"/>
            <w:tcMar>
              <w:left w:w="0" w:type="dxa"/>
              <w:right w:w="0" w:type="dxa"/>
            </w:tcMar>
          </w:tcPr>
          <w:p w:rsidR="009A601D" w:rsidRDefault="009A601D" w:rsidP="009A601D">
            <w:pPr>
              <w:pStyle w:val="Quote"/>
              <w:tabs>
                <w:tab w:val="left" w:pos="1134"/>
              </w:tabs>
              <w:rPr>
                <w:b w:val="0"/>
                <w:color w:val="B41F22" w:themeColor="accent1"/>
              </w:rPr>
            </w:pPr>
            <w:r w:rsidRPr="00EB78D8">
              <w:rPr>
                <w:b w:val="0"/>
                <w:color w:val="B41F22" w:themeColor="accent1"/>
              </w:rPr>
              <w:t>Change in number of government subsidised enrolments in accredited training by sector (half year)</w:t>
            </w:r>
          </w:p>
        </w:tc>
      </w:tr>
    </w:tbl>
    <w:tbl>
      <w:tblPr>
        <w:tblW w:w="8095" w:type="dxa"/>
        <w:tblInd w:w="93" w:type="dxa"/>
        <w:tblLayout w:type="fixed"/>
        <w:tblLook w:val="04A0" w:firstRow="1" w:lastRow="0" w:firstColumn="1" w:lastColumn="0" w:noHBand="0" w:noVBand="1"/>
      </w:tblPr>
      <w:tblGrid>
        <w:gridCol w:w="1860"/>
        <w:gridCol w:w="1247"/>
        <w:gridCol w:w="1247"/>
        <w:gridCol w:w="1247"/>
        <w:gridCol w:w="1247"/>
        <w:gridCol w:w="1247"/>
      </w:tblGrid>
      <w:tr w:rsidR="00473BDE" w:rsidRPr="00473BDE" w:rsidTr="00473BDE">
        <w:trPr>
          <w:trHeight w:val="720"/>
        </w:trPr>
        <w:tc>
          <w:tcPr>
            <w:tcW w:w="1860" w:type="dxa"/>
            <w:tcBorders>
              <w:top w:val="nil"/>
              <w:left w:val="nil"/>
              <w:bottom w:val="nil"/>
              <w:right w:val="nil"/>
            </w:tcBorders>
            <w:shd w:val="clear" w:color="000000" w:fill="7F7F7F"/>
            <w:noWrap/>
            <w:vAlign w:val="center"/>
            <w:hideMark/>
          </w:tcPr>
          <w:p w:rsidR="00473BDE" w:rsidRPr="00473BDE" w:rsidRDefault="00473BDE" w:rsidP="00473BDE">
            <w:pPr>
              <w:rPr>
                <w:rFonts w:cs="Arial"/>
                <w:color w:val="FFFFFF"/>
                <w:szCs w:val="18"/>
                <w:lang w:eastAsia="en-AU"/>
              </w:rPr>
            </w:pPr>
            <w:r w:rsidRPr="00473BDE">
              <w:rPr>
                <w:rFonts w:cs="Arial"/>
                <w:color w:val="FFFFFF"/>
                <w:szCs w:val="18"/>
                <w:lang w:eastAsia="en-AU"/>
              </w:rPr>
              <w:t> </w:t>
            </w:r>
          </w:p>
        </w:tc>
        <w:tc>
          <w:tcPr>
            <w:tcW w:w="1247" w:type="dxa"/>
            <w:tcBorders>
              <w:top w:val="nil"/>
              <w:left w:val="nil"/>
              <w:bottom w:val="nil"/>
              <w:right w:val="nil"/>
            </w:tcBorders>
            <w:shd w:val="clear" w:color="000000" w:fill="7F7F7F"/>
            <w:vAlign w:val="center"/>
            <w:hideMark/>
          </w:tcPr>
          <w:p w:rsidR="00473BDE" w:rsidRPr="00473BDE" w:rsidRDefault="00473BDE" w:rsidP="00473BDE">
            <w:pPr>
              <w:jc w:val="right"/>
              <w:rPr>
                <w:rFonts w:cs="Arial"/>
                <w:b/>
                <w:bCs/>
                <w:color w:val="FFFFFF"/>
                <w:szCs w:val="18"/>
                <w:lang w:eastAsia="en-AU"/>
              </w:rPr>
            </w:pPr>
            <w:r w:rsidRPr="00473BDE">
              <w:rPr>
                <w:rFonts w:cs="Arial"/>
                <w:b/>
                <w:bCs/>
                <w:color w:val="FFFFFF"/>
                <w:szCs w:val="18"/>
                <w:lang w:eastAsia="en-AU"/>
              </w:rPr>
              <w:t>% change 2010 to 2015</w:t>
            </w:r>
          </w:p>
        </w:tc>
        <w:tc>
          <w:tcPr>
            <w:tcW w:w="1247" w:type="dxa"/>
            <w:tcBorders>
              <w:top w:val="nil"/>
              <w:left w:val="nil"/>
              <w:bottom w:val="nil"/>
              <w:right w:val="nil"/>
            </w:tcBorders>
            <w:shd w:val="clear" w:color="000000" w:fill="7F7F7F"/>
            <w:vAlign w:val="center"/>
            <w:hideMark/>
          </w:tcPr>
          <w:p w:rsidR="00473BDE" w:rsidRPr="00473BDE" w:rsidRDefault="00473BDE" w:rsidP="00473BDE">
            <w:pPr>
              <w:jc w:val="right"/>
              <w:rPr>
                <w:rFonts w:cs="Arial"/>
                <w:b/>
                <w:bCs/>
                <w:color w:val="FFFFFF"/>
                <w:szCs w:val="18"/>
                <w:lang w:eastAsia="en-AU"/>
              </w:rPr>
            </w:pPr>
            <w:r w:rsidRPr="00473BDE">
              <w:rPr>
                <w:rFonts w:cs="Arial"/>
                <w:b/>
                <w:bCs/>
                <w:color w:val="FFFFFF"/>
                <w:szCs w:val="18"/>
                <w:lang w:eastAsia="en-AU"/>
              </w:rPr>
              <w:t>% change 2011 to 2015</w:t>
            </w:r>
          </w:p>
        </w:tc>
        <w:tc>
          <w:tcPr>
            <w:tcW w:w="1247" w:type="dxa"/>
            <w:tcBorders>
              <w:top w:val="nil"/>
              <w:left w:val="nil"/>
              <w:bottom w:val="nil"/>
              <w:right w:val="nil"/>
            </w:tcBorders>
            <w:shd w:val="clear" w:color="000000" w:fill="7F7F7F"/>
            <w:vAlign w:val="center"/>
            <w:hideMark/>
          </w:tcPr>
          <w:p w:rsidR="00473BDE" w:rsidRPr="00473BDE" w:rsidRDefault="00473BDE" w:rsidP="00473BDE">
            <w:pPr>
              <w:jc w:val="right"/>
              <w:rPr>
                <w:rFonts w:cs="Arial"/>
                <w:b/>
                <w:bCs/>
                <w:color w:val="FFFFFF"/>
                <w:szCs w:val="18"/>
                <w:lang w:eastAsia="en-AU"/>
              </w:rPr>
            </w:pPr>
            <w:r w:rsidRPr="00473BDE">
              <w:rPr>
                <w:rFonts w:cs="Arial"/>
                <w:b/>
                <w:bCs/>
                <w:color w:val="FFFFFF"/>
                <w:szCs w:val="18"/>
                <w:lang w:eastAsia="en-AU"/>
              </w:rPr>
              <w:t>% change 2012 to 2015</w:t>
            </w:r>
          </w:p>
        </w:tc>
        <w:tc>
          <w:tcPr>
            <w:tcW w:w="1247" w:type="dxa"/>
            <w:tcBorders>
              <w:top w:val="nil"/>
              <w:left w:val="nil"/>
              <w:bottom w:val="nil"/>
              <w:right w:val="nil"/>
            </w:tcBorders>
            <w:shd w:val="clear" w:color="000000" w:fill="7F7F7F"/>
            <w:vAlign w:val="center"/>
            <w:hideMark/>
          </w:tcPr>
          <w:p w:rsidR="00473BDE" w:rsidRPr="00473BDE" w:rsidRDefault="00473BDE" w:rsidP="00473BDE">
            <w:pPr>
              <w:jc w:val="right"/>
              <w:rPr>
                <w:rFonts w:cs="Arial"/>
                <w:b/>
                <w:bCs/>
                <w:color w:val="FFFFFF"/>
                <w:szCs w:val="18"/>
                <w:lang w:eastAsia="en-AU"/>
              </w:rPr>
            </w:pPr>
            <w:r w:rsidRPr="00473BDE">
              <w:rPr>
                <w:rFonts w:cs="Arial"/>
                <w:b/>
                <w:bCs/>
                <w:color w:val="FFFFFF"/>
                <w:szCs w:val="18"/>
                <w:lang w:eastAsia="en-AU"/>
              </w:rPr>
              <w:t>% change 2013 to 2015</w:t>
            </w:r>
          </w:p>
        </w:tc>
        <w:tc>
          <w:tcPr>
            <w:tcW w:w="1247" w:type="dxa"/>
            <w:tcBorders>
              <w:top w:val="nil"/>
              <w:left w:val="nil"/>
              <w:bottom w:val="nil"/>
              <w:right w:val="nil"/>
            </w:tcBorders>
            <w:shd w:val="clear" w:color="000000" w:fill="7F7F7F"/>
            <w:vAlign w:val="center"/>
            <w:hideMark/>
          </w:tcPr>
          <w:p w:rsidR="00473BDE" w:rsidRPr="00473BDE" w:rsidRDefault="00473BDE" w:rsidP="00473BDE">
            <w:pPr>
              <w:jc w:val="right"/>
              <w:rPr>
                <w:rFonts w:cs="Arial"/>
                <w:b/>
                <w:bCs/>
                <w:color w:val="FFFFFF"/>
                <w:szCs w:val="18"/>
                <w:lang w:eastAsia="en-AU"/>
              </w:rPr>
            </w:pPr>
            <w:r w:rsidRPr="00473BDE">
              <w:rPr>
                <w:rFonts w:cs="Arial"/>
                <w:b/>
                <w:bCs/>
                <w:color w:val="FFFFFF"/>
                <w:szCs w:val="18"/>
                <w:lang w:eastAsia="en-AU"/>
              </w:rPr>
              <w:t>% change 2014 to 2015</w:t>
            </w:r>
          </w:p>
        </w:tc>
      </w:tr>
      <w:tr w:rsidR="00473BDE" w:rsidRPr="00473BDE" w:rsidTr="00473BDE">
        <w:trPr>
          <w:trHeight w:val="300"/>
        </w:trPr>
        <w:tc>
          <w:tcPr>
            <w:tcW w:w="1860" w:type="dxa"/>
            <w:tcBorders>
              <w:top w:val="nil"/>
              <w:left w:val="nil"/>
              <w:bottom w:val="nil"/>
              <w:right w:val="nil"/>
            </w:tcBorders>
            <w:shd w:val="clear" w:color="auto" w:fill="auto"/>
            <w:noWrap/>
            <w:vAlign w:val="center"/>
            <w:hideMark/>
          </w:tcPr>
          <w:p w:rsidR="00473BDE" w:rsidRPr="00473BDE" w:rsidRDefault="00473BDE" w:rsidP="00473BDE">
            <w:pPr>
              <w:rPr>
                <w:rFonts w:cs="Arial"/>
                <w:color w:val="7F7F7F"/>
                <w:szCs w:val="18"/>
                <w:lang w:eastAsia="en-AU"/>
              </w:rPr>
            </w:pPr>
            <w:r w:rsidRPr="00473BDE">
              <w:rPr>
                <w:rFonts w:cs="Arial"/>
                <w:color w:val="7F7F7F"/>
                <w:szCs w:val="18"/>
                <w:lang w:eastAsia="en-AU"/>
              </w:rPr>
              <w:t>Private RTO</w:t>
            </w:r>
          </w:p>
        </w:tc>
        <w:tc>
          <w:tcPr>
            <w:tcW w:w="1247"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248%</w:t>
            </w:r>
          </w:p>
        </w:tc>
        <w:tc>
          <w:tcPr>
            <w:tcW w:w="1247"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63%</w:t>
            </w:r>
          </w:p>
        </w:tc>
        <w:tc>
          <w:tcPr>
            <w:tcW w:w="1247"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-9%</w:t>
            </w:r>
          </w:p>
        </w:tc>
        <w:tc>
          <w:tcPr>
            <w:tcW w:w="1247"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2%</w:t>
            </w:r>
          </w:p>
        </w:tc>
        <w:tc>
          <w:tcPr>
            <w:tcW w:w="1247"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-15%</w:t>
            </w:r>
          </w:p>
        </w:tc>
      </w:tr>
      <w:tr w:rsidR="00473BDE" w:rsidRPr="00473BDE" w:rsidTr="00473BDE">
        <w:trPr>
          <w:trHeight w:val="300"/>
        </w:trPr>
        <w:tc>
          <w:tcPr>
            <w:tcW w:w="1860" w:type="dxa"/>
            <w:tcBorders>
              <w:top w:val="nil"/>
              <w:left w:val="nil"/>
              <w:bottom w:val="nil"/>
              <w:right w:val="nil"/>
            </w:tcBorders>
            <w:shd w:val="clear" w:color="auto" w:fill="auto"/>
            <w:noWrap/>
            <w:vAlign w:val="center"/>
            <w:hideMark/>
          </w:tcPr>
          <w:p w:rsidR="00473BDE" w:rsidRPr="00473BDE" w:rsidRDefault="00473BDE" w:rsidP="00473BDE">
            <w:pPr>
              <w:rPr>
                <w:rFonts w:cs="Arial"/>
                <w:color w:val="7F7F7F"/>
                <w:szCs w:val="18"/>
                <w:lang w:eastAsia="en-AU"/>
              </w:rPr>
            </w:pPr>
            <w:r w:rsidRPr="00473BDE">
              <w:rPr>
                <w:rFonts w:cs="Arial"/>
                <w:color w:val="7F7F7F"/>
                <w:szCs w:val="18"/>
                <w:lang w:eastAsia="en-AU"/>
              </w:rPr>
              <w:t>Learn Local</w:t>
            </w:r>
          </w:p>
        </w:tc>
        <w:tc>
          <w:tcPr>
            <w:tcW w:w="1247"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-22%</w:t>
            </w:r>
          </w:p>
        </w:tc>
        <w:tc>
          <w:tcPr>
            <w:tcW w:w="1247"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-11%</w:t>
            </w:r>
          </w:p>
        </w:tc>
        <w:tc>
          <w:tcPr>
            <w:tcW w:w="1247"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-39%</w:t>
            </w:r>
          </w:p>
        </w:tc>
        <w:tc>
          <w:tcPr>
            <w:tcW w:w="1247"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-23%</w:t>
            </w:r>
          </w:p>
        </w:tc>
        <w:tc>
          <w:tcPr>
            <w:tcW w:w="1247"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-9%</w:t>
            </w:r>
          </w:p>
        </w:tc>
      </w:tr>
      <w:tr w:rsidR="00473BDE" w:rsidRPr="00473BDE" w:rsidTr="00473BDE">
        <w:trPr>
          <w:trHeight w:val="300"/>
        </w:trPr>
        <w:tc>
          <w:tcPr>
            <w:tcW w:w="8095" w:type="dxa"/>
            <w:gridSpan w:val="6"/>
            <w:tcBorders>
              <w:top w:val="nil"/>
              <w:left w:val="nil"/>
              <w:bottom w:val="nil"/>
              <w:right w:val="nil"/>
            </w:tcBorders>
            <w:shd w:val="clear" w:color="auto" w:fill="auto"/>
            <w:noWrap/>
            <w:vAlign w:val="center"/>
            <w:hideMark/>
          </w:tcPr>
          <w:p w:rsidR="00473BDE" w:rsidRPr="00473BDE" w:rsidRDefault="00473BDE" w:rsidP="00473BDE">
            <w:pPr>
              <w:rPr>
                <w:rFonts w:cs="Arial"/>
                <w:b/>
                <w:bCs/>
                <w:color w:val="7F7F7F"/>
                <w:szCs w:val="18"/>
                <w:lang w:eastAsia="en-AU"/>
              </w:rPr>
            </w:pPr>
            <w:r w:rsidRPr="00473BDE">
              <w:rPr>
                <w:rFonts w:cs="Arial"/>
                <w:b/>
                <w:bCs/>
                <w:color w:val="7F7F7F"/>
                <w:szCs w:val="18"/>
                <w:lang w:eastAsia="en-AU"/>
              </w:rPr>
              <w:t>TAFE and University</w:t>
            </w:r>
          </w:p>
        </w:tc>
      </w:tr>
      <w:tr w:rsidR="00473BDE" w:rsidRPr="00473BDE" w:rsidTr="00473BDE">
        <w:trPr>
          <w:trHeight w:val="300"/>
        </w:trPr>
        <w:tc>
          <w:tcPr>
            <w:tcW w:w="1860" w:type="dxa"/>
            <w:tcBorders>
              <w:top w:val="nil"/>
              <w:left w:val="nil"/>
              <w:bottom w:val="nil"/>
              <w:right w:val="nil"/>
            </w:tcBorders>
            <w:shd w:val="clear" w:color="auto" w:fill="auto"/>
            <w:noWrap/>
            <w:vAlign w:val="center"/>
            <w:hideMark/>
          </w:tcPr>
          <w:p w:rsidR="00473BDE" w:rsidRPr="00473BDE" w:rsidRDefault="00473BDE" w:rsidP="00473BDE">
            <w:pPr>
              <w:ind w:firstLineChars="200" w:firstLine="360"/>
              <w:rPr>
                <w:rFonts w:cs="Arial"/>
                <w:color w:val="7F7F7F"/>
                <w:szCs w:val="18"/>
                <w:lang w:eastAsia="en-AU"/>
              </w:rPr>
            </w:pPr>
            <w:r w:rsidRPr="00473BDE">
              <w:rPr>
                <w:rFonts w:cs="Arial"/>
                <w:color w:val="7F7F7F"/>
                <w:szCs w:val="18"/>
                <w:lang w:eastAsia="en-AU"/>
              </w:rPr>
              <w:t>TAFE</w:t>
            </w:r>
          </w:p>
        </w:tc>
        <w:tc>
          <w:tcPr>
            <w:tcW w:w="1247"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-32%</w:t>
            </w:r>
          </w:p>
        </w:tc>
        <w:tc>
          <w:tcPr>
            <w:tcW w:w="1247"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-35%</w:t>
            </w:r>
          </w:p>
        </w:tc>
        <w:tc>
          <w:tcPr>
            <w:tcW w:w="1247"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-47%</w:t>
            </w:r>
          </w:p>
        </w:tc>
        <w:tc>
          <w:tcPr>
            <w:tcW w:w="1247"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-40%</w:t>
            </w:r>
          </w:p>
        </w:tc>
        <w:tc>
          <w:tcPr>
            <w:tcW w:w="1247"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-18%</w:t>
            </w:r>
          </w:p>
        </w:tc>
      </w:tr>
      <w:tr w:rsidR="00473BDE" w:rsidRPr="00473BDE" w:rsidTr="00473BDE">
        <w:trPr>
          <w:trHeight w:val="300"/>
        </w:trPr>
        <w:tc>
          <w:tcPr>
            <w:tcW w:w="1860" w:type="dxa"/>
            <w:tcBorders>
              <w:top w:val="nil"/>
              <w:left w:val="nil"/>
              <w:bottom w:val="nil"/>
              <w:right w:val="nil"/>
            </w:tcBorders>
            <w:shd w:val="clear" w:color="auto" w:fill="auto"/>
            <w:noWrap/>
            <w:vAlign w:val="center"/>
            <w:hideMark/>
          </w:tcPr>
          <w:p w:rsidR="00473BDE" w:rsidRPr="00473BDE" w:rsidRDefault="00473BDE" w:rsidP="00473BDE">
            <w:pPr>
              <w:ind w:firstLineChars="200" w:firstLine="360"/>
              <w:rPr>
                <w:rFonts w:cs="Arial"/>
                <w:color w:val="7F7F7F"/>
                <w:szCs w:val="18"/>
                <w:lang w:eastAsia="en-AU"/>
              </w:rPr>
            </w:pPr>
            <w:r w:rsidRPr="00473BDE">
              <w:rPr>
                <w:rFonts w:cs="Arial"/>
                <w:color w:val="7F7F7F"/>
                <w:szCs w:val="18"/>
                <w:lang w:eastAsia="en-AU"/>
              </w:rPr>
              <w:t>University</w:t>
            </w:r>
          </w:p>
        </w:tc>
        <w:tc>
          <w:tcPr>
            <w:tcW w:w="1247"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-48%</w:t>
            </w:r>
          </w:p>
        </w:tc>
        <w:tc>
          <w:tcPr>
            <w:tcW w:w="1247"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-48%</w:t>
            </w:r>
          </w:p>
        </w:tc>
        <w:tc>
          <w:tcPr>
            <w:tcW w:w="1247"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-54%</w:t>
            </w:r>
          </w:p>
        </w:tc>
        <w:tc>
          <w:tcPr>
            <w:tcW w:w="1247"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-38%</w:t>
            </w:r>
          </w:p>
        </w:tc>
        <w:tc>
          <w:tcPr>
            <w:tcW w:w="1247"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-7%</w:t>
            </w:r>
          </w:p>
        </w:tc>
      </w:tr>
      <w:tr w:rsidR="00473BDE" w:rsidRPr="00473BDE" w:rsidTr="00473BDE">
        <w:trPr>
          <w:trHeight w:val="300"/>
        </w:trPr>
        <w:tc>
          <w:tcPr>
            <w:tcW w:w="1860" w:type="dxa"/>
            <w:tcBorders>
              <w:top w:val="nil"/>
              <w:left w:val="nil"/>
              <w:bottom w:val="nil"/>
              <w:right w:val="nil"/>
            </w:tcBorders>
            <w:shd w:val="clear" w:color="000000" w:fill="7F7F7F"/>
            <w:noWrap/>
            <w:vAlign w:val="center"/>
            <w:hideMark/>
          </w:tcPr>
          <w:p w:rsidR="00473BDE" w:rsidRPr="00473BDE" w:rsidRDefault="00473BDE" w:rsidP="00473BDE">
            <w:pPr>
              <w:rPr>
                <w:rFonts w:cs="Arial"/>
                <w:b/>
                <w:bCs/>
                <w:color w:val="FFFFFF"/>
                <w:szCs w:val="18"/>
                <w:lang w:eastAsia="en-AU"/>
              </w:rPr>
            </w:pPr>
            <w:r w:rsidRPr="00473BDE">
              <w:rPr>
                <w:rFonts w:cs="Arial"/>
                <w:b/>
                <w:bCs/>
                <w:color w:val="FFFFFF"/>
                <w:szCs w:val="18"/>
                <w:lang w:eastAsia="en-AU"/>
              </w:rPr>
              <w:t>Total</w:t>
            </w:r>
          </w:p>
        </w:tc>
        <w:tc>
          <w:tcPr>
            <w:tcW w:w="1247" w:type="dxa"/>
            <w:tcBorders>
              <w:top w:val="nil"/>
              <w:left w:val="nil"/>
              <w:bottom w:val="nil"/>
              <w:right w:val="nil"/>
            </w:tcBorders>
            <w:shd w:val="clear" w:color="000000" w:fill="7F7F7F"/>
            <w:noWrap/>
            <w:vAlign w:val="center"/>
            <w:hideMark/>
          </w:tcPr>
          <w:p w:rsidR="00473BDE" w:rsidRPr="00473BDE" w:rsidRDefault="00473BDE" w:rsidP="00473BDE">
            <w:pPr>
              <w:jc w:val="right"/>
              <w:rPr>
                <w:rFonts w:cs="Arial"/>
                <w:b/>
                <w:bCs/>
                <w:color w:val="FFFFFF"/>
                <w:szCs w:val="18"/>
                <w:lang w:eastAsia="en-AU"/>
              </w:rPr>
            </w:pPr>
            <w:r w:rsidRPr="00473BDE">
              <w:rPr>
                <w:rFonts w:cs="Arial"/>
                <w:b/>
                <w:bCs/>
                <w:color w:val="FFFFFF"/>
                <w:szCs w:val="18"/>
                <w:lang w:eastAsia="en-AU"/>
              </w:rPr>
              <w:t>25%</w:t>
            </w:r>
          </w:p>
        </w:tc>
        <w:tc>
          <w:tcPr>
            <w:tcW w:w="1247" w:type="dxa"/>
            <w:tcBorders>
              <w:top w:val="nil"/>
              <w:left w:val="nil"/>
              <w:bottom w:val="nil"/>
              <w:right w:val="nil"/>
            </w:tcBorders>
            <w:shd w:val="clear" w:color="000000" w:fill="7F7F7F"/>
            <w:noWrap/>
            <w:vAlign w:val="center"/>
            <w:hideMark/>
          </w:tcPr>
          <w:p w:rsidR="00473BDE" w:rsidRPr="00473BDE" w:rsidRDefault="00473BDE" w:rsidP="00473BDE">
            <w:pPr>
              <w:jc w:val="right"/>
              <w:rPr>
                <w:rFonts w:cs="Arial"/>
                <w:b/>
                <w:bCs/>
                <w:color w:val="FFFFFF"/>
                <w:szCs w:val="18"/>
                <w:lang w:eastAsia="en-AU"/>
              </w:rPr>
            </w:pPr>
            <w:r w:rsidRPr="00473BDE">
              <w:rPr>
                <w:rFonts w:cs="Arial"/>
                <w:b/>
                <w:bCs/>
                <w:color w:val="FFFFFF"/>
                <w:szCs w:val="18"/>
                <w:lang w:eastAsia="en-AU"/>
              </w:rPr>
              <w:t>0%</w:t>
            </w:r>
          </w:p>
        </w:tc>
        <w:tc>
          <w:tcPr>
            <w:tcW w:w="1247" w:type="dxa"/>
            <w:tcBorders>
              <w:top w:val="nil"/>
              <w:left w:val="nil"/>
              <w:bottom w:val="nil"/>
              <w:right w:val="nil"/>
            </w:tcBorders>
            <w:shd w:val="clear" w:color="000000" w:fill="7F7F7F"/>
            <w:noWrap/>
            <w:vAlign w:val="center"/>
            <w:hideMark/>
          </w:tcPr>
          <w:p w:rsidR="00473BDE" w:rsidRPr="00473BDE" w:rsidRDefault="00473BDE" w:rsidP="00473BDE">
            <w:pPr>
              <w:jc w:val="right"/>
              <w:rPr>
                <w:rFonts w:cs="Arial"/>
                <w:b/>
                <w:bCs/>
                <w:color w:val="FFFFFF"/>
                <w:szCs w:val="18"/>
                <w:lang w:eastAsia="en-AU"/>
              </w:rPr>
            </w:pPr>
            <w:r w:rsidRPr="00473BDE">
              <w:rPr>
                <w:rFonts w:cs="Arial"/>
                <w:b/>
                <w:bCs/>
                <w:color w:val="FFFFFF"/>
                <w:szCs w:val="18"/>
                <w:lang w:eastAsia="en-AU"/>
              </w:rPr>
              <w:t>-30%</w:t>
            </w:r>
          </w:p>
        </w:tc>
        <w:tc>
          <w:tcPr>
            <w:tcW w:w="1247" w:type="dxa"/>
            <w:tcBorders>
              <w:top w:val="nil"/>
              <w:left w:val="nil"/>
              <w:bottom w:val="nil"/>
              <w:right w:val="nil"/>
            </w:tcBorders>
            <w:shd w:val="clear" w:color="000000" w:fill="7F7F7F"/>
            <w:noWrap/>
            <w:vAlign w:val="center"/>
            <w:hideMark/>
          </w:tcPr>
          <w:p w:rsidR="00473BDE" w:rsidRPr="00473BDE" w:rsidRDefault="00473BDE" w:rsidP="00473BDE">
            <w:pPr>
              <w:jc w:val="right"/>
              <w:rPr>
                <w:rFonts w:cs="Arial"/>
                <w:b/>
                <w:bCs/>
                <w:color w:val="FFFFFF"/>
                <w:szCs w:val="18"/>
                <w:lang w:eastAsia="en-AU"/>
              </w:rPr>
            </w:pPr>
            <w:r w:rsidRPr="00473BDE">
              <w:rPr>
                <w:rFonts w:cs="Arial"/>
                <w:b/>
                <w:bCs/>
                <w:color w:val="FFFFFF"/>
                <w:szCs w:val="18"/>
                <w:lang w:eastAsia="en-AU"/>
              </w:rPr>
              <w:t>-19%</w:t>
            </w:r>
          </w:p>
        </w:tc>
        <w:tc>
          <w:tcPr>
            <w:tcW w:w="1247" w:type="dxa"/>
            <w:tcBorders>
              <w:top w:val="nil"/>
              <w:left w:val="nil"/>
              <w:bottom w:val="nil"/>
              <w:right w:val="nil"/>
            </w:tcBorders>
            <w:shd w:val="clear" w:color="000000" w:fill="7F7F7F"/>
            <w:noWrap/>
            <w:vAlign w:val="center"/>
            <w:hideMark/>
          </w:tcPr>
          <w:p w:rsidR="00473BDE" w:rsidRPr="00473BDE" w:rsidRDefault="00473BDE" w:rsidP="00473BDE">
            <w:pPr>
              <w:jc w:val="right"/>
              <w:rPr>
                <w:rFonts w:cs="Arial"/>
                <w:b/>
                <w:bCs/>
                <w:color w:val="FFFFFF"/>
                <w:szCs w:val="18"/>
                <w:lang w:eastAsia="en-AU"/>
              </w:rPr>
            </w:pPr>
            <w:r w:rsidRPr="00473BDE">
              <w:rPr>
                <w:rFonts w:cs="Arial"/>
                <w:b/>
                <w:bCs/>
                <w:color w:val="FFFFFF"/>
                <w:szCs w:val="18"/>
                <w:lang w:eastAsia="en-AU"/>
              </w:rPr>
              <w:t>-15%</w:t>
            </w:r>
          </w:p>
        </w:tc>
      </w:tr>
    </w:tbl>
    <w:p w:rsidR="004C6066" w:rsidRDefault="004C6066" w:rsidP="001D446D">
      <w:pPr>
        <w:pStyle w:val="Quote"/>
        <w:rPr>
          <w:b w:val="0"/>
          <w:sz w:val="18"/>
          <w:szCs w:val="18"/>
        </w:rPr>
      </w:pPr>
    </w:p>
    <w:p w:rsidR="001D446D" w:rsidRPr="001D446D" w:rsidRDefault="001D446D" w:rsidP="001D446D">
      <w:pPr>
        <w:pStyle w:val="Quote"/>
        <w:rPr>
          <w:b w:val="0"/>
          <w:sz w:val="18"/>
          <w:szCs w:val="18"/>
        </w:rPr>
      </w:pPr>
    </w:p>
    <w:p w:rsidR="000C2719" w:rsidRPr="00365EB2" w:rsidRDefault="000C2719" w:rsidP="001D446D">
      <w:pPr>
        <w:rPr>
          <w:b/>
          <w:color w:val="7F7F7F" w:themeColor="text2"/>
          <w:sz w:val="19"/>
          <w:szCs w:val="19"/>
        </w:rPr>
      </w:pPr>
      <w:r w:rsidRPr="00365EB2">
        <w:br w:type="page"/>
      </w: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9A601D" w:rsidTr="009A601D">
        <w:tc>
          <w:tcPr>
            <w:tcW w:w="1134" w:type="dxa"/>
            <w:tcMar>
              <w:left w:w="0" w:type="dxa"/>
              <w:right w:w="0" w:type="dxa"/>
            </w:tcMar>
          </w:tcPr>
          <w:p w:rsidR="009A601D" w:rsidRDefault="009A601D" w:rsidP="00CB6C79">
            <w:pPr>
              <w:pStyle w:val="Quote"/>
              <w:tabs>
                <w:tab w:val="left" w:pos="1134"/>
              </w:tabs>
              <w:rPr>
                <w:b w:val="0"/>
                <w:color w:val="B41F22" w:themeColor="accent1"/>
              </w:rPr>
            </w:pPr>
            <w:r>
              <w:rPr>
                <w:b w:val="0"/>
                <w:color w:val="B41F22" w:themeColor="accent1"/>
              </w:rPr>
              <w:lastRenderedPageBreak/>
              <w:t>Table 1.</w:t>
            </w:r>
            <w:r w:rsidR="00CB6C79">
              <w:rPr>
                <w:b w:val="0"/>
                <w:color w:val="B41F22" w:themeColor="accent1"/>
              </w:rPr>
              <w:t>11</w:t>
            </w:r>
            <w:r>
              <w:rPr>
                <w:b w:val="0"/>
                <w:color w:val="B41F22" w:themeColor="accent1"/>
              </w:rPr>
              <w:t>:</w:t>
            </w:r>
          </w:p>
        </w:tc>
        <w:tc>
          <w:tcPr>
            <w:tcW w:w="6946" w:type="dxa"/>
            <w:tcMar>
              <w:left w:w="0" w:type="dxa"/>
              <w:right w:w="0" w:type="dxa"/>
            </w:tcMar>
          </w:tcPr>
          <w:p w:rsidR="009A601D" w:rsidRDefault="009A601D" w:rsidP="009A601D">
            <w:pPr>
              <w:pStyle w:val="Quote"/>
              <w:tabs>
                <w:tab w:val="left" w:pos="1134"/>
              </w:tabs>
              <w:rPr>
                <w:b w:val="0"/>
                <w:color w:val="B41F22" w:themeColor="accent1"/>
              </w:rPr>
            </w:pPr>
            <w:r w:rsidRPr="00EB78D8">
              <w:rPr>
                <w:b w:val="0"/>
                <w:color w:val="B41F22" w:themeColor="accent1"/>
              </w:rPr>
              <w:t>Percentage share of government subsidised enrolments in accredited training for each year by sector, 2010 to 2015 (half year)</w:t>
            </w:r>
          </w:p>
        </w:tc>
      </w:tr>
    </w:tbl>
    <w:tbl>
      <w:tblPr>
        <w:tblW w:w="8095" w:type="dxa"/>
        <w:tblInd w:w="93" w:type="dxa"/>
        <w:tblLayout w:type="fixed"/>
        <w:tblLook w:val="04A0" w:firstRow="1" w:lastRow="0" w:firstColumn="1" w:lastColumn="0" w:noHBand="0" w:noVBand="1"/>
      </w:tblPr>
      <w:tblGrid>
        <w:gridCol w:w="1860"/>
        <w:gridCol w:w="1039"/>
        <w:gridCol w:w="1039"/>
        <w:gridCol w:w="1039"/>
        <w:gridCol w:w="1039"/>
        <w:gridCol w:w="1039"/>
        <w:gridCol w:w="1040"/>
      </w:tblGrid>
      <w:tr w:rsidR="00473BDE" w:rsidRPr="00473BDE" w:rsidTr="00473BDE">
        <w:trPr>
          <w:trHeight w:val="300"/>
        </w:trPr>
        <w:tc>
          <w:tcPr>
            <w:tcW w:w="1860" w:type="dxa"/>
            <w:tcBorders>
              <w:top w:val="nil"/>
              <w:left w:val="nil"/>
              <w:bottom w:val="nil"/>
              <w:right w:val="nil"/>
            </w:tcBorders>
            <w:shd w:val="clear" w:color="000000" w:fill="7F7F7F"/>
            <w:noWrap/>
            <w:vAlign w:val="center"/>
            <w:hideMark/>
          </w:tcPr>
          <w:p w:rsidR="00473BDE" w:rsidRPr="00473BDE" w:rsidRDefault="00473BDE" w:rsidP="00473BDE">
            <w:pPr>
              <w:rPr>
                <w:rFonts w:cs="Arial"/>
                <w:color w:val="FFFFFF"/>
                <w:szCs w:val="18"/>
                <w:lang w:eastAsia="en-AU"/>
              </w:rPr>
            </w:pPr>
            <w:r w:rsidRPr="00473BDE">
              <w:rPr>
                <w:rFonts w:cs="Arial"/>
                <w:color w:val="FFFFFF"/>
                <w:szCs w:val="18"/>
                <w:lang w:eastAsia="en-AU"/>
              </w:rPr>
              <w:t> </w:t>
            </w:r>
          </w:p>
        </w:tc>
        <w:tc>
          <w:tcPr>
            <w:tcW w:w="1039" w:type="dxa"/>
            <w:tcBorders>
              <w:top w:val="nil"/>
              <w:left w:val="nil"/>
              <w:bottom w:val="nil"/>
              <w:right w:val="nil"/>
            </w:tcBorders>
            <w:shd w:val="clear" w:color="000000" w:fill="7F7F7F"/>
            <w:noWrap/>
            <w:vAlign w:val="center"/>
            <w:hideMark/>
          </w:tcPr>
          <w:p w:rsidR="00473BDE" w:rsidRPr="00473BDE" w:rsidRDefault="00473BDE" w:rsidP="00473BDE">
            <w:pPr>
              <w:jc w:val="right"/>
              <w:rPr>
                <w:rFonts w:cs="Arial"/>
                <w:b/>
                <w:bCs/>
                <w:color w:val="FFFFFF"/>
                <w:szCs w:val="18"/>
                <w:lang w:eastAsia="en-AU"/>
              </w:rPr>
            </w:pPr>
            <w:r w:rsidRPr="00473BDE">
              <w:rPr>
                <w:rFonts w:cs="Arial"/>
                <w:b/>
                <w:bCs/>
                <w:color w:val="FFFFFF"/>
                <w:szCs w:val="18"/>
                <w:lang w:eastAsia="en-AU"/>
              </w:rPr>
              <w:t>2010</w:t>
            </w:r>
          </w:p>
        </w:tc>
        <w:tc>
          <w:tcPr>
            <w:tcW w:w="1039" w:type="dxa"/>
            <w:tcBorders>
              <w:top w:val="nil"/>
              <w:left w:val="nil"/>
              <w:bottom w:val="nil"/>
              <w:right w:val="nil"/>
            </w:tcBorders>
            <w:shd w:val="clear" w:color="000000" w:fill="7F7F7F"/>
            <w:noWrap/>
            <w:vAlign w:val="center"/>
            <w:hideMark/>
          </w:tcPr>
          <w:p w:rsidR="00473BDE" w:rsidRPr="00473BDE" w:rsidRDefault="00473BDE" w:rsidP="00473BDE">
            <w:pPr>
              <w:jc w:val="right"/>
              <w:rPr>
                <w:rFonts w:cs="Arial"/>
                <w:b/>
                <w:bCs/>
                <w:color w:val="FFFFFF"/>
                <w:szCs w:val="18"/>
                <w:lang w:eastAsia="en-AU"/>
              </w:rPr>
            </w:pPr>
            <w:r w:rsidRPr="00473BDE">
              <w:rPr>
                <w:rFonts w:cs="Arial"/>
                <w:b/>
                <w:bCs/>
                <w:color w:val="FFFFFF"/>
                <w:szCs w:val="18"/>
                <w:lang w:eastAsia="en-AU"/>
              </w:rPr>
              <w:t>2011</w:t>
            </w:r>
          </w:p>
        </w:tc>
        <w:tc>
          <w:tcPr>
            <w:tcW w:w="1039" w:type="dxa"/>
            <w:tcBorders>
              <w:top w:val="nil"/>
              <w:left w:val="nil"/>
              <w:bottom w:val="nil"/>
              <w:right w:val="nil"/>
            </w:tcBorders>
            <w:shd w:val="clear" w:color="000000" w:fill="7F7F7F"/>
            <w:noWrap/>
            <w:vAlign w:val="center"/>
            <w:hideMark/>
          </w:tcPr>
          <w:p w:rsidR="00473BDE" w:rsidRPr="00473BDE" w:rsidRDefault="00473BDE" w:rsidP="00473BDE">
            <w:pPr>
              <w:jc w:val="right"/>
              <w:rPr>
                <w:rFonts w:cs="Arial"/>
                <w:b/>
                <w:bCs/>
                <w:color w:val="FFFFFF"/>
                <w:szCs w:val="18"/>
                <w:lang w:eastAsia="en-AU"/>
              </w:rPr>
            </w:pPr>
            <w:r w:rsidRPr="00473BDE">
              <w:rPr>
                <w:rFonts w:cs="Arial"/>
                <w:b/>
                <w:bCs/>
                <w:color w:val="FFFFFF"/>
                <w:szCs w:val="18"/>
                <w:lang w:eastAsia="en-AU"/>
              </w:rPr>
              <w:t>2012</w:t>
            </w:r>
          </w:p>
        </w:tc>
        <w:tc>
          <w:tcPr>
            <w:tcW w:w="1039" w:type="dxa"/>
            <w:tcBorders>
              <w:top w:val="nil"/>
              <w:left w:val="nil"/>
              <w:bottom w:val="nil"/>
              <w:right w:val="nil"/>
            </w:tcBorders>
            <w:shd w:val="clear" w:color="000000" w:fill="7F7F7F"/>
            <w:noWrap/>
            <w:vAlign w:val="center"/>
            <w:hideMark/>
          </w:tcPr>
          <w:p w:rsidR="00473BDE" w:rsidRPr="00473BDE" w:rsidRDefault="00473BDE" w:rsidP="00473BDE">
            <w:pPr>
              <w:jc w:val="right"/>
              <w:rPr>
                <w:rFonts w:cs="Arial"/>
                <w:b/>
                <w:bCs/>
                <w:color w:val="FFFFFF"/>
                <w:szCs w:val="18"/>
                <w:lang w:eastAsia="en-AU"/>
              </w:rPr>
            </w:pPr>
            <w:r w:rsidRPr="00473BDE">
              <w:rPr>
                <w:rFonts w:cs="Arial"/>
                <w:b/>
                <w:bCs/>
                <w:color w:val="FFFFFF"/>
                <w:szCs w:val="18"/>
                <w:lang w:eastAsia="en-AU"/>
              </w:rPr>
              <w:t>2013</w:t>
            </w:r>
          </w:p>
        </w:tc>
        <w:tc>
          <w:tcPr>
            <w:tcW w:w="1039" w:type="dxa"/>
            <w:tcBorders>
              <w:top w:val="nil"/>
              <w:left w:val="nil"/>
              <w:bottom w:val="nil"/>
              <w:right w:val="nil"/>
            </w:tcBorders>
            <w:shd w:val="clear" w:color="000000" w:fill="7F7F7F"/>
            <w:noWrap/>
            <w:vAlign w:val="center"/>
            <w:hideMark/>
          </w:tcPr>
          <w:p w:rsidR="00473BDE" w:rsidRPr="00473BDE" w:rsidRDefault="00473BDE" w:rsidP="00473BDE">
            <w:pPr>
              <w:jc w:val="right"/>
              <w:rPr>
                <w:rFonts w:cs="Arial"/>
                <w:b/>
                <w:bCs/>
                <w:color w:val="FFFFFF"/>
                <w:szCs w:val="18"/>
                <w:lang w:eastAsia="en-AU"/>
              </w:rPr>
            </w:pPr>
            <w:r w:rsidRPr="00473BDE">
              <w:rPr>
                <w:rFonts w:cs="Arial"/>
                <w:b/>
                <w:bCs/>
                <w:color w:val="FFFFFF"/>
                <w:szCs w:val="18"/>
                <w:lang w:eastAsia="en-AU"/>
              </w:rPr>
              <w:t>2014</w:t>
            </w:r>
          </w:p>
        </w:tc>
        <w:tc>
          <w:tcPr>
            <w:tcW w:w="1040" w:type="dxa"/>
            <w:tcBorders>
              <w:top w:val="nil"/>
              <w:left w:val="nil"/>
              <w:bottom w:val="nil"/>
              <w:right w:val="nil"/>
            </w:tcBorders>
            <w:shd w:val="clear" w:color="000000" w:fill="7F7F7F"/>
            <w:noWrap/>
            <w:vAlign w:val="center"/>
            <w:hideMark/>
          </w:tcPr>
          <w:p w:rsidR="00473BDE" w:rsidRPr="00473BDE" w:rsidRDefault="00473BDE" w:rsidP="00473BDE">
            <w:pPr>
              <w:jc w:val="right"/>
              <w:rPr>
                <w:rFonts w:cs="Arial"/>
                <w:b/>
                <w:bCs/>
                <w:color w:val="FFFFFF"/>
                <w:szCs w:val="18"/>
                <w:lang w:eastAsia="en-AU"/>
              </w:rPr>
            </w:pPr>
            <w:r w:rsidRPr="00473BDE">
              <w:rPr>
                <w:rFonts w:cs="Arial"/>
                <w:b/>
                <w:bCs/>
                <w:color w:val="FFFFFF"/>
                <w:szCs w:val="18"/>
                <w:lang w:eastAsia="en-AU"/>
              </w:rPr>
              <w:t>2015</w:t>
            </w:r>
          </w:p>
        </w:tc>
      </w:tr>
      <w:tr w:rsidR="00473BDE" w:rsidRPr="00473BDE" w:rsidTr="00473BDE">
        <w:trPr>
          <w:trHeight w:val="300"/>
        </w:trPr>
        <w:tc>
          <w:tcPr>
            <w:tcW w:w="1860" w:type="dxa"/>
            <w:tcBorders>
              <w:top w:val="nil"/>
              <w:left w:val="nil"/>
              <w:bottom w:val="nil"/>
              <w:right w:val="nil"/>
            </w:tcBorders>
            <w:shd w:val="clear" w:color="auto" w:fill="auto"/>
            <w:noWrap/>
            <w:vAlign w:val="center"/>
            <w:hideMark/>
          </w:tcPr>
          <w:p w:rsidR="00473BDE" w:rsidRPr="00473BDE" w:rsidRDefault="00473BDE" w:rsidP="00473BDE">
            <w:pPr>
              <w:rPr>
                <w:rFonts w:cs="Arial"/>
                <w:color w:val="7F7F7F"/>
                <w:szCs w:val="18"/>
                <w:lang w:eastAsia="en-AU"/>
              </w:rPr>
            </w:pPr>
            <w:r w:rsidRPr="00473BDE">
              <w:rPr>
                <w:rFonts w:cs="Arial"/>
                <w:color w:val="7F7F7F"/>
                <w:szCs w:val="18"/>
                <w:lang w:eastAsia="en-AU"/>
              </w:rPr>
              <w:t>Private RTO</w:t>
            </w:r>
          </w:p>
        </w:tc>
        <w:tc>
          <w:tcPr>
            <w:tcW w:w="1039"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21%</w:t>
            </w:r>
          </w:p>
        </w:tc>
        <w:tc>
          <w:tcPr>
            <w:tcW w:w="1039"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36%</w:t>
            </w:r>
          </w:p>
        </w:tc>
        <w:tc>
          <w:tcPr>
            <w:tcW w:w="1039"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45%</w:t>
            </w:r>
          </w:p>
        </w:tc>
        <w:tc>
          <w:tcPr>
            <w:tcW w:w="1039"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47%</w:t>
            </w:r>
          </w:p>
        </w:tc>
        <w:tc>
          <w:tcPr>
            <w:tcW w:w="1039"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59%</w:t>
            </w:r>
          </w:p>
        </w:tc>
        <w:tc>
          <w:tcPr>
            <w:tcW w:w="1040"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59%</w:t>
            </w:r>
          </w:p>
        </w:tc>
      </w:tr>
      <w:tr w:rsidR="00473BDE" w:rsidRPr="00473BDE" w:rsidTr="00473BDE">
        <w:trPr>
          <w:trHeight w:val="300"/>
        </w:trPr>
        <w:tc>
          <w:tcPr>
            <w:tcW w:w="1860" w:type="dxa"/>
            <w:tcBorders>
              <w:top w:val="nil"/>
              <w:left w:val="nil"/>
              <w:bottom w:val="nil"/>
              <w:right w:val="nil"/>
            </w:tcBorders>
            <w:shd w:val="clear" w:color="auto" w:fill="auto"/>
            <w:noWrap/>
            <w:vAlign w:val="center"/>
            <w:hideMark/>
          </w:tcPr>
          <w:p w:rsidR="00473BDE" w:rsidRPr="00473BDE" w:rsidRDefault="00473BDE" w:rsidP="00473BDE">
            <w:pPr>
              <w:rPr>
                <w:rFonts w:cs="Arial"/>
                <w:color w:val="7F7F7F"/>
                <w:szCs w:val="18"/>
                <w:lang w:eastAsia="en-AU"/>
              </w:rPr>
            </w:pPr>
            <w:r w:rsidRPr="00473BDE">
              <w:rPr>
                <w:rFonts w:cs="Arial"/>
                <w:color w:val="7F7F7F"/>
                <w:szCs w:val="18"/>
                <w:lang w:eastAsia="en-AU"/>
              </w:rPr>
              <w:t>Learn Local</w:t>
            </w:r>
          </w:p>
        </w:tc>
        <w:tc>
          <w:tcPr>
            <w:tcW w:w="1039"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10%</w:t>
            </w:r>
          </w:p>
        </w:tc>
        <w:tc>
          <w:tcPr>
            <w:tcW w:w="1039"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7%</w:t>
            </w:r>
          </w:p>
        </w:tc>
        <w:tc>
          <w:tcPr>
            <w:tcW w:w="1039"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7%</w:t>
            </w:r>
          </w:p>
        </w:tc>
        <w:tc>
          <w:tcPr>
            <w:tcW w:w="1039"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6%</w:t>
            </w:r>
          </w:p>
        </w:tc>
        <w:tc>
          <w:tcPr>
            <w:tcW w:w="1039"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6%</w:t>
            </w:r>
          </w:p>
        </w:tc>
        <w:tc>
          <w:tcPr>
            <w:tcW w:w="1040"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6%</w:t>
            </w:r>
          </w:p>
        </w:tc>
      </w:tr>
      <w:tr w:rsidR="00473BDE" w:rsidRPr="00473BDE" w:rsidTr="00473BDE">
        <w:trPr>
          <w:trHeight w:val="300"/>
        </w:trPr>
        <w:tc>
          <w:tcPr>
            <w:tcW w:w="8095" w:type="dxa"/>
            <w:gridSpan w:val="7"/>
            <w:tcBorders>
              <w:top w:val="nil"/>
              <w:left w:val="nil"/>
              <w:bottom w:val="nil"/>
              <w:right w:val="nil"/>
            </w:tcBorders>
            <w:shd w:val="clear" w:color="auto" w:fill="auto"/>
            <w:noWrap/>
            <w:vAlign w:val="center"/>
            <w:hideMark/>
          </w:tcPr>
          <w:p w:rsidR="00473BDE" w:rsidRPr="00473BDE" w:rsidRDefault="00473BDE" w:rsidP="00473BDE">
            <w:pPr>
              <w:rPr>
                <w:rFonts w:cs="Arial"/>
                <w:b/>
                <w:bCs/>
                <w:color w:val="7F7F7F"/>
                <w:szCs w:val="18"/>
                <w:lang w:eastAsia="en-AU"/>
              </w:rPr>
            </w:pPr>
            <w:r w:rsidRPr="00473BDE">
              <w:rPr>
                <w:rFonts w:cs="Arial"/>
                <w:b/>
                <w:bCs/>
                <w:color w:val="7F7F7F"/>
                <w:szCs w:val="18"/>
                <w:lang w:eastAsia="en-AU"/>
              </w:rPr>
              <w:t>TAFE and University</w:t>
            </w:r>
          </w:p>
        </w:tc>
      </w:tr>
      <w:tr w:rsidR="00473BDE" w:rsidRPr="00473BDE" w:rsidTr="00473BDE">
        <w:trPr>
          <w:trHeight w:val="300"/>
        </w:trPr>
        <w:tc>
          <w:tcPr>
            <w:tcW w:w="1860" w:type="dxa"/>
            <w:tcBorders>
              <w:top w:val="nil"/>
              <w:left w:val="nil"/>
              <w:bottom w:val="nil"/>
              <w:right w:val="nil"/>
            </w:tcBorders>
            <w:shd w:val="clear" w:color="auto" w:fill="auto"/>
            <w:noWrap/>
            <w:vAlign w:val="center"/>
            <w:hideMark/>
          </w:tcPr>
          <w:p w:rsidR="00473BDE" w:rsidRPr="00473BDE" w:rsidRDefault="00473BDE" w:rsidP="00473BDE">
            <w:pPr>
              <w:ind w:firstLineChars="200" w:firstLine="360"/>
              <w:rPr>
                <w:rFonts w:cs="Arial"/>
                <w:color w:val="7F7F7F"/>
                <w:szCs w:val="18"/>
                <w:lang w:eastAsia="en-AU"/>
              </w:rPr>
            </w:pPr>
            <w:r w:rsidRPr="00473BDE">
              <w:rPr>
                <w:rFonts w:cs="Arial"/>
                <w:color w:val="7F7F7F"/>
                <w:szCs w:val="18"/>
                <w:lang w:eastAsia="en-AU"/>
              </w:rPr>
              <w:t>TAFE</w:t>
            </w:r>
          </w:p>
        </w:tc>
        <w:tc>
          <w:tcPr>
            <w:tcW w:w="1039"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49%</w:t>
            </w:r>
          </w:p>
        </w:tc>
        <w:tc>
          <w:tcPr>
            <w:tcW w:w="1039"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41%</w:t>
            </w:r>
          </w:p>
        </w:tc>
        <w:tc>
          <w:tcPr>
            <w:tcW w:w="1039"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35%</w:t>
            </w:r>
          </w:p>
        </w:tc>
        <w:tc>
          <w:tcPr>
            <w:tcW w:w="1039"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36%</w:t>
            </w:r>
          </w:p>
        </w:tc>
        <w:tc>
          <w:tcPr>
            <w:tcW w:w="1039"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28%</w:t>
            </w:r>
          </w:p>
        </w:tc>
        <w:tc>
          <w:tcPr>
            <w:tcW w:w="1040"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27%</w:t>
            </w:r>
          </w:p>
        </w:tc>
      </w:tr>
      <w:tr w:rsidR="00473BDE" w:rsidRPr="00473BDE" w:rsidTr="00473BDE">
        <w:trPr>
          <w:trHeight w:val="300"/>
        </w:trPr>
        <w:tc>
          <w:tcPr>
            <w:tcW w:w="1860" w:type="dxa"/>
            <w:tcBorders>
              <w:top w:val="nil"/>
              <w:left w:val="nil"/>
              <w:bottom w:val="nil"/>
              <w:right w:val="nil"/>
            </w:tcBorders>
            <w:shd w:val="clear" w:color="auto" w:fill="auto"/>
            <w:noWrap/>
            <w:vAlign w:val="center"/>
            <w:hideMark/>
          </w:tcPr>
          <w:p w:rsidR="00473BDE" w:rsidRPr="00473BDE" w:rsidRDefault="00473BDE" w:rsidP="00473BDE">
            <w:pPr>
              <w:ind w:firstLineChars="200" w:firstLine="360"/>
              <w:rPr>
                <w:rFonts w:cs="Arial"/>
                <w:color w:val="7F7F7F"/>
                <w:szCs w:val="18"/>
                <w:lang w:eastAsia="en-AU"/>
              </w:rPr>
            </w:pPr>
            <w:r w:rsidRPr="00473BDE">
              <w:rPr>
                <w:rFonts w:cs="Arial"/>
                <w:color w:val="7F7F7F"/>
                <w:szCs w:val="18"/>
                <w:lang w:eastAsia="en-AU"/>
              </w:rPr>
              <w:t>University</w:t>
            </w:r>
          </w:p>
        </w:tc>
        <w:tc>
          <w:tcPr>
            <w:tcW w:w="1039"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20%</w:t>
            </w:r>
          </w:p>
        </w:tc>
        <w:tc>
          <w:tcPr>
            <w:tcW w:w="1039"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16%</w:t>
            </w:r>
          </w:p>
        </w:tc>
        <w:tc>
          <w:tcPr>
            <w:tcW w:w="1039"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12%</w:t>
            </w:r>
          </w:p>
        </w:tc>
        <w:tc>
          <w:tcPr>
            <w:tcW w:w="1039"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11%</w:t>
            </w:r>
          </w:p>
        </w:tc>
        <w:tc>
          <w:tcPr>
            <w:tcW w:w="1039"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7%</w:t>
            </w:r>
          </w:p>
        </w:tc>
        <w:tc>
          <w:tcPr>
            <w:tcW w:w="1040"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8%</w:t>
            </w:r>
          </w:p>
        </w:tc>
      </w:tr>
      <w:tr w:rsidR="00473BDE" w:rsidRPr="00473BDE" w:rsidTr="00473BDE">
        <w:trPr>
          <w:trHeight w:val="300"/>
        </w:trPr>
        <w:tc>
          <w:tcPr>
            <w:tcW w:w="1860" w:type="dxa"/>
            <w:tcBorders>
              <w:top w:val="nil"/>
              <w:left w:val="nil"/>
              <w:bottom w:val="nil"/>
              <w:right w:val="nil"/>
            </w:tcBorders>
            <w:shd w:val="clear" w:color="000000" w:fill="7F7F7F"/>
            <w:noWrap/>
            <w:vAlign w:val="center"/>
            <w:hideMark/>
          </w:tcPr>
          <w:p w:rsidR="00473BDE" w:rsidRPr="00473BDE" w:rsidRDefault="00473BDE" w:rsidP="00473BDE">
            <w:pPr>
              <w:rPr>
                <w:rFonts w:cs="Arial"/>
                <w:b/>
                <w:bCs/>
                <w:color w:val="FFFFFF"/>
                <w:szCs w:val="18"/>
                <w:lang w:eastAsia="en-AU"/>
              </w:rPr>
            </w:pPr>
            <w:r w:rsidRPr="00473BDE">
              <w:rPr>
                <w:rFonts w:cs="Arial"/>
                <w:b/>
                <w:bCs/>
                <w:color w:val="FFFFFF"/>
                <w:szCs w:val="18"/>
                <w:lang w:eastAsia="en-AU"/>
              </w:rPr>
              <w:t>Total</w:t>
            </w:r>
          </w:p>
        </w:tc>
        <w:tc>
          <w:tcPr>
            <w:tcW w:w="1039" w:type="dxa"/>
            <w:tcBorders>
              <w:top w:val="nil"/>
              <w:left w:val="nil"/>
              <w:bottom w:val="nil"/>
              <w:right w:val="nil"/>
            </w:tcBorders>
            <w:shd w:val="clear" w:color="000000" w:fill="7F7F7F"/>
            <w:noWrap/>
            <w:vAlign w:val="center"/>
            <w:hideMark/>
          </w:tcPr>
          <w:p w:rsidR="00473BDE" w:rsidRPr="00473BDE" w:rsidRDefault="00473BDE" w:rsidP="00473BDE">
            <w:pPr>
              <w:jc w:val="right"/>
              <w:rPr>
                <w:rFonts w:cs="Arial"/>
                <w:b/>
                <w:bCs/>
                <w:color w:val="FFFFFF"/>
                <w:szCs w:val="18"/>
                <w:lang w:eastAsia="en-AU"/>
              </w:rPr>
            </w:pPr>
            <w:r w:rsidRPr="00473BDE">
              <w:rPr>
                <w:rFonts w:cs="Arial"/>
                <w:b/>
                <w:bCs/>
                <w:color w:val="FFFFFF"/>
                <w:szCs w:val="18"/>
                <w:lang w:eastAsia="en-AU"/>
              </w:rPr>
              <w:t>100%</w:t>
            </w:r>
          </w:p>
        </w:tc>
        <w:tc>
          <w:tcPr>
            <w:tcW w:w="1039" w:type="dxa"/>
            <w:tcBorders>
              <w:top w:val="nil"/>
              <w:left w:val="nil"/>
              <w:bottom w:val="nil"/>
              <w:right w:val="nil"/>
            </w:tcBorders>
            <w:shd w:val="clear" w:color="000000" w:fill="7F7F7F"/>
            <w:noWrap/>
            <w:vAlign w:val="center"/>
            <w:hideMark/>
          </w:tcPr>
          <w:p w:rsidR="00473BDE" w:rsidRPr="00473BDE" w:rsidRDefault="00473BDE" w:rsidP="00473BDE">
            <w:pPr>
              <w:jc w:val="right"/>
              <w:rPr>
                <w:rFonts w:cs="Arial"/>
                <w:b/>
                <w:bCs/>
                <w:color w:val="FFFFFF"/>
                <w:szCs w:val="18"/>
                <w:lang w:eastAsia="en-AU"/>
              </w:rPr>
            </w:pPr>
            <w:r w:rsidRPr="00473BDE">
              <w:rPr>
                <w:rFonts w:cs="Arial"/>
                <w:b/>
                <w:bCs/>
                <w:color w:val="FFFFFF"/>
                <w:szCs w:val="18"/>
                <w:lang w:eastAsia="en-AU"/>
              </w:rPr>
              <w:t>100%</w:t>
            </w:r>
          </w:p>
        </w:tc>
        <w:tc>
          <w:tcPr>
            <w:tcW w:w="1039" w:type="dxa"/>
            <w:tcBorders>
              <w:top w:val="nil"/>
              <w:left w:val="nil"/>
              <w:bottom w:val="nil"/>
              <w:right w:val="nil"/>
            </w:tcBorders>
            <w:shd w:val="clear" w:color="000000" w:fill="7F7F7F"/>
            <w:noWrap/>
            <w:vAlign w:val="center"/>
            <w:hideMark/>
          </w:tcPr>
          <w:p w:rsidR="00473BDE" w:rsidRPr="00473BDE" w:rsidRDefault="00473BDE" w:rsidP="00473BDE">
            <w:pPr>
              <w:jc w:val="right"/>
              <w:rPr>
                <w:rFonts w:cs="Arial"/>
                <w:b/>
                <w:bCs/>
                <w:color w:val="FFFFFF"/>
                <w:szCs w:val="18"/>
                <w:lang w:eastAsia="en-AU"/>
              </w:rPr>
            </w:pPr>
            <w:r w:rsidRPr="00473BDE">
              <w:rPr>
                <w:rFonts w:cs="Arial"/>
                <w:b/>
                <w:bCs/>
                <w:color w:val="FFFFFF"/>
                <w:szCs w:val="18"/>
                <w:lang w:eastAsia="en-AU"/>
              </w:rPr>
              <w:t>100%</w:t>
            </w:r>
          </w:p>
        </w:tc>
        <w:tc>
          <w:tcPr>
            <w:tcW w:w="1039" w:type="dxa"/>
            <w:tcBorders>
              <w:top w:val="nil"/>
              <w:left w:val="nil"/>
              <w:bottom w:val="nil"/>
              <w:right w:val="nil"/>
            </w:tcBorders>
            <w:shd w:val="clear" w:color="000000" w:fill="7F7F7F"/>
            <w:noWrap/>
            <w:vAlign w:val="center"/>
            <w:hideMark/>
          </w:tcPr>
          <w:p w:rsidR="00473BDE" w:rsidRPr="00473BDE" w:rsidRDefault="00473BDE" w:rsidP="00473BDE">
            <w:pPr>
              <w:jc w:val="right"/>
              <w:rPr>
                <w:rFonts w:cs="Arial"/>
                <w:b/>
                <w:bCs/>
                <w:color w:val="FFFFFF"/>
                <w:szCs w:val="18"/>
                <w:lang w:eastAsia="en-AU"/>
              </w:rPr>
            </w:pPr>
            <w:r w:rsidRPr="00473BDE">
              <w:rPr>
                <w:rFonts w:cs="Arial"/>
                <w:b/>
                <w:bCs/>
                <w:color w:val="FFFFFF"/>
                <w:szCs w:val="18"/>
                <w:lang w:eastAsia="en-AU"/>
              </w:rPr>
              <w:t>100%</w:t>
            </w:r>
          </w:p>
        </w:tc>
        <w:tc>
          <w:tcPr>
            <w:tcW w:w="1039" w:type="dxa"/>
            <w:tcBorders>
              <w:top w:val="nil"/>
              <w:left w:val="nil"/>
              <w:bottom w:val="nil"/>
              <w:right w:val="nil"/>
            </w:tcBorders>
            <w:shd w:val="clear" w:color="000000" w:fill="7F7F7F"/>
            <w:noWrap/>
            <w:vAlign w:val="center"/>
            <w:hideMark/>
          </w:tcPr>
          <w:p w:rsidR="00473BDE" w:rsidRPr="00473BDE" w:rsidRDefault="00473BDE" w:rsidP="00473BDE">
            <w:pPr>
              <w:jc w:val="right"/>
              <w:rPr>
                <w:rFonts w:cs="Arial"/>
                <w:b/>
                <w:bCs/>
                <w:color w:val="FFFFFF"/>
                <w:szCs w:val="18"/>
                <w:lang w:eastAsia="en-AU"/>
              </w:rPr>
            </w:pPr>
            <w:r w:rsidRPr="00473BDE">
              <w:rPr>
                <w:rFonts w:cs="Arial"/>
                <w:b/>
                <w:bCs/>
                <w:color w:val="FFFFFF"/>
                <w:szCs w:val="18"/>
                <w:lang w:eastAsia="en-AU"/>
              </w:rPr>
              <w:t>100%</w:t>
            </w:r>
          </w:p>
        </w:tc>
        <w:tc>
          <w:tcPr>
            <w:tcW w:w="1040" w:type="dxa"/>
            <w:tcBorders>
              <w:top w:val="nil"/>
              <w:left w:val="nil"/>
              <w:bottom w:val="nil"/>
              <w:right w:val="nil"/>
            </w:tcBorders>
            <w:shd w:val="clear" w:color="000000" w:fill="7F7F7F"/>
            <w:noWrap/>
            <w:vAlign w:val="center"/>
            <w:hideMark/>
          </w:tcPr>
          <w:p w:rsidR="00473BDE" w:rsidRPr="00473BDE" w:rsidRDefault="00473BDE" w:rsidP="00473BDE">
            <w:pPr>
              <w:jc w:val="right"/>
              <w:rPr>
                <w:rFonts w:cs="Arial"/>
                <w:b/>
                <w:bCs/>
                <w:color w:val="FFFFFF"/>
                <w:szCs w:val="18"/>
                <w:lang w:eastAsia="en-AU"/>
              </w:rPr>
            </w:pPr>
            <w:r w:rsidRPr="00473BDE">
              <w:rPr>
                <w:rFonts w:cs="Arial"/>
                <w:b/>
                <w:bCs/>
                <w:color w:val="FFFFFF"/>
                <w:szCs w:val="18"/>
                <w:lang w:eastAsia="en-AU"/>
              </w:rPr>
              <w:t>100%</w:t>
            </w:r>
          </w:p>
        </w:tc>
      </w:tr>
    </w:tbl>
    <w:p w:rsidR="00FF0DD7" w:rsidRPr="001D446D" w:rsidRDefault="00FF0DD7" w:rsidP="001D446D">
      <w:pPr>
        <w:pStyle w:val="Quote"/>
        <w:rPr>
          <w:b w:val="0"/>
          <w:sz w:val="18"/>
          <w:szCs w:val="18"/>
        </w:rPr>
      </w:pPr>
    </w:p>
    <w:p w:rsidR="00FF7883" w:rsidRPr="001D446D" w:rsidRDefault="00FF7883" w:rsidP="001D446D">
      <w:pPr>
        <w:pStyle w:val="Quote"/>
        <w:rPr>
          <w:b w:val="0"/>
          <w:sz w:val="18"/>
          <w:szCs w:val="18"/>
        </w:rPr>
      </w:pP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9A601D" w:rsidTr="009A601D">
        <w:tc>
          <w:tcPr>
            <w:tcW w:w="1134" w:type="dxa"/>
            <w:tcMar>
              <w:left w:w="0" w:type="dxa"/>
              <w:right w:w="0" w:type="dxa"/>
            </w:tcMar>
          </w:tcPr>
          <w:p w:rsidR="009A601D" w:rsidRDefault="009A601D" w:rsidP="00AB1331">
            <w:pPr>
              <w:pStyle w:val="Quote"/>
              <w:tabs>
                <w:tab w:val="left" w:pos="1134"/>
              </w:tabs>
              <w:rPr>
                <w:b w:val="0"/>
                <w:color w:val="B41F22" w:themeColor="accent1"/>
              </w:rPr>
            </w:pPr>
            <w:r>
              <w:rPr>
                <w:b w:val="0"/>
                <w:color w:val="B41F22" w:themeColor="accent1"/>
              </w:rPr>
              <w:t>Figure 1.</w:t>
            </w:r>
            <w:r w:rsidR="00AB1331">
              <w:rPr>
                <w:b w:val="0"/>
                <w:color w:val="B41F22" w:themeColor="accent1"/>
              </w:rPr>
              <w:t>6</w:t>
            </w:r>
            <w:r>
              <w:rPr>
                <w:b w:val="0"/>
                <w:color w:val="B41F22" w:themeColor="accent1"/>
              </w:rPr>
              <w:t>:</w:t>
            </w:r>
          </w:p>
        </w:tc>
        <w:tc>
          <w:tcPr>
            <w:tcW w:w="6946" w:type="dxa"/>
            <w:tcMar>
              <w:left w:w="0" w:type="dxa"/>
              <w:right w:w="0" w:type="dxa"/>
            </w:tcMar>
          </w:tcPr>
          <w:p w:rsidR="009A601D" w:rsidRDefault="009A601D" w:rsidP="009A601D">
            <w:pPr>
              <w:pStyle w:val="Quote"/>
              <w:tabs>
                <w:tab w:val="left" w:pos="1134"/>
              </w:tabs>
              <w:rPr>
                <w:b w:val="0"/>
                <w:color w:val="B41F22" w:themeColor="accent1"/>
              </w:rPr>
            </w:pPr>
            <w:r w:rsidRPr="00EB78D8">
              <w:rPr>
                <w:b w:val="0"/>
                <w:color w:val="B41F22" w:themeColor="accent1"/>
              </w:rPr>
              <w:t>Percentage share of government subsidised enrolments in accredited training by sector, 2010 to 2015 (half year)</w:t>
            </w:r>
          </w:p>
        </w:tc>
      </w:tr>
    </w:tbl>
    <w:p w:rsidR="009A601D" w:rsidRDefault="00472F62" w:rsidP="001D446D">
      <w:r>
        <w:rPr>
          <w:noProof/>
          <w:lang w:eastAsia="en-AU"/>
        </w:rPr>
        <w:drawing>
          <wp:inline distT="0" distB="0" distL="0" distR="0" wp14:anchorId="428A3468" wp14:editId="4B0964C7">
            <wp:extent cx="5220000" cy="339680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20000" cy="3396803"/>
                    </a:xfrm>
                    <a:prstGeom prst="rect">
                      <a:avLst/>
                    </a:prstGeom>
                    <a:noFill/>
                  </pic:spPr>
                </pic:pic>
              </a:graphicData>
            </a:graphic>
          </wp:inline>
        </w:drawing>
      </w:r>
    </w:p>
    <w:p w:rsidR="009A601D" w:rsidRDefault="009A601D" w:rsidP="001D446D"/>
    <w:p w:rsidR="009A601D" w:rsidRDefault="009A601D" w:rsidP="001D446D"/>
    <w:p w:rsidR="00604517" w:rsidRPr="00AD726B" w:rsidRDefault="00604517" w:rsidP="001D446D">
      <w:pPr>
        <w:rPr>
          <w:b/>
          <w:color w:val="7F7F7F" w:themeColor="text2"/>
          <w:sz w:val="19"/>
          <w:szCs w:val="19"/>
        </w:rPr>
      </w:pPr>
      <w:r w:rsidRPr="00365EB2">
        <w:br w:type="page"/>
      </w: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473BDE" w:rsidTr="0097544A">
        <w:tc>
          <w:tcPr>
            <w:tcW w:w="1134" w:type="dxa"/>
            <w:tcMar>
              <w:left w:w="0" w:type="dxa"/>
              <w:right w:w="0" w:type="dxa"/>
            </w:tcMar>
          </w:tcPr>
          <w:p w:rsidR="00473BDE" w:rsidRDefault="00473BDE" w:rsidP="00CB6C79">
            <w:pPr>
              <w:pStyle w:val="Quote"/>
              <w:tabs>
                <w:tab w:val="left" w:pos="1134"/>
              </w:tabs>
              <w:rPr>
                <w:b w:val="0"/>
                <w:color w:val="B41F22" w:themeColor="accent1"/>
              </w:rPr>
            </w:pPr>
            <w:r>
              <w:rPr>
                <w:b w:val="0"/>
                <w:color w:val="B41F22" w:themeColor="accent1"/>
              </w:rPr>
              <w:lastRenderedPageBreak/>
              <w:t>Table 1.1</w:t>
            </w:r>
            <w:r w:rsidR="00CB6C79">
              <w:rPr>
                <w:b w:val="0"/>
                <w:color w:val="B41F22" w:themeColor="accent1"/>
              </w:rPr>
              <w:t>2</w:t>
            </w:r>
            <w:r>
              <w:rPr>
                <w:b w:val="0"/>
                <w:color w:val="B41F22" w:themeColor="accent1"/>
              </w:rPr>
              <w:t>:</w:t>
            </w:r>
          </w:p>
        </w:tc>
        <w:tc>
          <w:tcPr>
            <w:tcW w:w="6946" w:type="dxa"/>
            <w:tcMar>
              <w:left w:w="0" w:type="dxa"/>
              <w:right w:w="0" w:type="dxa"/>
            </w:tcMar>
          </w:tcPr>
          <w:p w:rsidR="00473BDE" w:rsidRDefault="00473BDE" w:rsidP="0097544A">
            <w:pPr>
              <w:pStyle w:val="Quote"/>
              <w:tabs>
                <w:tab w:val="left" w:pos="1134"/>
              </w:tabs>
              <w:rPr>
                <w:b w:val="0"/>
                <w:color w:val="B41F22" w:themeColor="accent1"/>
              </w:rPr>
            </w:pPr>
            <w:r w:rsidRPr="00EB78D8">
              <w:rPr>
                <w:b w:val="0"/>
                <w:color w:val="B41F22" w:themeColor="accent1"/>
              </w:rPr>
              <w:t>Government subsidised course enrolments (AQF I and higher only), proportional share across sectors by occupation, 2015 (half year)</w:t>
            </w:r>
          </w:p>
        </w:tc>
      </w:tr>
    </w:tbl>
    <w:p w:rsidR="00797CC4" w:rsidRPr="00EB78D8" w:rsidRDefault="00797CC4" w:rsidP="000C12C5">
      <w:pPr>
        <w:pStyle w:val="Quote"/>
        <w:rPr>
          <w:b w:val="0"/>
          <w:i/>
        </w:rPr>
      </w:pPr>
      <w:r w:rsidRPr="00EB78D8">
        <w:rPr>
          <w:b w:val="0"/>
          <w:i/>
        </w:rPr>
        <w:t>Percentages total across rows</w:t>
      </w:r>
      <w:r w:rsidR="00987620" w:rsidRPr="00EB78D8">
        <w:rPr>
          <w:b w:val="0"/>
          <w:i/>
        </w:rPr>
        <w:t xml:space="preserve"> in the table below</w:t>
      </w:r>
    </w:p>
    <w:tbl>
      <w:tblPr>
        <w:tblW w:w="8095" w:type="dxa"/>
        <w:tblInd w:w="93" w:type="dxa"/>
        <w:tblLayout w:type="fixed"/>
        <w:tblLook w:val="04A0" w:firstRow="1" w:lastRow="0" w:firstColumn="1" w:lastColumn="0" w:noHBand="0" w:noVBand="1"/>
      </w:tblPr>
      <w:tblGrid>
        <w:gridCol w:w="1860"/>
        <w:gridCol w:w="1020"/>
        <w:gridCol w:w="963"/>
        <w:gridCol w:w="1123"/>
        <w:gridCol w:w="1043"/>
        <w:gridCol w:w="1043"/>
        <w:gridCol w:w="1043"/>
      </w:tblGrid>
      <w:tr w:rsidR="00473BDE" w:rsidRPr="00473BDE" w:rsidTr="00473BDE">
        <w:trPr>
          <w:trHeight w:val="480"/>
        </w:trPr>
        <w:tc>
          <w:tcPr>
            <w:tcW w:w="1860" w:type="dxa"/>
            <w:tcBorders>
              <w:top w:val="nil"/>
              <w:left w:val="nil"/>
              <w:bottom w:val="nil"/>
              <w:right w:val="nil"/>
            </w:tcBorders>
            <w:shd w:val="clear" w:color="000000" w:fill="7F7F7F"/>
            <w:noWrap/>
            <w:vAlign w:val="center"/>
            <w:hideMark/>
          </w:tcPr>
          <w:p w:rsidR="00473BDE" w:rsidRPr="00473BDE" w:rsidRDefault="00473BDE" w:rsidP="00473BDE">
            <w:pPr>
              <w:rPr>
                <w:rFonts w:cs="Arial"/>
                <w:color w:val="FFFFFF"/>
                <w:szCs w:val="18"/>
                <w:lang w:eastAsia="en-AU"/>
              </w:rPr>
            </w:pPr>
            <w:r w:rsidRPr="00473BDE">
              <w:rPr>
                <w:rFonts w:cs="Arial"/>
                <w:color w:val="FFFFFF"/>
                <w:szCs w:val="18"/>
                <w:lang w:eastAsia="en-AU"/>
              </w:rPr>
              <w:t> </w:t>
            </w:r>
          </w:p>
        </w:tc>
        <w:tc>
          <w:tcPr>
            <w:tcW w:w="1020" w:type="dxa"/>
            <w:tcBorders>
              <w:top w:val="nil"/>
              <w:left w:val="nil"/>
              <w:bottom w:val="nil"/>
              <w:right w:val="nil"/>
            </w:tcBorders>
            <w:shd w:val="clear" w:color="000000" w:fill="7F7F7F"/>
            <w:noWrap/>
            <w:vAlign w:val="center"/>
            <w:hideMark/>
          </w:tcPr>
          <w:p w:rsidR="00473BDE" w:rsidRPr="00473BDE" w:rsidRDefault="00473BDE" w:rsidP="00473BDE">
            <w:pPr>
              <w:rPr>
                <w:rFonts w:cs="Arial"/>
                <w:color w:val="FFFFFF"/>
                <w:szCs w:val="18"/>
                <w:lang w:eastAsia="en-AU"/>
              </w:rPr>
            </w:pPr>
            <w:r w:rsidRPr="00473BDE">
              <w:rPr>
                <w:rFonts w:cs="Arial"/>
                <w:color w:val="FFFFFF"/>
                <w:szCs w:val="18"/>
                <w:lang w:eastAsia="en-AU"/>
              </w:rPr>
              <w:t> </w:t>
            </w:r>
          </w:p>
        </w:tc>
        <w:tc>
          <w:tcPr>
            <w:tcW w:w="963" w:type="dxa"/>
            <w:tcBorders>
              <w:top w:val="nil"/>
              <w:left w:val="nil"/>
              <w:bottom w:val="nil"/>
              <w:right w:val="nil"/>
            </w:tcBorders>
            <w:shd w:val="clear" w:color="000000" w:fill="7F7F7F"/>
            <w:vAlign w:val="center"/>
            <w:hideMark/>
          </w:tcPr>
          <w:p w:rsidR="00473BDE" w:rsidRPr="00473BDE" w:rsidRDefault="00473BDE" w:rsidP="00473BDE">
            <w:pPr>
              <w:jc w:val="center"/>
              <w:rPr>
                <w:rFonts w:cs="Arial"/>
                <w:b/>
                <w:bCs/>
                <w:color w:val="FFFFFF"/>
                <w:szCs w:val="18"/>
                <w:lang w:eastAsia="en-AU"/>
              </w:rPr>
            </w:pPr>
            <w:r w:rsidRPr="00473BDE">
              <w:rPr>
                <w:rFonts w:cs="Arial"/>
                <w:b/>
                <w:bCs/>
                <w:color w:val="FFFFFF"/>
                <w:szCs w:val="18"/>
                <w:lang w:eastAsia="en-AU"/>
              </w:rPr>
              <w:t>TAFE</w:t>
            </w:r>
          </w:p>
        </w:tc>
        <w:tc>
          <w:tcPr>
            <w:tcW w:w="1123" w:type="dxa"/>
            <w:tcBorders>
              <w:top w:val="nil"/>
              <w:left w:val="nil"/>
              <w:bottom w:val="nil"/>
              <w:right w:val="nil"/>
            </w:tcBorders>
            <w:shd w:val="clear" w:color="000000" w:fill="7F7F7F"/>
            <w:vAlign w:val="center"/>
            <w:hideMark/>
          </w:tcPr>
          <w:p w:rsidR="00473BDE" w:rsidRPr="00473BDE" w:rsidRDefault="00473BDE" w:rsidP="00473BDE">
            <w:pPr>
              <w:jc w:val="center"/>
              <w:rPr>
                <w:rFonts w:cs="Arial"/>
                <w:b/>
                <w:bCs/>
                <w:color w:val="FFFFFF"/>
                <w:szCs w:val="18"/>
                <w:lang w:eastAsia="en-AU"/>
              </w:rPr>
            </w:pPr>
            <w:r w:rsidRPr="00473BDE">
              <w:rPr>
                <w:rFonts w:cs="Arial"/>
                <w:b/>
                <w:bCs/>
                <w:color w:val="FFFFFF"/>
                <w:szCs w:val="18"/>
                <w:lang w:eastAsia="en-AU"/>
              </w:rPr>
              <w:t>University</w:t>
            </w:r>
          </w:p>
        </w:tc>
        <w:tc>
          <w:tcPr>
            <w:tcW w:w="1043" w:type="dxa"/>
            <w:tcBorders>
              <w:top w:val="nil"/>
              <w:left w:val="nil"/>
              <w:bottom w:val="nil"/>
              <w:right w:val="nil"/>
            </w:tcBorders>
            <w:shd w:val="clear" w:color="000000" w:fill="7F7F7F"/>
            <w:vAlign w:val="center"/>
            <w:hideMark/>
          </w:tcPr>
          <w:p w:rsidR="00473BDE" w:rsidRPr="00473BDE" w:rsidRDefault="00473BDE" w:rsidP="00473BDE">
            <w:pPr>
              <w:jc w:val="center"/>
              <w:rPr>
                <w:rFonts w:cs="Arial"/>
                <w:b/>
                <w:bCs/>
                <w:color w:val="FFFFFF"/>
                <w:szCs w:val="18"/>
                <w:lang w:eastAsia="en-AU"/>
              </w:rPr>
            </w:pPr>
            <w:r w:rsidRPr="00473BDE">
              <w:rPr>
                <w:rFonts w:cs="Arial"/>
                <w:b/>
                <w:bCs/>
                <w:color w:val="FFFFFF"/>
                <w:szCs w:val="18"/>
                <w:lang w:eastAsia="en-AU"/>
              </w:rPr>
              <w:t>Private RTO</w:t>
            </w:r>
          </w:p>
        </w:tc>
        <w:tc>
          <w:tcPr>
            <w:tcW w:w="1043" w:type="dxa"/>
            <w:tcBorders>
              <w:top w:val="nil"/>
              <w:left w:val="nil"/>
              <w:bottom w:val="nil"/>
              <w:right w:val="nil"/>
            </w:tcBorders>
            <w:shd w:val="clear" w:color="000000" w:fill="7F7F7F"/>
            <w:vAlign w:val="center"/>
            <w:hideMark/>
          </w:tcPr>
          <w:p w:rsidR="00473BDE" w:rsidRPr="00473BDE" w:rsidRDefault="00473BDE" w:rsidP="00473BDE">
            <w:pPr>
              <w:jc w:val="center"/>
              <w:rPr>
                <w:rFonts w:cs="Arial"/>
                <w:b/>
                <w:bCs/>
                <w:color w:val="FFFFFF"/>
                <w:szCs w:val="18"/>
                <w:lang w:eastAsia="en-AU"/>
              </w:rPr>
            </w:pPr>
            <w:r w:rsidRPr="00473BDE">
              <w:rPr>
                <w:rFonts w:cs="Arial"/>
                <w:b/>
                <w:bCs/>
                <w:color w:val="FFFFFF"/>
                <w:szCs w:val="18"/>
                <w:lang w:eastAsia="en-AU"/>
              </w:rPr>
              <w:t>Learn Local</w:t>
            </w:r>
          </w:p>
        </w:tc>
        <w:tc>
          <w:tcPr>
            <w:tcW w:w="1043" w:type="dxa"/>
            <w:tcBorders>
              <w:top w:val="nil"/>
              <w:left w:val="nil"/>
              <w:bottom w:val="nil"/>
              <w:right w:val="nil"/>
            </w:tcBorders>
            <w:shd w:val="clear" w:color="000000" w:fill="7F7F7F"/>
            <w:vAlign w:val="center"/>
            <w:hideMark/>
          </w:tcPr>
          <w:p w:rsidR="00473BDE" w:rsidRPr="00473BDE" w:rsidRDefault="00473BDE" w:rsidP="00473BDE">
            <w:pPr>
              <w:jc w:val="center"/>
              <w:rPr>
                <w:rFonts w:cs="Arial"/>
                <w:b/>
                <w:bCs/>
                <w:color w:val="FFFFFF"/>
                <w:szCs w:val="18"/>
                <w:lang w:eastAsia="en-AU"/>
              </w:rPr>
            </w:pPr>
            <w:r w:rsidRPr="00473BDE">
              <w:rPr>
                <w:rFonts w:cs="Arial"/>
                <w:b/>
                <w:bCs/>
                <w:color w:val="FFFFFF"/>
                <w:szCs w:val="18"/>
                <w:lang w:eastAsia="en-AU"/>
              </w:rPr>
              <w:t>Total (number)</w:t>
            </w:r>
          </w:p>
        </w:tc>
      </w:tr>
      <w:tr w:rsidR="00473BDE" w:rsidRPr="00473BDE" w:rsidTr="00473BDE">
        <w:trPr>
          <w:trHeight w:val="600"/>
        </w:trPr>
        <w:tc>
          <w:tcPr>
            <w:tcW w:w="2880" w:type="dxa"/>
            <w:gridSpan w:val="2"/>
            <w:tcBorders>
              <w:top w:val="nil"/>
              <w:left w:val="nil"/>
              <w:bottom w:val="nil"/>
              <w:right w:val="nil"/>
            </w:tcBorders>
            <w:shd w:val="clear" w:color="auto" w:fill="auto"/>
            <w:vAlign w:val="center"/>
            <w:hideMark/>
          </w:tcPr>
          <w:p w:rsidR="00473BDE" w:rsidRPr="00473BDE" w:rsidRDefault="00473BDE" w:rsidP="00473BDE">
            <w:pPr>
              <w:rPr>
                <w:rFonts w:cs="Arial"/>
                <w:color w:val="7F7F7F"/>
                <w:szCs w:val="18"/>
                <w:lang w:eastAsia="en-AU"/>
              </w:rPr>
            </w:pPr>
            <w:r w:rsidRPr="00473BDE">
              <w:rPr>
                <w:rFonts w:cs="Arial"/>
                <w:color w:val="7F7F7F"/>
                <w:szCs w:val="18"/>
                <w:lang w:eastAsia="en-AU"/>
              </w:rPr>
              <w:t>Clerical and Administrative Workers</w:t>
            </w:r>
          </w:p>
        </w:tc>
        <w:tc>
          <w:tcPr>
            <w:tcW w:w="96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13%</w:t>
            </w:r>
          </w:p>
        </w:tc>
        <w:tc>
          <w:tcPr>
            <w:tcW w:w="112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5%</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80%</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2%</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31,238</w:t>
            </w:r>
          </w:p>
        </w:tc>
      </w:tr>
      <w:tr w:rsidR="00473BDE" w:rsidRPr="00473BDE" w:rsidTr="00473BDE">
        <w:trPr>
          <w:trHeight w:val="600"/>
        </w:trPr>
        <w:tc>
          <w:tcPr>
            <w:tcW w:w="2880" w:type="dxa"/>
            <w:gridSpan w:val="2"/>
            <w:tcBorders>
              <w:top w:val="nil"/>
              <w:left w:val="nil"/>
              <w:bottom w:val="nil"/>
              <w:right w:val="nil"/>
            </w:tcBorders>
            <w:shd w:val="clear" w:color="auto" w:fill="auto"/>
            <w:vAlign w:val="center"/>
            <w:hideMark/>
          </w:tcPr>
          <w:p w:rsidR="00473BDE" w:rsidRPr="00473BDE" w:rsidRDefault="00473BDE" w:rsidP="00473BDE">
            <w:pPr>
              <w:rPr>
                <w:rFonts w:cs="Arial"/>
                <w:color w:val="7F7F7F"/>
                <w:szCs w:val="18"/>
                <w:lang w:eastAsia="en-AU"/>
              </w:rPr>
            </w:pPr>
            <w:r w:rsidRPr="00473BDE">
              <w:rPr>
                <w:rFonts w:cs="Arial"/>
                <w:color w:val="7F7F7F"/>
                <w:szCs w:val="18"/>
                <w:lang w:eastAsia="en-AU"/>
              </w:rPr>
              <w:t>Community and Personal Service Workers</w:t>
            </w:r>
          </w:p>
        </w:tc>
        <w:tc>
          <w:tcPr>
            <w:tcW w:w="96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16%</w:t>
            </w:r>
          </w:p>
        </w:tc>
        <w:tc>
          <w:tcPr>
            <w:tcW w:w="112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5%</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71%</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9%</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80,491</w:t>
            </w:r>
          </w:p>
        </w:tc>
      </w:tr>
      <w:tr w:rsidR="00473BDE" w:rsidRPr="00473BDE" w:rsidTr="00473BDE">
        <w:trPr>
          <w:trHeight w:val="300"/>
        </w:trPr>
        <w:tc>
          <w:tcPr>
            <w:tcW w:w="2880" w:type="dxa"/>
            <w:gridSpan w:val="2"/>
            <w:tcBorders>
              <w:top w:val="nil"/>
              <w:left w:val="nil"/>
              <w:bottom w:val="nil"/>
              <w:right w:val="nil"/>
            </w:tcBorders>
            <w:shd w:val="clear" w:color="auto" w:fill="auto"/>
            <w:vAlign w:val="center"/>
            <w:hideMark/>
          </w:tcPr>
          <w:p w:rsidR="00473BDE" w:rsidRPr="00473BDE" w:rsidRDefault="00473BDE" w:rsidP="00473BDE">
            <w:pPr>
              <w:rPr>
                <w:rFonts w:cs="Arial"/>
                <w:color w:val="7F7F7F"/>
                <w:szCs w:val="18"/>
                <w:lang w:eastAsia="en-AU"/>
              </w:rPr>
            </w:pPr>
            <w:r w:rsidRPr="00473BDE">
              <w:rPr>
                <w:rFonts w:cs="Arial"/>
                <w:color w:val="7F7F7F"/>
                <w:szCs w:val="18"/>
                <w:lang w:eastAsia="en-AU"/>
              </w:rPr>
              <w:t>Labourers</w:t>
            </w:r>
          </w:p>
        </w:tc>
        <w:tc>
          <w:tcPr>
            <w:tcW w:w="96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30%</w:t>
            </w:r>
          </w:p>
        </w:tc>
        <w:tc>
          <w:tcPr>
            <w:tcW w:w="112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4%</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63%</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2%</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19,768</w:t>
            </w:r>
          </w:p>
        </w:tc>
      </w:tr>
      <w:tr w:rsidR="00473BDE" w:rsidRPr="00473BDE" w:rsidTr="00473BDE">
        <w:trPr>
          <w:trHeight w:val="300"/>
        </w:trPr>
        <w:tc>
          <w:tcPr>
            <w:tcW w:w="2880" w:type="dxa"/>
            <w:gridSpan w:val="2"/>
            <w:tcBorders>
              <w:top w:val="nil"/>
              <w:left w:val="nil"/>
              <w:bottom w:val="nil"/>
              <w:right w:val="nil"/>
            </w:tcBorders>
            <w:shd w:val="clear" w:color="auto" w:fill="auto"/>
            <w:vAlign w:val="center"/>
            <w:hideMark/>
          </w:tcPr>
          <w:p w:rsidR="00473BDE" w:rsidRPr="00473BDE" w:rsidRDefault="00473BDE" w:rsidP="00473BDE">
            <w:pPr>
              <w:rPr>
                <w:rFonts w:cs="Arial"/>
                <w:color w:val="7F7F7F"/>
                <w:szCs w:val="18"/>
                <w:lang w:eastAsia="en-AU"/>
              </w:rPr>
            </w:pPr>
            <w:r w:rsidRPr="00473BDE">
              <w:rPr>
                <w:rFonts w:cs="Arial"/>
                <w:color w:val="7F7F7F"/>
                <w:szCs w:val="18"/>
                <w:lang w:eastAsia="en-AU"/>
              </w:rPr>
              <w:t>Machinery Operators and Drivers</w:t>
            </w:r>
          </w:p>
        </w:tc>
        <w:tc>
          <w:tcPr>
            <w:tcW w:w="96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9%</w:t>
            </w:r>
          </w:p>
        </w:tc>
        <w:tc>
          <w:tcPr>
            <w:tcW w:w="112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0%</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90%</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0%</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22,443</w:t>
            </w:r>
          </w:p>
        </w:tc>
      </w:tr>
      <w:tr w:rsidR="00473BDE" w:rsidRPr="00473BDE" w:rsidTr="00473BDE">
        <w:trPr>
          <w:trHeight w:val="300"/>
        </w:trPr>
        <w:tc>
          <w:tcPr>
            <w:tcW w:w="2880" w:type="dxa"/>
            <w:gridSpan w:val="2"/>
            <w:tcBorders>
              <w:top w:val="nil"/>
              <w:left w:val="nil"/>
              <w:bottom w:val="nil"/>
              <w:right w:val="nil"/>
            </w:tcBorders>
            <w:shd w:val="clear" w:color="auto" w:fill="auto"/>
            <w:vAlign w:val="center"/>
            <w:hideMark/>
          </w:tcPr>
          <w:p w:rsidR="00473BDE" w:rsidRPr="00473BDE" w:rsidRDefault="00473BDE" w:rsidP="00473BDE">
            <w:pPr>
              <w:rPr>
                <w:rFonts w:cs="Arial"/>
                <w:color w:val="7F7F7F"/>
                <w:szCs w:val="18"/>
                <w:lang w:eastAsia="en-AU"/>
              </w:rPr>
            </w:pPr>
            <w:r w:rsidRPr="00473BDE">
              <w:rPr>
                <w:rFonts w:cs="Arial"/>
                <w:color w:val="7F7F7F"/>
                <w:szCs w:val="18"/>
                <w:lang w:eastAsia="en-AU"/>
              </w:rPr>
              <w:t>Managers</w:t>
            </w:r>
          </w:p>
        </w:tc>
        <w:tc>
          <w:tcPr>
            <w:tcW w:w="96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23%</w:t>
            </w:r>
          </w:p>
        </w:tc>
        <w:tc>
          <w:tcPr>
            <w:tcW w:w="112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4%</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72%</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0%</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6,995</w:t>
            </w:r>
          </w:p>
        </w:tc>
      </w:tr>
      <w:tr w:rsidR="00473BDE" w:rsidRPr="00473BDE" w:rsidTr="00473BDE">
        <w:trPr>
          <w:trHeight w:val="300"/>
        </w:trPr>
        <w:tc>
          <w:tcPr>
            <w:tcW w:w="2880" w:type="dxa"/>
            <w:gridSpan w:val="2"/>
            <w:tcBorders>
              <w:top w:val="nil"/>
              <w:left w:val="nil"/>
              <w:bottom w:val="nil"/>
              <w:right w:val="nil"/>
            </w:tcBorders>
            <w:shd w:val="clear" w:color="auto" w:fill="auto"/>
            <w:vAlign w:val="center"/>
            <w:hideMark/>
          </w:tcPr>
          <w:p w:rsidR="00473BDE" w:rsidRPr="00473BDE" w:rsidRDefault="00473BDE" w:rsidP="00473BDE">
            <w:pPr>
              <w:rPr>
                <w:rFonts w:cs="Arial"/>
                <w:color w:val="7F7F7F"/>
                <w:szCs w:val="18"/>
                <w:lang w:eastAsia="en-AU"/>
              </w:rPr>
            </w:pPr>
            <w:r w:rsidRPr="00473BDE">
              <w:rPr>
                <w:rFonts w:cs="Arial"/>
                <w:color w:val="7F7F7F"/>
                <w:szCs w:val="18"/>
                <w:lang w:eastAsia="en-AU"/>
              </w:rPr>
              <w:t>Professionals</w:t>
            </w:r>
          </w:p>
        </w:tc>
        <w:tc>
          <w:tcPr>
            <w:tcW w:w="96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37%</w:t>
            </w:r>
          </w:p>
        </w:tc>
        <w:tc>
          <w:tcPr>
            <w:tcW w:w="112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21%</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37%</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5%</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15,399</w:t>
            </w:r>
          </w:p>
        </w:tc>
      </w:tr>
      <w:tr w:rsidR="00473BDE" w:rsidRPr="00473BDE" w:rsidTr="00473BDE">
        <w:trPr>
          <w:trHeight w:val="300"/>
        </w:trPr>
        <w:tc>
          <w:tcPr>
            <w:tcW w:w="2880" w:type="dxa"/>
            <w:gridSpan w:val="2"/>
            <w:tcBorders>
              <w:top w:val="nil"/>
              <w:left w:val="nil"/>
              <w:bottom w:val="nil"/>
              <w:right w:val="nil"/>
            </w:tcBorders>
            <w:shd w:val="clear" w:color="auto" w:fill="auto"/>
            <w:vAlign w:val="center"/>
            <w:hideMark/>
          </w:tcPr>
          <w:p w:rsidR="00473BDE" w:rsidRPr="00473BDE" w:rsidRDefault="00473BDE" w:rsidP="00473BDE">
            <w:pPr>
              <w:rPr>
                <w:rFonts w:cs="Arial"/>
                <w:color w:val="7F7F7F"/>
                <w:szCs w:val="18"/>
                <w:lang w:eastAsia="en-AU"/>
              </w:rPr>
            </w:pPr>
            <w:r w:rsidRPr="00473BDE">
              <w:rPr>
                <w:rFonts w:cs="Arial"/>
                <w:color w:val="7F7F7F"/>
                <w:szCs w:val="18"/>
                <w:lang w:eastAsia="en-AU"/>
              </w:rPr>
              <w:t>Sales Workers</w:t>
            </w:r>
          </w:p>
        </w:tc>
        <w:tc>
          <w:tcPr>
            <w:tcW w:w="96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21%</w:t>
            </w:r>
          </w:p>
        </w:tc>
        <w:tc>
          <w:tcPr>
            <w:tcW w:w="112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5%</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72%</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2%</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4,885</w:t>
            </w:r>
          </w:p>
        </w:tc>
      </w:tr>
      <w:tr w:rsidR="00473BDE" w:rsidRPr="00473BDE" w:rsidTr="00473BDE">
        <w:trPr>
          <w:trHeight w:val="300"/>
        </w:trPr>
        <w:tc>
          <w:tcPr>
            <w:tcW w:w="2880" w:type="dxa"/>
            <w:gridSpan w:val="2"/>
            <w:tcBorders>
              <w:top w:val="nil"/>
              <w:left w:val="nil"/>
              <w:bottom w:val="nil"/>
              <w:right w:val="nil"/>
            </w:tcBorders>
            <w:shd w:val="clear" w:color="auto" w:fill="auto"/>
            <w:vAlign w:val="center"/>
            <w:hideMark/>
          </w:tcPr>
          <w:p w:rsidR="00473BDE" w:rsidRPr="00473BDE" w:rsidRDefault="00473BDE" w:rsidP="00473BDE">
            <w:pPr>
              <w:rPr>
                <w:rFonts w:cs="Arial"/>
                <w:color w:val="7F7F7F"/>
                <w:szCs w:val="18"/>
                <w:lang w:eastAsia="en-AU"/>
              </w:rPr>
            </w:pPr>
            <w:r w:rsidRPr="00473BDE">
              <w:rPr>
                <w:rFonts w:cs="Arial"/>
                <w:color w:val="7F7F7F"/>
                <w:szCs w:val="18"/>
                <w:lang w:eastAsia="en-AU"/>
              </w:rPr>
              <w:t>Technicians and Trades Workers</w:t>
            </w:r>
          </w:p>
        </w:tc>
        <w:tc>
          <w:tcPr>
            <w:tcW w:w="96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44%</w:t>
            </w:r>
          </w:p>
        </w:tc>
        <w:tc>
          <w:tcPr>
            <w:tcW w:w="112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13%</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43%</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1%</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89,121</w:t>
            </w:r>
          </w:p>
        </w:tc>
      </w:tr>
      <w:tr w:rsidR="00473BDE" w:rsidRPr="00473BDE" w:rsidTr="00473BDE">
        <w:trPr>
          <w:trHeight w:val="300"/>
        </w:trPr>
        <w:tc>
          <w:tcPr>
            <w:tcW w:w="2880" w:type="dxa"/>
            <w:gridSpan w:val="2"/>
            <w:tcBorders>
              <w:top w:val="nil"/>
              <w:left w:val="nil"/>
              <w:bottom w:val="nil"/>
              <w:right w:val="nil"/>
            </w:tcBorders>
            <w:shd w:val="clear" w:color="auto" w:fill="auto"/>
            <w:vAlign w:val="center"/>
            <w:hideMark/>
          </w:tcPr>
          <w:p w:rsidR="00473BDE" w:rsidRPr="00473BDE" w:rsidRDefault="00473BDE" w:rsidP="00473BDE">
            <w:pPr>
              <w:rPr>
                <w:rFonts w:cs="Arial"/>
                <w:color w:val="7F7F7F"/>
                <w:szCs w:val="18"/>
                <w:lang w:eastAsia="en-AU"/>
              </w:rPr>
            </w:pPr>
            <w:r w:rsidRPr="00473BDE">
              <w:rPr>
                <w:rFonts w:cs="Arial"/>
                <w:color w:val="7F7F7F"/>
                <w:szCs w:val="18"/>
                <w:lang w:eastAsia="en-AU"/>
              </w:rPr>
              <w:t>Other*</w:t>
            </w:r>
          </w:p>
        </w:tc>
        <w:tc>
          <w:tcPr>
            <w:tcW w:w="96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20%</w:t>
            </w:r>
          </w:p>
        </w:tc>
        <w:tc>
          <w:tcPr>
            <w:tcW w:w="112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9%</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44%</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27%</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26,733</w:t>
            </w:r>
          </w:p>
        </w:tc>
      </w:tr>
      <w:tr w:rsidR="00473BDE" w:rsidRPr="00473BDE" w:rsidTr="00473BDE">
        <w:trPr>
          <w:trHeight w:val="300"/>
        </w:trPr>
        <w:tc>
          <w:tcPr>
            <w:tcW w:w="1860" w:type="dxa"/>
            <w:tcBorders>
              <w:top w:val="nil"/>
              <w:left w:val="nil"/>
              <w:bottom w:val="nil"/>
              <w:right w:val="nil"/>
            </w:tcBorders>
            <w:shd w:val="clear" w:color="000000" w:fill="7F7F7F"/>
            <w:noWrap/>
            <w:vAlign w:val="center"/>
            <w:hideMark/>
          </w:tcPr>
          <w:p w:rsidR="00473BDE" w:rsidRPr="00473BDE" w:rsidRDefault="00473BDE" w:rsidP="00473BDE">
            <w:pPr>
              <w:rPr>
                <w:rFonts w:cs="Arial"/>
                <w:b/>
                <w:bCs/>
                <w:color w:val="FFFFFF"/>
                <w:szCs w:val="18"/>
                <w:lang w:eastAsia="en-AU"/>
              </w:rPr>
            </w:pPr>
            <w:r w:rsidRPr="00473BDE">
              <w:rPr>
                <w:rFonts w:cs="Arial"/>
                <w:b/>
                <w:bCs/>
                <w:color w:val="FFFFFF"/>
                <w:szCs w:val="18"/>
                <w:lang w:eastAsia="en-AU"/>
              </w:rPr>
              <w:t>Total (AQF I+ only)</w:t>
            </w:r>
          </w:p>
        </w:tc>
        <w:tc>
          <w:tcPr>
            <w:tcW w:w="1020" w:type="dxa"/>
            <w:tcBorders>
              <w:top w:val="nil"/>
              <w:left w:val="nil"/>
              <w:bottom w:val="nil"/>
              <w:right w:val="nil"/>
            </w:tcBorders>
            <w:shd w:val="clear" w:color="000000" w:fill="7F7F7F"/>
            <w:noWrap/>
            <w:vAlign w:val="center"/>
            <w:hideMark/>
          </w:tcPr>
          <w:p w:rsidR="00473BDE" w:rsidRPr="00473BDE" w:rsidRDefault="00473BDE" w:rsidP="00473BDE">
            <w:pPr>
              <w:rPr>
                <w:rFonts w:cs="Arial"/>
                <w:b/>
                <w:bCs/>
                <w:color w:val="FFFFFF"/>
                <w:szCs w:val="18"/>
                <w:lang w:eastAsia="en-AU"/>
              </w:rPr>
            </w:pPr>
            <w:r w:rsidRPr="00473BDE">
              <w:rPr>
                <w:rFonts w:cs="Arial"/>
                <w:b/>
                <w:bCs/>
                <w:color w:val="FFFFFF"/>
                <w:szCs w:val="18"/>
                <w:lang w:eastAsia="en-AU"/>
              </w:rPr>
              <w:t> </w:t>
            </w:r>
          </w:p>
        </w:tc>
        <w:tc>
          <w:tcPr>
            <w:tcW w:w="963" w:type="dxa"/>
            <w:tcBorders>
              <w:top w:val="nil"/>
              <w:left w:val="nil"/>
              <w:bottom w:val="nil"/>
              <w:right w:val="nil"/>
            </w:tcBorders>
            <w:shd w:val="clear" w:color="000000" w:fill="7F7F7F"/>
            <w:noWrap/>
            <w:vAlign w:val="center"/>
            <w:hideMark/>
          </w:tcPr>
          <w:p w:rsidR="00473BDE" w:rsidRPr="00473BDE" w:rsidRDefault="00473BDE" w:rsidP="00473BDE">
            <w:pPr>
              <w:jc w:val="right"/>
              <w:rPr>
                <w:rFonts w:cs="Arial"/>
                <w:b/>
                <w:bCs/>
                <w:color w:val="FFFFFF"/>
                <w:szCs w:val="18"/>
                <w:lang w:eastAsia="en-AU"/>
              </w:rPr>
            </w:pPr>
            <w:r w:rsidRPr="00473BDE">
              <w:rPr>
                <w:rFonts w:cs="Arial"/>
                <w:b/>
                <w:bCs/>
                <w:color w:val="FFFFFF"/>
                <w:szCs w:val="18"/>
                <w:lang w:eastAsia="en-AU"/>
              </w:rPr>
              <w:t>26%</w:t>
            </w:r>
          </w:p>
        </w:tc>
        <w:tc>
          <w:tcPr>
            <w:tcW w:w="1123" w:type="dxa"/>
            <w:tcBorders>
              <w:top w:val="nil"/>
              <w:left w:val="nil"/>
              <w:bottom w:val="nil"/>
              <w:right w:val="nil"/>
            </w:tcBorders>
            <w:shd w:val="clear" w:color="000000" w:fill="7F7F7F"/>
            <w:noWrap/>
            <w:vAlign w:val="center"/>
            <w:hideMark/>
          </w:tcPr>
          <w:p w:rsidR="00473BDE" w:rsidRPr="00473BDE" w:rsidRDefault="00473BDE" w:rsidP="00473BDE">
            <w:pPr>
              <w:jc w:val="right"/>
              <w:rPr>
                <w:rFonts w:cs="Arial"/>
                <w:b/>
                <w:bCs/>
                <w:color w:val="FFFFFF"/>
                <w:szCs w:val="18"/>
                <w:lang w:eastAsia="en-AU"/>
              </w:rPr>
            </w:pPr>
            <w:r w:rsidRPr="00473BDE">
              <w:rPr>
                <w:rFonts w:cs="Arial"/>
                <w:b/>
                <w:bCs/>
                <w:color w:val="FFFFFF"/>
                <w:szCs w:val="18"/>
                <w:lang w:eastAsia="en-AU"/>
              </w:rPr>
              <w:t>8%</w:t>
            </w:r>
          </w:p>
        </w:tc>
        <w:tc>
          <w:tcPr>
            <w:tcW w:w="1043" w:type="dxa"/>
            <w:tcBorders>
              <w:top w:val="nil"/>
              <w:left w:val="nil"/>
              <w:bottom w:val="nil"/>
              <w:right w:val="nil"/>
            </w:tcBorders>
            <w:shd w:val="clear" w:color="000000" w:fill="7F7F7F"/>
            <w:noWrap/>
            <w:vAlign w:val="center"/>
            <w:hideMark/>
          </w:tcPr>
          <w:p w:rsidR="00473BDE" w:rsidRPr="00473BDE" w:rsidRDefault="00473BDE" w:rsidP="00473BDE">
            <w:pPr>
              <w:jc w:val="right"/>
              <w:rPr>
                <w:rFonts w:cs="Arial"/>
                <w:b/>
                <w:bCs/>
                <w:color w:val="FFFFFF"/>
                <w:szCs w:val="18"/>
                <w:lang w:eastAsia="en-AU"/>
              </w:rPr>
            </w:pPr>
            <w:r w:rsidRPr="00473BDE">
              <w:rPr>
                <w:rFonts w:cs="Arial"/>
                <w:b/>
                <w:bCs/>
                <w:color w:val="FFFFFF"/>
                <w:szCs w:val="18"/>
                <w:lang w:eastAsia="en-AU"/>
              </w:rPr>
              <w:t>60%</w:t>
            </w:r>
          </w:p>
        </w:tc>
        <w:tc>
          <w:tcPr>
            <w:tcW w:w="1043" w:type="dxa"/>
            <w:tcBorders>
              <w:top w:val="nil"/>
              <w:left w:val="nil"/>
              <w:bottom w:val="nil"/>
              <w:right w:val="nil"/>
            </w:tcBorders>
            <w:shd w:val="clear" w:color="000000" w:fill="7F7F7F"/>
            <w:noWrap/>
            <w:vAlign w:val="center"/>
            <w:hideMark/>
          </w:tcPr>
          <w:p w:rsidR="00473BDE" w:rsidRPr="00473BDE" w:rsidRDefault="00473BDE" w:rsidP="00473BDE">
            <w:pPr>
              <w:jc w:val="right"/>
              <w:rPr>
                <w:rFonts w:cs="Arial"/>
                <w:b/>
                <w:bCs/>
                <w:color w:val="FFFFFF"/>
                <w:szCs w:val="18"/>
                <w:lang w:eastAsia="en-AU"/>
              </w:rPr>
            </w:pPr>
            <w:r w:rsidRPr="00473BDE">
              <w:rPr>
                <w:rFonts w:cs="Arial"/>
                <w:b/>
                <w:bCs/>
                <w:color w:val="FFFFFF"/>
                <w:szCs w:val="18"/>
                <w:lang w:eastAsia="en-AU"/>
              </w:rPr>
              <w:t>6%</w:t>
            </w:r>
          </w:p>
        </w:tc>
        <w:tc>
          <w:tcPr>
            <w:tcW w:w="1043" w:type="dxa"/>
            <w:tcBorders>
              <w:top w:val="nil"/>
              <w:left w:val="nil"/>
              <w:bottom w:val="nil"/>
              <w:right w:val="nil"/>
            </w:tcBorders>
            <w:shd w:val="clear" w:color="000000" w:fill="7F7F7F"/>
            <w:noWrap/>
            <w:vAlign w:val="center"/>
            <w:hideMark/>
          </w:tcPr>
          <w:p w:rsidR="00473BDE" w:rsidRPr="00473BDE" w:rsidRDefault="00473BDE" w:rsidP="00473BDE">
            <w:pPr>
              <w:jc w:val="right"/>
              <w:rPr>
                <w:rFonts w:cs="Arial"/>
                <w:b/>
                <w:bCs/>
                <w:color w:val="FFFFFF"/>
                <w:szCs w:val="18"/>
                <w:lang w:eastAsia="en-AU"/>
              </w:rPr>
            </w:pPr>
            <w:r w:rsidRPr="00473BDE">
              <w:rPr>
                <w:rFonts w:cs="Arial"/>
                <w:b/>
                <w:bCs/>
                <w:color w:val="FFFFFF"/>
                <w:szCs w:val="18"/>
                <w:lang w:eastAsia="en-AU"/>
              </w:rPr>
              <w:t>297,073</w:t>
            </w:r>
          </w:p>
        </w:tc>
      </w:tr>
    </w:tbl>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4A0" w:firstRow="1" w:lastRow="0" w:firstColumn="1" w:lastColumn="0" w:noHBand="0" w:noVBand="1"/>
      </w:tblPr>
      <w:tblGrid>
        <w:gridCol w:w="431"/>
        <w:gridCol w:w="7649"/>
      </w:tblGrid>
      <w:tr w:rsidR="00473BDE" w:rsidRPr="00913551" w:rsidTr="0097544A">
        <w:tc>
          <w:tcPr>
            <w:tcW w:w="431" w:type="dxa"/>
            <w:tcMar>
              <w:left w:w="0" w:type="dxa"/>
              <w:right w:w="28" w:type="dxa"/>
            </w:tcMar>
          </w:tcPr>
          <w:p w:rsidR="00473BDE" w:rsidRPr="00913551" w:rsidRDefault="00473BDE" w:rsidP="0097544A">
            <w:pPr>
              <w:spacing w:after="0" w:line="240" w:lineRule="auto"/>
              <w:jc w:val="right"/>
              <w:rPr>
                <w:color w:val="7F7F7F" w:themeColor="text2"/>
                <w:sz w:val="16"/>
                <w:szCs w:val="16"/>
              </w:rPr>
            </w:pPr>
            <w:r w:rsidRPr="00913551">
              <w:rPr>
                <w:color w:val="7F7F7F" w:themeColor="text2"/>
                <w:sz w:val="16"/>
                <w:szCs w:val="16"/>
              </w:rPr>
              <w:t xml:space="preserve">* </w:t>
            </w:r>
          </w:p>
        </w:tc>
        <w:tc>
          <w:tcPr>
            <w:tcW w:w="7649" w:type="dxa"/>
            <w:tcMar>
              <w:left w:w="0" w:type="dxa"/>
              <w:right w:w="28" w:type="dxa"/>
            </w:tcMar>
          </w:tcPr>
          <w:p w:rsidR="00473BDE" w:rsidRPr="00913551" w:rsidRDefault="00473BDE" w:rsidP="00030A35">
            <w:pPr>
              <w:pStyle w:val="Note"/>
              <w:spacing w:after="0" w:line="240" w:lineRule="auto"/>
              <w:rPr>
                <w:i w:val="0"/>
                <w:color w:val="7F7F7F" w:themeColor="text2"/>
              </w:rPr>
            </w:pPr>
            <w:r w:rsidRPr="00913551">
              <w:t xml:space="preserve">‘Other’ includes courses that </w:t>
            </w:r>
            <w:proofErr w:type="gramStart"/>
            <w:r w:rsidRPr="00913551">
              <w:t>were not able to</w:t>
            </w:r>
            <w:proofErr w:type="gramEnd"/>
            <w:r w:rsidRPr="00913551">
              <w:t xml:space="preserve"> be coded directly into the Australian and New Zealand Standard Classification of Occupation.</w:t>
            </w:r>
          </w:p>
        </w:tc>
      </w:tr>
    </w:tbl>
    <w:p w:rsidR="00473BDE" w:rsidRDefault="00473BDE">
      <w:pPr>
        <w:rPr>
          <w:color w:val="7F7F7F" w:themeColor="text2"/>
          <w:szCs w:val="18"/>
        </w:rPr>
      </w:pPr>
    </w:p>
    <w:p w:rsidR="00487C9E" w:rsidRPr="00151889" w:rsidRDefault="00487C9E">
      <w:pPr>
        <w:rPr>
          <w:color w:val="7F7F7F" w:themeColor="text2"/>
          <w:szCs w:val="18"/>
        </w:rPr>
      </w:pPr>
    </w:p>
    <w:p w:rsidR="00604517" w:rsidRPr="00151889" w:rsidRDefault="00604517">
      <w:pPr>
        <w:rPr>
          <w:color w:val="7F7F7F" w:themeColor="text2"/>
          <w:szCs w:val="18"/>
        </w:rPr>
      </w:pPr>
      <w:r w:rsidRPr="00151889">
        <w:rPr>
          <w:szCs w:val="18"/>
        </w:rPr>
        <w:br w:type="page"/>
      </w: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473BDE" w:rsidTr="0097544A">
        <w:tc>
          <w:tcPr>
            <w:tcW w:w="1134" w:type="dxa"/>
            <w:tcMar>
              <w:left w:w="0" w:type="dxa"/>
              <w:right w:w="0" w:type="dxa"/>
            </w:tcMar>
          </w:tcPr>
          <w:p w:rsidR="00473BDE" w:rsidRDefault="00473BDE" w:rsidP="00C33510">
            <w:pPr>
              <w:pStyle w:val="Quote"/>
              <w:tabs>
                <w:tab w:val="left" w:pos="1134"/>
              </w:tabs>
              <w:rPr>
                <w:b w:val="0"/>
                <w:color w:val="B41F22" w:themeColor="accent1"/>
              </w:rPr>
            </w:pPr>
            <w:r>
              <w:rPr>
                <w:b w:val="0"/>
                <w:color w:val="B41F22" w:themeColor="accent1"/>
              </w:rPr>
              <w:lastRenderedPageBreak/>
              <w:t>Table 1.1</w:t>
            </w:r>
            <w:r w:rsidR="0084117E">
              <w:rPr>
                <w:b w:val="0"/>
                <w:color w:val="B41F22" w:themeColor="accent1"/>
              </w:rPr>
              <w:t>3</w:t>
            </w:r>
            <w:r>
              <w:rPr>
                <w:b w:val="0"/>
                <w:color w:val="B41F22" w:themeColor="accent1"/>
              </w:rPr>
              <w:t>:</w:t>
            </w:r>
          </w:p>
        </w:tc>
        <w:tc>
          <w:tcPr>
            <w:tcW w:w="6946" w:type="dxa"/>
            <w:tcMar>
              <w:left w:w="0" w:type="dxa"/>
              <w:right w:w="0" w:type="dxa"/>
            </w:tcMar>
          </w:tcPr>
          <w:p w:rsidR="00473BDE" w:rsidRDefault="00473BDE" w:rsidP="0097544A">
            <w:pPr>
              <w:pStyle w:val="Quote"/>
              <w:tabs>
                <w:tab w:val="left" w:pos="1134"/>
              </w:tabs>
              <w:rPr>
                <w:b w:val="0"/>
                <w:color w:val="B41F22" w:themeColor="accent1"/>
              </w:rPr>
            </w:pPr>
            <w:r w:rsidRPr="00EB78D8">
              <w:rPr>
                <w:b w:val="0"/>
                <w:color w:val="B41F22" w:themeColor="accent1"/>
              </w:rPr>
              <w:t>Government subsidised course enrolments (AQF I and higher only), proportional share across sectors by industry, 2015 (half year)</w:t>
            </w:r>
          </w:p>
        </w:tc>
      </w:tr>
    </w:tbl>
    <w:p w:rsidR="00E908F9" w:rsidRDefault="00E908F9" w:rsidP="000C12C5">
      <w:pPr>
        <w:pStyle w:val="Quote"/>
        <w:rPr>
          <w:b w:val="0"/>
          <w:i/>
        </w:rPr>
      </w:pPr>
      <w:r w:rsidRPr="00EB78D8">
        <w:rPr>
          <w:b w:val="0"/>
          <w:i/>
        </w:rPr>
        <w:t>Percentages total across rows in the table below</w:t>
      </w:r>
    </w:p>
    <w:tbl>
      <w:tblPr>
        <w:tblW w:w="8095" w:type="dxa"/>
        <w:tblInd w:w="93" w:type="dxa"/>
        <w:tblLayout w:type="fixed"/>
        <w:tblLook w:val="04A0" w:firstRow="1" w:lastRow="0" w:firstColumn="1" w:lastColumn="0" w:noHBand="0" w:noVBand="1"/>
      </w:tblPr>
      <w:tblGrid>
        <w:gridCol w:w="1860"/>
        <w:gridCol w:w="1020"/>
        <w:gridCol w:w="963"/>
        <w:gridCol w:w="80"/>
        <w:gridCol w:w="1043"/>
        <w:gridCol w:w="1043"/>
        <w:gridCol w:w="1043"/>
        <w:gridCol w:w="1043"/>
      </w:tblGrid>
      <w:tr w:rsidR="00473BDE" w:rsidRPr="00473BDE" w:rsidTr="00473BDE">
        <w:trPr>
          <w:trHeight w:val="480"/>
        </w:trPr>
        <w:tc>
          <w:tcPr>
            <w:tcW w:w="1860" w:type="dxa"/>
            <w:tcBorders>
              <w:top w:val="nil"/>
              <w:left w:val="nil"/>
              <w:bottom w:val="nil"/>
              <w:right w:val="nil"/>
            </w:tcBorders>
            <w:shd w:val="clear" w:color="000000" w:fill="7F7F7F"/>
            <w:noWrap/>
            <w:vAlign w:val="center"/>
            <w:hideMark/>
          </w:tcPr>
          <w:p w:rsidR="00473BDE" w:rsidRPr="00473BDE" w:rsidRDefault="00473BDE" w:rsidP="00473BDE">
            <w:pPr>
              <w:rPr>
                <w:rFonts w:cs="Arial"/>
                <w:color w:val="FFFFFF"/>
                <w:szCs w:val="18"/>
                <w:lang w:eastAsia="en-AU"/>
              </w:rPr>
            </w:pPr>
            <w:r w:rsidRPr="00473BDE">
              <w:rPr>
                <w:rFonts w:cs="Arial"/>
                <w:color w:val="FFFFFF"/>
                <w:szCs w:val="18"/>
                <w:lang w:eastAsia="en-AU"/>
              </w:rPr>
              <w:t> </w:t>
            </w:r>
          </w:p>
        </w:tc>
        <w:tc>
          <w:tcPr>
            <w:tcW w:w="1020" w:type="dxa"/>
            <w:tcBorders>
              <w:top w:val="nil"/>
              <w:left w:val="nil"/>
              <w:bottom w:val="nil"/>
              <w:right w:val="nil"/>
            </w:tcBorders>
            <w:shd w:val="clear" w:color="000000" w:fill="7F7F7F"/>
            <w:noWrap/>
            <w:vAlign w:val="center"/>
            <w:hideMark/>
          </w:tcPr>
          <w:p w:rsidR="00473BDE" w:rsidRPr="00473BDE" w:rsidRDefault="00473BDE" w:rsidP="00473BDE">
            <w:pPr>
              <w:rPr>
                <w:rFonts w:cs="Arial"/>
                <w:color w:val="FFFFFF"/>
                <w:szCs w:val="18"/>
                <w:lang w:eastAsia="en-AU"/>
              </w:rPr>
            </w:pPr>
            <w:r w:rsidRPr="00473BDE">
              <w:rPr>
                <w:rFonts w:cs="Arial"/>
                <w:color w:val="FFFFFF"/>
                <w:szCs w:val="18"/>
                <w:lang w:eastAsia="en-AU"/>
              </w:rPr>
              <w:t> </w:t>
            </w:r>
          </w:p>
        </w:tc>
        <w:tc>
          <w:tcPr>
            <w:tcW w:w="963" w:type="dxa"/>
            <w:tcBorders>
              <w:top w:val="nil"/>
              <w:left w:val="nil"/>
              <w:bottom w:val="nil"/>
              <w:right w:val="nil"/>
            </w:tcBorders>
            <w:shd w:val="clear" w:color="000000" w:fill="7F7F7F"/>
            <w:vAlign w:val="center"/>
            <w:hideMark/>
          </w:tcPr>
          <w:p w:rsidR="00473BDE" w:rsidRPr="00473BDE" w:rsidRDefault="00473BDE" w:rsidP="00473BDE">
            <w:pPr>
              <w:jc w:val="center"/>
              <w:rPr>
                <w:rFonts w:cs="Arial"/>
                <w:b/>
                <w:bCs/>
                <w:color w:val="FFFFFF"/>
                <w:szCs w:val="18"/>
                <w:lang w:eastAsia="en-AU"/>
              </w:rPr>
            </w:pPr>
            <w:r w:rsidRPr="00473BDE">
              <w:rPr>
                <w:rFonts w:cs="Arial"/>
                <w:b/>
                <w:bCs/>
                <w:color w:val="FFFFFF"/>
                <w:szCs w:val="18"/>
                <w:lang w:eastAsia="en-AU"/>
              </w:rPr>
              <w:t>TAFE</w:t>
            </w:r>
          </w:p>
        </w:tc>
        <w:tc>
          <w:tcPr>
            <w:tcW w:w="1123" w:type="dxa"/>
            <w:gridSpan w:val="2"/>
            <w:tcBorders>
              <w:top w:val="nil"/>
              <w:left w:val="nil"/>
              <w:bottom w:val="nil"/>
              <w:right w:val="nil"/>
            </w:tcBorders>
            <w:shd w:val="clear" w:color="000000" w:fill="7F7F7F"/>
            <w:vAlign w:val="center"/>
            <w:hideMark/>
          </w:tcPr>
          <w:p w:rsidR="00473BDE" w:rsidRPr="00473BDE" w:rsidRDefault="00473BDE" w:rsidP="00473BDE">
            <w:pPr>
              <w:jc w:val="center"/>
              <w:rPr>
                <w:rFonts w:cs="Arial"/>
                <w:b/>
                <w:bCs/>
                <w:color w:val="FFFFFF"/>
                <w:szCs w:val="18"/>
                <w:lang w:eastAsia="en-AU"/>
              </w:rPr>
            </w:pPr>
            <w:r w:rsidRPr="00473BDE">
              <w:rPr>
                <w:rFonts w:cs="Arial"/>
                <w:b/>
                <w:bCs/>
                <w:color w:val="FFFFFF"/>
                <w:szCs w:val="18"/>
                <w:lang w:eastAsia="en-AU"/>
              </w:rPr>
              <w:t>University</w:t>
            </w:r>
          </w:p>
        </w:tc>
        <w:tc>
          <w:tcPr>
            <w:tcW w:w="1043" w:type="dxa"/>
            <w:tcBorders>
              <w:top w:val="nil"/>
              <w:left w:val="nil"/>
              <w:bottom w:val="nil"/>
              <w:right w:val="nil"/>
            </w:tcBorders>
            <w:shd w:val="clear" w:color="000000" w:fill="7F7F7F"/>
            <w:vAlign w:val="center"/>
            <w:hideMark/>
          </w:tcPr>
          <w:p w:rsidR="00473BDE" w:rsidRPr="00473BDE" w:rsidRDefault="00473BDE" w:rsidP="00473BDE">
            <w:pPr>
              <w:jc w:val="center"/>
              <w:rPr>
                <w:rFonts w:cs="Arial"/>
                <w:b/>
                <w:bCs/>
                <w:color w:val="FFFFFF"/>
                <w:szCs w:val="18"/>
                <w:lang w:eastAsia="en-AU"/>
              </w:rPr>
            </w:pPr>
            <w:r w:rsidRPr="00473BDE">
              <w:rPr>
                <w:rFonts w:cs="Arial"/>
                <w:b/>
                <w:bCs/>
                <w:color w:val="FFFFFF"/>
                <w:szCs w:val="18"/>
                <w:lang w:eastAsia="en-AU"/>
              </w:rPr>
              <w:t>Private RTO</w:t>
            </w:r>
          </w:p>
        </w:tc>
        <w:tc>
          <w:tcPr>
            <w:tcW w:w="1043" w:type="dxa"/>
            <w:tcBorders>
              <w:top w:val="nil"/>
              <w:left w:val="nil"/>
              <w:bottom w:val="nil"/>
              <w:right w:val="nil"/>
            </w:tcBorders>
            <w:shd w:val="clear" w:color="000000" w:fill="7F7F7F"/>
            <w:vAlign w:val="center"/>
            <w:hideMark/>
          </w:tcPr>
          <w:p w:rsidR="00473BDE" w:rsidRPr="00473BDE" w:rsidRDefault="00473BDE" w:rsidP="00473BDE">
            <w:pPr>
              <w:jc w:val="center"/>
              <w:rPr>
                <w:rFonts w:cs="Arial"/>
                <w:b/>
                <w:bCs/>
                <w:color w:val="FFFFFF"/>
                <w:szCs w:val="18"/>
                <w:lang w:eastAsia="en-AU"/>
              </w:rPr>
            </w:pPr>
            <w:r w:rsidRPr="00473BDE">
              <w:rPr>
                <w:rFonts w:cs="Arial"/>
                <w:b/>
                <w:bCs/>
                <w:color w:val="FFFFFF"/>
                <w:szCs w:val="18"/>
                <w:lang w:eastAsia="en-AU"/>
              </w:rPr>
              <w:t>Learn Local</w:t>
            </w:r>
          </w:p>
        </w:tc>
        <w:tc>
          <w:tcPr>
            <w:tcW w:w="1043" w:type="dxa"/>
            <w:tcBorders>
              <w:top w:val="nil"/>
              <w:left w:val="nil"/>
              <w:bottom w:val="nil"/>
              <w:right w:val="nil"/>
            </w:tcBorders>
            <w:shd w:val="clear" w:color="000000" w:fill="7F7F7F"/>
            <w:vAlign w:val="center"/>
            <w:hideMark/>
          </w:tcPr>
          <w:p w:rsidR="00473BDE" w:rsidRPr="00473BDE" w:rsidRDefault="00473BDE" w:rsidP="00473BDE">
            <w:pPr>
              <w:jc w:val="center"/>
              <w:rPr>
                <w:rFonts w:cs="Arial"/>
                <w:b/>
                <w:bCs/>
                <w:color w:val="FFFFFF"/>
                <w:szCs w:val="18"/>
                <w:lang w:eastAsia="en-AU"/>
              </w:rPr>
            </w:pPr>
            <w:r w:rsidRPr="00473BDE">
              <w:rPr>
                <w:rFonts w:cs="Arial"/>
                <w:b/>
                <w:bCs/>
                <w:color w:val="FFFFFF"/>
                <w:szCs w:val="18"/>
                <w:lang w:eastAsia="en-AU"/>
              </w:rPr>
              <w:t>Total (number)</w:t>
            </w:r>
          </w:p>
        </w:tc>
      </w:tr>
      <w:tr w:rsidR="00473BDE" w:rsidRPr="00473BDE" w:rsidTr="00473BDE">
        <w:trPr>
          <w:trHeight w:val="600"/>
        </w:trPr>
        <w:tc>
          <w:tcPr>
            <w:tcW w:w="2880" w:type="dxa"/>
            <w:gridSpan w:val="2"/>
            <w:tcBorders>
              <w:top w:val="nil"/>
              <w:left w:val="nil"/>
              <w:bottom w:val="nil"/>
              <w:right w:val="nil"/>
            </w:tcBorders>
            <w:shd w:val="clear" w:color="auto" w:fill="auto"/>
            <w:vAlign w:val="center"/>
            <w:hideMark/>
          </w:tcPr>
          <w:p w:rsidR="00473BDE" w:rsidRPr="00473BDE" w:rsidRDefault="00473BDE" w:rsidP="00473BDE">
            <w:pPr>
              <w:rPr>
                <w:rFonts w:cs="Arial"/>
                <w:color w:val="7F7F7F"/>
                <w:szCs w:val="18"/>
                <w:lang w:eastAsia="en-AU"/>
              </w:rPr>
            </w:pPr>
            <w:r w:rsidRPr="00473BDE">
              <w:rPr>
                <w:rFonts w:cs="Arial"/>
                <w:color w:val="7F7F7F"/>
                <w:szCs w:val="18"/>
                <w:lang w:eastAsia="en-AU"/>
              </w:rPr>
              <w:t>Accommodation and Food Services</w:t>
            </w:r>
          </w:p>
        </w:tc>
        <w:tc>
          <w:tcPr>
            <w:tcW w:w="1043" w:type="dxa"/>
            <w:gridSpan w:val="2"/>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28%</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1%</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70%</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1%</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14,303</w:t>
            </w:r>
          </w:p>
        </w:tc>
      </w:tr>
      <w:tr w:rsidR="00473BDE" w:rsidRPr="00473BDE" w:rsidTr="00473BDE">
        <w:trPr>
          <w:trHeight w:val="600"/>
        </w:trPr>
        <w:tc>
          <w:tcPr>
            <w:tcW w:w="2880" w:type="dxa"/>
            <w:gridSpan w:val="2"/>
            <w:tcBorders>
              <w:top w:val="nil"/>
              <w:left w:val="nil"/>
              <w:bottom w:val="nil"/>
              <w:right w:val="nil"/>
            </w:tcBorders>
            <w:shd w:val="clear" w:color="auto" w:fill="auto"/>
            <w:vAlign w:val="center"/>
            <w:hideMark/>
          </w:tcPr>
          <w:p w:rsidR="00473BDE" w:rsidRPr="00473BDE" w:rsidRDefault="00473BDE" w:rsidP="00473BDE">
            <w:pPr>
              <w:rPr>
                <w:rFonts w:cs="Arial"/>
                <w:color w:val="7F7F7F"/>
                <w:szCs w:val="18"/>
                <w:lang w:eastAsia="en-AU"/>
              </w:rPr>
            </w:pPr>
            <w:r w:rsidRPr="00473BDE">
              <w:rPr>
                <w:rFonts w:cs="Arial"/>
                <w:color w:val="7F7F7F"/>
                <w:szCs w:val="18"/>
                <w:lang w:eastAsia="en-AU"/>
              </w:rPr>
              <w:t>Administrative and Support Services</w:t>
            </w:r>
          </w:p>
        </w:tc>
        <w:tc>
          <w:tcPr>
            <w:tcW w:w="1043" w:type="dxa"/>
            <w:gridSpan w:val="2"/>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33%</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2%</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63%</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3%</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5,372</w:t>
            </w:r>
          </w:p>
        </w:tc>
      </w:tr>
      <w:tr w:rsidR="00473BDE" w:rsidRPr="00473BDE" w:rsidTr="00473BDE">
        <w:trPr>
          <w:trHeight w:val="300"/>
        </w:trPr>
        <w:tc>
          <w:tcPr>
            <w:tcW w:w="2880" w:type="dxa"/>
            <w:gridSpan w:val="2"/>
            <w:tcBorders>
              <w:top w:val="nil"/>
              <w:left w:val="nil"/>
              <w:bottom w:val="nil"/>
              <w:right w:val="nil"/>
            </w:tcBorders>
            <w:shd w:val="clear" w:color="auto" w:fill="auto"/>
            <w:vAlign w:val="center"/>
            <w:hideMark/>
          </w:tcPr>
          <w:p w:rsidR="00473BDE" w:rsidRPr="00473BDE" w:rsidRDefault="00473BDE" w:rsidP="00473BDE">
            <w:pPr>
              <w:rPr>
                <w:rFonts w:cs="Arial"/>
                <w:color w:val="7F7F7F"/>
                <w:szCs w:val="18"/>
                <w:lang w:eastAsia="en-AU"/>
              </w:rPr>
            </w:pPr>
            <w:r w:rsidRPr="00473BDE">
              <w:rPr>
                <w:rFonts w:cs="Arial"/>
                <w:color w:val="7F7F7F"/>
                <w:szCs w:val="18"/>
                <w:lang w:eastAsia="en-AU"/>
              </w:rPr>
              <w:t>Agriculture, Forestry and Fishing</w:t>
            </w:r>
          </w:p>
        </w:tc>
        <w:tc>
          <w:tcPr>
            <w:tcW w:w="1043" w:type="dxa"/>
            <w:gridSpan w:val="2"/>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46%</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2%</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48%</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5%</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4,991</w:t>
            </w:r>
          </w:p>
        </w:tc>
      </w:tr>
      <w:tr w:rsidR="00473BDE" w:rsidRPr="00473BDE" w:rsidTr="00473BDE">
        <w:trPr>
          <w:trHeight w:val="300"/>
        </w:trPr>
        <w:tc>
          <w:tcPr>
            <w:tcW w:w="2880" w:type="dxa"/>
            <w:gridSpan w:val="2"/>
            <w:tcBorders>
              <w:top w:val="nil"/>
              <w:left w:val="nil"/>
              <w:bottom w:val="nil"/>
              <w:right w:val="nil"/>
            </w:tcBorders>
            <w:shd w:val="clear" w:color="auto" w:fill="auto"/>
            <w:vAlign w:val="center"/>
            <w:hideMark/>
          </w:tcPr>
          <w:p w:rsidR="00473BDE" w:rsidRPr="00473BDE" w:rsidRDefault="00473BDE" w:rsidP="00473BDE">
            <w:pPr>
              <w:rPr>
                <w:rFonts w:cs="Arial"/>
                <w:color w:val="7F7F7F"/>
                <w:szCs w:val="18"/>
                <w:lang w:eastAsia="en-AU"/>
              </w:rPr>
            </w:pPr>
            <w:r w:rsidRPr="00473BDE">
              <w:rPr>
                <w:rFonts w:cs="Arial"/>
                <w:color w:val="7F7F7F"/>
                <w:szCs w:val="18"/>
                <w:lang w:eastAsia="en-AU"/>
              </w:rPr>
              <w:t>Arts and Recreation Services</w:t>
            </w:r>
          </w:p>
        </w:tc>
        <w:tc>
          <w:tcPr>
            <w:tcW w:w="1043" w:type="dxa"/>
            <w:gridSpan w:val="2"/>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29%</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11%</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57%</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3%</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9,968</w:t>
            </w:r>
          </w:p>
        </w:tc>
      </w:tr>
      <w:tr w:rsidR="00473BDE" w:rsidRPr="00473BDE" w:rsidTr="00473BDE">
        <w:trPr>
          <w:trHeight w:val="300"/>
        </w:trPr>
        <w:tc>
          <w:tcPr>
            <w:tcW w:w="2880" w:type="dxa"/>
            <w:gridSpan w:val="2"/>
            <w:tcBorders>
              <w:top w:val="nil"/>
              <w:left w:val="nil"/>
              <w:bottom w:val="nil"/>
              <w:right w:val="nil"/>
            </w:tcBorders>
            <w:shd w:val="clear" w:color="auto" w:fill="auto"/>
            <w:vAlign w:val="center"/>
            <w:hideMark/>
          </w:tcPr>
          <w:p w:rsidR="00473BDE" w:rsidRPr="00473BDE" w:rsidRDefault="00473BDE" w:rsidP="00473BDE">
            <w:pPr>
              <w:rPr>
                <w:rFonts w:cs="Arial"/>
                <w:color w:val="7F7F7F"/>
                <w:szCs w:val="18"/>
                <w:lang w:eastAsia="en-AU"/>
              </w:rPr>
            </w:pPr>
            <w:r w:rsidRPr="00473BDE">
              <w:rPr>
                <w:rFonts w:cs="Arial"/>
                <w:color w:val="7F7F7F"/>
                <w:szCs w:val="18"/>
                <w:lang w:eastAsia="en-AU"/>
              </w:rPr>
              <w:t>Construction</w:t>
            </w:r>
          </w:p>
        </w:tc>
        <w:tc>
          <w:tcPr>
            <w:tcW w:w="1043" w:type="dxa"/>
            <w:gridSpan w:val="2"/>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44%</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13%</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43%</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0%</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45,271</w:t>
            </w:r>
          </w:p>
        </w:tc>
      </w:tr>
      <w:tr w:rsidR="00473BDE" w:rsidRPr="00473BDE" w:rsidTr="00473BDE">
        <w:trPr>
          <w:trHeight w:val="300"/>
        </w:trPr>
        <w:tc>
          <w:tcPr>
            <w:tcW w:w="2880" w:type="dxa"/>
            <w:gridSpan w:val="2"/>
            <w:tcBorders>
              <w:top w:val="nil"/>
              <w:left w:val="nil"/>
              <w:bottom w:val="nil"/>
              <w:right w:val="nil"/>
            </w:tcBorders>
            <w:shd w:val="clear" w:color="auto" w:fill="auto"/>
            <w:vAlign w:val="center"/>
            <w:hideMark/>
          </w:tcPr>
          <w:p w:rsidR="00473BDE" w:rsidRPr="00473BDE" w:rsidRDefault="00473BDE" w:rsidP="00473BDE">
            <w:pPr>
              <w:rPr>
                <w:rFonts w:cs="Arial"/>
                <w:color w:val="7F7F7F"/>
                <w:szCs w:val="18"/>
                <w:lang w:eastAsia="en-AU"/>
              </w:rPr>
            </w:pPr>
            <w:r w:rsidRPr="00473BDE">
              <w:rPr>
                <w:rFonts w:cs="Arial"/>
                <w:color w:val="7F7F7F"/>
                <w:szCs w:val="18"/>
                <w:lang w:eastAsia="en-AU"/>
              </w:rPr>
              <w:t>Cross-industry</w:t>
            </w:r>
          </w:p>
        </w:tc>
        <w:tc>
          <w:tcPr>
            <w:tcW w:w="1043" w:type="dxa"/>
            <w:gridSpan w:val="2"/>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17%</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8%</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73%</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2%</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32,185</w:t>
            </w:r>
          </w:p>
        </w:tc>
      </w:tr>
      <w:tr w:rsidR="00473BDE" w:rsidRPr="00473BDE" w:rsidTr="00473BDE">
        <w:trPr>
          <w:trHeight w:val="300"/>
        </w:trPr>
        <w:tc>
          <w:tcPr>
            <w:tcW w:w="2880" w:type="dxa"/>
            <w:gridSpan w:val="2"/>
            <w:tcBorders>
              <w:top w:val="nil"/>
              <w:left w:val="nil"/>
              <w:bottom w:val="nil"/>
              <w:right w:val="nil"/>
            </w:tcBorders>
            <w:shd w:val="clear" w:color="auto" w:fill="auto"/>
            <w:vAlign w:val="center"/>
            <w:hideMark/>
          </w:tcPr>
          <w:p w:rsidR="00473BDE" w:rsidRPr="00473BDE" w:rsidRDefault="00473BDE" w:rsidP="00473BDE">
            <w:pPr>
              <w:rPr>
                <w:rFonts w:cs="Arial"/>
                <w:color w:val="7F7F7F"/>
                <w:szCs w:val="18"/>
                <w:lang w:eastAsia="en-AU"/>
              </w:rPr>
            </w:pPr>
            <w:r w:rsidRPr="00473BDE">
              <w:rPr>
                <w:rFonts w:cs="Arial"/>
                <w:color w:val="7F7F7F"/>
                <w:szCs w:val="18"/>
                <w:lang w:eastAsia="en-AU"/>
              </w:rPr>
              <w:t>Education and Training</w:t>
            </w:r>
          </w:p>
        </w:tc>
        <w:tc>
          <w:tcPr>
            <w:tcW w:w="1043" w:type="dxa"/>
            <w:gridSpan w:val="2"/>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21%</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6%</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62%</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10%</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5,448</w:t>
            </w:r>
          </w:p>
        </w:tc>
      </w:tr>
      <w:tr w:rsidR="00473BDE" w:rsidRPr="00473BDE" w:rsidTr="00473BDE">
        <w:trPr>
          <w:trHeight w:val="600"/>
        </w:trPr>
        <w:tc>
          <w:tcPr>
            <w:tcW w:w="2880" w:type="dxa"/>
            <w:gridSpan w:val="2"/>
            <w:tcBorders>
              <w:top w:val="nil"/>
              <w:left w:val="nil"/>
              <w:bottom w:val="nil"/>
              <w:right w:val="nil"/>
            </w:tcBorders>
            <w:shd w:val="clear" w:color="auto" w:fill="auto"/>
            <w:vAlign w:val="center"/>
            <w:hideMark/>
          </w:tcPr>
          <w:p w:rsidR="00473BDE" w:rsidRPr="00473BDE" w:rsidRDefault="00473BDE" w:rsidP="00473BDE">
            <w:pPr>
              <w:rPr>
                <w:rFonts w:cs="Arial"/>
                <w:color w:val="7F7F7F"/>
                <w:szCs w:val="18"/>
                <w:lang w:eastAsia="en-AU"/>
              </w:rPr>
            </w:pPr>
            <w:r w:rsidRPr="00473BDE">
              <w:rPr>
                <w:rFonts w:cs="Arial"/>
                <w:color w:val="7F7F7F"/>
                <w:szCs w:val="18"/>
                <w:lang w:eastAsia="en-AU"/>
              </w:rPr>
              <w:t>Electricity, Gas, Water and Waste Services</w:t>
            </w:r>
          </w:p>
        </w:tc>
        <w:tc>
          <w:tcPr>
            <w:tcW w:w="1043" w:type="dxa"/>
            <w:gridSpan w:val="2"/>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35%</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6%</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59%</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0%</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1,433</w:t>
            </w:r>
          </w:p>
        </w:tc>
      </w:tr>
      <w:tr w:rsidR="00473BDE" w:rsidRPr="00473BDE" w:rsidTr="00473BDE">
        <w:trPr>
          <w:trHeight w:val="300"/>
        </w:trPr>
        <w:tc>
          <w:tcPr>
            <w:tcW w:w="2880" w:type="dxa"/>
            <w:gridSpan w:val="2"/>
            <w:tcBorders>
              <w:top w:val="nil"/>
              <w:left w:val="nil"/>
              <w:bottom w:val="nil"/>
              <w:right w:val="nil"/>
            </w:tcBorders>
            <w:shd w:val="clear" w:color="auto" w:fill="auto"/>
            <w:vAlign w:val="center"/>
            <w:hideMark/>
          </w:tcPr>
          <w:p w:rsidR="00473BDE" w:rsidRPr="00473BDE" w:rsidRDefault="00473BDE" w:rsidP="00473BDE">
            <w:pPr>
              <w:rPr>
                <w:rFonts w:cs="Arial"/>
                <w:color w:val="7F7F7F"/>
                <w:szCs w:val="18"/>
                <w:lang w:eastAsia="en-AU"/>
              </w:rPr>
            </w:pPr>
            <w:r w:rsidRPr="00473BDE">
              <w:rPr>
                <w:rFonts w:cs="Arial"/>
                <w:color w:val="7F7F7F"/>
                <w:szCs w:val="18"/>
                <w:lang w:eastAsia="en-AU"/>
              </w:rPr>
              <w:t>Financial and Insurance Services</w:t>
            </w:r>
          </w:p>
        </w:tc>
        <w:tc>
          <w:tcPr>
            <w:tcW w:w="1043" w:type="dxa"/>
            <w:gridSpan w:val="2"/>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3%</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5%</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92%</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0%</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1,279</w:t>
            </w:r>
          </w:p>
        </w:tc>
      </w:tr>
      <w:tr w:rsidR="00473BDE" w:rsidRPr="00473BDE" w:rsidTr="00473BDE">
        <w:trPr>
          <w:trHeight w:val="600"/>
        </w:trPr>
        <w:tc>
          <w:tcPr>
            <w:tcW w:w="2880" w:type="dxa"/>
            <w:gridSpan w:val="2"/>
            <w:tcBorders>
              <w:top w:val="nil"/>
              <w:left w:val="nil"/>
              <w:bottom w:val="nil"/>
              <w:right w:val="nil"/>
            </w:tcBorders>
            <w:shd w:val="clear" w:color="auto" w:fill="auto"/>
            <w:vAlign w:val="center"/>
            <w:hideMark/>
          </w:tcPr>
          <w:p w:rsidR="00473BDE" w:rsidRPr="00473BDE" w:rsidRDefault="00473BDE" w:rsidP="00473BDE">
            <w:pPr>
              <w:rPr>
                <w:rFonts w:cs="Arial"/>
                <w:color w:val="7F7F7F"/>
                <w:szCs w:val="18"/>
                <w:lang w:eastAsia="en-AU"/>
              </w:rPr>
            </w:pPr>
            <w:r w:rsidRPr="00473BDE">
              <w:rPr>
                <w:rFonts w:cs="Arial"/>
                <w:color w:val="7F7F7F"/>
                <w:szCs w:val="18"/>
                <w:lang w:eastAsia="en-AU"/>
              </w:rPr>
              <w:t>Health Care and Social Assistance</w:t>
            </w:r>
          </w:p>
        </w:tc>
        <w:tc>
          <w:tcPr>
            <w:tcW w:w="1043" w:type="dxa"/>
            <w:gridSpan w:val="2"/>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17%</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5%</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68%</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10%</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69,302</w:t>
            </w:r>
          </w:p>
        </w:tc>
      </w:tr>
      <w:tr w:rsidR="00473BDE" w:rsidRPr="00473BDE" w:rsidTr="00473BDE">
        <w:trPr>
          <w:trHeight w:val="600"/>
        </w:trPr>
        <w:tc>
          <w:tcPr>
            <w:tcW w:w="2880" w:type="dxa"/>
            <w:gridSpan w:val="2"/>
            <w:tcBorders>
              <w:top w:val="nil"/>
              <w:left w:val="nil"/>
              <w:bottom w:val="nil"/>
              <w:right w:val="nil"/>
            </w:tcBorders>
            <w:shd w:val="clear" w:color="auto" w:fill="auto"/>
            <w:vAlign w:val="center"/>
            <w:hideMark/>
          </w:tcPr>
          <w:p w:rsidR="00473BDE" w:rsidRPr="00473BDE" w:rsidRDefault="00473BDE" w:rsidP="00473BDE">
            <w:pPr>
              <w:rPr>
                <w:rFonts w:cs="Arial"/>
                <w:color w:val="7F7F7F"/>
                <w:szCs w:val="18"/>
                <w:lang w:eastAsia="en-AU"/>
              </w:rPr>
            </w:pPr>
            <w:r w:rsidRPr="00473BDE">
              <w:rPr>
                <w:rFonts w:cs="Arial"/>
                <w:color w:val="7F7F7F"/>
                <w:szCs w:val="18"/>
                <w:lang w:eastAsia="en-AU"/>
              </w:rPr>
              <w:t>Information Media and Telecommunications</w:t>
            </w:r>
          </w:p>
        </w:tc>
        <w:tc>
          <w:tcPr>
            <w:tcW w:w="1043" w:type="dxa"/>
            <w:gridSpan w:val="2"/>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30%</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36%</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34%</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0%</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2,640</w:t>
            </w:r>
          </w:p>
        </w:tc>
      </w:tr>
      <w:tr w:rsidR="00473BDE" w:rsidRPr="00473BDE" w:rsidTr="00473BDE">
        <w:trPr>
          <w:trHeight w:val="300"/>
        </w:trPr>
        <w:tc>
          <w:tcPr>
            <w:tcW w:w="2880" w:type="dxa"/>
            <w:gridSpan w:val="2"/>
            <w:tcBorders>
              <w:top w:val="nil"/>
              <w:left w:val="nil"/>
              <w:bottom w:val="nil"/>
              <w:right w:val="nil"/>
            </w:tcBorders>
            <w:shd w:val="clear" w:color="auto" w:fill="auto"/>
            <w:vAlign w:val="center"/>
            <w:hideMark/>
          </w:tcPr>
          <w:p w:rsidR="00473BDE" w:rsidRPr="00473BDE" w:rsidRDefault="00473BDE" w:rsidP="00473BDE">
            <w:pPr>
              <w:rPr>
                <w:rFonts w:cs="Arial"/>
                <w:color w:val="7F7F7F"/>
                <w:szCs w:val="18"/>
                <w:lang w:eastAsia="en-AU"/>
              </w:rPr>
            </w:pPr>
            <w:r w:rsidRPr="00473BDE">
              <w:rPr>
                <w:rFonts w:cs="Arial"/>
                <w:color w:val="7F7F7F"/>
                <w:szCs w:val="18"/>
                <w:lang w:eastAsia="en-AU"/>
              </w:rPr>
              <w:t>Manufacturing</w:t>
            </w:r>
          </w:p>
        </w:tc>
        <w:tc>
          <w:tcPr>
            <w:tcW w:w="1043" w:type="dxa"/>
            <w:gridSpan w:val="2"/>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23%</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6%</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71%</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0%</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27,086</w:t>
            </w:r>
          </w:p>
        </w:tc>
      </w:tr>
      <w:tr w:rsidR="00473BDE" w:rsidRPr="00473BDE" w:rsidTr="00473BDE">
        <w:trPr>
          <w:trHeight w:val="300"/>
        </w:trPr>
        <w:tc>
          <w:tcPr>
            <w:tcW w:w="2880" w:type="dxa"/>
            <w:gridSpan w:val="2"/>
            <w:tcBorders>
              <w:top w:val="nil"/>
              <w:left w:val="nil"/>
              <w:bottom w:val="nil"/>
              <w:right w:val="nil"/>
            </w:tcBorders>
            <w:shd w:val="clear" w:color="auto" w:fill="auto"/>
            <w:vAlign w:val="center"/>
            <w:hideMark/>
          </w:tcPr>
          <w:p w:rsidR="00473BDE" w:rsidRPr="00473BDE" w:rsidRDefault="00473BDE" w:rsidP="00473BDE">
            <w:pPr>
              <w:rPr>
                <w:rFonts w:cs="Arial"/>
                <w:color w:val="7F7F7F"/>
                <w:szCs w:val="18"/>
                <w:lang w:eastAsia="en-AU"/>
              </w:rPr>
            </w:pPr>
            <w:r w:rsidRPr="00473BDE">
              <w:rPr>
                <w:rFonts w:cs="Arial"/>
                <w:color w:val="7F7F7F"/>
                <w:szCs w:val="18"/>
                <w:lang w:eastAsia="en-AU"/>
              </w:rPr>
              <w:t>Mining</w:t>
            </w:r>
          </w:p>
        </w:tc>
        <w:tc>
          <w:tcPr>
            <w:tcW w:w="1043" w:type="dxa"/>
            <w:gridSpan w:val="2"/>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46%</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0%</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54%</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0%</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55</w:t>
            </w:r>
          </w:p>
        </w:tc>
      </w:tr>
      <w:tr w:rsidR="00473BDE" w:rsidRPr="00473BDE" w:rsidTr="00473BDE">
        <w:trPr>
          <w:trHeight w:val="300"/>
        </w:trPr>
        <w:tc>
          <w:tcPr>
            <w:tcW w:w="1860" w:type="dxa"/>
            <w:tcBorders>
              <w:top w:val="nil"/>
              <w:left w:val="nil"/>
              <w:bottom w:val="nil"/>
              <w:right w:val="nil"/>
            </w:tcBorders>
            <w:shd w:val="clear" w:color="auto" w:fill="auto"/>
            <w:vAlign w:val="center"/>
            <w:hideMark/>
          </w:tcPr>
          <w:p w:rsidR="00473BDE" w:rsidRPr="00473BDE" w:rsidRDefault="00473BDE" w:rsidP="00473BDE">
            <w:pPr>
              <w:rPr>
                <w:rFonts w:cs="Arial"/>
                <w:color w:val="7F7F7F"/>
                <w:szCs w:val="18"/>
                <w:lang w:eastAsia="en-AU"/>
              </w:rPr>
            </w:pPr>
            <w:r w:rsidRPr="00473BDE">
              <w:rPr>
                <w:rFonts w:cs="Arial"/>
                <w:color w:val="7F7F7F"/>
                <w:szCs w:val="18"/>
                <w:lang w:eastAsia="en-AU"/>
              </w:rPr>
              <w:t>Other Services</w:t>
            </w:r>
          </w:p>
        </w:tc>
        <w:tc>
          <w:tcPr>
            <w:tcW w:w="1020" w:type="dxa"/>
            <w:tcBorders>
              <w:top w:val="nil"/>
              <w:left w:val="nil"/>
              <w:bottom w:val="nil"/>
              <w:right w:val="nil"/>
            </w:tcBorders>
            <w:shd w:val="clear" w:color="auto" w:fill="auto"/>
            <w:vAlign w:val="center"/>
            <w:hideMark/>
          </w:tcPr>
          <w:p w:rsidR="00473BDE" w:rsidRPr="00473BDE" w:rsidRDefault="00473BDE" w:rsidP="00473BDE">
            <w:pPr>
              <w:rPr>
                <w:rFonts w:cs="Arial"/>
                <w:color w:val="7F7F7F"/>
                <w:szCs w:val="18"/>
                <w:lang w:eastAsia="en-AU"/>
              </w:rPr>
            </w:pPr>
          </w:p>
        </w:tc>
        <w:tc>
          <w:tcPr>
            <w:tcW w:w="1043" w:type="dxa"/>
            <w:gridSpan w:val="2"/>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41%</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5%</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52%</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1%</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14,607</w:t>
            </w:r>
          </w:p>
        </w:tc>
      </w:tr>
      <w:tr w:rsidR="00473BDE" w:rsidRPr="00473BDE" w:rsidTr="00473BDE">
        <w:trPr>
          <w:trHeight w:val="600"/>
        </w:trPr>
        <w:tc>
          <w:tcPr>
            <w:tcW w:w="2880" w:type="dxa"/>
            <w:gridSpan w:val="2"/>
            <w:tcBorders>
              <w:top w:val="nil"/>
              <w:left w:val="nil"/>
              <w:bottom w:val="nil"/>
              <w:right w:val="nil"/>
            </w:tcBorders>
            <w:shd w:val="clear" w:color="auto" w:fill="auto"/>
            <w:vAlign w:val="center"/>
            <w:hideMark/>
          </w:tcPr>
          <w:p w:rsidR="00473BDE" w:rsidRPr="00473BDE" w:rsidRDefault="00473BDE" w:rsidP="00473BDE">
            <w:pPr>
              <w:rPr>
                <w:rFonts w:cs="Arial"/>
                <w:color w:val="7F7F7F"/>
                <w:szCs w:val="18"/>
                <w:lang w:eastAsia="en-AU"/>
              </w:rPr>
            </w:pPr>
            <w:r w:rsidRPr="00473BDE">
              <w:rPr>
                <w:rFonts w:cs="Arial"/>
                <w:color w:val="7F7F7F"/>
                <w:szCs w:val="18"/>
                <w:lang w:eastAsia="en-AU"/>
              </w:rPr>
              <w:t>Professional, Scientific and Technical Services</w:t>
            </w:r>
          </w:p>
        </w:tc>
        <w:tc>
          <w:tcPr>
            <w:tcW w:w="1043" w:type="dxa"/>
            <w:gridSpan w:val="2"/>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49%</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35%</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16%</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0%</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9,038</w:t>
            </w:r>
          </w:p>
        </w:tc>
      </w:tr>
      <w:tr w:rsidR="00473BDE" w:rsidRPr="00473BDE" w:rsidTr="00473BDE">
        <w:trPr>
          <w:trHeight w:val="300"/>
        </w:trPr>
        <w:tc>
          <w:tcPr>
            <w:tcW w:w="2880" w:type="dxa"/>
            <w:gridSpan w:val="2"/>
            <w:tcBorders>
              <w:top w:val="nil"/>
              <w:left w:val="nil"/>
              <w:bottom w:val="nil"/>
              <w:right w:val="nil"/>
            </w:tcBorders>
            <w:shd w:val="clear" w:color="auto" w:fill="auto"/>
            <w:vAlign w:val="center"/>
            <w:hideMark/>
          </w:tcPr>
          <w:p w:rsidR="00473BDE" w:rsidRPr="00473BDE" w:rsidRDefault="00473BDE" w:rsidP="00473BDE">
            <w:pPr>
              <w:rPr>
                <w:rFonts w:cs="Arial"/>
                <w:color w:val="7F7F7F"/>
                <w:szCs w:val="18"/>
                <w:lang w:eastAsia="en-AU"/>
              </w:rPr>
            </w:pPr>
            <w:r w:rsidRPr="00473BDE">
              <w:rPr>
                <w:rFonts w:cs="Arial"/>
                <w:color w:val="7F7F7F"/>
                <w:szCs w:val="18"/>
                <w:lang w:eastAsia="en-AU"/>
              </w:rPr>
              <w:t>Public Administration and Safety</w:t>
            </w:r>
          </w:p>
        </w:tc>
        <w:tc>
          <w:tcPr>
            <w:tcW w:w="1043" w:type="dxa"/>
            <w:gridSpan w:val="2"/>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18%</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7%</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75%</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0%</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5,148</w:t>
            </w:r>
          </w:p>
        </w:tc>
      </w:tr>
      <w:tr w:rsidR="00473BDE" w:rsidRPr="00473BDE" w:rsidTr="00473BDE">
        <w:trPr>
          <w:trHeight w:val="600"/>
        </w:trPr>
        <w:tc>
          <w:tcPr>
            <w:tcW w:w="2880" w:type="dxa"/>
            <w:gridSpan w:val="2"/>
            <w:tcBorders>
              <w:top w:val="nil"/>
              <w:left w:val="nil"/>
              <w:bottom w:val="nil"/>
              <w:right w:val="nil"/>
            </w:tcBorders>
            <w:shd w:val="clear" w:color="auto" w:fill="auto"/>
            <w:vAlign w:val="center"/>
            <w:hideMark/>
          </w:tcPr>
          <w:p w:rsidR="00473BDE" w:rsidRPr="00473BDE" w:rsidRDefault="00473BDE" w:rsidP="00473BDE">
            <w:pPr>
              <w:rPr>
                <w:rFonts w:cs="Arial"/>
                <w:color w:val="7F7F7F"/>
                <w:szCs w:val="18"/>
                <w:lang w:eastAsia="en-AU"/>
              </w:rPr>
            </w:pPr>
            <w:r w:rsidRPr="00473BDE">
              <w:rPr>
                <w:rFonts w:cs="Arial"/>
                <w:color w:val="7F7F7F"/>
                <w:szCs w:val="18"/>
                <w:lang w:eastAsia="en-AU"/>
              </w:rPr>
              <w:t>Rental, Hiring and Real Estate Services</w:t>
            </w:r>
          </w:p>
        </w:tc>
        <w:tc>
          <w:tcPr>
            <w:tcW w:w="1043" w:type="dxa"/>
            <w:gridSpan w:val="2"/>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39%</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2%</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59%</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0%</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1,478</w:t>
            </w:r>
          </w:p>
        </w:tc>
      </w:tr>
      <w:tr w:rsidR="00473BDE" w:rsidRPr="00473BDE" w:rsidTr="00473BDE">
        <w:trPr>
          <w:trHeight w:val="300"/>
        </w:trPr>
        <w:tc>
          <w:tcPr>
            <w:tcW w:w="2880" w:type="dxa"/>
            <w:gridSpan w:val="2"/>
            <w:tcBorders>
              <w:top w:val="nil"/>
              <w:left w:val="nil"/>
              <w:bottom w:val="nil"/>
              <w:right w:val="nil"/>
            </w:tcBorders>
            <w:shd w:val="clear" w:color="auto" w:fill="auto"/>
            <w:vAlign w:val="center"/>
            <w:hideMark/>
          </w:tcPr>
          <w:p w:rsidR="00473BDE" w:rsidRPr="00473BDE" w:rsidRDefault="00473BDE" w:rsidP="00473BDE">
            <w:pPr>
              <w:rPr>
                <w:rFonts w:cs="Arial"/>
                <w:color w:val="7F7F7F"/>
                <w:szCs w:val="18"/>
                <w:lang w:eastAsia="en-AU"/>
              </w:rPr>
            </w:pPr>
            <w:r w:rsidRPr="00473BDE">
              <w:rPr>
                <w:rFonts w:cs="Arial"/>
                <w:color w:val="7F7F7F"/>
                <w:szCs w:val="18"/>
                <w:lang w:eastAsia="en-AU"/>
              </w:rPr>
              <w:t>Retail Trade</w:t>
            </w:r>
          </w:p>
        </w:tc>
        <w:tc>
          <w:tcPr>
            <w:tcW w:w="1043" w:type="dxa"/>
            <w:gridSpan w:val="2"/>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35%</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7%</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57%</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2%</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5,572</w:t>
            </w:r>
          </w:p>
        </w:tc>
      </w:tr>
      <w:tr w:rsidR="00473BDE" w:rsidRPr="00473BDE" w:rsidTr="00473BDE">
        <w:trPr>
          <w:trHeight w:val="600"/>
        </w:trPr>
        <w:tc>
          <w:tcPr>
            <w:tcW w:w="2880" w:type="dxa"/>
            <w:gridSpan w:val="2"/>
            <w:tcBorders>
              <w:top w:val="nil"/>
              <w:left w:val="nil"/>
              <w:bottom w:val="nil"/>
              <w:right w:val="nil"/>
            </w:tcBorders>
            <w:shd w:val="clear" w:color="auto" w:fill="auto"/>
            <w:vAlign w:val="center"/>
            <w:hideMark/>
          </w:tcPr>
          <w:p w:rsidR="00473BDE" w:rsidRPr="00473BDE" w:rsidRDefault="00473BDE" w:rsidP="00473BDE">
            <w:pPr>
              <w:rPr>
                <w:rFonts w:cs="Arial"/>
                <w:color w:val="7F7F7F"/>
                <w:szCs w:val="18"/>
                <w:lang w:eastAsia="en-AU"/>
              </w:rPr>
            </w:pPr>
            <w:r w:rsidRPr="00473BDE">
              <w:rPr>
                <w:rFonts w:cs="Arial"/>
                <w:color w:val="7F7F7F"/>
                <w:szCs w:val="18"/>
                <w:lang w:eastAsia="en-AU"/>
              </w:rPr>
              <w:t>Transport, Postal and Warehousing</w:t>
            </w:r>
          </w:p>
        </w:tc>
        <w:tc>
          <w:tcPr>
            <w:tcW w:w="1043" w:type="dxa"/>
            <w:gridSpan w:val="2"/>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11%</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1%</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88%</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0%</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15,073</w:t>
            </w:r>
          </w:p>
        </w:tc>
      </w:tr>
      <w:tr w:rsidR="00473BDE" w:rsidRPr="00473BDE" w:rsidTr="00473BDE">
        <w:trPr>
          <w:trHeight w:val="300"/>
        </w:trPr>
        <w:tc>
          <w:tcPr>
            <w:tcW w:w="2880" w:type="dxa"/>
            <w:gridSpan w:val="2"/>
            <w:tcBorders>
              <w:top w:val="nil"/>
              <w:left w:val="nil"/>
              <w:bottom w:val="nil"/>
              <w:right w:val="nil"/>
            </w:tcBorders>
            <w:shd w:val="clear" w:color="auto" w:fill="auto"/>
            <w:vAlign w:val="center"/>
            <w:hideMark/>
          </w:tcPr>
          <w:p w:rsidR="00473BDE" w:rsidRPr="00473BDE" w:rsidRDefault="00473BDE" w:rsidP="00473BDE">
            <w:pPr>
              <w:rPr>
                <w:rFonts w:cs="Arial"/>
                <w:color w:val="7F7F7F"/>
                <w:szCs w:val="18"/>
                <w:lang w:eastAsia="en-AU"/>
              </w:rPr>
            </w:pPr>
            <w:r w:rsidRPr="00473BDE">
              <w:rPr>
                <w:rFonts w:cs="Arial"/>
                <w:color w:val="7F7F7F"/>
                <w:szCs w:val="18"/>
                <w:lang w:eastAsia="en-AU"/>
              </w:rPr>
              <w:t>Wholesale Trade</w:t>
            </w:r>
          </w:p>
        </w:tc>
        <w:tc>
          <w:tcPr>
            <w:tcW w:w="1043" w:type="dxa"/>
            <w:gridSpan w:val="2"/>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22%</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22%</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57%</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0%</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91</w:t>
            </w:r>
          </w:p>
        </w:tc>
      </w:tr>
      <w:tr w:rsidR="00473BDE" w:rsidRPr="00473BDE" w:rsidTr="00473BDE">
        <w:trPr>
          <w:trHeight w:val="300"/>
        </w:trPr>
        <w:tc>
          <w:tcPr>
            <w:tcW w:w="2880" w:type="dxa"/>
            <w:gridSpan w:val="2"/>
            <w:tcBorders>
              <w:top w:val="nil"/>
              <w:left w:val="nil"/>
              <w:bottom w:val="nil"/>
              <w:right w:val="nil"/>
            </w:tcBorders>
            <w:shd w:val="clear" w:color="auto" w:fill="auto"/>
            <w:vAlign w:val="center"/>
            <w:hideMark/>
          </w:tcPr>
          <w:p w:rsidR="00473BDE" w:rsidRPr="00473BDE" w:rsidRDefault="00473BDE" w:rsidP="00473BDE">
            <w:pPr>
              <w:rPr>
                <w:rFonts w:cs="Arial"/>
                <w:color w:val="7F7F7F"/>
                <w:szCs w:val="18"/>
                <w:lang w:eastAsia="en-AU"/>
              </w:rPr>
            </w:pPr>
            <w:r w:rsidRPr="00473BDE">
              <w:rPr>
                <w:rFonts w:cs="Arial"/>
                <w:color w:val="7F7F7F"/>
                <w:szCs w:val="18"/>
                <w:lang w:eastAsia="en-AU"/>
              </w:rPr>
              <w:t>Other*</w:t>
            </w:r>
          </w:p>
        </w:tc>
        <w:tc>
          <w:tcPr>
            <w:tcW w:w="1043" w:type="dxa"/>
            <w:gridSpan w:val="2"/>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20%</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9%</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44%</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27%</w:t>
            </w:r>
          </w:p>
        </w:tc>
        <w:tc>
          <w:tcPr>
            <w:tcW w:w="1043" w:type="dxa"/>
            <w:tcBorders>
              <w:top w:val="nil"/>
              <w:left w:val="nil"/>
              <w:bottom w:val="nil"/>
              <w:right w:val="nil"/>
            </w:tcBorders>
            <w:shd w:val="clear" w:color="auto" w:fill="auto"/>
            <w:noWrap/>
            <w:vAlign w:val="center"/>
            <w:hideMark/>
          </w:tcPr>
          <w:p w:rsidR="00473BDE" w:rsidRPr="00473BDE" w:rsidRDefault="00473BDE" w:rsidP="00473BDE">
            <w:pPr>
              <w:jc w:val="right"/>
              <w:rPr>
                <w:rFonts w:cs="Arial"/>
                <w:color w:val="7F7F7F"/>
                <w:szCs w:val="18"/>
                <w:lang w:eastAsia="en-AU"/>
              </w:rPr>
            </w:pPr>
            <w:r w:rsidRPr="00473BDE">
              <w:rPr>
                <w:rFonts w:cs="Arial"/>
                <w:color w:val="7F7F7F"/>
                <w:szCs w:val="18"/>
                <w:lang w:eastAsia="en-AU"/>
              </w:rPr>
              <w:t>26,733</w:t>
            </w:r>
          </w:p>
        </w:tc>
      </w:tr>
      <w:tr w:rsidR="00473BDE" w:rsidRPr="00473BDE" w:rsidTr="00473BDE">
        <w:trPr>
          <w:trHeight w:val="300"/>
        </w:trPr>
        <w:tc>
          <w:tcPr>
            <w:tcW w:w="1860" w:type="dxa"/>
            <w:tcBorders>
              <w:top w:val="nil"/>
              <w:left w:val="nil"/>
              <w:bottom w:val="nil"/>
              <w:right w:val="nil"/>
            </w:tcBorders>
            <w:shd w:val="clear" w:color="000000" w:fill="7F7F7F"/>
            <w:noWrap/>
            <w:vAlign w:val="center"/>
            <w:hideMark/>
          </w:tcPr>
          <w:p w:rsidR="00473BDE" w:rsidRPr="00473BDE" w:rsidRDefault="00473BDE" w:rsidP="00473BDE">
            <w:pPr>
              <w:rPr>
                <w:rFonts w:cs="Arial"/>
                <w:b/>
                <w:bCs/>
                <w:color w:val="FFFFFF"/>
                <w:szCs w:val="18"/>
                <w:lang w:eastAsia="en-AU"/>
              </w:rPr>
            </w:pPr>
            <w:r w:rsidRPr="00473BDE">
              <w:rPr>
                <w:rFonts w:cs="Arial"/>
                <w:b/>
                <w:bCs/>
                <w:color w:val="FFFFFF"/>
                <w:szCs w:val="18"/>
                <w:lang w:eastAsia="en-AU"/>
              </w:rPr>
              <w:t>Total (AQF I+ only)</w:t>
            </w:r>
          </w:p>
        </w:tc>
        <w:tc>
          <w:tcPr>
            <w:tcW w:w="1020" w:type="dxa"/>
            <w:tcBorders>
              <w:top w:val="nil"/>
              <w:left w:val="nil"/>
              <w:bottom w:val="nil"/>
              <w:right w:val="nil"/>
            </w:tcBorders>
            <w:shd w:val="clear" w:color="000000" w:fill="7F7F7F"/>
            <w:noWrap/>
            <w:vAlign w:val="center"/>
            <w:hideMark/>
          </w:tcPr>
          <w:p w:rsidR="00473BDE" w:rsidRPr="00473BDE" w:rsidRDefault="00473BDE" w:rsidP="00473BDE">
            <w:pPr>
              <w:rPr>
                <w:rFonts w:cs="Arial"/>
                <w:b/>
                <w:bCs/>
                <w:color w:val="FFFFFF"/>
                <w:szCs w:val="18"/>
                <w:lang w:eastAsia="en-AU"/>
              </w:rPr>
            </w:pPr>
            <w:r w:rsidRPr="00473BDE">
              <w:rPr>
                <w:rFonts w:cs="Arial"/>
                <w:b/>
                <w:bCs/>
                <w:color w:val="FFFFFF"/>
                <w:szCs w:val="18"/>
                <w:lang w:eastAsia="en-AU"/>
              </w:rPr>
              <w:t> </w:t>
            </w:r>
          </w:p>
        </w:tc>
        <w:tc>
          <w:tcPr>
            <w:tcW w:w="1043" w:type="dxa"/>
            <w:gridSpan w:val="2"/>
            <w:tcBorders>
              <w:top w:val="nil"/>
              <w:left w:val="nil"/>
              <w:bottom w:val="nil"/>
              <w:right w:val="nil"/>
            </w:tcBorders>
            <w:shd w:val="clear" w:color="000000" w:fill="7F7F7F"/>
            <w:noWrap/>
            <w:vAlign w:val="center"/>
            <w:hideMark/>
          </w:tcPr>
          <w:p w:rsidR="00473BDE" w:rsidRPr="00473BDE" w:rsidRDefault="00473BDE" w:rsidP="00473BDE">
            <w:pPr>
              <w:jc w:val="right"/>
              <w:rPr>
                <w:rFonts w:cs="Arial"/>
                <w:b/>
                <w:bCs/>
                <w:color w:val="FFFFFF"/>
                <w:szCs w:val="18"/>
                <w:lang w:eastAsia="en-AU"/>
              </w:rPr>
            </w:pPr>
            <w:r w:rsidRPr="00473BDE">
              <w:rPr>
                <w:rFonts w:cs="Arial"/>
                <w:b/>
                <w:bCs/>
                <w:color w:val="FFFFFF"/>
                <w:szCs w:val="18"/>
                <w:lang w:eastAsia="en-AU"/>
              </w:rPr>
              <w:t>26%</w:t>
            </w:r>
          </w:p>
        </w:tc>
        <w:tc>
          <w:tcPr>
            <w:tcW w:w="1043" w:type="dxa"/>
            <w:tcBorders>
              <w:top w:val="nil"/>
              <w:left w:val="nil"/>
              <w:bottom w:val="nil"/>
              <w:right w:val="nil"/>
            </w:tcBorders>
            <w:shd w:val="clear" w:color="000000" w:fill="7F7F7F"/>
            <w:noWrap/>
            <w:vAlign w:val="center"/>
            <w:hideMark/>
          </w:tcPr>
          <w:p w:rsidR="00473BDE" w:rsidRPr="00473BDE" w:rsidRDefault="00473BDE" w:rsidP="00473BDE">
            <w:pPr>
              <w:jc w:val="right"/>
              <w:rPr>
                <w:rFonts w:cs="Arial"/>
                <w:b/>
                <w:bCs/>
                <w:color w:val="FFFFFF"/>
                <w:szCs w:val="18"/>
                <w:lang w:eastAsia="en-AU"/>
              </w:rPr>
            </w:pPr>
            <w:r w:rsidRPr="00473BDE">
              <w:rPr>
                <w:rFonts w:cs="Arial"/>
                <w:b/>
                <w:bCs/>
                <w:color w:val="FFFFFF"/>
                <w:szCs w:val="18"/>
                <w:lang w:eastAsia="en-AU"/>
              </w:rPr>
              <w:t>8%</w:t>
            </w:r>
          </w:p>
        </w:tc>
        <w:tc>
          <w:tcPr>
            <w:tcW w:w="1043" w:type="dxa"/>
            <w:tcBorders>
              <w:top w:val="nil"/>
              <w:left w:val="nil"/>
              <w:bottom w:val="nil"/>
              <w:right w:val="nil"/>
            </w:tcBorders>
            <w:shd w:val="clear" w:color="000000" w:fill="7F7F7F"/>
            <w:noWrap/>
            <w:vAlign w:val="center"/>
            <w:hideMark/>
          </w:tcPr>
          <w:p w:rsidR="00473BDE" w:rsidRPr="00473BDE" w:rsidRDefault="00473BDE" w:rsidP="00473BDE">
            <w:pPr>
              <w:jc w:val="right"/>
              <w:rPr>
                <w:rFonts w:cs="Arial"/>
                <w:b/>
                <w:bCs/>
                <w:color w:val="FFFFFF"/>
                <w:szCs w:val="18"/>
                <w:lang w:eastAsia="en-AU"/>
              </w:rPr>
            </w:pPr>
            <w:r w:rsidRPr="00473BDE">
              <w:rPr>
                <w:rFonts w:cs="Arial"/>
                <w:b/>
                <w:bCs/>
                <w:color w:val="FFFFFF"/>
                <w:szCs w:val="18"/>
                <w:lang w:eastAsia="en-AU"/>
              </w:rPr>
              <w:t>60%</w:t>
            </w:r>
          </w:p>
        </w:tc>
        <w:tc>
          <w:tcPr>
            <w:tcW w:w="1043" w:type="dxa"/>
            <w:tcBorders>
              <w:top w:val="nil"/>
              <w:left w:val="nil"/>
              <w:bottom w:val="nil"/>
              <w:right w:val="nil"/>
            </w:tcBorders>
            <w:shd w:val="clear" w:color="000000" w:fill="7F7F7F"/>
            <w:noWrap/>
            <w:vAlign w:val="center"/>
            <w:hideMark/>
          </w:tcPr>
          <w:p w:rsidR="00473BDE" w:rsidRPr="00473BDE" w:rsidRDefault="00473BDE" w:rsidP="00473BDE">
            <w:pPr>
              <w:jc w:val="right"/>
              <w:rPr>
                <w:rFonts w:cs="Arial"/>
                <w:b/>
                <w:bCs/>
                <w:color w:val="FFFFFF"/>
                <w:szCs w:val="18"/>
                <w:lang w:eastAsia="en-AU"/>
              </w:rPr>
            </w:pPr>
            <w:r w:rsidRPr="00473BDE">
              <w:rPr>
                <w:rFonts w:cs="Arial"/>
                <w:b/>
                <w:bCs/>
                <w:color w:val="FFFFFF"/>
                <w:szCs w:val="18"/>
                <w:lang w:eastAsia="en-AU"/>
              </w:rPr>
              <w:t>6%</w:t>
            </w:r>
          </w:p>
        </w:tc>
        <w:tc>
          <w:tcPr>
            <w:tcW w:w="1043" w:type="dxa"/>
            <w:tcBorders>
              <w:top w:val="nil"/>
              <w:left w:val="nil"/>
              <w:bottom w:val="nil"/>
              <w:right w:val="nil"/>
            </w:tcBorders>
            <w:shd w:val="clear" w:color="000000" w:fill="7F7F7F"/>
            <w:noWrap/>
            <w:vAlign w:val="center"/>
            <w:hideMark/>
          </w:tcPr>
          <w:p w:rsidR="00473BDE" w:rsidRPr="00473BDE" w:rsidRDefault="00473BDE" w:rsidP="00473BDE">
            <w:pPr>
              <w:jc w:val="right"/>
              <w:rPr>
                <w:rFonts w:cs="Arial"/>
                <w:b/>
                <w:bCs/>
                <w:color w:val="FFFFFF"/>
                <w:szCs w:val="18"/>
                <w:lang w:eastAsia="en-AU"/>
              </w:rPr>
            </w:pPr>
            <w:r w:rsidRPr="00473BDE">
              <w:rPr>
                <w:rFonts w:cs="Arial"/>
                <w:b/>
                <w:bCs/>
                <w:color w:val="FFFFFF"/>
                <w:szCs w:val="18"/>
                <w:lang w:eastAsia="en-AU"/>
              </w:rPr>
              <w:t>297,073</w:t>
            </w:r>
          </w:p>
        </w:tc>
      </w:tr>
    </w:tbl>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4A0" w:firstRow="1" w:lastRow="0" w:firstColumn="1" w:lastColumn="0" w:noHBand="0" w:noVBand="1"/>
      </w:tblPr>
      <w:tblGrid>
        <w:gridCol w:w="431"/>
        <w:gridCol w:w="7649"/>
      </w:tblGrid>
      <w:tr w:rsidR="00473BDE" w:rsidRPr="00913551" w:rsidTr="0097544A">
        <w:tc>
          <w:tcPr>
            <w:tcW w:w="431" w:type="dxa"/>
            <w:tcMar>
              <w:left w:w="0" w:type="dxa"/>
              <w:right w:w="28" w:type="dxa"/>
            </w:tcMar>
          </w:tcPr>
          <w:p w:rsidR="00473BDE" w:rsidRPr="00913551" w:rsidRDefault="00473BDE" w:rsidP="0097544A">
            <w:pPr>
              <w:spacing w:after="0" w:line="240" w:lineRule="auto"/>
              <w:jc w:val="right"/>
              <w:rPr>
                <w:color w:val="7F7F7F" w:themeColor="text2"/>
                <w:sz w:val="16"/>
                <w:szCs w:val="16"/>
              </w:rPr>
            </w:pPr>
            <w:r w:rsidRPr="00913551">
              <w:rPr>
                <w:color w:val="7F7F7F" w:themeColor="text2"/>
                <w:sz w:val="16"/>
                <w:szCs w:val="16"/>
              </w:rPr>
              <w:t xml:space="preserve">* </w:t>
            </w:r>
          </w:p>
        </w:tc>
        <w:tc>
          <w:tcPr>
            <w:tcW w:w="7649" w:type="dxa"/>
            <w:tcMar>
              <w:left w:w="0" w:type="dxa"/>
              <w:right w:w="28" w:type="dxa"/>
            </w:tcMar>
          </w:tcPr>
          <w:p w:rsidR="00473BDE" w:rsidRPr="00913551" w:rsidRDefault="00473BDE" w:rsidP="00473BDE">
            <w:pPr>
              <w:pStyle w:val="Note"/>
              <w:spacing w:after="0" w:line="240" w:lineRule="auto"/>
              <w:rPr>
                <w:i w:val="0"/>
                <w:color w:val="7F7F7F" w:themeColor="text2"/>
              </w:rPr>
            </w:pPr>
            <w:r w:rsidRPr="00913551">
              <w:t xml:space="preserve">‘Other’ includes foundation skills and LOTE courses, and courses that </w:t>
            </w:r>
            <w:proofErr w:type="gramStart"/>
            <w:r w:rsidRPr="00913551">
              <w:t>were not able to</w:t>
            </w:r>
            <w:proofErr w:type="gramEnd"/>
            <w:r w:rsidRPr="00913551">
              <w:t xml:space="preserve"> be coded directly into the Australian and New Zealand Standard Industry Classification.</w:t>
            </w:r>
          </w:p>
        </w:tc>
      </w:tr>
    </w:tbl>
    <w:p w:rsidR="000C12C5" w:rsidRDefault="000C12C5" w:rsidP="00151889"/>
    <w:p w:rsidR="00473BDE" w:rsidRPr="00365EB2" w:rsidRDefault="00473BDE" w:rsidP="00151889"/>
    <w:p w:rsidR="00491527" w:rsidRPr="00365EB2" w:rsidRDefault="00491527" w:rsidP="00151889">
      <w:r w:rsidRPr="00365EB2">
        <w:br w:type="page"/>
      </w:r>
    </w:p>
    <w:p w:rsidR="00A03E2D" w:rsidRDefault="00A03E2D" w:rsidP="003603BF">
      <w:pPr>
        <w:pStyle w:val="Heading2"/>
        <w:rPr>
          <w:color w:val="B41F22" w:themeColor="accent1"/>
        </w:rPr>
      </w:pPr>
      <w:bookmarkStart w:id="14" w:name="_Toc432758324"/>
      <w:r>
        <w:rPr>
          <w:color w:val="B41F22" w:themeColor="accent1"/>
        </w:rPr>
        <w:lastRenderedPageBreak/>
        <w:t>Fee-For-Service</w:t>
      </w:r>
      <w:bookmarkEnd w:id="14"/>
    </w:p>
    <w:p w:rsidR="003603BF" w:rsidRDefault="003603BF" w:rsidP="003603BF"/>
    <w:p w:rsidR="009A3889" w:rsidRDefault="00556362" w:rsidP="009A3889">
      <w:pPr>
        <w:spacing w:after="120"/>
        <w:rPr>
          <w:color w:val="7F7F7F" w:themeColor="text2"/>
        </w:rPr>
      </w:pPr>
      <w:r>
        <w:rPr>
          <w:color w:val="7F7F7F" w:themeColor="text2"/>
        </w:rPr>
        <w:t>Following agreement from all Skills Ministers</w:t>
      </w:r>
      <w:r w:rsidR="00363E7C">
        <w:rPr>
          <w:color w:val="7F7F7F" w:themeColor="text2"/>
        </w:rPr>
        <w:t xml:space="preserve"> nationwide</w:t>
      </w:r>
      <w:r w:rsidR="009A3889" w:rsidRPr="0063272E">
        <w:rPr>
          <w:color w:val="7F7F7F" w:themeColor="text2"/>
        </w:rPr>
        <w:t>, all RTOs must collect and report ‘Total VET Activity’ data</w:t>
      </w:r>
      <w:r>
        <w:rPr>
          <w:color w:val="7F7F7F" w:themeColor="text2"/>
        </w:rPr>
        <w:t xml:space="preserve"> (including government subsidised/funded and fee-for-service activity) as part of their registration requirements from 2014</w:t>
      </w:r>
      <w:r w:rsidR="009A3889" w:rsidRPr="0063272E">
        <w:rPr>
          <w:color w:val="7F7F7F" w:themeColor="text2"/>
        </w:rPr>
        <w:t xml:space="preserve">. </w:t>
      </w:r>
      <w:r w:rsidR="00FE2A45">
        <w:rPr>
          <w:color w:val="7F7F7F" w:themeColor="text2"/>
        </w:rPr>
        <w:t xml:space="preserve">It </w:t>
      </w:r>
      <w:proofErr w:type="gramStart"/>
      <w:r w:rsidR="00FE2A45">
        <w:rPr>
          <w:color w:val="7F7F7F" w:themeColor="text2"/>
        </w:rPr>
        <w:t>would be anticipated</w:t>
      </w:r>
      <w:proofErr w:type="gramEnd"/>
      <w:r w:rsidR="00FE2A45">
        <w:rPr>
          <w:color w:val="7F7F7F" w:themeColor="text2"/>
        </w:rPr>
        <w:t xml:space="preserve"> that the 2014 fee-for-service data could be incomplete for some providers as they fully comply with </w:t>
      </w:r>
      <w:r>
        <w:rPr>
          <w:color w:val="7F7F7F" w:themeColor="text2"/>
        </w:rPr>
        <w:t>this requirement</w:t>
      </w:r>
      <w:r w:rsidR="00FE2A45">
        <w:rPr>
          <w:color w:val="7F7F7F" w:themeColor="text2"/>
        </w:rPr>
        <w:t>.</w:t>
      </w:r>
    </w:p>
    <w:p w:rsidR="00737C08" w:rsidRDefault="00737C08" w:rsidP="009A3889">
      <w:pPr>
        <w:spacing w:after="120"/>
      </w:pPr>
      <w:r>
        <w:rPr>
          <w:color w:val="7F7F7F" w:themeColor="text2"/>
        </w:rPr>
        <w:t xml:space="preserve">Fee-for-service data in this report </w:t>
      </w:r>
      <w:proofErr w:type="gramStart"/>
      <w:r>
        <w:rPr>
          <w:color w:val="7F7F7F" w:themeColor="text2"/>
        </w:rPr>
        <w:t>are based</w:t>
      </w:r>
      <w:proofErr w:type="gramEnd"/>
      <w:r>
        <w:rPr>
          <w:color w:val="7F7F7F" w:themeColor="text2"/>
        </w:rPr>
        <w:t xml:space="preserve"> on what has been provided to Higher Education and Skills Group in the Department by training providers.</w:t>
      </w:r>
    </w:p>
    <w:p w:rsidR="00A03E2D" w:rsidRPr="00365EB2" w:rsidRDefault="00A03E2D" w:rsidP="00A03E2D">
      <w:pPr>
        <w:pStyle w:val="Quote"/>
        <w:pBdr>
          <w:top w:val="single" w:sz="4" w:space="1" w:color="7F7F7F" w:themeColor="text2"/>
          <w:left w:val="single" w:sz="4" w:space="4" w:color="7F7F7F" w:themeColor="text2"/>
          <w:bottom w:val="single" w:sz="4" w:space="1" w:color="7F7F7F" w:themeColor="text2"/>
          <w:right w:val="single" w:sz="4" w:space="4" w:color="7F7F7F" w:themeColor="text2"/>
        </w:pBdr>
        <w:spacing w:before="120" w:after="120"/>
      </w:pPr>
      <w:r w:rsidRPr="00BB466D">
        <w:t>Key points</w:t>
      </w:r>
    </w:p>
    <w:p w:rsidR="00A03E2D" w:rsidRPr="002F6569" w:rsidRDefault="00A03E2D" w:rsidP="00A03E2D">
      <w:pPr>
        <w:pStyle w:val="ListParagraph"/>
        <w:numPr>
          <w:ilvl w:val="0"/>
          <w:numId w:val="18"/>
        </w:numPr>
        <w:pBdr>
          <w:top w:val="single" w:sz="4" w:space="1" w:color="7F7F7F" w:themeColor="text2"/>
          <w:left w:val="single" w:sz="4" w:space="4" w:color="7F7F7F" w:themeColor="text2"/>
          <w:bottom w:val="single" w:sz="4" w:space="1" w:color="7F7F7F" w:themeColor="text2"/>
          <w:right w:val="single" w:sz="4" w:space="4" w:color="7F7F7F" w:themeColor="text2"/>
        </w:pBdr>
        <w:spacing w:before="120" w:after="120"/>
        <w:ind w:left="426" w:hanging="426"/>
        <w:contextualSpacing w:val="0"/>
        <w:rPr>
          <w:color w:val="7F7F7F" w:themeColor="text2"/>
        </w:rPr>
      </w:pPr>
      <w:r w:rsidRPr="002F6569">
        <w:rPr>
          <w:color w:val="7F7F7F" w:themeColor="text2"/>
        </w:rPr>
        <w:t>In 201</w:t>
      </w:r>
      <w:r w:rsidR="0057249C" w:rsidRPr="002F6569">
        <w:rPr>
          <w:color w:val="7F7F7F" w:themeColor="text2"/>
        </w:rPr>
        <w:t xml:space="preserve">5 (half year) </w:t>
      </w:r>
      <w:r w:rsidRPr="002F6569">
        <w:rPr>
          <w:color w:val="7F7F7F" w:themeColor="text2"/>
        </w:rPr>
        <w:t xml:space="preserve">there were </w:t>
      </w:r>
      <w:proofErr w:type="gramStart"/>
      <w:r w:rsidRPr="002F6569">
        <w:rPr>
          <w:color w:val="7F7F7F" w:themeColor="text2"/>
        </w:rPr>
        <w:t xml:space="preserve">a total of </w:t>
      </w:r>
      <w:r w:rsidR="0057249C" w:rsidRPr="002F6569">
        <w:rPr>
          <w:color w:val="7F7F7F" w:themeColor="text2"/>
        </w:rPr>
        <w:t>172,332</w:t>
      </w:r>
      <w:proofErr w:type="gramEnd"/>
      <w:r w:rsidRPr="002F6569">
        <w:rPr>
          <w:color w:val="7F7F7F" w:themeColor="text2"/>
        </w:rPr>
        <w:t xml:space="preserve"> </w:t>
      </w:r>
      <w:r w:rsidR="0057249C" w:rsidRPr="002F6569">
        <w:rPr>
          <w:color w:val="7F7F7F" w:themeColor="text2"/>
        </w:rPr>
        <w:t xml:space="preserve">fee-for-service </w:t>
      </w:r>
      <w:r w:rsidRPr="002F6569">
        <w:rPr>
          <w:color w:val="7F7F7F" w:themeColor="text2"/>
        </w:rPr>
        <w:t xml:space="preserve">students. This was </w:t>
      </w:r>
      <w:r w:rsidR="0057249C" w:rsidRPr="002F6569">
        <w:rPr>
          <w:color w:val="7F7F7F" w:themeColor="text2"/>
        </w:rPr>
        <w:t>an increase of 9 per cent from the same period in 2014.</w:t>
      </w:r>
    </w:p>
    <w:p w:rsidR="0057249C" w:rsidRPr="002F6569" w:rsidRDefault="00FA11FC" w:rsidP="00A03E2D">
      <w:pPr>
        <w:pStyle w:val="ListParagraph"/>
        <w:numPr>
          <w:ilvl w:val="0"/>
          <w:numId w:val="18"/>
        </w:numPr>
        <w:pBdr>
          <w:top w:val="single" w:sz="4" w:space="1" w:color="7F7F7F" w:themeColor="text2"/>
          <w:left w:val="single" w:sz="4" w:space="4" w:color="7F7F7F" w:themeColor="text2"/>
          <w:bottom w:val="single" w:sz="4" w:space="1" w:color="7F7F7F" w:themeColor="text2"/>
          <w:right w:val="single" w:sz="4" w:space="4" w:color="7F7F7F" w:themeColor="text2"/>
        </w:pBdr>
        <w:spacing w:before="120" w:after="120"/>
        <w:ind w:left="426" w:hanging="426"/>
        <w:contextualSpacing w:val="0"/>
        <w:rPr>
          <w:color w:val="7F7F7F" w:themeColor="text2"/>
        </w:rPr>
      </w:pPr>
      <w:r w:rsidRPr="002F6569">
        <w:rPr>
          <w:color w:val="7F7F7F" w:themeColor="text2"/>
        </w:rPr>
        <w:t>In 2015 (</w:t>
      </w:r>
      <w:proofErr w:type="gramStart"/>
      <w:r w:rsidRPr="002F6569">
        <w:rPr>
          <w:color w:val="7F7F7F" w:themeColor="text2"/>
        </w:rPr>
        <w:t>half year</w:t>
      </w:r>
      <w:proofErr w:type="gramEnd"/>
      <w:r w:rsidRPr="002F6569">
        <w:rPr>
          <w:color w:val="7F7F7F" w:themeColor="text2"/>
        </w:rPr>
        <w:t xml:space="preserve">) the share of domestic, international and offshore fee-for-service students was 84 per cent, 7 per cent and 9 per cent respectively. This has remained relatively unchanged </w:t>
      </w:r>
      <w:r w:rsidR="00486BE6" w:rsidRPr="002F6569">
        <w:rPr>
          <w:color w:val="7F7F7F" w:themeColor="text2"/>
        </w:rPr>
        <w:t>since</w:t>
      </w:r>
      <w:r w:rsidRPr="002F6569">
        <w:rPr>
          <w:color w:val="7F7F7F" w:themeColor="text2"/>
        </w:rPr>
        <w:t xml:space="preserve"> the same period in 2014.</w:t>
      </w:r>
    </w:p>
    <w:p w:rsidR="00EE2119" w:rsidRPr="002F6569" w:rsidRDefault="00EE2119" w:rsidP="00A03E2D">
      <w:pPr>
        <w:pStyle w:val="ListParagraph"/>
        <w:numPr>
          <w:ilvl w:val="0"/>
          <w:numId w:val="18"/>
        </w:numPr>
        <w:pBdr>
          <w:top w:val="single" w:sz="4" w:space="1" w:color="7F7F7F" w:themeColor="text2"/>
          <w:left w:val="single" w:sz="4" w:space="4" w:color="7F7F7F" w:themeColor="text2"/>
          <w:bottom w:val="single" w:sz="4" w:space="1" w:color="7F7F7F" w:themeColor="text2"/>
          <w:right w:val="single" w:sz="4" w:space="4" w:color="7F7F7F" w:themeColor="text2"/>
        </w:pBdr>
        <w:spacing w:before="120" w:after="120"/>
        <w:ind w:left="426" w:hanging="426"/>
        <w:contextualSpacing w:val="0"/>
        <w:rPr>
          <w:color w:val="7F7F7F" w:themeColor="text2"/>
        </w:rPr>
      </w:pPr>
      <w:r w:rsidRPr="002F6569">
        <w:rPr>
          <w:color w:val="7F7F7F" w:themeColor="text2"/>
        </w:rPr>
        <w:t xml:space="preserve">The percentage share of fee-for-service enrolments </w:t>
      </w:r>
      <w:r w:rsidR="000515A3" w:rsidRPr="002F6569">
        <w:rPr>
          <w:color w:val="7F7F7F" w:themeColor="text2"/>
        </w:rPr>
        <w:t xml:space="preserve">undertaken by </w:t>
      </w:r>
      <w:r w:rsidRPr="002F6569">
        <w:rPr>
          <w:color w:val="7F7F7F" w:themeColor="text2"/>
        </w:rPr>
        <w:t xml:space="preserve">domestic </w:t>
      </w:r>
      <w:r w:rsidR="000515A3" w:rsidRPr="002F6569">
        <w:rPr>
          <w:color w:val="7F7F7F" w:themeColor="text2"/>
        </w:rPr>
        <w:t xml:space="preserve">and international students in TAFE has decreased by 10 percentage points between 2014 and 2015 (half year), from 47 to 37 per cent for domestic students and from 73 to 63 per cent for international students. In the same period, Private RTOs have increased their share from 35 to 44 per cent for domestic students and from </w:t>
      </w:r>
      <w:proofErr w:type="gramStart"/>
      <w:r w:rsidR="000515A3" w:rsidRPr="002F6569">
        <w:rPr>
          <w:color w:val="7F7F7F" w:themeColor="text2"/>
        </w:rPr>
        <w:t>4</w:t>
      </w:r>
      <w:proofErr w:type="gramEnd"/>
      <w:r w:rsidR="000515A3" w:rsidRPr="002F6569">
        <w:rPr>
          <w:color w:val="7F7F7F" w:themeColor="text2"/>
        </w:rPr>
        <w:t xml:space="preserve"> to 18 per cent for international students.</w:t>
      </w:r>
    </w:p>
    <w:p w:rsidR="00A03E2D" w:rsidRPr="002F6569" w:rsidRDefault="0001312C" w:rsidP="00A03E2D">
      <w:pPr>
        <w:pStyle w:val="ListParagraph"/>
        <w:numPr>
          <w:ilvl w:val="0"/>
          <w:numId w:val="18"/>
        </w:numPr>
        <w:pBdr>
          <w:top w:val="single" w:sz="4" w:space="1" w:color="7F7F7F" w:themeColor="text2"/>
          <w:left w:val="single" w:sz="4" w:space="4" w:color="7F7F7F" w:themeColor="text2"/>
          <w:bottom w:val="single" w:sz="4" w:space="1" w:color="7F7F7F" w:themeColor="text2"/>
          <w:right w:val="single" w:sz="4" w:space="4" w:color="7F7F7F" w:themeColor="text2"/>
        </w:pBdr>
        <w:spacing w:before="120" w:after="120"/>
        <w:ind w:left="426" w:hanging="426"/>
        <w:contextualSpacing w:val="0"/>
        <w:rPr>
          <w:color w:val="7F7F7F" w:themeColor="text2"/>
        </w:rPr>
      </w:pPr>
      <w:r w:rsidRPr="002F6569">
        <w:rPr>
          <w:color w:val="7F7F7F" w:themeColor="text2"/>
        </w:rPr>
        <w:t xml:space="preserve">The number of enrolments in </w:t>
      </w:r>
      <w:r w:rsidR="005912B7" w:rsidRPr="002F6569">
        <w:rPr>
          <w:color w:val="7F7F7F" w:themeColor="text2"/>
        </w:rPr>
        <w:t xml:space="preserve">fee-for-service training for domestic students at </w:t>
      </w:r>
      <w:r w:rsidRPr="002F6569">
        <w:rPr>
          <w:color w:val="7F7F7F" w:themeColor="text2"/>
        </w:rPr>
        <w:t>Diploma &amp; Above has increased by 92 per cent (from 12,111 to 23,243 enrolments) between 2014 and 2015 (half year).</w:t>
      </w:r>
      <w:r w:rsidR="0094797A" w:rsidRPr="002F6569">
        <w:rPr>
          <w:color w:val="7F7F7F" w:themeColor="text2"/>
        </w:rPr>
        <w:t xml:space="preserve"> Of these enrolments, the number accessing VET FEE-HELP has increased from 2,760 to 13,077 in the same period.</w:t>
      </w:r>
    </w:p>
    <w:p w:rsidR="0094797A" w:rsidRPr="002F6569" w:rsidRDefault="007E623E" w:rsidP="00A03E2D">
      <w:pPr>
        <w:pStyle w:val="ListParagraph"/>
        <w:numPr>
          <w:ilvl w:val="0"/>
          <w:numId w:val="18"/>
        </w:numPr>
        <w:pBdr>
          <w:top w:val="single" w:sz="4" w:space="1" w:color="7F7F7F" w:themeColor="text2"/>
          <w:left w:val="single" w:sz="4" w:space="4" w:color="7F7F7F" w:themeColor="text2"/>
          <w:bottom w:val="single" w:sz="4" w:space="1" w:color="7F7F7F" w:themeColor="text2"/>
          <w:right w:val="single" w:sz="4" w:space="4" w:color="7F7F7F" w:themeColor="text2"/>
        </w:pBdr>
        <w:spacing w:before="120" w:after="120"/>
        <w:ind w:left="426" w:hanging="426"/>
        <w:contextualSpacing w:val="0"/>
        <w:rPr>
          <w:color w:val="7F7F7F" w:themeColor="text2"/>
        </w:rPr>
      </w:pPr>
      <w:r w:rsidRPr="002F6569">
        <w:rPr>
          <w:color w:val="7F7F7F" w:themeColor="text2"/>
        </w:rPr>
        <w:t xml:space="preserve">Most </w:t>
      </w:r>
      <w:r w:rsidR="005912B7" w:rsidRPr="002F6569">
        <w:rPr>
          <w:color w:val="7F7F7F" w:themeColor="text2"/>
        </w:rPr>
        <w:t xml:space="preserve">domestic </w:t>
      </w:r>
      <w:r w:rsidRPr="002F6569">
        <w:rPr>
          <w:color w:val="7F7F7F" w:themeColor="text2"/>
        </w:rPr>
        <w:t xml:space="preserve">students undertaking fee-for-service training were in the </w:t>
      </w:r>
      <w:r w:rsidR="0094797A" w:rsidRPr="002F6569">
        <w:rPr>
          <w:color w:val="7F7F7F" w:themeColor="text2"/>
        </w:rPr>
        <w:t>25</w:t>
      </w:r>
      <w:r w:rsidR="00EE2119" w:rsidRPr="002F6569">
        <w:rPr>
          <w:color w:val="7F7F7F" w:themeColor="text2"/>
        </w:rPr>
        <w:t xml:space="preserve"> </w:t>
      </w:r>
      <w:r w:rsidR="0094797A" w:rsidRPr="002F6569">
        <w:rPr>
          <w:color w:val="7F7F7F" w:themeColor="text2"/>
        </w:rPr>
        <w:t>to</w:t>
      </w:r>
      <w:r w:rsidR="00EE2119" w:rsidRPr="002F6569">
        <w:rPr>
          <w:color w:val="7F7F7F" w:themeColor="text2"/>
        </w:rPr>
        <w:t xml:space="preserve"> </w:t>
      </w:r>
      <w:r w:rsidR="0094797A" w:rsidRPr="002F6569">
        <w:rPr>
          <w:color w:val="7F7F7F" w:themeColor="text2"/>
        </w:rPr>
        <w:t>44 year old age group (62,076 students in 2015 half year</w:t>
      </w:r>
      <w:r w:rsidR="005912B7" w:rsidRPr="002F6569">
        <w:rPr>
          <w:color w:val="7F7F7F" w:themeColor="text2"/>
        </w:rPr>
        <w:t xml:space="preserve">, representing </w:t>
      </w:r>
      <w:r w:rsidR="00EE2119" w:rsidRPr="002F6569">
        <w:rPr>
          <w:color w:val="7F7F7F" w:themeColor="text2"/>
        </w:rPr>
        <w:t xml:space="preserve">43 </w:t>
      </w:r>
      <w:r w:rsidR="005912B7" w:rsidRPr="002F6569">
        <w:rPr>
          <w:color w:val="7F7F7F" w:themeColor="text2"/>
        </w:rPr>
        <w:t>per cent of the domestic fee-for-service cohort</w:t>
      </w:r>
      <w:r w:rsidR="0094797A" w:rsidRPr="002F6569">
        <w:rPr>
          <w:color w:val="7F7F7F" w:themeColor="text2"/>
        </w:rPr>
        <w:t>).</w:t>
      </w:r>
    </w:p>
    <w:p w:rsidR="0094797A" w:rsidRPr="002F6569" w:rsidRDefault="007E623E" w:rsidP="0094797A">
      <w:pPr>
        <w:pStyle w:val="ListParagraph"/>
        <w:numPr>
          <w:ilvl w:val="0"/>
          <w:numId w:val="18"/>
        </w:numPr>
        <w:pBdr>
          <w:top w:val="single" w:sz="4" w:space="1" w:color="7F7F7F" w:themeColor="text2"/>
          <w:left w:val="single" w:sz="4" w:space="4" w:color="7F7F7F" w:themeColor="text2"/>
          <w:bottom w:val="single" w:sz="4" w:space="1" w:color="7F7F7F" w:themeColor="text2"/>
          <w:right w:val="single" w:sz="4" w:space="4" w:color="7F7F7F" w:themeColor="text2"/>
        </w:pBdr>
        <w:spacing w:before="120" w:after="120"/>
        <w:ind w:left="426" w:hanging="426"/>
        <w:contextualSpacing w:val="0"/>
        <w:rPr>
          <w:color w:val="7F7F7F" w:themeColor="text2"/>
        </w:rPr>
      </w:pPr>
      <w:r w:rsidRPr="002F6569">
        <w:rPr>
          <w:color w:val="7F7F7F" w:themeColor="text2"/>
        </w:rPr>
        <w:t xml:space="preserve">Of the </w:t>
      </w:r>
      <w:r w:rsidR="00EE2119" w:rsidRPr="002F6569">
        <w:rPr>
          <w:color w:val="7F7F7F" w:themeColor="text2"/>
        </w:rPr>
        <w:t xml:space="preserve">domestic </w:t>
      </w:r>
      <w:r w:rsidRPr="002F6569">
        <w:rPr>
          <w:color w:val="7F7F7F" w:themeColor="text2"/>
        </w:rPr>
        <w:t>students in the 1</w:t>
      </w:r>
      <w:r w:rsidR="0094797A" w:rsidRPr="002F6569">
        <w:rPr>
          <w:color w:val="7F7F7F" w:themeColor="text2"/>
        </w:rPr>
        <w:t xml:space="preserve">5 to </w:t>
      </w:r>
      <w:r w:rsidRPr="002F6569">
        <w:rPr>
          <w:color w:val="7F7F7F" w:themeColor="text2"/>
        </w:rPr>
        <w:t>19</w:t>
      </w:r>
      <w:r w:rsidR="0094797A" w:rsidRPr="002F6569">
        <w:rPr>
          <w:color w:val="7F7F7F" w:themeColor="text2"/>
        </w:rPr>
        <w:t xml:space="preserve"> </w:t>
      </w:r>
      <w:r w:rsidRPr="002F6569">
        <w:rPr>
          <w:color w:val="7F7F7F" w:themeColor="text2"/>
        </w:rPr>
        <w:t xml:space="preserve">year old age group, there were 8,206 </w:t>
      </w:r>
      <w:r w:rsidR="00EE2119" w:rsidRPr="002F6569">
        <w:rPr>
          <w:color w:val="7F7F7F" w:themeColor="text2"/>
        </w:rPr>
        <w:t xml:space="preserve">that were </w:t>
      </w:r>
      <w:r w:rsidRPr="002F6569">
        <w:rPr>
          <w:color w:val="7F7F7F" w:themeColor="text2"/>
        </w:rPr>
        <w:t xml:space="preserve">not at school and undertaking fee-for-service training in 2015 (half year), this was </w:t>
      </w:r>
      <w:r w:rsidR="004065BE">
        <w:rPr>
          <w:color w:val="7F7F7F" w:themeColor="text2"/>
        </w:rPr>
        <w:t>5</w:t>
      </w:r>
      <w:r w:rsidRPr="002F6569">
        <w:rPr>
          <w:color w:val="7F7F7F" w:themeColor="text2"/>
        </w:rPr>
        <w:t xml:space="preserve"> per cent lower than the 2014 result. Apart from this </w:t>
      </w:r>
      <w:r w:rsidR="00EE2119" w:rsidRPr="002F6569">
        <w:rPr>
          <w:color w:val="7F7F7F" w:themeColor="text2"/>
        </w:rPr>
        <w:t>sub-</w:t>
      </w:r>
      <w:r w:rsidRPr="002F6569">
        <w:rPr>
          <w:color w:val="7F7F7F" w:themeColor="text2"/>
        </w:rPr>
        <w:t>cohort of students</w:t>
      </w:r>
      <w:r w:rsidR="00EE2119" w:rsidRPr="002F6569">
        <w:rPr>
          <w:color w:val="7F7F7F" w:themeColor="text2"/>
        </w:rPr>
        <w:t xml:space="preserve"> not at school</w:t>
      </w:r>
      <w:r w:rsidRPr="002F6569">
        <w:rPr>
          <w:color w:val="7F7F7F" w:themeColor="text2"/>
        </w:rPr>
        <w:t xml:space="preserve">, </w:t>
      </w:r>
      <w:r w:rsidR="00DC00A0" w:rsidRPr="002F6569">
        <w:rPr>
          <w:color w:val="7F7F7F" w:themeColor="text2"/>
        </w:rPr>
        <w:t>participation in fee-for-service training increased across all age groups between 2014 and 2015 (half year).</w:t>
      </w:r>
    </w:p>
    <w:p w:rsidR="007C1FEC" w:rsidRPr="002F6569" w:rsidRDefault="006D629A" w:rsidP="0094797A">
      <w:pPr>
        <w:pStyle w:val="ListParagraph"/>
        <w:numPr>
          <w:ilvl w:val="0"/>
          <w:numId w:val="18"/>
        </w:numPr>
        <w:pBdr>
          <w:top w:val="single" w:sz="4" w:space="1" w:color="7F7F7F" w:themeColor="text2"/>
          <w:left w:val="single" w:sz="4" w:space="4" w:color="7F7F7F" w:themeColor="text2"/>
          <w:bottom w:val="single" w:sz="4" w:space="1" w:color="7F7F7F" w:themeColor="text2"/>
          <w:right w:val="single" w:sz="4" w:space="4" w:color="7F7F7F" w:themeColor="text2"/>
        </w:pBdr>
        <w:spacing w:before="120" w:after="120"/>
        <w:ind w:left="426" w:hanging="426"/>
        <w:contextualSpacing w:val="0"/>
        <w:rPr>
          <w:color w:val="7F7F7F" w:themeColor="text2"/>
        </w:rPr>
      </w:pPr>
      <w:r w:rsidRPr="002F6569">
        <w:rPr>
          <w:color w:val="7F7F7F" w:themeColor="text2"/>
        </w:rPr>
        <w:t xml:space="preserve">Most fee-for-service training </w:t>
      </w:r>
      <w:r w:rsidR="00EE2119" w:rsidRPr="002F6569">
        <w:rPr>
          <w:color w:val="7F7F7F" w:themeColor="text2"/>
        </w:rPr>
        <w:t xml:space="preserve">for domestic students </w:t>
      </w:r>
      <w:r w:rsidR="004065BE">
        <w:rPr>
          <w:color w:val="7F7F7F" w:themeColor="text2"/>
        </w:rPr>
        <w:t xml:space="preserve">has been </w:t>
      </w:r>
      <w:r w:rsidRPr="002F6569">
        <w:rPr>
          <w:color w:val="7F7F7F" w:themeColor="text2"/>
        </w:rPr>
        <w:t xml:space="preserve">delivered in the </w:t>
      </w:r>
      <w:proofErr w:type="gramStart"/>
      <w:r w:rsidRPr="002F6569">
        <w:rPr>
          <w:color w:val="7F7F7F" w:themeColor="text2"/>
        </w:rPr>
        <w:t>South-Western</w:t>
      </w:r>
      <w:proofErr w:type="gramEnd"/>
      <w:r w:rsidRPr="002F6569">
        <w:rPr>
          <w:color w:val="7F7F7F" w:themeColor="text2"/>
        </w:rPr>
        <w:t xml:space="preserve"> region</w:t>
      </w:r>
      <w:r w:rsidR="007C1FEC" w:rsidRPr="002F6569">
        <w:rPr>
          <w:color w:val="7F7F7F" w:themeColor="text2"/>
        </w:rPr>
        <w:t xml:space="preserve">, which represents </w:t>
      </w:r>
      <w:r w:rsidR="004065BE">
        <w:rPr>
          <w:color w:val="7F7F7F" w:themeColor="text2"/>
        </w:rPr>
        <w:t>3</w:t>
      </w:r>
      <w:r w:rsidR="00782150">
        <w:rPr>
          <w:color w:val="7F7F7F" w:themeColor="text2"/>
        </w:rPr>
        <w:t>7</w:t>
      </w:r>
      <w:r w:rsidR="007C1FEC" w:rsidRPr="002F6569">
        <w:rPr>
          <w:color w:val="7F7F7F" w:themeColor="text2"/>
        </w:rPr>
        <w:t xml:space="preserve"> per cent of </w:t>
      </w:r>
      <w:r w:rsidR="00EE2119" w:rsidRPr="002F6569">
        <w:rPr>
          <w:color w:val="7F7F7F" w:themeColor="text2"/>
        </w:rPr>
        <w:t xml:space="preserve">all </w:t>
      </w:r>
      <w:r w:rsidR="007C1FEC" w:rsidRPr="002F6569">
        <w:rPr>
          <w:color w:val="7F7F7F" w:themeColor="text2"/>
        </w:rPr>
        <w:t xml:space="preserve">fee-for-service </w:t>
      </w:r>
      <w:r w:rsidR="00EE2119" w:rsidRPr="002F6569">
        <w:rPr>
          <w:color w:val="7F7F7F" w:themeColor="text2"/>
        </w:rPr>
        <w:t xml:space="preserve">enrolments </w:t>
      </w:r>
      <w:r w:rsidR="007C1FEC" w:rsidRPr="002F6569">
        <w:rPr>
          <w:color w:val="7F7F7F" w:themeColor="text2"/>
        </w:rPr>
        <w:t xml:space="preserve">in 2015 (half year). </w:t>
      </w:r>
    </w:p>
    <w:p w:rsidR="006D629A" w:rsidRPr="002F6569" w:rsidRDefault="005912B7" w:rsidP="0094797A">
      <w:pPr>
        <w:pStyle w:val="ListParagraph"/>
        <w:numPr>
          <w:ilvl w:val="0"/>
          <w:numId w:val="18"/>
        </w:numPr>
        <w:pBdr>
          <w:top w:val="single" w:sz="4" w:space="1" w:color="7F7F7F" w:themeColor="text2"/>
          <w:left w:val="single" w:sz="4" w:space="4" w:color="7F7F7F" w:themeColor="text2"/>
          <w:bottom w:val="single" w:sz="4" w:space="1" w:color="7F7F7F" w:themeColor="text2"/>
          <w:right w:val="single" w:sz="4" w:space="4" w:color="7F7F7F" w:themeColor="text2"/>
        </w:pBdr>
        <w:spacing w:before="120" w:after="120"/>
        <w:ind w:left="426" w:hanging="426"/>
        <w:contextualSpacing w:val="0"/>
        <w:rPr>
          <w:color w:val="7F7F7F" w:themeColor="text2"/>
        </w:rPr>
      </w:pPr>
      <w:r w:rsidRPr="002F6569">
        <w:rPr>
          <w:color w:val="7F7F7F" w:themeColor="text2"/>
        </w:rPr>
        <w:t>In 2015 (half year), w</w:t>
      </w:r>
      <w:r w:rsidR="008658C5" w:rsidRPr="002F6569">
        <w:rPr>
          <w:color w:val="7F7F7F" w:themeColor="text2"/>
        </w:rPr>
        <w:t xml:space="preserve">hilst </w:t>
      </w:r>
      <w:r w:rsidRPr="002F6569">
        <w:rPr>
          <w:color w:val="7F7F7F" w:themeColor="text2"/>
        </w:rPr>
        <w:t xml:space="preserve">TAFEs </w:t>
      </w:r>
      <w:r w:rsidR="00782150">
        <w:rPr>
          <w:color w:val="7F7F7F" w:themeColor="text2"/>
        </w:rPr>
        <w:t>had</w:t>
      </w:r>
      <w:r w:rsidR="008658C5" w:rsidRPr="002F6569">
        <w:rPr>
          <w:color w:val="7F7F7F" w:themeColor="text2"/>
        </w:rPr>
        <w:t xml:space="preserve"> the largest proportion of </w:t>
      </w:r>
      <w:r w:rsidRPr="002F6569">
        <w:rPr>
          <w:color w:val="7F7F7F" w:themeColor="text2"/>
        </w:rPr>
        <w:t xml:space="preserve">fee-for-service </w:t>
      </w:r>
      <w:r w:rsidR="008658C5" w:rsidRPr="002F6569">
        <w:rPr>
          <w:color w:val="7F7F7F" w:themeColor="text2"/>
        </w:rPr>
        <w:t xml:space="preserve">enrolments in </w:t>
      </w:r>
      <w:r w:rsidRPr="002F6569">
        <w:rPr>
          <w:color w:val="7F7F7F" w:themeColor="text2"/>
        </w:rPr>
        <w:t xml:space="preserve">the Labourers, Technicians and Trade Workers occupation categories, Private RTOs </w:t>
      </w:r>
      <w:r w:rsidR="00782150">
        <w:rPr>
          <w:color w:val="7F7F7F" w:themeColor="text2"/>
        </w:rPr>
        <w:t>had</w:t>
      </w:r>
      <w:r w:rsidRPr="002F6569">
        <w:rPr>
          <w:color w:val="7F7F7F" w:themeColor="text2"/>
        </w:rPr>
        <w:t xml:space="preserve"> the largest proportion for all other occupation categories (apart from ‘Other’)</w:t>
      </w:r>
      <w:r w:rsidR="00EE2119" w:rsidRPr="002F6569">
        <w:rPr>
          <w:color w:val="7F7F7F" w:themeColor="text2"/>
        </w:rPr>
        <w:t>, particularly in the categories of Machinery Operators and Drivers and Sales Workers</w:t>
      </w:r>
      <w:r w:rsidRPr="002F6569">
        <w:rPr>
          <w:color w:val="7F7F7F" w:themeColor="text2"/>
        </w:rPr>
        <w:t>.</w:t>
      </w:r>
    </w:p>
    <w:p w:rsidR="00A03E2D" w:rsidRPr="00151889" w:rsidRDefault="00A03E2D" w:rsidP="00151889">
      <w:pPr>
        <w:pBdr>
          <w:top w:val="single" w:sz="4" w:space="1" w:color="7F7F7F" w:themeColor="text2"/>
          <w:left w:val="single" w:sz="4" w:space="4" w:color="7F7F7F" w:themeColor="text2"/>
          <w:bottom w:val="single" w:sz="4" w:space="1" w:color="7F7F7F" w:themeColor="text2"/>
          <w:right w:val="single" w:sz="4" w:space="4" w:color="7F7F7F" w:themeColor="text2"/>
        </w:pBdr>
        <w:rPr>
          <w:color w:val="7F7F7F" w:themeColor="text2"/>
        </w:rPr>
      </w:pPr>
    </w:p>
    <w:p w:rsidR="00A03E2D" w:rsidRDefault="00A03E2D" w:rsidP="00151889">
      <w:pPr>
        <w:rPr>
          <w:color w:val="7F7F7F" w:themeColor="text2"/>
        </w:rPr>
      </w:pPr>
    </w:p>
    <w:p w:rsidR="00E3610C" w:rsidRPr="00151889" w:rsidRDefault="00E3610C" w:rsidP="00151889">
      <w:pPr>
        <w:rPr>
          <w:color w:val="7F7F7F" w:themeColor="text2"/>
        </w:rPr>
      </w:pPr>
    </w:p>
    <w:p w:rsidR="000515A3" w:rsidRPr="00151889" w:rsidRDefault="000515A3" w:rsidP="00151889">
      <w:pPr>
        <w:rPr>
          <w:color w:val="7F7F7F" w:themeColor="text2"/>
          <w:sz w:val="19"/>
          <w:szCs w:val="19"/>
        </w:rPr>
      </w:pPr>
      <w:r w:rsidRPr="00151889">
        <w:rPr>
          <w:color w:val="7F7F7F" w:themeColor="text2"/>
        </w:rPr>
        <w:br w:type="page"/>
      </w: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E3610C" w:rsidTr="00E3610C">
        <w:tc>
          <w:tcPr>
            <w:tcW w:w="1134" w:type="dxa"/>
            <w:tcMar>
              <w:left w:w="0" w:type="dxa"/>
              <w:right w:w="0" w:type="dxa"/>
            </w:tcMar>
          </w:tcPr>
          <w:p w:rsidR="00E3610C" w:rsidRDefault="00E3610C" w:rsidP="00C33510">
            <w:pPr>
              <w:pStyle w:val="Quote"/>
              <w:tabs>
                <w:tab w:val="left" w:pos="1134"/>
              </w:tabs>
              <w:rPr>
                <w:b w:val="0"/>
                <w:color w:val="B41F22" w:themeColor="accent1"/>
              </w:rPr>
            </w:pPr>
            <w:r>
              <w:rPr>
                <w:b w:val="0"/>
                <w:color w:val="B41F22" w:themeColor="accent1"/>
              </w:rPr>
              <w:lastRenderedPageBreak/>
              <w:t>Table 1.1</w:t>
            </w:r>
            <w:r w:rsidR="0084117E">
              <w:rPr>
                <w:b w:val="0"/>
                <w:color w:val="B41F22" w:themeColor="accent1"/>
              </w:rPr>
              <w:t>4</w:t>
            </w:r>
            <w:r>
              <w:rPr>
                <w:b w:val="0"/>
                <w:color w:val="B41F22" w:themeColor="accent1"/>
              </w:rPr>
              <w:t>:</w:t>
            </w:r>
          </w:p>
        </w:tc>
        <w:tc>
          <w:tcPr>
            <w:tcW w:w="6946" w:type="dxa"/>
            <w:tcMar>
              <w:left w:w="0" w:type="dxa"/>
              <w:right w:w="0" w:type="dxa"/>
            </w:tcMar>
          </w:tcPr>
          <w:p w:rsidR="00E3610C" w:rsidRDefault="00C170BB" w:rsidP="00C170BB">
            <w:pPr>
              <w:pStyle w:val="Quote"/>
              <w:tabs>
                <w:tab w:val="left" w:pos="1134"/>
              </w:tabs>
              <w:rPr>
                <w:b w:val="0"/>
                <w:color w:val="B41F22" w:themeColor="accent1"/>
              </w:rPr>
            </w:pPr>
            <w:r>
              <w:rPr>
                <w:b w:val="0"/>
                <w:color w:val="B41F22" w:themeColor="accent1"/>
              </w:rPr>
              <w:t>S</w:t>
            </w:r>
            <w:r w:rsidR="00E3610C" w:rsidRPr="00104BC2">
              <w:rPr>
                <w:b w:val="0"/>
                <w:color w:val="B41F22" w:themeColor="accent1"/>
              </w:rPr>
              <w:t>tudents in fee-for-service training, 2014 to 2015 (half year)</w:t>
            </w:r>
          </w:p>
        </w:tc>
      </w:tr>
    </w:tbl>
    <w:tbl>
      <w:tblPr>
        <w:tblW w:w="8095" w:type="dxa"/>
        <w:tblInd w:w="93" w:type="dxa"/>
        <w:tblLayout w:type="fixed"/>
        <w:tblLook w:val="04A0" w:firstRow="1" w:lastRow="0" w:firstColumn="1" w:lastColumn="0" w:noHBand="0" w:noVBand="1"/>
      </w:tblPr>
      <w:tblGrid>
        <w:gridCol w:w="2741"/>
        <w:gridCol w:w="1573"/>
        <w:gridCol w:w="1574"/>
        <w:gridCol w:w="790"/>
        <w:gridCol w:w="1417"/>
      </w:tblGrid>
      <w:tr w:rsidR="00021797" w:rsidRPr="00021797" w:rsidTr="00261E0D">
        <w:trPr>
          <w:trHeight w:val="454"/>
        </w:trPr>
        <w:tc>
          <w:tcPr>
            <w:tcW w:w="2741" w:type="dxa"/>
            <w:tcBorders>
              <w:top w:val="nil"/>
              <w:left w:val="nil"/>
              <w:bottom w:val="nil"/>
              <w:right w:val="nil"/>
            </w:tcBorders>
            <w:shd w:val="clear" w:color="000000" w:fill="7F7F7F"/>
            <w:noWrap/>
            <w:vAlign w:val="center"/>
            <w:hideMark/>
          </w:tcPr>
          <w:p w:rsidR="00021797" w:rsidRPr="00021797" w:rsidRDefault="00021797" w:rsidP="00021797">
            <w:pPr>
              <w:rPr>
                <w:rFonts w:cs="Arial"/>
                <w:color w:val="FFFFFF"/>
                <w:szCs w:val="18"/>
                <w:lang w:eastAsia="en-AU"/>
              </w:rPr>
            </w:pPr>
            <w:r w:rsidRPr="00021797">
              <w:rPr>
                <w:rFonts w:cs="Arial"/>
                <w:color w:val="FFFFFF"/>
                <w:szCs w:val="18"/>
                <w:lang w:eastAsia="en-AU"/>
              </w:rPr>
              <w:t> </w:t>
            </w:r>
          </w:p>
        </w:tc>
        <w:tc>
          <w:tcPr>
            <w:tcW w:w="1573" w:type="dxa"/>
            <w:tcBorders>
              <w:top w:val="nil"/>
              <w:left w:val="nil"/>
              <w:bottom w:val="nil"/>
              <w:right w:val="nil"/>
            </w:tcBorders>
            <w:shd w:val="clear" w:color="000000" w:fill="7F7F7F"/>
            <w:noWrap/>
            <w:vAlign w:val="bottom"/>
            <w:hideMark/>
          </w:tcPr>
          <w:p w:rsidR="00021797" w:rsidRPr="00021797" w:rsidRDefault="00021797" w:rsidP="00021797">
            <w:pPr>
              <w:jc w:val="right"/>
              <w:rPr>
                <w:rFonts w:cs="Arial"/>
                <w:b/>
                <w:bCs/>
                <w:color w:val="FFFFFF"/>
                <w:szCs w:val="18"/>
                <w:lang w:eastAsia="en-AU"/>
              </w:rPr>
            </w:pPr>
            <w:r w:rsidRPr="00021797">
              <w:rPr>
                <w:rFonts w:cs="Arial"/>
                <w:b/>
                <w:bCs/>
                <w:color w:val="FFFFFF"/>
                <w:szCs w:val="18"/>
                <w:lang w:eastAsia="en-AU"/>
              </w:rPr>
              <w:t>2014</w:t>
            </w:r>
          </w:p>
        </w:tc>
        <w:tc>
          <w:tcPr>
            <w:tcW w:w="1574" w:type="dxa"/>
            <w:tcBorders>
              <w:top w:val="nil"/>
              <w:left w:val="nil"/>
              <w:bottom w:val="nil"/>
              <w:right w:val="nil"/>
            </w:tcBorders>
            <w:shd w:val="clear" w:color="000000" w:fill="7F7F7F"/>
            <w:noWrap/>
            <w:vAlign w:val="bottom"/>
            <w:hideMark/>
          </w:tcPr>
          <w:p w:rsidR="00021797" w:rsidRPr="00021797" w:rsidRDefault="00021797" w:rsidP="00021797">
            <w:pPr>
              <w:jc w:val="right"/>
              <w:rPr>
                <w:rFonts w:cs="Arial"/>
                <w:b/>
                <w:bCs/>
                <w:color w:val="FFFFFF"/>
                <w:szCs w:val="18"/>
                <w:lang w:eastAsia="en-AU"/>
              </w:rPr>
            </w:pPr>
            <w:r w:rsidRPr="00021797">
              <w:rPr>
                <w:rFonts w:cs="Arial"/>
                <w:b/>
                <w:bCs/>
                <w:color w:val="FFFFFF"/>
                <w:szCs w:val="18"/>
                <w:lang w:eastAsia="en-AU"/>
              </w:rPr>
              <w:t>2015</w:t>
            </w:r>
          </w:p>
        </w:tc>
        <w:tc>
          <w:tcPr>
            <w:tcW w:w="790" w:type="dxa"/>
            <w:tcBorders>
              <w:top w:val="nil"/>
              <w:left w:val="nil"/>
              <w:bottom w:val="nil"/>
              <w:right w:val="nil"/>
            </w:tcBorders>
            <w:shd w:val="clear" w:color="000000" w:fill="7F7F7F"/>
            <w:noWrap/>
            <w:vAlign w:val="bottom"/>
            <w:hideMark/>
          </w:tcPr>
          <w:p w:rsidR="00021797" w:rsidRPr="00021797" w:rsidRDefault="00021797" w:rsidP="00021797">
            <w:pPr>
              <w:jc w:val="right"/>
              <w:rPr>
                <w:rFonts w:cs="Arial"/>
                <w:b/>
                <w:bCs/>
                <w:color w:val="FFFFFF"/>
                <w:szCs w:val="18"/>
                <w:lang w:eastAsia="en-AU"/>
              </w:rPr>
            </w:pPr>
            <w:r w:rsidRPr="00021797">
              <w:rPr>
                <w:rFonts w:cs="Arial"/>
                <w:b/>
                <w:bCs/>
                <w:color w:val="FFFFFF"/>
                <w:szCs w:val="18"/>
                <w:lang w:eastAsia="en-AU"/>
              </w:rPr>
              <w:t> </w:t>
            </w:r>
          </w:p>
        </w:tc>
        <w:tc>
          <w:tcPr>
            <w:tcW w:w="1417" w:type="dxa"/>
            <w:tcBorders>
              <w:top w:val="nil"/>
              <w:left w:val="nil"/>
              <w:bottom w:val="nil"/>
              <w:right w:val="nil"/>
            </w:tcBorders>
            <w:shd w:val="clear" w:color="000000" w:fill="7F7F7F"/>
            <w:vAlign w:val="bottom"/>
            <w:hideMark/>
          </w:tcPr>
          <w:p w:rsidR="00021797" w:rsidRPr="00021797" w:rsidRDefault="00021797" w:rsidP="00261E0D">
            <w:pPr>
              <w:jc w:val="right"/>
              <w:rPr>
                <w:rFonts w:cs="Arial"/>
                <w:b/>
                <w:bCs/>
                <w:color w:val="FFFFFF"/>
                <w:szCs w:val="18"/>
                <w:lang w:eastAsia="en-AU"/>
              </w:rPr>
            </w:pPr>
            <w:r w:rsidRPr="00021797">
              <w:rPr>
                <w:rFonts w:cs="Arial"/>
                <w:b/>
                <w:bCs/>
                <w:color w:val="FFFFFF"/>
                <w:szCs w:val="18"/>
                <w:lang w:eastAsia="en-AU"/>
              </w:rPr>
              <w:t>% change 2014 to 2015</w:t>
            </w:r>
          </w:p>
        </w:tc>
      </w:tr>
      <w:tr w:rsidR="00021797" w:rsidRPr="00021797" w:rsidTr="00021797">
        <w:trPr>
          <w:trHeight w:val="300"/>
        </w:trPr>
        <w:tc>
          <w:tcPr>
            <w:tcW w:w="2741" w:type="dxa"/>
            <w:tcBorders>
              <w:top w:val="nil"/>
              <w:left w:val="nil"/>
              <w:bottom w:val="nil"/>
              <w:right w:val="nil"/>
            </w:tcBorders>
            <w:shd w:val="clear" w:color="auto" w:fill="auto"/>
            <w:noWrap/>
            <w:vAlign w:val="center"/>
            <w:hideMark/>
          </w:tcPr>
          <w:p w:rsidR="00021797" w:rsidRPr="00021797" w:rsidRDefault="00021797" w:rsidP="00021797">
            <w:pPr>
              <w:rPr>
                <w:rFonts w:cs="Arial"/>
                <w:color w:val="7F7F7F"/>
                <w:szCs w:val="18"/>
                <w:lang w:eastAsia="en-AU"/>
              </w:rPr>
            </w:pPr>
            <w:r w:rsidRPr="00021797">
              <w:rPr>
                <w:rFonts w:cs="Arial"/>
                <w:color w:val="7F7F7F"/>
                <w:szCs w:val="18"/>
                <w:lang w:eastAsia="en-AU"/>
              </w:rPr>
              <w:t>Domestic</w:t>
            </w:r>
          </w:p>
        </w:tc>
        <w:tc>
          <w:tcPr>
            <w:tcW w:w="1573" w:type="dxa"/>
            <w:tcBorders>
              <w:top w:val="nil"/>
              <w:left w:val="nil"/>
              <w:bottom w:val="nil"/>
              <w:right w:val="nil"/>
            </w:tcBorders>
            <w:shd w:val="clear" w:color="auto" w:fill="auto"/>
            <w:noWrap/>
            <w:vAlign w:val="center"/>
            <w:hideMark/>
          </w:tcPr>
          <w:p w:rsidR="00021797" w:rsidRPr="00021797" w:rsidRDefault="00021797" w:rsidP="00021797">
            <w:pPr>
              <w:jc w:val="right"/>
              <w:rPr>
                <w:rFonts w:cs="Arial"/>
                <w:color w:val="7F7F7F"/>
                <w:szCs w:val="18"/>
                <w:lang w:eastAsia="en-AU"/>
              </w:rPr>
            </w:pPr>
            <w:r w:rsidRPr="00021797">
              <w:rPr>
                <w:rFonts w:cs="Arial"/>
                <w:color w:val="7F7F7F"/>
                <w:szCs w:val="18"/>
                <w:lang w:eastAsia="en-AU"/>
              </w:rPr>
              <w:t>131,683</w:t>
            </w:r>
          </w:p>
        </w:tc>
        <w:tc>
          <w:tcPr>
            <w:tcW w:w="1574" w:type="dxa"/>
            <w:tcBorders>
              <w:top w:val="nil"/>
              <w:left w:val="nil"/>
              <w:bottom w:val="nil"/>
              <w:right w:val="nil"/>
            </w:tcBorders>
            <w:shd w:val="clear" w:color="auto" w:fill="auto"/>
            <w:noWrap/>
            <w:vAlign w:val="center"/>
            <w:hideMark/>
          </w:tcPr>
          <w:p w:rsidR="00021797" w:rsidRPr="00021797" w:rsidRDefault="00021797" w:rsidP="00021797">
            <w:pPr>
              <w:jc w:val="right"/>
              <w:rPr>
                <w:rFonts w:cs="Arial"/>
                <w:color w:val="7F7F7F"/>
                <w:szCs w:val="18"/>
                <w:lang w:eastAsia="en-AU"/>
              </w:rPr>
            </w:pPr>
            <w:r w:rsidRPr="00021797">
              <w:rPr>
                <w:rFonts w:cs="Arial"/>
                <w:color w:val="7F7F7F"/>
                <w:szCs w:val="18"/>
                <w:lang w:eastAsia="en-AU"/>
              </w:rPr>
              <w:t>145,443</w:t>
            </w:r>
          </w:p>
        </w:tc>
        <w:tc>
          <w:tcPr>
            <w:tcW w:w="790" w:type="dxa"/>
            <w:tcBorders>
              <w:top w:val="nil"/>
              <w:left w:val="nil"/>
              <w:bottom w:val="nil"/>
              <w:right w:val="nil"/>
            </w:tcBorders>
            <w:shd w:val="clear" w:color="auto" w:fill="auto"/>
            <w:noWrap/>
            <w:vAlign w:val="center"/>
            <w:hideMark/>
          </w:tcPr>
          <w:p w:rsidR="00021797" w:rsidRPr="00021797" w:rsidRDefault="00021797" w:rsidP="00021797">
            <w:pPr>
              <w:rPr>
                <w:rFonts w:cs="Arial"/>
                <w:color w:val="7F7F7F"/>
                <w:szCs w:val="18"/>
                <w:lang w:eastAsia="en-AU"/>
              </w:rPr>
            </w:pPr>
          </w:p>
        </w:tc>
        <w:tc>
          <w:tcPr>
            <w:tcW w:w="1417" w:type="dxa"/>
            <w:tcBorders>
              <w:top w:val="nil"/>
              <w:left w:val="nil"/>
              <w:bottom w:val="nil"/>
              <w:right w:val="nil"/>
            </w:tcBorders>
            <w:shd w:val="clear" w:color="auto" w:fill="auto"/>
            <w:noWrap/>
            <w:vAlign w:val="center"/>
            <w:hideMark/>
          </w:tcPr>
          <w:p w:rsidR="00021797" w:rsidRPr="00021797" w:rsidRDefault="00021797" w:rsidP="00021797">
            <w:pPr>
              <w:jc w:val="right"/>
              <w:rPr>
                <w:rFonts w:cs="Arial"/>
                <w:color w:val="7F7F7F"/>
                <w:szCs w:val="18"/>
                <w:lang w:eastAsia="en-AU"/>
              </w:rPr>
            </w:pPr>
            <w:r w:rsidRPr="00021797">
              <w:rPr>
                <w:rFonts w:cs="Arial"/>
                <w:color w:val="7F7F7F"/>
                <w:szCs w:val="18"/>
                <w:lang w:eastAsia="en-AU"/>
              </w:rPr>
              <w:t>10%</w:t>
            </w:r>
          </w:p>
        </w:tc>
      </w:tr>
      <w:tr w:rsidR="00021797" w:rsidRPr="00021797" w:rsidTr="00021797">
        <w:trPr>
          <w:trHeight w:val="300"/>
        </w:trPr>
        <w:tc>
          <w:tcPr>
            <w:tcW w:w="2741" w:type="dxa"/>
            <w:tcBorders>
              <w:top w:val="nil"/>
              <w:left w:val="nil"/>
              <w:bottom w:val="nil"/>
              <w:right w:val="nil"/>
            </w:tcBorders>
            <w:shd w:val="clear" w:color="auto" w:fill="auto"/>
            <w:noWrap/>
            <w:vAlign w:val="center"/>
            <w:hideMark/>
          </w:tcPr>
          <w:p w:rsidR="00021797" w:rsidRPr="00021797" w:rsidRDefault="00021797" w:rsidP="00021797">
            <w:pPr>
              <w:rPr>
                <w:rFonts w:cs="Arial"/>
                <w:color w:val="7F7F7F"/>
                <w:szCs w:val="18"/>
                <w:lang w:eastAsia="en-AU"/>
              </w:rPr>
            </w:pPr>
            <w:r w:rsidRPr="00021797">
              <w:rPr>
                <w:rFonts w:cs="Arial"/>
                <w:color w:val="7F7F7F"/>
                <w:szCs w:val="18"/>
                <w:lang w:eastAsia="en-AU"/>
              </w:rPr>
              <w:t>International</w:t>
            </w:r>
          </w:p>
        </w:tc>
        <w:tc>
          <w:tcPr>
            <w:tcW w:w="1573" w:type="dxa"/>
            <w:tcBorders>
              <w:top w:val="nil"/>
              <w:left w:val="nil"/>
              <w:bottom w:val="nil"/>
              <w:right w:val="nil"/>
            </w:tcBorders>
            <w:shd w:val="clear" w:color="auto" w:fill="auto"/>
            <w:noWrap/>
            <w:vAlign w:val="center"/>
            <w:hideMark/>
          </w:tcPr>
          <w:p w:rsidR="00021797" w:rsidRPr="00021797" w:rsidRDefault="00021797" w:rsidP="00021797">
            <w:pPr>
              <w:jc w:val="right"/>
              <w:rPr>
                <w:rFonts w:cs="Arial"/>
                <w:color w:val="7F7F7F"/>
                <w:szCs w:val="18"/>
                <w:lang w:eastAsia="en-AU"/>
              </w:rPr>
            </w:pPr>
            <w:r w:rsidRPr="00021797">
              <w:rPr>
                <w:rFonts w:cs="Arial"/>
                <w:color w:val="7F7F7F"/>
                <w:szCs w:val="18"/>
                <w:lang w:eastAsia="en-AU"/>
              </w:rPr>
              <w:t>10,220</w:t>
            </w:r>
          </w:p>
        </w:tc>
        <w:tc>
          <w:tcPr>
            <w:tcW w:w="1574" w:type="dxa"/>
            <w:tcBorders>
              <w:top w:val="nil"/>
              <w:left w:val="nil"/>
              <w:bottom w:val="nil"/>
              <w:right w:val="nil"/>
            </w:tcBorders>
            <w:shd w:val="clear" w:color="auto" w:fill="auto"/>
            <w:noWrap/>
            <w:vAlign w:val="center"/>
            <w:hideMark/>
          </w:tcPr>
          <w:p w:rsidR="00021797" w:rsidRPr="00021797" w:rsidRDefault="00021797" w:rsidP="00021797">
            <w:pPr>
              <w:jc w:val="right"/>
              <w:rPr>
                <w:rFonts w:cs="Arial"/>
                <w:color w:val="7F7F7F"/>
                <w:szCs w:val="18"/>
                <w:lang w:eastAsia="en-AU"/>
              </w:rPr>
            </w:pPr>
            <w:r w:rsidRPr="00021797">
              <w:rPr>
                <w:rFonts w:cs="Arial"/>
                <w:color w:val="7F7F7F"/>
                <w:szCs w:val="18"/>
                <w:lang w:eastAsia="en-AU"/>
              </w:rPr>
              <w:t>11,382</w:t>
            </w:r>
          </w:p>
        </w:tc>
        <w:tc>
          <w:tcPr>
            <w:tcW w:w="790" w:type="dxa"/>
            <w:tcBorders>
              <w:top w:val="nil"/>
              <w:left w:val="nil"/>
              <w:bottom w:val="nil"/>
              <w:right w:val="nil"/>
            </w:tcBorders>
            <w:shd w:val="clear" w:color="auto" w:fill="auto"/>
            <w:noWrap/>
            <w:vAlign w:val="center"/>
            <w:hideMark/>
          </w:tcPr>
          <w:p w:rsidR="00021797" w:rsidRPr="00021797" w:rsidRDefault="00021797" w:rsidP="00021797">
            <w:pPr>
              <w:rPr>
                <w:rFonts w:cs="Arial"/>
                <w:color w:val="7F7F7F"/>
                <w:szCs w:val="18"/>
                <w:lang w:eastAsia="en-AU"/>
              </w:rPr>
            </w:pPr>
          </w:p>
        </w:tc>
        <w:tc>
          <w:tcPr>
            <w:tcW w:w="1417" w:type="dxa"/>
            <w:tcBorders>
              <w:top w:val="nil"/>
              <w:left w:val="nil"/>
              <w:bottom w:val="nil"/>
              <w:right w:val="nil"/>
            </w:tcBorders>
            <w:shd w:val="clear" w:color="auto" w:fill="auto"/>
            <w:noWrap/>
            <w:vAlign w:val="center"/>
            <w:hideMark/>
          </w:tcPr>
          <w:p w:rsidR="00021797" w:rsidRPr="00021797" w:rsidRDefault="00021797" w:rsidP="00021797">
            <w:pPr>
              <w:jc w:val="right"/>
              <w:rPr>
                <w:rFonts w:cs="Arial"/>
                <w:color w:val="7F7F7F"/>
                <w:szCs w:val="18"/>
                <w:lang w:eastAsia="en-AU"/>
              </w:rPr>
            </w:pPr>
            <w:r w:rsidRPr="00021797">
              <w:rPr>
                <w:rFonts w:cs="Arial"/>
                <w:color w:val="7F7F7F"/>
                <w:szCs w:val="18"/>
                <w:lang w:eastAsia="en-AU"/>
              </w:rPr>
              <w:t>11%</w:t>
            </w:r>
          </w:p>
        </w:tc>
      </w:tr>
      <w:tr w:rsidR="00021797" w:rsidRPr="00021797" w:rsidTr="00021797">
        <w:trPr>
          <w:trHeight w:val="300"/>
        </w:trPr>
        <w:tc>
          <w:tcPr>
            <w:tcW w:w="2741" w:type="dxa"/>
            <w:tcBorders>
              <w:top w:val="nil"/>
              <w:left w:val="nil"/>
              <w:bottom w:val="nil"/>
              <w:right w:val="nil"/>
            </w:tcBorders>
            <w:shd w:val="clear" w:color="auto" w:fill="auto"/>
            <w:noWrap/>
            <w:vAlign w:val="center"/>
            <w:hideMark/>
          </w:tcPr>
          <w:p w:rsidR="00021797" w:rsidRPr="00021797" w:rsidRDefault="00021797" w:rsidP="00021797">
            <w:pPr>
              <w:rPr>
                <w:rFonts w:cs="Arial"/>
                <w:color w:val="7F7F7F"/>
                <w:szCs w:val="18"/>
                <w:lang w:eastAsia="en-AU"/>
              </w:rPr>
            </w:pPr>
            <w:r w:rsidRPr="00021797">
              <w:rPr>
                <w:rFonts w:cs="Arial"/>
                <w:color w:val="7F7F7F"/>
                <w:szCs w:val="18"/>
                <w:lang w:eastAsia="en-AU"/>
              </w:rPr>
              <w:t>Offshore</w:t>
            </w:r>
          </w:p>
        </w:tc>
        <w:tc>
          <w:tcPr>
            <w:tcW w:w="1573" w:type="dxa"/>
            <w:tcBorders>
              <w:top w:val="nil"/>
              <w:left w:val="nil"/>
              <w:bottom w:val="nil"/>
              <w:right w:val="nil"/>
            </w:tcBorders>
            <w:shd w:val="clear" w:color="auto" w:fill="auto"/>
            <w:noWrap/>
            <w:vAlign w:val="center"/>
            <w:hideMark/>
          </w:tcPr>
          <w:p w:rsidR="00021797" w:rsidRPr="00021797" w:rsidRDefault="00021797" w:rsidP="00021797">
            <w:pPr>
              <w:jc w:val="right"/>
              <w:rPr>
                <w:rFonts w:cs="Arial"/>
                <w:color w:val="7F7F7F"/>
                <w:szCs w:val="18"/>
                <w:lang w:eastAsia="en-AU"/>
              </w:rPr>
            </w:pPr>
            <w:r w:rsidRPr="00021797">
              <w:rPr>
                <w:rFonts w:cs="Arial"/>
                <w:color w:val="7F7F7F"/>
                <w:szCs w:val="18"/>
                <w:lang w:eastAsia="en-AU"/>
              </w:rPr>
              <w:t>16,156</w:t>
            </w:r>
          </w:p>
        </w:tc>
        <w:tc>
          <w:tcPr>
            <w:tcW w:w="1574" w:type="dxa"/>
            <w:tcBorders>
              <w:top w:val="nil"/>
              <w:left w:val="nil"/>
              <w:bottom w:val="nil"/>
              <w:right w:val="nil"/>
            </w:tcBorders>
            <w:shd w:val="clear" w:color="auto" w:fill="auto"/>
            <w:noWrap/>
            <w:vAlign w:val="center"/>
            <w:hideMark/>
          </w:tcPr>
          <w:p w:rsidR="00021797" w:rsidRPr="00021797" w:rsidRDefault="00021797" w:rsidP="00021797">
            <w:pPr>
              <w:jc w:val="right"/>
              <w:rPr>
                <w:rFonts w:cs="Arial"/>
                <w:color w:val="7F7F7F"/>
                <w:szCs w:val="18"/>
                <w:lang w:eastAsia="en-AU"/>
              </w:rPr>
            </w:pPr>
            <w:r w:rsidRPr="00021797">
              <w:rPr>
                <w:rFonts w:cs="Arial"/>
                <w:color w:val="7F7F7F"/>
                <w:szCs w:val="18"/>
                <w:lang w:eastAsia="en-AU"/>
              </w:rPr>
              <w:t>15,611</w:t>
            </w:r>
          </w:p>
        </w:tc>
        <w:tc>
          <w:tcPr>
            <w:tcW w:w="790" w:type="dxa"/>
            <w:tcBorders>
              <w:top w:val="nil"/>
              <w:left w:val="nil"/>
              <w:bottom w:val="nil"/>
              <w:right w:val="nil"/>
            </w:tcBorders>
            <w:shd w:val="clear" w:color="auto" w:fill="auto"/>
            <w:noWrap/>
            <w:vAlign w:val="center"/>
            <w:hideMark/>
          </w:tcPr>
          <w:p w:rsidR="00021797" w:rsidRPr="00021797" w:rsidRDefault="00021797" w:rsidP="00021797">
            <w:pPr>
              <w:rPr>
                <w:rFonts w:cs="Arial"/>
                <w:color w:val="7F7F7F"/>
                <w:szCs w:val="18"/>
                <w:lang w:eastAsia="en-AU"/>
              </w:rPr>
            </w:pPr>
          </w:p>
        </w:tc>
        <w:tc>
          <w:tcPr>
            <w:tcW w:w="1417" w:type="dxa"/>
            <w:tcBorders>
              <w:top w:val="nil"/>
              <w:left w:val="nil"/>
              <w:bottom w:val="nil"/>
              <w:right w:val="nil"/>
            </w:tcBorders>
            <w:shd w:val="clear" w:color="auto" w:fill="auto"/>
            <w:noWrap/>
            <w:vAlign w:val="center"/>
            <w:hideMark/>
          </w:tcPr>
          <w:p w:rsidR="00021797" w:rsidRPr="00021797" w:rsidRDefault="00021797" w:rsidP="00021797">
            <w:pPr>
              <w:jc w:val="right"/>
              <w:rPr>
                <w:rFonts w:cs="Arial"/>
                <w:color w:val="7F7F7F"/>
                <w:szCs w:val="18"/>
                <w:lang w:eastAsia="en-AU"/>
              </w:rPr>
            </w:pPr>
            <w:r w:rsidRPr="00021797">
              <w:rPr>
                <w:rFonts w:cs="Arial"/>
                <w:color w:val="7F7F7F"/>
                <w:szCs w:val="18"/>
                <w:lang w:eastAsia="en-AU"/>
              </w:rPr>
              <w:t>-3%</w:t>
            </w:r>
          </w:p>
        </w:tc>
      </w:tr>
      <w:tr w:rsidR="00021797" w:rsidRPr="00021797" w:rsidTr="00021797">
        <w:trPr>
          <w:trHeight w:val="300"/>
        </w:trPr>
        <w:tc>
          <w:tcPr>
            <w:tcW w:w="2741" w:type="dxa"/>
            <w:tcBorders>
              <w:top w:val="nil"/>
              <w:left w:val="nil"/>
              <w:bottom w:val="nil"/>
              <w:right w:val="nil"/>
            </w:tcBorders>
            <w:shd w:val="clear" w:color="000000" w:fill="7F7F7F"/>
            <w:noWrap/>
            <w:vAlign w:val="center"/>
            <w:hideMark/>
          </w:tcPr>
          <w:p w:rsidR="00021797" w:rsidRPr="00021797" w:rsidRDefault="00021797" w:rsidP="00021797">
            <w:pPr>
              <w:rPr>
                <w:rFonts w:cs="Arial"/>
                <w:b/>
                <w:bCs/>
                <w:color w:val="FFFFFF"/>
                <w:szCs w:val="18"/>
                <w:lang w:eastAsia="en-AU"/>
              </w:rPr>
            </w:pPr>
            <w:r w:rsidRPr="00021797">
              <w:rPr>
                <w:rFonts w:cs="Arial"/>
                <w:b/>
                <w:bCs/>
                <w:color w:val="FFFFFF"/>
                <w:szCs w:val="18"/>
                <w:lang w:eastAsia="en-AU"/>
              </w:rPr>
              <w:t>Total*</w:t>
            </w:r>
          </w:p>
        </w:tc>
        <w:tc>
          <w:tcPr>
            <w:tcW w:w="1573" w:type="dxa"/>
            <w:tcBorders>
              <w:top w:val="nil"/>
              <w:left w:val="nil"/>
              <w:bottom w:val="nil"/>
              <w:right w:val="nil"/>
            </w:tcBorders>
            <w:shd w:val="clear" w:color="000000" w:fill="7F7F7F"/>
            <w:noWrap/>
            <w:vAlign w:val="center"/>
            <w:hideMark/>
          </w:tcPr>
          <w:p w:rsidR="00021797" w:rsidRPr="00021797" w:rsidRDefault="00021797" w:rsidP="00021797">
            <w:pPr>
              <w:jc w:val="right"/>
              <w:rPr>
                <w:rFonts w:cs="Arial"/>
                <w:b/>
                <w:bCs/>
                <w:color w:val="FFFFFF"/>
                <w:szCs w:val="18"/>
                <w:lang w:eastAsia="en-AU"/>
              </w:rPr>
            </w:pPr>
            <w:r w:rsidRPr="00021797">
              <w:rPr>
                <w:rFonts w:cs="Arial"/>
                <w:b/>
                <w:bCs/>
                <w:color w:val="FFFFFF"/>
                <w:szCs w:val="18"/>
                <w:lang w:eastAsia="en-AU"/>
              </w:rPr>
              <w:t>157,501</w:t>
            </w:r>
          </w:p>
        </w:tc>
        <w:tc>
          <w:tcPr>
            <w:tcW w:w="1574" w:type="dxa"/>
            <w:tcBorders>
              <w:top w:val="nil"/>
              <w:left w:val="nil"/>
              <w:bottom w:val="nil"/>
              <w:right w:val="nil"/>
            </w:tcBorders>
            <w:shd w:val="clear" w:color="000000" w:fill="7F7F7F"/>
            <w:noWrap/>
            <w:vAlign w:val="center"/>
            <w:hideMark/>
          </w:tcPr>
          <w:p w:rsidR="00021797" w:rsidRPr="00021797" w:rsidRDefault="00021797" w:rsidP="00021797">
            <w:pPr>
              <w:jc w:val="right"/>
              <w:rPr>
                <w:rFonts w:cs="Arial"/>
                <w:b/>
                <w:bCs/>
                <w:color w:val="FFFFFF"/>
                <w:szCs w:val="18"/>
                <w:lang w:eastAsia="en-AU"/>
              </w:rPr>
            </w:pPr>
            <w:r w:rsidRPr="00021797">
              <w:rPr>
                <w:rFonts w:cs="Arial"/>
                <w:b/>
                <w:bCs/>
                <w:color w:val="FFFFFF"/>
                <w:szCs w:val="18"/>
                <w:lang w:eastAsia="en-AU"/>
              </w:rPr>
              <w:t>172,332</w:t>
            </w:r>
          </w:p>
        </w:tc>
        <w:tc>
          <w:tcPr>
            <w:tcW w:w="790" w:type="dxa"/>
            <w:tcBorders>
              <w:top w:val="nil"/>
              <w:left w:val="nil"/>
              <w:bottom w:val="nil"/>
              <w:right w:val="nil"/>
            </w:tcBorders>
            <w:shd w:val="clear" w:color="000000" w:fill="7F7F7F"/>
            <w:noWrap/>
            <w:vAlign w:val="center"/>
            <w:hideMark/>
          </w:tcPr>
          <w:p w:rsidR="00021797" w:rsidRPr="00021797" w:rsidRDefault="00021797" w:rsidP="00021797">
            <w:pPr>
              <w:rPr>
                <w:rFonts w:cs="Arial"/>
                <w:b/>
                <w:bCs/>
                <w:color w:val="FFFFFF"/>
                <w:szCs w:val="18"/>
                <w:lang w:eastAsia="en-AU"/>
              </w:rPr>
            </w:pPr>
            <w:r w:rsidRPr="00021797">
              <w:rPr>
                <w:rFonts w:cs="Arial"/>
                <w:b/>
                <w:bCs/>
                <w:color w:val="FFFFFF"/>
                <w:szCs w:val="18"/>
                <w:lang w:eastAsia="en-AU"/>
              </w:rPr>
              <w:t> </w:t>
            </w:r>
          </w:p>
        </w:tc>
        <w:tc>
          <w:tcPr>
            <w:tcW w:w="1417" w:type="dxa"/>
            <w:tcBorders>
              <w:top w:val="nil"/>
              <w:left w:val="nil"/>
              <w:bottom w:val="nil"/>
              <w:right w:val="nil"/>
            </w:tcBorders>
            <w:shd w:val="clear" w:color="000000" w:fill="7F7F7F"/>
            <w:noWrap/>
            <w:vAlign w:val="center"/>
            <w:hideMark/>
          </w:tcPr>
          <w:p w:rsidR="00021797" w:rsidRPr="00021797" w:rsidRDefault="00021797" w:rsidP="00021797">
            <w:pPr>
              <w:jc w:val="right"/>
              <w:rPr>
                <w:rFonts w:cs="Arial"/>
                <w:b/>
                <w:bCs/>
                <w:color w:val="FFFFFF"/>
                <w:szCs w:val="18"/>
                <w:lang w:eastAsia="en-AU"/>
              </w:rPr>
            </w:pPr>
            <w:r w:rsidRPr="00021797">
              <w:rPr>
                <w:rFonts w:cs="Arial"/>
                <w:b/>
                <w:bCs/>
                <w:color w:val="FFFFFF"/>
                <w:szCs w:val="18"/>
                <w:lang w:eastAsia="en-AU"/>
              </w:rPr>
              <w:t>9%</w:t>
            </w:r>
          </w:p>
        </w:tc>
      </w:tr>
    </w:tbl>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4A0" w:firstRow="1" w:lastRow="0" w:firstColumn="1" w:lastColumn="0" w:noHBand="0" w:noVBand="1"/>
      </w:tblPr>
      <w:tblGrid>
        <w:gridCol w:w="431"/>
        <w:gridCol w:w="7649"/>
      </w:tblGrid>
      <w:tr w:rsidR="00021797" w:rsidRPr="00913551" w:rsidTr="00021797">
        <w:tc>
          <w:tcPr>
            <w:tcW w:w="431" w:type="dxa"/>
            <w:tcMar>
              <w:left w:w="0" w:type="dxa"/>
              <w:right w:w="28" w:type="dxa"/>
            </w:tcMar>
          </w:tcPr>
          <w:p w:rsidR="00021797" w:rsidRPr="00913551" w:rsidRDefault="00021797" w:rsidP="00021797">
            <w:pPr>
              <w:spacing w:after="0" w:line="240" w:lineRule="auto"/>
              <w:jc w:val="right"/>
              <w:rPr>
                <w:color w:val="7F7F7F" w:themeColor="text2"/>
                <w:sz w:val="16"/>
                <w:szCs w:val="16"/>
              </w:rPr>
            </w:pPr>
            <w:r w:rsidRPr="00913551">
              <w:rPr>
                <w:color w:val="7F7F7F" w:themeColor="text2"/>
                <w:sz w:val="16"/>
                <w:szCs w:val="16"/>
              </w:rPr>
              <w:t xml:space="preserve">* </w:t>
            </w:r>
          </w:p>
        </w:tc>
        <w:tc>
          <w:tcPr>
            <w:tcW w:w="7649" w:type="dxa"/>
            <w:tcMar>
              <w:left w:w="0" w:type="dxa"/>
              <w:right w:w="28" w:type="dxa"/>
            </w:tcMar>
          </w:tcPr>
          <w:p w:rsidR="00021797" w:rsidRPr="00913551" w:rsidRDefault="00021797" w:rsidP="007E2938">
            <w:pPr>
              <w:pStyle w:val="Note"/>
              <w:spacing w:after="0" w:line="240" w:lineRule="auto"/>
              <w:rPr>
                <w:i w:val="0"/>
                <w:color w:val="7F7F7F" w:themeColor="text2"/>
              </w:rPr>
            </w:pPr>
            <w:r w:rsidRPr="00913551">
              <w:t xml:space="preserve">Domestic, international and offshore student numbers do not add to the total as a student may </w:t>
            </w:r>
            <w:r w:rsidR="007E2938">
              <w:t>be in multiple categories (e.g. both Domestic and International) in a given reporting year</w:t>
            </w:r>
            <w:r w:rsidRPr="00913551">
              <w:t>.</w:t>
            </w:r>
          </w:p>
        </w:tc>
      </w:tr>
    </w:tbl>
    <w:p w:rsidR="00021797" w:rsidRDefault="00021797" w:rsidP="00151889">
      <w:pPr>
        <w:pStyle w:val="Quote"/>
        <w:rPr>
          <w:b w:val="0"/>
          <w:sz w:val="18"/>
          <w:szCs w:val="18"/>
        </w:rPr>
      </w:pPr>
    </w:p>
    <w:p w:rsidR="00021797" w:rsidRDefault="00021797" w:rsidP="00151889">
      <w:pPr>
        <w:pStyle w:val="Quote"/>
        <w:rPr>
          <w:b w:val="0"/>
          <w:sz w:val="18"/>
          <w:szCs w:val="18"/>
        </w:rPr>
      </w:pP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021797" w:rsidTr="00021797">
        <w:tc>
          <w:tcPr>
            <w:tcW w:w="1134" w:type="dxa"/>
            <w:tcMar>
              <w:left w:w="0" w:type="dxa"/>
              <w:right w:w="0" w:type="dxa"/>
            </w:tcMar>
          </w:tcPr>
          <w:p w:rsidR="00021797" w:rsidRDefault="00021797" w:rsidP="00C33510">
            <w:pPr>
              <w:pStyle w:val="Quote"/>
              <w:tabs>
                <w:tab w:val="left" w:pos="1134"/>
              </w:tabs>
              <w:rPr>
                <w:b w:val="0"/>
                <w:color w:val="B41F22" w:themeColor="accent1"/>
              </w:rPr>
            </w:pPr>
            <w:r>
              <w:rPr>
                <w:b w:val="0"/>
                <w:color w:val="B41F22" w:themeColor="accent1"/>
              </w:rPr>
              <w:t>Table 1.1</w:t>
            </w:r>
            <w:r w:rsidR="0084117E">
              <w:rPr>
                <w:b w:val="0"/>
                <w:color w:val="B41F22" w:themeColor="accent1"/>
              </w:rPr>
              <w:t>5</w:t>
            </w:r>
            <w:r>
              <w:rPr>
                <w:b w:val="0"/>
                <w:color w:val="B41F22" w:themeColor="accent1"/>
              </w:rPr>
              <w:t>:</w:t>
            </w:r>
          </w:p>
        </w:tc>
        <w:tc>
          <w:tcPr>
            <w:tcW w:w="6946" w:type="dxa"/>
            <w:tcMar>
              <w:left w:w="0" w:type="dxa"/>
              <w:right w:w="0" w:type="dxa"/>
            </w:tcMar>
          </w:tcPr>
          <w:p w:rsidR="00021797" w:rsidRDefault="00C170BB" w:rsidP="00C170BB">
            <w:pPr>
              <w:pStyle w:val="Quote"/>
              <w:tabs>
                <w:tab w:val="left" w:pos="1134"/>
              </w:tabs>
              <w:rPr>
                <w:b w:val="0"/>
                <w:color w:val="B41F22" w:themeColor="accent1"/>
              </w:rPr>
            </w:pPr>
            <w:r>
              <w:rPr>
                <w:b w:val="0"/>
                <w:color w:val="B41F22" w:themeColor="accent1"/>
              </w:rPr>
              <w:t>C</w:t>
            </w:r>
            <w:r w:rsidR="00021797">
              <w:rPr>
                <w:b w:val="0"/>
                <w:color w:val="B41F22" w:themeColor="accent1"/>
              </w:rPr>
              <w:t>ourse enrolments</w:t>
            </w:r>
            <w:r w:rsidR="00021797" w:rsidRPr="00104BC2">
              <w:rPr>
                <w:b w:val="0"/>
                <w:color w:val="B41F22" w:themeColor="accent1"/>
              </w:rPr>
              <w:t xml:space="preserve"> in fee-for-service training, 2014 to 2015 (half year)</w:t>
            </w:r>
          </w:p>
        </w:tc>
      </w:tr>
    </w:tbl>
    <w:tbl>
      <w:tblPr>
        <w:tblW w:w="8095" w:type="dxa"/>
        <w:tblInd w:w="93" w:type="dxa"/>
        <w:tblLayout w:type="fixed"/>
        <w:tblLook w:val="04A0" w:firstRow="1" w:lastRow="0" w:firstColumn="1" w:lastColumn="0" w:noHBand="0" w:noVBand="1"/>
      </w:tblPr>
      <w:tblGrid>
        <w:gridCol w:w="2478"/>
        <w:gridCol w:w="1790"/>
        <w:gridCol w:w="1571"/>
        <w:gridCol w:w="644"/>
        <w:gridCol w:w="195"/>
        <w:gridCol w:w="1417"/>
      </w:tblGrid>
      <w:tr w:rsidR="00021797" w:rsidRPr="00021797" w:rsidTr="00261E0D">
        <w:trPr>
          <w:trHeight w:val="454"/>
        </w:trPr>
        <w:tc>
          <w:tcPr>
            <w:tcW w:w="2478" w:type="dxa"/>
            <w:tcBorders>
              <w:top w:val="nil"/>
              <w:left w:val="nil"/>
              <w:bottom w:val="nil"/>
              <w:right w:val="nil"/>
            </w:tcBorders>
            <w:shd w:val="clear" w:color="000000" w:fill="7F7F7F"/>
            <w:noWrap/>
            <w:vAlign w:val="center"/>
            <w:hideMark/>
          </w:tcPr>
          <w:p w:rsidR="00021797" w:rsidRPr="00021797" w:rsidRDefault="00021797" w:rsidP="00021797">
            <w:pPr>
              <w:rPr>
                <w:rFonts w:cs="Arial"/>
                <w:color w:val="FFFFFF"/>
                <w:szCs w:val="18"/>
                <w:lang w:eastAsia="en-AU"/>
              </w:rPr>
            </w:pPr>
            <w:r w:rsidRPr="00021797">
              <w:rPr>
                <w:rFonts w:cs="Arial"/>
                <w:color w:val="FFFFFF"/>
                <w:szCs w:val="18"/>
                <w:lang w:eastAsia="en-AU"/>
              </w:rPr>
              <w:t> </w:t>
            </w:r>
          </w:p>
        </w:tc>
        <w:tc>
          <w:tcPr>
            <w:tcW w:w="1790" w:type="dxa"/>
            <w:tcBorders>
              <w:top w:val="nil"/>
              <w:left w:val="nil"/>
              <w:bottom w:val="nil"/>
              <w:right w:val="nil"/>
            </w:tcBorders>
            <w:shd w:val="clear" w:color="000000" w:fill="7F7F7F"/>
            <w:noWrap/>
            <w:vAlign w:val="bottom"/>
            <w:hideMark/>
          </w:tcPr>
          <w:p w:rsidR="00021797" w:rsidRPr="00021797" w:rsidRDefault="00021797" w:rsidP="00021797">
            <w:pPr>
              <w:jc w:val="right"/>
              <w:rPr>
                <w:rFonts w:cs="Arial"/>
                <w:b/>
                <w:bCs/>
                <w:color w:val="FFFFFF"/>
                <w:szCs w:val="18"/>
                <w:lang w:eastAsia="en-AU"/>
              </w:rPr>
            </w:pPr>
            <w:r w:rsidRPr="00021797">
              <w:rPr>
                <w:rFonts w:cs="Arial"/>
                <w:b/>
                <w:bCs/>
                <w:color w:val="FFFFFF"/>
                <w:szCs w:val="18"/>
                <w:lang w:eastAsia="en-AU"/>
              </w:rPr>
              <w:t>2014</w:t>
            </w:r>
          </w:p>
        </w:tc>
        <w:tc>
          <w:tcPr>
            <w:tcW w:w="1571" w:type="dxa"/>
            <w:tcBorders>
              <w:top w:val="nil"/>
              <w:left w:val="nil"/>
              <w:bottom w:val="nil"/>
              <w:right w:val="nil"/>
            </w:tcBorders>
            <w:shd w:val="clear" w:color="000000" w:fill="7F7F7F"/>
            <w:noWrap/>
            <w:vAlign w:val="bottom"/>
            <w:hideMark/>
          </w:tcPr>
          <w:p w:rsidR="00021797" w:rsidRPr="00021797" w:rsidRDefault="00021797" w:rsidP="00021797">
            <w:pPr>
              <w:jc w:val="right"/>
              <w:rPr>
                <w:rFonts w:cs="Arial"/>
                <w:b/>
                <w:bCs/>
                <w:color w:val="FFFFFF"/>
                <w:szCs w:val="18"/>
                <w:lang w:eastAsia="en-AU"/>
              </w:rPr>
            </w:pPr>
            <w:r w:rsidRPr="00021797">
              <w:rPr>
                <w:rFonts w:cs="Arial"/>
                <w:b/>
                <w:bCs/>
                <w:color w:val="FFFFFF"/>
                <w:szCs w:val="18"/>
                <w:lang w:eastAsia="en-AU"/>
              </w:rPr>
              <w:t>2015</w:t>
            </w:r>
          </w:p>
        </w:tc>
        <w:tc>
          <w:tcPr>
            <w:tcW w:w="839" w:type="dxa"/>
            <w:gridSpan w:val="2"/>
            <w:tcBorders>
              <w:top w:val="nil"/>
              <w:left w:val="nil"/>
              <w:bottom w:val="nil"/>
              <w:right w:val="nil"/>
            </w:tcBorders>
            <w:shd w:val="clear" w:color="000000" w:fill="7F7F7F"/>
            <w:noWrap/>
            <w:vAlign w:val="bottom"/>
            <w:hideMark/>
          </w:tcPr>
          <w:p w:rsidR="00021797" w:rsidRPr="00021797" w:rsidRDefault="00021797" w:rsidP="00021797">
            <w:pPr>
              <w:jc w:val="right"/>
              <w:rPr>
                <w:rFonts w:cs="Arial"/>
                <w:b/>
                <w:bCs/>
                <w:color w:val="FFFFFF"/>
                <w:szCs w:val="18"/>
                <w:lang w:eastAsia="en-AU"/>
              </w:rPr>
            </w:pPr>
            <w:r w:rsidRPr="00021797">
              <w:rPr>
                <w:rFonts w:cs="Arial"/>
                <w:b/>
                <w:bCs/>
                <w:color w:val="FFFFFF"/>
                <w:szCs w:val="18"/>
                <w:lang w:eastAsia="en-AU"/>
              </w:rPr>
              <w:t> </w:t>
            </w:r>
          </w:p>
        </w:tc>
        <w:tc>
          <w:tcPr>
            <w:tcW w:w="1417" w:type="dxa"/>
            <w:tcBorders>
              <w:top w:val="nil"/>
              <w:left w:val="nil"/>
              <w:bottom w:val="nil"/>
              <w:right w:val="nil"/>
            </w:tcBorders>
            <w:shd w:val="clear" w:color="000000" w:fill="7F7F7F"/>
            <w:vAlign w:val="bottom"/>
            <w:hideMark/>
          </w:tcPr>
          <w:p w:rsidR="00021797" w:rsidRPr="00021797" w:rsidRDefault="00021797" w:rsidP="00261E0D">
            <w:pPr>
              <w:jc w:val="right"/>
              <w:rPr>
                <w:rFonts w:cs="Arial"/>
                <w:b/>
                <w:bCs/>
                <w:color w:val="FFFFFF"/>
                <w:szCs w:val="18"/>
                <w:lang w:eastAsia="en-AU"/>
              </w:rPr>
            </w:pPr>
            <w:r w:rsidRPr="00021797">
              <w:rPr>
                <w:rFonts w:cs="Arial"/>
                <w:b/>
                <w:bCs/>
                <w:color w:val="FFFFFF"/>
                <w:szCs w:val="18"/>
                <w:lang w:eastAsia="en-AU"/>
              </w:rPr>
              <w:t>% change 2014 to 2015</w:t>
            </w:r>
          </w:p>
        </w:tc>
      </w:tr>
      <w:tr w:rsidR="00021797" w:rsidRPr="00021797" w:rsidTr="00021797">
        <w:trPr>
          <w:trHeight w:val="300"/>
        </w:trPr>
        <w:tc>
          <w:tcPr>
            <w:tcW w:w="2478" w:type="dxa"/>
            <w:tcBorders>
              <w:top w:val="nil"/>
              <w:left w:val="nil"/>
              <w:bottom w:val="nil"/>
              <w:right w:val="nil"/>
            </w:tcBorders>
            <w:shd w:val="clear" w:color="auto" w:fill="auto"/>
            <w:noWrap/>
            <w:vAlign w:val="center"/>
            <w:hideMark/>
          </w:tcPr>
          <w:p w:rsidR="00021797" w:rsidRPr="00021797" w:rsidRDefault="00021797" w:rsidP="00021797">
            <w:pPr>
              <w:rPr>
                <w:rFonts w:cs="Arial"/>
                <w:color w:val="7F7F7F"/>
                <w:szCs w:val="18"/>
                <w:lang w:eastAsia="en-AU"/>
              </w:rPr>
            </w:pPr>
            <w:r w:rsidRPr="00021797">
              <w:rPr>
                <w:rFonts w:cs="Arial"/>
                <w:color w:val="7F7F7F"/>
                <w:szCs w:val="18"/>
                <w:lang w:eastAsia="en-AU"/>
              </w:rPr>
              <w:t>Domestic</w:t>
            </w:r>
          </w:p>
        </w:tc>
        <w:tc>
          <w:tcPr>
            <w:tcW w:w="1790" w:type="dxa"/>
            <w:tcBorders>
              <w:top w:val="nil"/>
              <w:left w:val="nil"/>
              <w:bottom w:val="nil"/>
              <w:right w:val="nil"/>
            </w:tcBorders>
            <w:shd w:val="clear" w:color="auto" w:fill="auto"/>
            <w:noWrap/>
            <w:vAlign w:val="center"/>
            <w:hideMark/>
          </w:tcPr>
          <w:p w:rsidR="00021797" w:rsidRPr="00021797" w:rsidRDefault="00021797" w:rsidP="00021797">
            <w:pPr>
              <w:jc w:val="right"/>
              <w:rPr>
                <w:rFonts w:cs="Arial"/>
                <w:color w:val="7F7F7F"/>
                <w:szCs w:val="18"/>
                <w:lang w:eastAsia="en-AU"/>
              </w:rPr>
            </w:pPr>
            <w:r w:rsidRPr="00021797">
              <w:rPr>
                <w:rFonts w:cs="Arial"/>
                <w:color w:val="7F7F7F"/>
                <w:szCs w:val="18"/>
                <w:lang w:eastAsia="en-AU"/>
              </w:rPr>
              <w:t>155,790</w:t>
            </w:r>
          </w:p>
        </w:tc>
        <w:tc>
          <w:tcPr>
            <w:tcW w:w="1571" w:type="dxa"/>
            <w:tcBorders>
              <w:top w:val="nil"/>
              <w:left w:val="nil"/>
              <w:bottom w:val="nil"/>
              <w:right w:val="nil"/>
            </w:tcBorders>
            <w:shd w:val="clear" w:color="auto" w:fill="auto"/>
            <w:noWrap/>
            <w:vAlign w:val="center"/>
            <w:hideMark/>
          </w:tcPr>
          <w:p w:rsidR="00021797" w:rsidRPr="00021797" w:rsidRDefault="00021797" w:rsidP="00021797">
            <w:pPr>
              <w:jc w:val="right"/>
              <w:rPr>
                <w:rFonts w:cs="Arial"/>
                <w:color w:val="7F7F7F"/>
                <w:szCs w:val="18"/>
                <w:lang w:eastAsia="en-AU"/>
              </w:rPr>
            </w:pPr>
            <w:r w:rsidRPr="00021797">
              <w:rPr>
                <w:rFonts w:cs="Arial"/>
                <w:color w:val="7F7F7F"/>
                <w:szCs w:val="18"/>
                <w:lang w:eastAsia="en-AU"/>
              </w:rPr>
              <w:t>173,510</w:t>
            </w:r>
          </w:p>
        </w:tc>
        <w:tc>
          <w:tcPr>
            <w:tcW w:w="644" w:type="dxa"/>
            <w:tcBorders>
              <w:top w:val="nil"/>
              <w:left w:val="nil"/>
              <w:bottom w:val="nil"/>
              <w:right w:val="nil"/>
            </w:tcBorders>
            <w:shd w:val="clear" w:color="auto" w:fill="auto"/>
            <w:noWrap/>
            <w:vAlign w:val="center"/>
            <w:hideMark/>
          </w:tcPr>
          <w:p w:rsidR="00021797" w:rsidRPr="00021797" w:rsidRDefault="00021797" w:rsidP="00021797">
            <w:pPr>
              <w:rPr>
                <w:rFonts w:cs="Arial"/>
                <w:color w:val="7F7F7F"/>
                <w:szCs w:val="18"/>
                <w:lang w:eastAsia="en-AU"/>
              </w:rPr>
            </w:pPr>
          </w:p>
        </w:tc>
        <w:tc>
          <w:tcPr>
            <w:tcW w:w="1612" w:type="dxa"/>
            <w:gridSpan w:val="2"/>
            <w:tcBorders>
              <w:top w:val="nil"/>
              <w:left w:val="nil"/>
              <w:bottom w:val="nil"/>
              <w:right w:val="nil"/>
            </w:tcBorders>
            <w:shd w:val="clear" w:color="auto" w:fill="auto"/>
            <w:noWrap/>
            <w:vAlign w:val="center"/>
            <w:hideMark/>
          </w:tcPr>
          <w:p w:rsidR="00021797" w:rsidRPr="00021797" w:rsidRDefault="00021797" w:rsidP="00021797">
            <w:pPr>
              <w:jc w:val="right"/>
              <w:rPr>
                <w:rFonts w:cs="Arial"/>
                <w:color w:val="7F7F7F"/>
                <w:szCs w:val="18"/>
                <w:lang w:eastAsia="en-AU"/>
              </w:rPr>
            </w:pPr>
            <w:r w:rsidRPr="00021797">
              <w:rPr>
                <w:rFonts w:cs="Arial"/>
                <w:color w:val="7F7F7F"/>
                <w:szCs w:val="18"/>
                <w:lang w:eastAsia="en-AU"/>
              </w:rPr>
              <w:t>11%</w:t>
            </w:r>
          </w:p>
        </w:tc>
      </w:tr>
      <w:tr w:rsidR="00021797" w:rsidRPr="00021797" w:rsidTr="00021797">
        <w:trPr>
          <w:trHeight w:val="300"/>
        </w:trPr>
        <w:tc>
          <w:tcPr>
            <w:tcW w:w="2478" w:type="dxa"/>
            <w:tcBorders>
              <w:top w:val="nil"/>
              <w:left w:val="nil"/>
              <w:bottom w:val="nil"/>
              <w:right w:val="nil"/>
            </w:tcBorders>
            <w:shd w:val="clear" w:color="auto" w:fill="auto"/>
            <w:noWrap/>
            <w:vAlign w:val="center"/>
            <w:hideMark/>
          </w:tcPr>
          <w:p w:rsidR="00021797" w:rsidRPr="00021797" w:rsidRDefault="00021797" w:rsidP="00021797">
            <w:pPr>
              <w:rPr>
                <w:rFonts w:cs="Arial"/>
                <w:color w:val="7F7F7F"/>
                <w:szCs w:val="18"/>
                <w:lang w:eastAsia="en-AU"/>
              </w:rPr>
            </w:pPr>
            <w:r w:rsidRPr="00021797">
              <w:rPr>
                <w:rFonts w:cs="Arial"/>
                <w:color w:val="7F7F7F"/>
                <w:szCs w:val="18"/>
                <w:lang w:eastAsia="en-AU"/>
              </w:rPr>
              <w:t>International</w:t>
            </w:r>
          </w:p>
        </w:tc>
        <w:tc>
          <w:tcPr>
            <w:tcW w:w="1790" w:type="dxa"/>
            <w:tcBorders>
              <w:top w:val="nil"/>
              <w:left w:val="nil"/>
              <w:bottom w:val="nil"/>
              <w:right w:val="nil"/>
            </w:tcBorders>
            <w:shd w:val="clear" w:color="auto" w:fill="auto"/>
            <w:noWrap/>
            <w:vAlign w:val="center"/>
            <w:hideMark/>
          </w:tcPr>
          <w:p w:rsidR="00021797" w:rsidRPr="00021797" w:rsidRDefault="00021797" w:rsidP="00021797">
            <w:pPr>
              <w:jc w:val="right"/>
              <w:rPr>
                <w:rFonts w:cs="Arial"/>
                <w:color w:val="7F7F7F"/>
                <w:szCs w:val="18"/>
                <w:lang w:eastAsia="en-AU"/>
              </w:rPr>
            </w:pPr>
            <w:r w:rsidRPr="00021797">
              <w:rPr>
                <w:rFonts w:cs="Arial"/>
                <w:color w:val="7F7F7F"/>
                <w:szCs w:val="18"/>
                <w:lang w:eastAsia="en-AU"/>
              </w:rPr>
              <w:t>11,491</w:t>
            </w:r>
          </w:p>
        </w:tc>
        <w:tc>
          <w:tcPr>
            <w:tcW w:w="1571" w:type="dxa"/>
            <w:tcBorders>
              <w:top w:val="nil"/>
              <w:left w:val="nil"/>
              <w:bottom w:val="nil"/>
              <w:right w:val="nil"/>
            </w:tcBorders>
            <w:shd w:val="clear" w:color="auto" w:fill="auto"/>
            <w:noWrap/>
            <w:vAlign w:val="center"/>
            <w:hideMark/>
          </w:tcPr>
          <w:p w:rsidR="00021797" w:rsidRPr="00021797" w:rsidRDefault="00021797" w:rsidP="00021797">
            <w:pPr>
              <w:jc w:val="right"/>
              <w:rPr>
                <w:rFonts w:cs="Arial"/>
                <w:color w:val="7F7F7F"/>
                <w:szCs w:val="18"/>
                <w:lang w:eastAsia="en-AU"/>
              </w:rPr>
            </w:pPr>
            <w:r w:rsidRPr="00021797">
              <w:rPr>
                <w:rFonts w:cs="Arial"/>
                <w:color w:val="7F7F7F"/>
                <w:szCs w:val="18"/>
                <w:lang w:eastAsia="en-AU"/>
              </w:rPr>
              <w:t>14,529</w:t>
            </w:r>
          </w:p>
        </w:tc>
        <w:tc>
          <w:tcPr>
            <w:tcW w:w="644" w:type="dxa"/>
            <w:tcBorders>
              <w:top w:val="nil"/>
              <w:left w:val="nil"/>
              <w:bottom w:val="nil"/>
              <w:right w:val="nil"/>
            </w:tcBorders>
            <w:shd w:val="clear" w:color="auto" w:fill="auto"/>
            <w:noWrap/>
            <w:vAlign w:val="center"/>
            <w:hideMark/>
          </w:tcPr>
          <w:p w:rsidR="00021797" w:rsidRPr="00021797" w:rsidRDefault="00021797" w:rsidP="00021797">
            <w:pPr>
              <w:rPr>
                <w:rFonts w:cs="Arial"/>
                <w:color w:val="7F7F7F"/>
                <w:szCs w:val="18"/>
                <w:lang w:eastAsia="en-AU"/>
              </w:rPr>
            </w:pPr>
          </w:p>
        </w:tc>
        <w:tc>
          <w:tcPr>
            <w:tcW w:w="1612" w:type="dxa"/>
            <w:gridSpan w:val="2"/>
            <w:tcBorders>
              <w:top w:val="nil"/>
              <w:left w:val="nil"/>
              <w:bottom w:val="nil"/>
              <w:right w:val="nil"/>
            </w:tcBorders>
            <w:shd w:val="clear" w:color="auto" w:fill="auto"/>
            <w:noWrap/>
            <w:vAlign w:val="center"/>
            <w:hideMark/>
          </w:tcPr>
          <w:p w:rsidR="00021797" w:rsidRPr="00021797" w:rsidRDefault="00021797" w:rsidP="00021797">
            <w:pPr>
              <w:jc w:val="right"/>
              <w:rPr>
                <w:rFonts w:cs="Arial"/>
                <w:color w:val="7F7F7F"/>
                <w:szCs w:val="18"/>
                <w:lang w:eastAsia="en-AU"/>
              </w:rPr>
            </w:pPr>
            <w:r w:rsidRPr="00021797">
              <w:rPr>
                <w:rFonts w:cs="Arial"/>
                <w:color w:val="7F7F7F"/>
                <w:szCs w:val="18"/>
                <w:lang w:eastAsia="en-AU"/>
              </w:rPr>
              <w:t>26%</w:t>
            </w:r>
          </w:p>
        </w:tc>
      </w:tr>
      <w:tr w:rsidR="00021797" w:rsidRPr="00021797" w:rsidTr="00021797">
        <w:trPr>
          <w:trHeight w:val="300"/>
        </w:trPr>
        <w:tc>
          <w:tcPr>
            <w:tcW w:w="2478" w:type="dxa"/>
            <w:tcBorders>
              <w:top w:val="nil"/>
              <w:left w:val="nil"/>
              <w:bottom w:val="nil"/>
              <w:right w:val="nil"/>
            </w:tcBorders>
            <w:shd w:val="clear" w:color="auto" w:fill="auto"/>
            <w:noWrap/>
            <w:vAlign w:val="center"/>
            <w:hideMark/>
          </w:tcPr>
          <w:p w:rsidR="00021797" w:rsidRPr="00021797" w:rsidRDefault="00021797" w:rsidP="00021797">
            <w:pPr>
              <w:rPr>
                <w:rFonts w:cs="Arial"/>
                <w:color w:val="7F7F7F"/>
                <w:szCs w:val="18"/>
                <w:lang w:eastAsia="en-AU"/>
              </w:rPr>
            </w:pPr>
            <w:r w:rsidRPr="00021797">
              <w:rPr>
                <w:rFonts w:cs="Arial"/>
                <w:color w:val="7F7F7F"/>
                <w:szCs w:val="18"/>
                <w:lang w:eastAsia="en-AU"/>
              </w:rPr>
              <w:t>Offshore</w:t>
            </w:r>
          </w:p>
        </w:tc>
        <w:tc>
          <w:tcPr>
            <w:tcW w:w="1790" w:type="dxa"/>
            <w:tcBorders>
              <w:top w:val="nil"/>
              <w:left w:val="nil"/>
              <w:bottom w:val="nil"/>
              <w:right w:val="nil"/>
            </w:tcBorders>
            <w:shd w:val="clear" w:color="auto" w:fill="auto"/>
            <w:noWrap/>
            <w:vAlign w:val="center"/>
            <w:hideMark/>
          </w:tcPr>
          <w:p w:rsidR="00021797" w:rsidRPr="00021797" w:rsidRDefault="00021797" w:rsidP="00021797">
            <w:pPr>
              <w:jc w:val="right"/>
              <w:rPr>
                <w:rFonts w:cs="Arial"/>
                <w:color w:val="7F7F7F"/>
                <w:szCs w:val="18"/>
                <w:lang w:eastAsia="en-AU"/>
              </w:rPr>
            </w:pPr>
            <w:r w:rsidRPr="00021797">
              <w:rPr>
                <w:rFonts w:cs="Arial"/>
                <w:color w:val="7F7F7F"/>
                <w:szCs w:val="18"/>
                <w:lang w:eastAsia="en-AU"/>
              </w:rPr>
              <w:t>22,252</w:t>
            </w:r>
          </w:p>
        </w:tc>
        <w:tc>
          <w:tcPr>
            <w:tcW w:w="1571" w:type="dxa"/>
            <w:tcBorders>
              <w:top w:val="nil"/>
              <w:left w:val="nil"/>
              <w:bottom w:val="nil"/>
              <w:right w:val="nil"/>
            </w:tcBorders>
            <w:shd w:val="clear" w:color="auto" w:fill="auto"/>
            <w:noWrap/>
            <w:vAlign w:val="center"/>
            <w:hideMark/>
          </w:tcPr>
          <w:p w:rsidR="00021797" w:rsidRPr="00021797" w:rsidRDefault="00021797" w:rsidP="00021797">
            <w:pPr>
              <w:jc w:val="right"/>
              <w:rPr>
                <w:rFonts w:cs="Arial"/>
                <w:color w:val="7F7F7F"/>
                <w:szCs w:val="18"/>
                <w:lang w:eastAsia="en-AU"/>
              </w:rPr>
            </w:pPr>
            <w:r w:rsidRPr="00021797">
              <w:rPr>
                <w:rFonts w:cs="Arial"/>
                <w:color w:val="7F7F7F"/>
                <w:szCs w:val="18"/>
                <w:lang w:eastAsia="en-AU"/>
              </w:rPr>
              <w:t>19,309</w:t>
            </w:r>
          </w:p>
        </w:tc>
        <w:tc>
          <w:tcPr>
            <w:tcW w:w="644" w:type="dxa"/>
            <w:tcBorders>
              <w:top w:val="nil"/>
              <w:left w:val="nil"/>
              <w:bottom w:val="nil"/>
              <w:right w:val="nil"/>
            </w:tcBorders>
            <w:shd w:val="clear" w:color="auto" w:fill="auto"/>
            <w:noWrap/>
            <w:vAlign w:val="center"/>
            <w:hideMark/>
          </w:tcPr>
          <w:p w:rsidR="00021797" w:rsidRPr="00021797" w:rsidRDefault="00021797" w:rsidP="00021797">
            <w:pPr>
              <w:rPr>
                <w:rFonts w:cs="Arial"/>
                <w:color w:val="7F7F7F"/>
                <w:szCs w:val="18"/>
                <w:lang w:eastAsia="en-AU"/>
              </w:rPr>
            </w:pPr>
          </w:p>
        </w:tc>
        <w:tc>
          <w:tcPr>
            <w:tcW w:w="1612" w:type="dxa"/>
            <w:gridSpan w:val="2"/>
            <w:tcBorders>
              <w:top w:val="nil"/>
              <w:left w:val="nil"/>
              <w:bottom w:val="nil"/>
              <w:right w:val="nil"/>
            </w:tcBorders>
            <w:shd w:val="clear" w:color="auto" w:fill="auto"/>
            <w:noWrap/>
            <w:vAlign w:val="center"/>
            <w:hideMark/>
          </w:tcPr>
          <w:p w:rsidR="00021797" w:rsidRPr="00021797" w:rsidRDefault="00021797" w:rsidP="00021797">
            <w:pPr>
              <w:jc w:val="right"/>
              <w:rPr>
                <w:rFonts w:cs="Arial"/>
                <w:color w:val="7F7F7F"/>
                <w:szCs w:val="18"/>
                <w:lang w:eastAsia="en-AU"/>
              </w:rPr>
            </w:pPr>
            <w:r w:rsidRPr="00021797">
              <w:rPr>
                <w:rFonts w:cs="Arial"/>
                <w:color w:val="7F7F7F"/>
                <w:szCs w:val="18"/>
                <w:lang w:eastAsia="en-AU"/>
              </w:rPr>
              <w:t>-13%</w:t>
            </w:r>
          </w:p>
        </w:tc>
      </w:tr>
      <w:tr w:rsidR="00021797" w:rsidRPr="00021797" w:rsidTr="00021797">
        <w:trPr>
          <w:trHeight w:val="300"/>
        </w:trPr>
        <w:tc>
          <w:tcPr>
            <w:tcW w:w="2478" w:type="dxa"/>
            <w:tcBorders>
              <w:top w:val="nil"/>
              <w:left w:val="nil"/>
              <w:bottom w:val="nil"/>
              <w:right w:val="nil"/>
            </w:tcBorders>
            <w:shd w:val="clear" w:color="000000" w:fill="7F7F7F"/>
            <w:noWrap/>
            <w:vAlign w:val="center"/>
            <w:hideMark/>
          </w:tcPr>
          <w:p w:rsidR="00021797" w:rsidRPr="00021797" w:rsidRDefault="00021797" w:rsidP="00021797">
            <w:pPr>
              <w:rPr>
                <w:rFonts w:cs="Arial"/>
                <w:b/>
                <w:bCs/>
                <w:color w:val="FFFFFF"/>
                <w:szCs w:val="18"/>
                <w:lang w:eastAsia="en-AU"/>
              </w:rPr>
            </w:pPr>
            <w:r w:rsidRPr="00021797">
              <w:rPr>
                <w:rFonts w:cs="Arial"/>
                <w:b/>
                <w:bCs/>
                <w:color w:val="FFFFFF"/>
                <w:szCs w:val="18"/>
                <w:lang w:eastAsia="en-AU"/>
              </w:rPr>
              <w:t>Total*</w:t>
            </w:r>
          </w:p>
        </w:tc>
        <w:tc>
          <w:tcPr>
            <w:tcW w:w="1790" w:type="dxa"/>
            <w:tcBorders>
              <w:top w:val="nil"/>
              <w:left w:val="nil"/>
              <w:bottom w:val="nil"/>
              <w:right w:val="nil"/>
            </w:tcBorders>
            <w:shd w:val="clear" w:color="000000" w:fill="7F7F7F"/>
            <w:noWrap/>
            <w:vAlign w:val="center"/>
            <w:hideMark/>
          </w:tcPr>
          <w:p w:rsidR="00021797" w:rsidRPr="00021797" w:rsidRDefault="00021797" w:rsidP="00021797">
            <w:pPr>
              <w:jc w:val="right"/>
              <w:rPr>
                <w:rFonts w:cs="Arial"/>
                <w:b/>
                <w:bCs/>
                <w:color w:val="FFFFFF"/>
                <w:szCs w:val="18"/>
                <w:lang w:eastAsia="en-AU"/>
              </w:rPr>
            </w:pPr>
            <w:r w:rsidRPr="00021797">
              <w:rPr>
                <w:rFonts w:cs="Arial"/>
                <w:b/>
                <w:bCs/>
                <w:color w:val="FFFFFF"/>
                <w:szCs w:val="18"/>
                <w:lang w:eastAsia="en-AU"/>
              </w:rPr>
              <w:t>189,098</w:t>
            </w:r>
          </w:p>
        </w:tc>
        <w:tc>
          <w:tcPr>
            <w:tcW w:w="1571" w:type="dxa"/>
            <w:tcBorders>
              <w:top w:val="nil"/>
              <w:left w:val="nil"/>
              <w:bottom w:val="nil"/>
              <w:right w:val="nil"/>
            </w:tcBorders>
            <w:shd w:val="clear" w:color="000000" w:fill="7F7F7F"/>
            <w:noWrap/>
            <w:vAlign w:val="center"/>
            <w:hideMark/>
          </w:tcPr>
          <w:p w:rsidR="00021797" w:rsidRPr="00021797" w:rsidRDefault="00021797" w:rsidP="00021797">
            <w:pPr>
              <w:jc w:val="right"/>
              <w:rPr>
                <w:rFonts w:cs="Arial"/>
                <w:b/>
                <w:bCs/>
                <w:color w:val="FFFFFF"/>
                <w:szCs w:val="18"/>
                <w:lang w:eastAsia="en-AU"/>
              </w:rPr>
            </w:pPr>
            <w:r w:rsidRPr="00021797">
              <w:rPr>
                <w:rFonts w:cs="Arial"/>
                <w:b/>
                <w:bCs/>
                <w:color w:val="FFFFFF"/>
                <w:szCs w:val="18"/>
                <w:lang w:eastAsia="en-AU"/>
              </w:rPr>
              <w:t>207,322</w:t>
            </w:r>
          </w:p>
        </w:tc>
        <w:tc>
          <w:tcPr>
            <w:tcW w:w="644" w:type="dxa"/>
            <w:tcBorders>
              <w:top w:val="nil"/>
              <w:left w:val="nil"/>
              <w:bottom w:val="nil"/>
              <w:right w:val="nil"/>
            </w:tcBorders>
            <w:shd w:val="clear" w:color="000000" w:fill="7F7F7F"/>
            <w:noWrap/>
            <w:vAlign w:val="center"/>
            <w:hideMark/>
          </w:tcPr>
          <w:p w:rsidR="00021797" w:rsidRPr="00021797" w:rsidRDefault="00021797" w:rsidP="00021797">
            <w:pPr>
              <w:rPr>
                <w:rFonts w:cs="Arial"/>
                <w:b/>
                <w:bCs/>
                <w:color w:val="FFFFFF"/>
                <w:szCs w:val="18"/>
                <w:lang w:eastAsia="en-AU"/>
              </w:rPr>
            </w:pPr>
            <w:r w:rsidRPr="00021797">
              <w:rPr>
                <w:rFonts w:cs="Arial"/>
                <w:b/>
                <w:bCs/>
                <w:color w:val="FFFFFF"/>
                <w:szCs w:val="18"/>
                <w:lang w:eastAsia="en-AU"/>
              </w:rPr>
              <w:t> </w:t>
            </w:r>
          </w:p>
        </w:tc>
        <w:tc>
          <w:tcPr>
            <w:tcW w:w="1612" w:type="dxa"/>
            <w:gridSpan w:val="2"/>
            <w:tcBorders>
              <w:top w:val="nil"/>
              <w:left w:val="nil"/>
              <w:bottom w:val="nil"/>
              <w:right w:val="nil"/>
            </w:tcBorders>
            <w:shd w:val="clear" w:color="000000" w:fill="7F7F7F"/>
            <w:noWrap/>
            <w:vAlign w:val="center"/>
            <w:hideMark/>
          </w:tcPr>
          <w:p w:rsidR="00021797" w:rsidRPr="00021797" w:rsidRDefault="00021797" w:rsidP="00021797">
            <w:pPr>
              <w:jc w:val="right"/>
              <w:rPr>
                <w:rFonts w:cs="Arial"/>
                <w:b/>
                <w:bCs/>
                <w:color w:val="FFFFFF"/>
                <w:szCs w:val="18"/>
                <w:lang w:eastAsia="en-AU"/>
              </w:rPr>
            </w:pPr>
            <w:r w:rsidRPr="00021797">
              <w:rPr>
                <w:rFonts w:cs="Arial"/>
                <w:b/>
                <w:bCs/>
                <w:color w:val="FFFFFF"/>
                <w:szCs w:val="18"/>
                <w:lang w:eastAsia="en-AU"/>
              </w:rPr>
              <w:t>10%</w:t>
            </w:r>
          </w:p>
        </w:tc>
      </w:tr>
    </w:tbl>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4A0" w:firstRow="1" w:lastRow="0" w:firstColumn="1" w:lastColumn="0" w:noHBand="0" w:noVBand="1"/>
      </w:tblPr>
      <w:tblGrid>
        <w:gridCol w:w="431"/>
        <w:gridCol w:w="7649"/>
      </w:tblGrid>
      <w:tr w:rsidR="00D82A30" w:rsidRPr="00913551" w:rsidTr="009822B8">
        <w:tc>
          <w:tcPr>
            <w:tcW w:w="431" w:type="dxa"/>
            <w:tcMar>
              <w:left w:w="0" w:type="dxa"/>
              <w:right w:w="28" w:type="dxa"/>
            </w:tcMar>
          </w:tcPr>
          <w:p w:rsidR="00D82A30" w:rsidRPr="00913551" w:rsidRDefault="00D82A30" w:rsidP="009822B8">
            <w:pPr>
              <w:spacing w:after="0" w:line="240" w:lineRule="auto"/>
              <w:jc w:val="right"/>
              <w:rPr>
                <w:color w:val="7F7F7F" w:themeColor="text2"/>
                <w:sz w:val="16"/>
                <w:szCs w:val="16"/>
              </w:rPr>
            </w:pPr>
            <w:r w:rsidRPr="00913551">
              <w:rPr>
                <w:color w:val="7F7F7F" w:themeColor="text2"/>
                <w:sz w:val="16"/>
                <w:szCs w:val="16"/>
              </w:rPr>
              <w:t xml:space="preserve">* </w:t>
            </w:r>
          </w:p>
        </w:tc>
        <w:tc>
          <w:tcPr>
            <w:tcW w:w="7649" w:type="dxa"/>
            <w:tcMar>
              <w:left w:w="0" w:type="dxa"/>
              <w:right w:w="28" w:type="dxa"/>
            </w:tcMar>
          </w:tcPr>
          <w:p w:rsidR="00D82A30" w:rsidRPr="00913551" w:rsidRDefault="00D82A30" w:rsidP="007E2938">
            <w:pPr>
              <w:pStyle w:val="Note"/>
              <w:spacing w:after="0" w:line="240" w:lineRule="auto"/>
              <w:rPr>
                <w:i w:val="0"/>
                <w:color w:val="7F7F7F" w:themeColor="text2"/>
              </w:rPr>
            </w:pPr>
            <w:r w:rsidRPr="00913551">
              <w:t xml:space="preserve">Domestic, international and offshore course enrolments do not add to the total as an enrolment may </w:t>
            </w:r>
            <w:r w:rsidR="007E2938">
              <w:t>be in multiple categories (e.g. both Domestic and International) in a given reporting year</w:t>
            </w:r>
            <w:r w:rsidRPr="00913551">
              <w:t>.</w:t>
            </w:r>
          </w:p>
        </w:tc>
      </w:tr>
    </w:tbl>
    <w:p w:rsidR="00021797" w:rsidRDefault="00021797" w:rsidP="00151889">
      <w:pPr>
        <w:pStyle w:val="Quote"/>
        <w:rPr>
          <w:b w:val="0"/>
          <w:sz w:val="18"/>
          <w:szCs w:val="18"/>
        </w:rPr>
      </w:pPr>
    </w:p>
    <w:p w:rsidR="002C12FD" w:rsidRDefault="002C12FD" w:rsidP="00151889">
      <w:pPr>
        <w:pStyle w:val="Quote"/>
        <w:rPr>
          <w:b w:val="0"/>
          <w:sz w:val="18"/>
          <w:szCs w:val="18"/>
        </w:rPr>
      </w:pP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261E0D" w:rsidTr="009822B8">
        <w:tc>
          <w:tcPr>
            <w:tcW w:w="1134" w:type="dxa"/>
            <w:tcMar>
              <w:left w:w="0" w:type="dxa"/>
              <w:right w:w="0" w:type="dxa"/>
            </w:tcMar>
          </w:tcPr>
          <w:p w:rsidR="00261E0D" w:rsidRDefault="00261E0D" w:rsidP="00C33510">
            <w:pPr>
              <w:pStyle w:val="Quote"/>
              <w:tabs>
                <w:tab w:val="left" w:pos="1134"/>
              </w:tabs>
              <w:rPr>
                <w:b w:val="0"/>
                <w:color w:val="B41F22" w:themeColor="accent1"/>
              </w:rPr>
            </w:pPr>
            <w:r>
              <w:rPr>
                <w:b w:val="0"/>
                <w:color w:val="B41F22" w:themeColor="accent1"/>
              </w:rPr>
              <w:t>Table 1.1</w:t>
            </w:r>
            <w:r w:rsidR="0084117E">
              <w:rPr>
                <w:b w:val="0"/>
                <w:color w:val="B41F22" w:themeColor="accent1"/>
              </w:rPr>
              <w:t>6</w:t>
            </w:r>
            <w:r>
              <w:rPr>
                <w:b w:val="0"/>
                <w:color w:val="B41F22" w:themeColor="accent1"/>
              </w:rPr>
              <w:t>.1:</w:t>
            </w:r>
          </w:p>
        </w:tc>
        <w:tc>
          <w:tcPr>
            <w:tcW w:w="6946" w:type="dxa"/>
            <w:tcMar>
              <w:left w:w="0" w:type="dxa"/>
              <w:right w:w="0" w:type="dxa"/>
            </w:tcMar>
          </w:tcPr>
          <w:p w:rsidR="00261E0D" w:rsidRDefault="00C170BB" w:rsidP="00C170BB">
            <w:pPr>
              <w:pStyle w:val="Quote"/>
              <w:tabs>
                <w:tab w:val="left" w:pos="1134"/>
              </w:tabs>
              <w:rPr>
                <w:b w:val="0"/>
                <w:color w:val="B41F22" w:themeColor="accent1"/>
              </w:rPr>
            </w:pPr>
            <w:r>
              <w:rPr>
                <w:b w:val="0"/>
                <w:color w:val="B41F22" w:themeColor="accent1"/>
              </w:rPr>
              <w:t>F</w:t>
            </w:r>
            <w:r w:rsidR="00261E0D" w:rsidRPr="00261E0D">
              <w:rPr>
                <w:b w:val="0"/>
                <w:color w:val="B41F22" w:themeColor="accent1"/>
              </w:rPr>
              <w:t>ee-for-service domestic enrolments by sector, 2014 to 2015 (half year)</w:t>
            </w:r>
          </w:p>
        </w:tc>
      </w:tr>
    </w:tbl>
    <w:tbl>
      <w:tblPr>
        <w:tblW w:w="8095" w:type="dxa"/>
        <w:tblInd w:w="93" w:type="dxa"/>
        <w:tblLayout w:type="fixed"/>
        <w:tblLook w:val="04A0" w:firstRow="1" w:lastRow="0" w:firstColumn="1" w:lastColumn="0" w:noHBand="0" w:noVBand="1"/>
      </w:tblPr>
      <w:tblGrid>
        <w:gridCol w:w="2456"/>
        <w:gridCol w:w="1812"/>
        <w:gridCol w:w="1559"/>
        <w:gridCol w:w="851"/>
        <w:gridCol w:w="1417"/>
      </w:tblGrid>
      <w:tr w:rsidR="00261E0D" w:rsidRPr="00261E0D" w:rsidTr="00261E0D">
        <w:trPr>
          <w:trHeight w:val="454"/>
        </w:trPr>
        <w:tc>
          <w:tcPr>
            <w:tcW w:w="2456" w:type="dxa"/>
            <w:tcBorders>
              <w:top w:val="nil"/>
              <w:left w:val="nil"/>
              <w:bottom w:val="nil"/>
              <w:right w:val="nil"/>
            </w:tcBorders>
            <w:shd w:val="clear" w:color="000000" w:fill="7F7F7F"/>
            <w:noWrap/>
            <w:vAlign w:val="center"/>
            <w:hideMark/>
          </w:tcPr>
          <w:p w:rsidR="00261E0D" w:rsidRPr="00261E0D" w:rsidRDefault="00261E0D" w:rsidP="00261E0D">
            <w:pPr>
              <w:rPr>
                <w:rFonts w:cs="Arial"/>
                <w:color w:val="FFFFFF"/>
                <w:szCs w:val="18"/>
                <w:lang w:eastAsia="en-AU"/>
              </w:rPr>
            </w:pPr>
            <w:r w:rsidRPr="00261E0D">
              <w:rPr>
                <w:rFonts w:cs="Arial"/>
                <w:color w:val="FFFFFF"/>
                <w:szCs w:val="18"/>
                <w:lang w:eastAsia="en-AU"/>
              </w:rPr>
              <w:t> </w:t>
            </w:r>
          </w:p>
        </w:tc>
        <w:tc>
          <w:tcPr>
            <w:tcW w:w="1812" w:type="dxa"/>
            <w:tcBorders>
              <w:top w:val="nil"/>
              <w:left w:val="nil"/>
              <w:bottom w:val="nil"/>
              <w:right w:val="nil"/>
            </w:tcBorders>
            <w:shd w:val="clear" w:color="000000" w:fill="7F7F7F"/>
            <w:noWrap/>
            <w:vAlign w:val="bottom"/>
            <w:hideMark/>
          </w:tcPr>
          <w:p w:rsidR="00261E0D" w:rsidRPr="00261E0D" w:rsidRDefault="00261E0D" w:rsidP="00261E0D">
            <w:pPr>
              <w:jc w:val="right"/>
              <w:rPr>
                <w:rFonts w:cs="Arial"/>
                <w:b/>
                <w:bCs/>
                <w:color w:val="FFFFFF"/>
                <w:szCs w:val="18"/>
                <w:lang w:eastAsia="en-AU"/>
              </w:rPr>
            </w:pPr>
            <w:r w:rsidRPr="00261E0D">
              <w:rPr>
                <w:rFonts w:cs="Arial"/>
                <w:b/>
                <w:bCs/>
                <w:color w:val="FFFFFF"/>
                <w:szCs w:val="18"/>
                <w:lang w:eastAsia="en-AU"/>
              </w:rPr>
              <w:t>2014</w:t>
            </w:r>
          </w:p>
        </w:tc>
        <w:tc>
          <w:tcPr>
            <w:tcW w:w="1559" w:type="dxa"/>
            <w:tcBorders>
              <w:top w:val="nil"/>
              <w:left w:val="nil"/>
              <w:bottom w:val="nil"/>
              <w:right w:val="nil"/>
            </w:tcBorders>
            <w:shd w:val="clear" w:color="000000" w:fill="7F7F7F"/>
            <w:noWrap/>
            <w:vAlign w:val="bottom"/>
            <w:hideMark/>
          </w:tcPr>
          <w:p w:rsidR="00261E0D" w:rsidRPr="00261E0D" w:rsidRDefault="00261E0D" w:rsidP="00261E0D">
            <w:pPr>
              <w:jc w:val="right"/>
              <w:rPr>
                <w:rFonts w:cs="Arial"/>
                <w:b/>
                <w:bCs/>
                <w:color w:val="FFFFFF"/>
                <w:szCs w:val="18"/>
                <w:lang w:eastAsia="en-AU"/>
              </w:rPr>
            </w:pPr>
            <w:r w:rsidRPr="00261E0D">
              <w:rPr>
                <w:rFonts w:cs="Arial"/>
                <w:b/>
                <w:bCs/>
                <w:color w:val="FFFFFF"/>
                <w:szCs w:val="18"/>
                <w:lang w:eastAsia="en-AU"/>
              </w:rPr>
              <w:t>2015</w:t>
            </w:r>
          </w:p>
        </w:tc>
        <w:tc>
          <w:tcPr>
            <w:tcW w:w="851" w:type="dxa"/>
            <w:tcBorders>
              <w:top w:val="nil"/>
              <w:left w:val="nil"/>
              <w:bottom w:val="nil"/>
              <w:right w:val="nil"/>
            </w:tcBorders>
            <w:shd w:val="clear" w:color="000000" w:fill="7F7F7F"/>
            <w:noWrap/>
            <w:vAlign w:val="center"/>
            <w:hideMark/>
          </w:tcPr>
          <w:p w:rsidR="00261E0D" w:rsidRPr="00261E0D" w:rsidRDefault="00261E0D" w:rsidP="00261E0D">
            <w:pPr>
              <w:jc w:val="right"/>
              <w:rPr>
                <w:rFonts w:cs="Arial"/>
                <w:b/>
                <w:bCs/>
                <w:color w:val="FFFFFF"/>
                <w:szCs w:val="18"/>
                <w:lang w:eastAsia="en-AU"/>
              </w:rPr>
            </w:pPr>
            <w:r w:rsidRPr="00261E0D">
              <w:rPr>
                <w:rFonts w:cs="Arial"/>
                <w:b/>
                <w:bCs/>
                <w:color w:val="FFFFFF"/>
                <w:szCs w:val="18"/>
                <w:lang w:eastAsia="en-AU"/>
              </w:rPr>
              <w:t> </w:t>
            </w:r>
          </w:p>
        </w:tc>
        <w:tc>
          <w:tcPr>
            <w:tcW w:w="1417" w:type="dxa"/>
            <w:tcBorders>
              <w:top w:val="nil"/>
              <w:left w:val="nil"/>
              <w:bottom w:val="nil"/>
              <w:right w:val="nil"/>
            </w:tcBorders>
            <w:shd w:val="clear" w:color="000000" w:fill="7F7F7F"/>
            <w:vAlign w:val="bottom"/>
            <w:hideMark/>
          </w:tcPr>
          <w:p w:rsidR="00261E0D" w:rsidRPr="00261E0D" w:rsidRDefault="00261E0D" w:rsidP="00261E0D">
            <w:pPr>
              <w:jc w:val="right"/>
              <w:rPr>
                <w:rFonts w:cs="Arial"/>
                <w:b/>
                <w:bCs/>
                <w:color w:val="FFFFFF"/>
                <w:szCs w:val="18"/>
                <w:lang w:eastAsia="en-AU"/>
              </w:rPr>
            </w:pPr>
            <w:r w:rsidRPr="00261E0D">
              <w:rPr>
                <w:rFonts w:cs="Arial"/>
                <w:b/>
                <w:bCs/>
                <w:color w:val="FFFFFF"/>
                <w:szCs w:val="18"/>
                <w:lang w:eastAsia="en-AU"/>
              </w:rPr>
              <w:t>% change 2014 to 2015</w:t>
            </w:r>
          </w:p>
        </w:tc>
      </w:tr>
      <w:tr w:rsidR="00261E0D" w:rsidRPr="00261E0D" w:rsidTr="00261E0D">
        <w:trPr>
          <w:trHeight w:val="300"/>
        </w:trPr>
        <w:tc>
          <w:tcPr>
            <w:tcW w:w="2456" w:type="dxa"/>
            <w:tcBorders>
              <w:top w:val="nil"/>
              <w:left w:val="nil"/>
              <w:bottom w:val="nil"/>
              <w:right w:val="nil"/>
            </w:tcBorders>
            <w:shd w:val="clear" w:color="auto" w:fill="auto"/>
            <w:noWrap/>
            <w:vAlign w:val="center"/>
            <w:hideMark/>
          </w:tcPr>
          <w:p w:rsidR="00261E0D" w:rsidRPr="00261E0D" w:rsidRDefault="00261E0D" w:rsidP="00261E0D">
            <w:pPr>
              <w:rPr>
                <w:rFonts w:cs="Arial"/>
                <w:color w:val="7F7F7F"/>
                <w:szCs w:val="18"/>
                <w:lang w:eastAsia="en-AU"/>
              </w:rPr>
            </w:pPr>
            <w:r w:rsidRPr="00261E0D">
              <w:rPr>
                <w:rFonts w:cs="Arial"/>
                <w:color w:val="7F7F7F"/>
                <w:szCs w:val="18"/>
                <w:lang w:eastAsia="en-AU"/>
              </w:rPr>
              <w:t>Private RTO</w:t>
            </w:r>
          </w:p>
        </w:tc>
        <w:tc>
          <w:tcPr>
            <w:tcW w:w="1812" w:type="dxa"/>
            <w:tcBorders>
              <w:top w:val="nil"/>
              <w:left w:val="nil"/>
              <w:bottom w:val="nil"/>
              <w:right w:val="nil"/>
            </w:tcBorders>
            <w:shd w:val="clear" w:color="auto" w:fill="auto"/>
            <w:noWrap/>
            <w:vAlign w:val="center"/>
            <w:hideMark/>
          </w:tcPr>
          <w:p w:rsidR="00261E0D" w:rsidRPr="00261E0D" w:rsidRDefault="00261E0D" w:rsidP="00261E0D">
            <w:pPr>
              <w:jc w:val="right"/>
              <w:rPr>
                <w:rFonts w:cs="Arial"/>
                <w:color w:val="7F7F7F"/>
                <w:szCs w:val="18"/>
                <w:lang w:eastAsia="en-AU"/>
              </w:rPr>
            </w:pPr>
            <w:r w:rsidRPr="00261E0D">
              <w:rPr>
                <w:rFonts w:cs="Arial"/>
                <w:color w:val="7F7F7F"/>
                <w:szCs w:val="18"/>
                <w:lang w:eastAsia="en-AU"/>
              </w:rPr>
              <w:t>54,654</w:t>
            </w:r>
          </w:p>
        </w:tc>
        <w:tc>
          <w:tcPr>
            <w:tcW w:w="1559" w:type="dxa"/>
            <w:tcBorders>
              <w:top w:val="nil"/>
              <w:left w:val="nil"/>
              <w:bottom w:val="nil"/>
              <w:right w:val="nil"/>
            </w:tcBorders>
            <w:shd w:val="clear" w:color="auto" w:fill="auto"/>
            <w:noWrap/>
            <w:vAlign w:val="center"/>
            <w:hideMark/>
          </w:tcPr>
          <w:p w:rsidR="00261E0D" w:rsidRPr="00261E0D" w:rsidRDefault="00261E0D" w:rsidP="00261E0D">
            <w:pPr>
              <w:jc w:val="right"/>
              <w:rPr>
                <w:rFonts w:cs="Arial"/>
                <w:color w:val="7F7F7F"/>
                <w:szCs w:val="18"/>
                <w:lang w:eastAsia="en-AU"/>
              </w:rPr>
            </w:pPr>
            <w:r w:rsidRPr="00261E0D">
              <w:rPr>
                <w:rFonts w:cs="Arial"/>
                <w:color w:val="7F7F7F"/>
                <w:szCs w:val="18"/>
                <w:lang w:eastAsia="en-AU"/>
              </w:rPr>
              <w:t>75,828</w:t>
            </w:r>
          </w:p>
        </w:tc>
        <w:tc>
          <w:tcPr>
            <w:tcW w:w="851" w:type="dxa"/>
            <w:tcBorders>
              <w:top w:val="nil"/>
              <w:left w:val="nil"/>
              <w:bottom w:val="nil"/>
              <w:right w:val="nil"/>
            </w:tcBorders>
            <w:shd w:val="clear" w:color="auto" w:fill="auto"/>
            <w:noWrap/>
            <w:vAlign w:val="center"/>
            <w:hideMark/>
          </w:tcPr>
          <w:p w:rsidR="00261E0D" w:rsidRPr="00261E0D" w:rsidRDefault="00261E0D" w:rsidP="00261E0D">
            <w:pPr>
              <w:rPr>
                <w:rFonts w:cs="Arial"/>
                <w:color w:val="7F7F7F"/>
                <w:szCs w:val="18"/>
                <w:lang w:eastAsia="en-AU"/>
              </w:rPr>
            </w:pPr>
          </w:p>
        </w:tc>
        <w:tc>
          <w:tcPr>
            <w:tcW w:w="1417" w:type="dxa"/>
            <w:tcBorders>
              <w:top w:val="nil"/>
              <w:left w:val="nil"/>
              <w:bottom w:val="nil"/>
              <w:right w:val="nil"/>
            </w:tcBorders>
            <w:shd w:val="clear" w:color="auto" w:fill="auto"/>
            <w:noWrap/>
            <w:vAlign w:val="center"/>
            <w:hideMark/>
          </w:tcPr>
          <w:p w:rsidR="00261E0D" w:rsidRPr="00261E0D" w:rsidRDefault="00261E0D" w:rsidP="00261E0D">
            <w:pPr>
              <w:jc w:val="right"/>
              <w:rPr>
                <w:rFonts w:cs="Arial"/>
                <w:color w:val="7F7F7F"/>
                <w:szCs w:val="18"/>
                <w:lang w:eastAsia="en-AU"/>
              </w:rPr>
            </w:pPr>
            <w:r w:rsidRPr="00261E0D">
              <w:rPr>
                <w:rFonts w:cs="Arial"/>
                <w:color w:val="7F7F7F"/>
                <w:szCs w:val="18"/>
                <w:lang w:eastAsia="en-AU"/>
              </w:rPr>
              <w:t>39%</w:t>
            </w:r>
          </w:p>
        </w:tc>
      </w:tr>
      <w:tr w:rsidR="00261E0D" w:rsidRPr="00261E0D" w:rsidTr="00261E0D">
        <w:trPr>
          <w:trHeight w:val="300"/>
        </w:trPr>
        <w:tc>
          <w:tcPr>
            <w:tcW w:w="2456" w:type="dxa"/>
            <w:tcBorders>
              <w:top w:val="nil"/>
              <w:left w:val="nil"/>
              <w:bottom w:val="nil"/>
              <w:right w:val="nil"/>
            </w:tcBorders>
            <w:shd w:val="clear" w:color="auto" w:fill="auto"/>
            <w:noWrap/>
            <w:vAlign w:val="center"/>
            <w:hideMark/>
          </w:tcPr>
          <w:p w:rsidR="00261E0D" w:rsidRPr="00261E0D" w:rsidRDefault="00261E0D" w:rsidP="00261E0D">
            <w:pPr>
              <w:rPr>
                <w:rFonts w:cs="Arial"/>
                <w:color w:val="7F7F7F"/>
                <w:szCs w:val="18"/>
                <w:lang w:eastAsia="en-AU"/>
              </w:rPr>
            </w:pPr>
            <w:r w:rsidRPr="00261E0D">
              <w:rPr>
                <w:rFonts w:cs="Arial"/>
                <w:color w:val="7F7F7F"/>
                <w:szCs w:val="18"/>
                <w:lang w:eastAsia="en-AU"/>
              </w:rPr>
              <w:t>Learn Local</w:t>
            </w:r>
          </w:p>
        </w:tc>
        <w:tc>
          <w:tcPr>
            <w:tcW w:w="1812" w:type="dxa"/>
            <w:tcBorders>
              <w:top w:val="nil"/>
              <w:left w:val="nil"/>
              <w:bottom w:val="nil"/>
              <w:right w:val="nil"/>
            </w:tcBorders>
            <w:shd w:val="clear" w:color="auto" w:fill="auto"/>
            <w:noWrap/>
            <w:vAlign w:val="center"/>
            <w:hideMark/>
          </w:tcPr>
          <w:p w:rsidR="00261E0D" w:rsidRPr="00261E0D" w:rsidRDefault="00261E0D" w:rsidP="00261E0D">
            <w:pPr>
              <w:jc w:val="right"/>
              <w:rPr>
                <w:rFonts w:cs="Arial"/>
                <w:color w:val="7F7F7F"/>
                <w:szCs w:val="18"/>
                <w:lang w:eastAsia="en-AU"/>
              </w:rPr>
            </w:pPr>
            <w:r w:rsidRPr="00261E0D">
              <w:rPr>
                <w:rFonts w:cs="Arial"/>
                <w:color w:val="7F7F7F"/>
                <w:szCs w:val="18"/>
                <w:lang w:eastAsia="en-AU"/>
              </w:rPr>
              <w:t>15,314</w:t>
            </w:r>
          </w:p>
        </w:tc>
        <w:tc>
          <w:tcPr>
            <w:tcW w:w="1559" w:type="dxa"/>
            <w:tcBorders>
              <w:top w:val="nil"/>
              <w:left w:val="nil"/>
              <w:bottom w:val="nil"/>
              <w:right w:val="nil"/>
            </w:tcBorders>
            <w:shd w:val="clear" w:color="auto" w:fill="auto"/>
            <w:noWrap/>
            <w:vAlign w:val="center"/>
            <w:hideMark/>
          </w:tcPr>
          <w:p w:rsidR="00261E0D" w:rsidRPr="00261E0D" w:rsidRDefault="00261E0D" w:rsidP="00261E0D">
            <w:pPr>
              <w:jc w:val="right"/>
              <w:rPr>
                <w:rFonts w:cs="Arial"/>
                <w:color w:val="7F7F7F"/>
                <w:szCs w:val="18"/>
                <w:lang w:eastAsia="en-AU"/>
              </w:rPr>
            </w:pPr>
            <w:r w:rsidRPr="00261E0D">
              <w:rPr>
                <w:rFonts w:cs="Arial"/>
                <w:color w:val="7F7F7F"/>
                <w:szCs w:val="18"/>
                <w:lang w:eastAsia="en-AU"/>
              </w:rPr>
              <w:t>17,879</w:t>
            </w:r>
          </w:p>
        </w:tc>
        <w:tc>
          <w:tcPr>
            <w:tcW w:w="851" w:type="dxa"/>
            <w:tcBorders>
              <w:top w:val="nil"/>
              <w:left w:val="nil"/>
              <w:bottom w:val="nil"/>
              <w:right w:val="nil"/>
            </w:tcBorders>
            <w:shd w:val="clear" w:color="auto" w:fill="auto"/>
            <w:noWrap/>
            <w:vAlign w:val="center"/>
            <w:hideMark/>
          </w:tcPr>
          <w:p w:rsidR="00261E0D" w:rsidRPr="00261E0D" w:rsidRDefault="00261E0D" w:rsidP="00261E0D">
            <w:pPr>
              <w:rPr>
                <w:rFonts w:cs="Arial"/>
                <w:color w:val="7F7F7F"/>
                <w:szCs w:val="18"/>
                <w:lang w:eastAsia="en-AU"/>
              </w:rPr>
            </w:pPr>
          </w:p>
        </w:tc>
        <w:tc>
          <w:tcPr>
            <w:tcW w:w="1417" w:type="dxa"/>
            <w:tcBorders>
              <w:top w:val="nil"/>
              <w:left w:val="nil"/>
              <w:bottom w:val="nil"/>
              <w:right w:val="nil"/>
            </w:tcBorders>
            <w:shd w:val="clear" w:color="auto" w:fill="auto"/>
            <w:noWrap/>
            <w:vAlign w:val="center"/>
            <w:hideMark/>
          </w:tcPr>
          <w:p w:rsidR="00261E0D" w:rsidRPr="00261E0D" w:rsidRDefault="00261E0D" w:rsidP="00261E0D">
            <w:pPr>
              <w:jc w:val="right"/>
              <w:rPr>
                <w:rFonts w:cs="Arial"/>
                <w:color w:val="7F7F7F"/>
                <w:szCs w:val="18"/>
                <w:lang w:eastAsia="en-AU"/>
              </w:rPr>
            </w:pPr>
            <w:r w:rsidRPr="00261E0D">
              <w:rPr>
                <w:rFonts w:cs="Arial"/>
                <w:color w:val="7F7F7F"/>
                <w:szCs w:val="18"/>
                <w:lang w:eastAsia="en-AU"/>
              </w:rPr>
              <w:t>17%</w:t>
            </w:r>
          </w:p>
        </w:tc>
      </w:tr>
      <w:tr w:rsidR="00261E0D" w:rsidRPr="00261E0D" w:rsidTr="00261E0D">
        <w:trPr>
          <w:trHeight w:val="300"/>
        </w:trPr>
        <w:tc>
          <w:tcPr>
            <w:tcW w:w="2456" w:type="dxa"/>
            <w:tcBorders>
              <w:top w:val="nil"/>
              <w:left w:val="nil"/>
              <w:bottom w:val="nil"/>
              <w:right w:val="nil"/>
            </w:tcBorders>
            <w:shd w:val="clear" w:color="auto" w:fill="auto"/>
            <w:noWrap/>
            <w:vAlign w:val="center"/>
            <w:hideMark/>
          </w:tcPr>
          <w:p w:rsidR="00261E0D" w:rsidRPr="00261E0D" w:rsidRDefault="00261E0D" w:rsidP="00261E0D">
            <w:pPr>
              <w:rPr>
                <w:rFonts w:cs="Arial"/>
                <w:b/>
                <w:bCs/>
                <w:color w:val="7F7F7F"/>
                <w:szCs w:val="18"/>
                <w:lang w:eastAsia="en-AU"/>
              </w:rPr>
            </w:pPr>
            <w:r w:rsidRPr="00261E0D">
              <w:rPr>
                <w:rFonts w:cs="Arial"/>
                <w:b/>
                <w:bCs/>
                <w:color w:val="7F7F7F"/>
                <w:szCs w:val="18"/>
                <w:lang w:eastAsia="en-AU"/>
              </w:rPr>
              <w:t>TAFE and University</w:t>
            </w:r>
          </w:p>
        </w:tc>
        <w:tc>
          <w:tcPr>
            <w:tcW w:w="1812" w:type="dxa"/>
            <w:tcBorders>
              <w:top w:val="nil"/>
              <w:left w:val="nil"/>
              <w:bottom w:val="nil"/>
              <w:right w:val="nil"/>
            </w:tcBorders>
            <w:shd w:val="clear" w:color="auto" w:fill="auto"/>
            <w:noWrap/>
            <w:vAlign w:val="center"/>
            <w:hideMark/>
          </w:tcPr>
          <w:p w:rsidR="00261E0D" w:rsidRPr="00261E0D" w:rsidRDefault="00261E0D" w:rsidP="00261E0D">
            <w:pPr>
              <w:rPr>
                <w:rFonts w:cs="Arial"/>
                <w:color w:val="7F7F7F"/>
                <w:szCs w:val="18"/>
                <w:lang w:eastAsia="en-AU"/>
              </w:rPr>
            </w:pPr>
          </w:p>
        </w:tc>
        <w:tc>
          <w:tcPr>
            <w:tcW w:w="1559" w:type="dxa"/>
            <w:tcBorders>
              <w:top w:val="nil"/>
              <w:left w:val="nil"/>
              <w:bottom w:val="nil"/>
              <w:right w:val="nil"/>
            </w:tcBorders>
            <w:shd w:val="clear" w:color="auto" w:fill="auto"/>
            <w:noWrap/>
            <w:vAlign w:val="center"/>
            <w:hideMark/>
          </w:tcPr>
          <w:p w:rsidR="00261E0D" w:rsidRPr="00261E0D" w:rsidRDefault="00261E0D" w:rsidP="00261E0D">
            <w:pPr>
              <w:rPr>
                <w:rFonts w:cs="Arial"/>
                <w:color w:val="7F7F7F"/>
                <w:szCs w:val="18"/>
                <w:lang w:eastAsia="en-AU"/>
              </w:rPr>
            </w:pPr>
          </w:p>
        </w:tc>
        <w:tc>
          <w:tcPr>
            <w:tcW w:w="851" w:type="dxa"/>
            <w:tcBorders>
              <w:top w:val="nil"/>
              <w:left w:val="nil"/>
              <w:bottom w:val="nil"/>
              <w:right w:val="nil"/>
            </w:tcBorders>
            <w:shd w:val="clear" w:color="auto" w:fill="auto"/>
            <w:noWrap/>
            <w:vAlign w:val="center"/>
            <w:hideMark/>
          </w:tcPr>
          <w:p w:rsidR="00261E0D" w:rsidRPr="00261E0D" w:rsidRDefault="00261E0D" w:rsidP="00261E0D">
            <w:pPr>
              <w:rPr>
                <w:rFonts w:cs="Arial"/>
                <w:color w:val="7F7F7F"/>
                <w:szCs w:val="18"/>
                <w:lang w:eastAsia="en-AU"/>
              </w:rPr>
            </w:pPr>
          </w:p>
        </w:tc>
        <w:tc>
          <w:tcPr>
            <w:tcW w:w="1417" w:type="dxa"/>
            <w:tcBorders>
              <w:top w:val="nil"/>
              <w:left w:val="nil"/>
              <w:bottom w:val="nil"/>
              <w:right w:val="nil"/>
            </w:tcBorders>
            <w:shd w:val="clear" w:color="auto" w:fill="auto"/>
            <w:noWrap/>
            <w:vAlign w:val="center"/>
            <w:hideMark/>
          </w:tcPr>
          <w:p w:rsidR="00261E0D" w:rsidRPr="00261E0D" w:rsidRDefault="00261E0D" w:rsidP="00261E0D">
            <w:pPr>
              <w:rPr>
                <w:rFonts w:cs="Arial"/>
                <w:color w:val="7F7F7F"/>
                <w:szCs w:val="18"/>
                <w:lang w:eastAsia="en-AU"/>
              </w:rPr>
            </w:pPr>
          </w:p>
        </w:tc>
      </w:tr>
      <w:tr w:rsidR="00261E0D" w:rsidRPr="00261E0D" w:rsidTr="00261E0D">
        <w:trPr>
          <w:trHeight w:val="300"/>
        </w:trPr>
        <w:tc>
          <w:tcPr>
            <w:tcW w:w="2456" w:type="dxa"/>
            <w:tcBorders>
              <w:top w:val="nil"/>
              <w:left w:val="nil"/>
              <w:bottom w:val="nil"/>
              <w:right w:val="nil"/>
            </w:tcBorders>
            <w:shd w:val="clear" w:color="auto" w:fill="auto"/>
            <w:noWrap/>
            <w:vAlign w:val="center"/>
            <w:hideMark/>
          </w:tcPr>
          <w:p w:rsidR="00261E0D" w:rsidRPr="00261E0D" w:rsidRDefault="00261E0D" w:rsidP="00261E0D">
            <w:pPr>
              <w:ind w:firstLineChars="200" w:firstLine="360"/>
              <w:rPr>
                <w:rFonts w:cs="Arial"/>
                <w:color w:val="7F7F7F"/>
                <w:szCs w:val="18"/>
                <w:lang w:eastAsia="en-AU"/>
              </w:rPr>
            </w:pPr>
            <w:r w:rsidRPr="00261E0D">
              <w:rPr>
                <w:rFonts w:cs="Arial"/>
                <w:color w:val="7F7F7F"/>
                <w:szCs w:val="18"/>
                <w:lang w:eastAsia="en-AU"/>
              </w:rPr>
              <w:t>TAFE</w:t>
            </w:r>
          </w:p>
        </w:tc>
        <w:tc>
          <w:tcPr>
            <w:tcW w:w="1812" w:type="dxa"/>
            <w:tcBorders>
              <w:top w:val="nil"/>
              <w:left w:val="nil"/>
              <w:bottom w:val="nil"/>
              <w:right w:val="nil"/>
            </w:tcBorders>
            <w:shd w:val="clear" w:color="auto" w:fill="auto"/>
            <w:noWrap/>
            <w:vAlign w:val="center"/>
            <w:hideMark/>
          </w:tcPr>
          <w:p w:rsidR="00261E0D" w:rsidRPr="00261E0D" w:rsidRDefault="00261E0D" w:rsidP="00261E0D">
            <w:pPr>
              <w:jc w:val="right"/>
              <w:rPr>
                <w:rFonts w:cs="Arial"/>
                <w:color w:val="7F7F7F"/>
                <w:szCs w:val="18"/>
                <w:lang w:eastAsia="en-AU"/>
              </w:rPr>
            </w:pPr>
            <w:r w:rsidRPr="00261E0D">
              <w:rPr>
                <w:rFonts w:cs="Arial"/>
                <w:color w:val="7F7F7F"/>
                <w:szCs w:val="18"/>
                <w:lang w:eastAsia="en-AU"/>
              </w:rPr>
              <w:t>73,343</w:t>
            </w:r>
          </w:p>
        </w:tc>
        <w:tc>
          <w:tcPr>
            <w:tcW w:w="1559" w:type="dxa"/>
            <w:tcBorders>
              <w:top w:val="nil"/>
              <w:left w:val="nil"/>
              <w:bottom w:val="nil"/>
              <w:right w:val="nil"/>
            </w:tcBorders>
            <w:shd w:val="clear" w:color="auto" w:fill="auto"/>
            <w:noWrap/>
            <w:vAlign w:val="center"/>
            <w:hideMark/>
          </w:tcPr>
          <w:p w:rsidR="00261E0D" w:rsidRPr="00261E0D" w:rsidRDefault="00261E0D" w:rsidP="00261E0D">
            <w:pPr>
              <w:jc w:val="right"/>
              <w:rPr>
                <w:rFonts w:cs="Arial"/>
                <w:color w:val="7F7F7F"/>
                <w:szCs w:val="18"/>
                <w:lang w:eastAsia="en-AU"/>
              </w:rPr>
            </w:pPr>
            <w:r w:rsidRPr="00261E0D">
              <w:rPr>
                <w:rFonts w:cs="Arial"/>
                <w:color w:val="7F7F7F"/>
                <w:szCs w:val="18"/>
                <w:lang w:eastAsia="en-AU"/>
              </w:rPr>
              <w:t>64,514</w:t>
            </w:r>
          </w:p>
        </w:tc>
        <w:tc>
          <w:tcPr>
            <w:tcW w:w="851" w:type="dxa"/>
            <w:tcBorders>
              <w:top w:val="nil"/>
              <w:left w:val="nil"/>
              <w:bottom w:val="nil"/>
              <w:right w:val="nil"/>
            </w:tcBorders>
            <w:shd w:val="clear" w:color="auto" w:fill="auto"/>
            <w:noWrap/>
            <w:vAlign w:val="center"/>
            <w:hideMark/>
          </w:tcPr>
          <w:p w:rsidR="00261E0D" w:rsidRPr="00261E0D" w:rsidRDefault="00261E0D" w:rsidP="00261E0D">
            <w:pPr>
              <w:rPr>
                <w:rFonts w:cs="Arial"/>
                <w:color w:val="7F7F7F"/>
                <w:szCs w:val="18"/>
                <w:lang w:eastAsia="en-AU"/>
              </w:rPr>
            </w:pPr>
          </w:p>
        </w:tc>
        <w:tc>
          <w:tcPr>
            <w:tcW w:w="1417" w:type="dxa"/>
            <w:tcBorders>
              <w:top w:val="nil"/>
              <w:left w:val="nil"/>
              <w:bottom w:val="nil"/>
              <w:right w:val="nil"/>
            </w:tcBorders>
            <w:shd w:val="clear" w:color="auto" w:fill="auto"/>
            <w:noWrap/>
            <w:vAlign w:val="center"/>
            <w:hideMark/>
          </w:tcPr>
          <w:p w:rsidR="00261E0D" w:rsidRPr="00261E0D" w:rsidRDefault="00261E0D" w:rsidP="00261E0D">
            <w:pPr>
              <w:jc w:val="right"/>
              <w:rPr>
                <w:rFonts w:cs="Arial"/>
                <w:color w:val="7F7F7F"/>
                <w:szCs w:val="18"/>
                <w:lang w:eastAsia="en-AU"/>
              </w:rPr>
            </w:pPr>
            <w:r w:rsidRPr="00261E0D">
              <w:rPr>
                <w:rFonts w:cs="Arial"/>
                <w:color w:val="7F7F7F"/>
                <w:szCs w:val="18"/>
                <w:lang w:eastAsia="en-AU"/>
              </w:rPr>
              <w:t>-12%</w:t>
            </w:r>
          </w:p>
        </w:tc>
      </w:tr>
      <w:tr w:rsidR="00261E0D" w:rsidRPr="00261E0D" w:rsidTr="00261E0D">
        <w:trPr>
          <w:trHeight w:val="300"/>
        </w:trPr>
        <w:tc>
          <w:tcPr>
            <w:tcW w:w="2456" w:type="dxa"/>
            <w:tcBorders>
              <w:top w:val="nil"/>
              <w:left w:val="nil"/>
              <w:bottom w:val="nil"/>
              <w:right w:val="nil"/>
            </w:tcBorders>
            <w:shd w:val="clear" w:color="auto" w:fill="auto"/>
            <w:noWrap/>
            <w:vAlign w:val="center"/>
            <w:hideMark/>
          </w:tcPr>
          <w:p w:rsidR="00261E0D" w:rsidRPr="00261E0D" w:rsidRDefault="00261E0D" w:rsidP="00261E0D">
            <w:pPr>
              <w:ind w:firstLineChars="200" w:firstLine="360"/>
              <w:rPr>
                <w:rFonts w:cs="Arial"/>
                <w:color w:val="7F7F7F"/>
                <w:szCs w:val="18"/>
                <w:lang w:eastAsia="en-AU"/>
              </w:rPr>
            </w:pPr>
            <w:r w:rsidRPr="00261E0D">
              <w:rPr>
                <w:rFonts w:cs="Arial"/>
                <w:color w:val="7F7F7F"/>
                <w:szCs w:val="18"/>
                <w:lang w:eastAsia="en-AU"/>
              </w:rPr>
              <w:t>University</w:t>
            </w:r>
          </w:p>
        </w:tc>
        <w:tc>
          <w:tcPr>
            <w:tcW w:w="1812" w:type="dxa"/>
            <w:tcBorders>
              <w:top w:val="nil"/>
              <w:left w:val="nil"/>
              <w:bottom w:val="nil"/>
              <w:right w:val="nil"/>
            </w:tcBorders>
            <w:shd w:val="clear" w:color="auto" w:fill="auto"/>
            <w:noWrap/>
            <w:vAlign w:val="center"/>
            <w:hideMark/>
          </w:tcPr>
          <w:p w:rsidR="00261E0D" w:rsidRPr="00261E0D" w:rsidRDefault="00261E0D" w:rsidP="00261E0D">
            <w:pPr>
              <w:jc w:val="right"/>
              <w:rPr>
                <w:rFonts w:cs="Arial"/>
                <w:color w:val="7F7F7F"/>
                <w:szCs w:val="18"/>
                <w:lang w:eastAsia="en-AU"/>
              </w:rPr>
            </w:pPr>
            <w:r w:rsidRPr="00261E0D">
              <w:rPr>
                <w:rFonts w:cs="Arial"/>
                <w:color w:val="7F7F7F"/>
                <w:szCs w:val="18"/>
                <w:lang w:eastAsia="en-AU"/>
              </w:rPr>
              <w:t>12,479</w:t>
            </w:r>
          </w:p>
        </w:tc>
        <w:tc>
          <w:tcPr>
            <w:tcW w:w="1559" w:type="dxa"/>
            <w:tcBorders>
              <w:top w:val="nil"/>
              <w:left w:val="nil"/>
              <w:bottom w:val="nil"/>
              <w:right w:val="nil"/>
            </w:tcBorders>
            <w:shd w:val="clear" w:color="auto" w:fill="auto"/>
            <w:noWrap/>
            <w:vAlign w:val="center"/>
            <w:hideMark/>
          </w:tcPr>
          <w:p w:rsidR="00261E0D" w:rsidRPr="00261E0D" w:rsidRDefault="00261E0D" w:rsidP="00261E0D">
            <w:pPr>
              <w:jc w:val="right"/>
              <w:rPr>
                <w:rFonts w:cs="Arial"/>
                <w:color w:val="7F7F7F"/>
                <w:szCs w:val="18"/>
                <w:lang w:eastAsia="en-AU"/>
              </w:rPr>
            </w:pPr>
            <w:r w:rsidRPr="00261E0D">
              <w:rPr>
                <w:rFonts w:cs="Arial"/>
                <w:color w:val="7F7F7F"/>
                <w:szCs w:val="18"/>
                <w:lang w:eastAsia="en-AU"/>
              </w:rPr>
              <w:t>15,289</w:t>
            </w:r>
          </w:p>
        </w:tc>
        <w:tc>
          <w:tcPr>
            <w:tcW w:w="851" w:type="dxa"/>
            <w:tcBorders>
              <w:top w:val="nil"/>
              <w:left w:val="nil"/>
              <w:bottom w:val="nil"/>
              <w:right w:val="nil"/>
            </w:tcBorders>
            <w:shd w:val="clear" w:color="auto" w:fill="auto"/>
            <w:noWrap/>
            <w:vAlign w:val="center"/>
            <w:hideMark/>
          </w:tcPr>
          <w:p w:rsidR="00261E0D" w:rsidRPr="00261E0D" w:rsidRDefault="00261E0D" w:rsidP="00261E0D">
            <w:pPr>
              <w:rPr>
                <w:rFonts w:cs="Arial"/>
                <w:color w:val="7F7F7F"/>
                <w:szCs w:val="18"/>
                <w:lang w:eastAsia="en-AU"/>
              </w:rPr>
            </w:pPr>
          </w:p>
        </w:tc>
        <w:tc>
          <w:tcPr>
            <w:tcW w:w="1417" w:type="dxa"/>
            <w:tcBorders>
              <w:top w:val="nil"/>
              <w:left w:val="nil"/>
              <w:bottom w:val="nil"/>
              <w:right w:val="nil"/>
            </w:tcBorders>
            <w:shd w:val="clear" w:color="auto" w:fill="auto"/>
            <w:noWrap/>
            <w:vAlign w:val="center"/>
            <w:hideMark/>
          </w:tcPr>
          <w:p w:rsidR="00261E0D" w:rsidRPr="00261E0D" w:rsidRDefault="00261E0D" w:rsidP="00261E0D">
            <w:pPr>
              <w:jc w:val="right"/>
              <w:rPr>
                <w:rFonts w:cs="Arial"/>
                <w:color w:val="7F7F7F"/>
                <w:szCs w:val="18"/>
                <w:lang w:eastAsia="en-AU"/>
              </w:rPr>
            </w:pPr>
            <w:r w:rsidRPr="00261E0D">
              <w:rPr>
                <w:rFonts w:cs="Arial"/>
                <w:color w:val="7F7F7F"/>
                <w:szCs w:val="18"/>
                <w:lang w:eastAsia="en-AU"/>
              </w:rPr>
              <w:t>23%</w:t>
            </w:r>
          </w:p>
        </w:tc>
      </w:tr>
      <w:tr w:rsidR="00261E0D" w:rsidRPr="00261E0D" w:rsidTr="00261E0D">
        <w:trPr>
          <w:trHeight w:val="300"/>
        </w:trPr>
        <w:tc>
          <w:tcPr>
            <w:tcW w:w="2456" w:type="dxa"/>
            <w:tcBorders>
              <w:top w:val="nil"/>
              <w:left w:val="nil"/>
              <w:bottom w:val="nil"/>
              <w:right w:val="nil"/>
            </w:tcBorders>
            <w:shd w:val="clear" w:color="000000" w:fill="7F7F7F"/>
            <w:noWrap/>
            <w:vAlign w:val="center"/>
            <w:hideMark/>
          </w:tcPr>
          <w:p w:rsidR="00261E0D" w:rsidRPr="00261E0D" w:rsidRDefault="00261E0D" w:rsidP="00261E0D">
            <w:pPr>
              <w:rPr>
                <w:rFonts w:cs="Arial"/>
                <w:b/>
                <w:bCs/>
                <w:color w:val="FFFFFF"/>
                <w:szCs w:val="18"/>
                <w:lang w:eastAsia="en-AU"/>
              </w:rPr>
            </w:pPr>
            <w:r w:rsidRPr="00261E0D">
              <w:rPr>
                <w:rFonts w:cs="Arial"/>
                <w:b/>
                <w:bCs/>
                <w:color w:val="FFFFFF"/>
                <w:szCs w:val="18"/>
                <w:lang w:eastAsia="en-AU"/>
              </w:rPr>
              <w:t>Total</w:t>
            </w:r>
          </w:p>
        </w:tc>
        <w:tc>
          <w:tcPr>
            <w:tcW w:w="1812" w:type="dxa"/>
            <w:tcBorders>
              <w:top w:val="nil"/>
              <w:left w:val="nil"/>
              <w:bottom w:val="nil"/>
              <w:right w:val="nil"/>
            </w:tcBorders>
            <w:shd w:val="clear" w:color="000000" w:fill="7F7F7F"/>
            <w:noWrap/>
            <w:vAlign w:val="center"/>
            <w:hideMark/>
          </w:tcPr>
          <w:p w:rsidR="00261E0D" w:rsidRPr="00261E0D" w:rsidRDefault="00261E0D" w:rsidP="00261E0D">
            <w:pPr>
              <w:jc w:val="right"/>
              <w:rPr>
                <w:rFonts w:cs="Arial"/>
                <w:b/>
                <w:bCs/>
                <w:color w:val="FFFFFF"/>
                <w:szCs w:val="18"/>
                <w:lang w:eastAsia="en-AU"/>
              </w:rPr>
            </w:pPr>
            <w:r w:rsidRPr="00261E0D">
              <w:rPr>
                <w:rFonts w:cs="Arial"/>
                <w:b/>
                <w:bCs/>
                <w:color w:val="FFFFFF"/>
                <w:szCs w:val="18"/>
                <w:lang w:eastAsia="en-AU"/>
              </w:rPr>
              <w:t>155,790</w:t>
            </w:r>
          </w:p>
        </w:tc>
        <w:tc>
          <w:tcPr>
            <w:tcW w:w="1559" w:type="dxa"/>
            <w:tcBorders>
              <w:top w:val="nil"/>
              <w:left w:val="nil"/>
              <w:bottom w:val="nil"/>
              <w:right w:val="nil"/>
            </w:tcBorders>
            <w:shd w:val="clear" w:color="000000" w:fill="7F7F7F"/>
            <w:noWrap/>
            <w:vAlign w:val="center"/>
            <w:hideMark/>
          </w:tcPr>
          <w:p w:rsidR="00261E0D" w:rsidRPr="00261E0D" w:rsidRDefault="00261E0D" w:rsidP="00261E0D">
            <w:pPr>
              <w:jc w:val="right"/>
              <w:rPr>
                <w:rFonts w:cs="Arial"/>
                <w:b/>
                <w:bCs/>
                <w:color w:val="FFFFFF"/>
                <w:szCs w:val="18"/>
                <w:lang w:eastAsia="en-AU"/>
              </w:rPr>
            </w:pPr>
            <w:r w:rsidRPr="00261E0D">
              <w:rPr>
                <w:rFonts w:cs="Arial"/>
                <w:b/>
                <w:bCs/>
                <w:color w:val="FFFFFF"/>
                <w:szCs w:val="18"/>
                <w:lang w:eastAsia="en-AU"/>
              </w:rPr>
              <w:t>173,510</w:t>
            </w:r>
          </w:p>
        </w:tc>
        <w:tc>
          <w:tcPr>
            <w:tcW w:w="851" w:type="dxa"/>
            <w:tcBorders>
              <w:top w:val="nil"/>
              <w:left w:val="nil"/>
              <w:bottom w:val="nil"/>
              <w:right w:val="nil"/>
            </w:tcBorders>
            <w:shd w:val="clear" w:color="000000" w:fill="7F7F7F"/>
            <w:noWrap/>
            <w:vAlign w:val="center"/>
            <w:hideMark/>
          </w:tcPr>
          <w:p w:rsidR="00261E0D" w:rsidRPr="00261E0D" w:rsidRDefault="00261E0D" w:rsidP="00261E0D">
            <w:pPr>
              <w:rPr>
                <w:rFonts w:cs="Arial"/>
                <w:b/>
                <w:bCs/>
                <w:color w:val="FFFFFF"/>
                <w:szCs w:val="18"/>
                <w:lang w:eastAsia="en-AU"/>
              </w:rPr>
            </w:pPr>
            <w:r w:rsidRPr="00261E0D">
              <w:rPr>
                <w:rFonts w:cs="Arial"/>
                <w:b/>
                <w:bCs/>
                <w:color w:val="FFFFFF"/>
                <w:szCs w:val="18"/>
                <w:lang w:eastAsia="en-AU"/>
              </w:rPr>
              <w:t> </w:t>
            </w:r>
          </w:p>
        </w:tc>
        <w:tc>
          <w:tcPr>
            <w:tcW w:w="1417" w:type="dxa"/>
            <w:tcBorders>
              <w:top w:val="nil"/>
              <w:left w:val="nil"/>
              <w:bottom w:val="nil"/>
              <w:right w:val="nil"/>
            </w:tcBorders>
            <w:shd w:val="clear" w:color="000000" w:fill="7F7F7F"/>
            <w:noWrap/>
            <w:vAlign w:val="center"/>
            <w:hideMark/>
          </w:tcPr>
          <w:p w:rsidR="00261E0D" w:rsidRPr="00261E0D" w:rsidRDefault="00261E0D" w:rsidP="00261E0D">
            <w:pPr>
              <w:jc w:val="right"/>
              <w:rPr>
                <w:rFonts w:cs="Arial"/>
                <w:b/>
                <w:bCs/>
                <w:color w:val="FFFFFF"/>
                <w:szCs w:val="18"/>
                <w:lang w:eastAsia="en-AU"/>
              </w:rPr>
            </w:pPr>
            <w:r w:rsidRPr="00261E0D">
              <w:rPr>
                <w:rFonts w:cs="Arial"/>
                <w:b/>
                <w:bCs/>
                <w:color w:val="FFFFFF"/>
                <w:szCs w:val="18"/>
                <w:lang w:eastAsia="en-AU"/>
              </w:rPr>
              <w:t>11%</w:t>
            </w:r>
          </w:p>
        </w:tc>
      </w:tr>
    </w:tbl>
    <w:p w:rsidR="002C12FD" w:rsidRDefault="002C12FD" w:rsidP="00151889">
      <w:pPr>
        <w:pStyle w:val="Quote"/>
        <w:rPr>
          <w:b w:val="0"/>
          <w:sz w:val="18"/>
          <w:szCs w:val="18"/>
        </w:rPr>
      </w:pPr>
    </w:p>
    <w:p w:rsidR="00261E0D" w:rsidRDefault="00261E0D" w:rsidP="00151889">
      <w:pPr>
        <w:pStyle w:val="Quote"/>
        <w:rPr>
          <w:b w:val="0"/>
          <w:sz w:val="18"/>
          <w:szCs w:val="18"/>
        </w:rPr>
      </w:pP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261E0D" w:rsidTr="009822B8">
        <w:tc>
          <w:tcPr>
            <w:tcW w:w="1134" w:type="dxa"/>
            <w:tcMar>
              <w:left w:w="0" w:type="dxa"/>
              <w:right w:w="0" w:type="dxa"/>
            </w:tcMar>
          </w:tcPr>
          <w:p w:rsidR="00261E0D" w:rsidRDefault="00261E0D" w:rsidP="00C33510">
            <w:pPr>
              <w:pStyle w:val="Quote"/>
              <w:tabs>
                <w:tab w:val="left" w:pos="1134"/>
              </w:tabs>
              <w:rPr>
                <w:b w:val="0"/>
                <w:color w:val="B41F22" w:themeColor="accent1"/>
              </w:rPr>
            </w:pPr>
            <w:r>
              <w:rPr>
                <w:b w:val="0"/>
                <w:color w:val="B41F22" w:themeColor="accent1"/>
              </w:rPr>
              <w:t>Table 1.1</w:t>
            </w:r>
            <w:r w:rsidR="0084117E">
              <w:rPr>
                <w:b w:val="0"/>
                <w:color w:val="B41F22" w:themeColor="accent1"/>
              </w:rPr>
              <w:t>6</w:t>
            </w:r>
            <w:r>
              <w:rPr>
                <w:b w:val="0"/>
                <w:color w:val="B41F22" w:themeColor="accent1"/>
              </w:rPr>
              <w:t>.2:</w:t>
            </w:r>
          </w:p>
        </w:tc>
        <w:tc>
          <w:tcPr>
            <w:tcW w:w="6946" w:type="dxa"/>
            <w:tcMar>
              <w:left w:w="0" w:type="dxa"/>
              <w:right w:w="0" w:type="dxa"/>
            </w:tcMar>
          </w:tcPr>
          <w:p w:rsidR="00261E0D" w:rsidRDefault="00261E0D" w:rsidP="009822B8">
            <w:pPr>
              <w:pStyle w:val="Quote"/>
              <w:tabs>
                <w:tab w:val="left" w:pos="1134"/>
              </w:tabs>
              <w:rPr>
                <w:b w:val="0"/>
                <w:color w:val="B41F22" w:themeColor="accent1"/>
              </w:rPr>
            </w:pPr>
            <w:r w:rsidRPr="00261E0D">
              <w:rPr>
                <w:b w:val="0"/>
                <w:color w:val="B41F22" w:themeColor="accent1"/>
              </w:rPr>
              <w:t>Percentage share of fee-for-service domestic enrolments for each year by sector, 2014 to 2015 (half year)</w:t>
            </w:r>
          </w:p>
        </w:tc>
      </w:tr>
    </w:tbl>
    <w:tbl>
      <w:tblPr>
        <w:tblW w:w="5827" w:type="dxa"/>
        <w:tblInd w:w="93" w:type="dxa"/>
        <w:tblLook w:val="04A0" w:firstRow="1" w:lastRow="0" w:firstColumn="1" w:lastColumn="0" w:noHBand="0" w:noVBand="1"/>
      </w:tblPr>
      <w:tblGrid>
        <w:gridCol w:w="2180"/>
        <w:gridCol w:w="2088"/>
        <w:gridCol w:w="1559"/>
      </w:tblGrid>
      <w:tr w:rsidR="00261E0D" w:rsidRPr="00261E0D" w:rsidTr="00261E0D">
        <w:trPr>
          <w:trHeight w:val="300"/>
        </w:trPr>
        <w:tc>
          <w:tcPr>
            <w:tcW w:w="2180" w:type="dxa"/>
            <w:tcBorders>
              <w:top w:val="nil"/>
              <w:left w:val="nil"/>
              <w:bottom w:val="nil"/>
              <w:right w:val="nil"/>
            </w:tcBorders>
            <w:shd w:val="clear" w:color="000000" w:fill="7F7F7F"/>
            <w:noWrap/>
            <w:vAlign w:val="center"/>
            <w:hideMark/>
          </w:tcPr>
          <w:p w:rsidR="00261E0D" w:rsidRPr="00261E0D" w:rsidRDefault="00261E0D" w:rsidP="00261E0D">
            <w:pPr>
              <w:rPr>
                <w:rFonts w:cs="Arial"/>
                <w:color w:val="FFFFFF"/>
                <w:szCs w:val="18"/>
                <w:lang w:eastAsia="en-AU"/>
              </w:rPr>
            </w:pPr>
            <w:r w:rsidRPr="00261E0D">
              <w:rPr>
                <w:rFonts w:cs="Arial"/>
                <w:color w:val="FFFFFF"/>
                <w:szCs w:val="18"/>
                <w:lang w:eastAsia="en-AU"/>
              </w:rPr>
              <w:t> </w:t>
            </w:r>
          </w:p>
        </w:tc>
        <w:tc>
          <w:tcPr>
            <w:tcW w:w="2088" w:type="dxa"/>
            <w:tcBorders>
              <w:top w:val="nil"/>
              <w:left w:val="nil"/>
              <w:bottom w:val="nil"/>
              <w:right w:val="nil"/>
            </w:tcBorders>
            <w:shd w:val="clear" w:color="000000" w:fill="7F7F7F"/>
            <w:vAlign w:val="center"/>
            <w:hideMark/>
          </w:tcPr>
          <w:p w:rsidR="00261E0D" w:rsidRPr="00261E0D" w:rsidRDefault="00261E0D" w:rsidP="00261E0D">
            <w:pPr>
              <w:jc w:val="right"/>
              <w:rPr>
                <w:rFonts w:cs="Arial"/>
                <w:b/>
                <w:bCs/>
                <w:color w:val="FFFFFF"/>
                <w:szCs w:val="18"/>
                <w:lang w:eastAsia="en-AU"/>
              </w:rPr>
            </w:pPr>
            <w:r w:rsidRPr="00261E0D">
              <w:rPr>
                <w:rFonts w:cs="Arial"/>
                <w:b/>
                <w:bCs/>
                <w:color w:val="FFFFFF"/>
                <w:szCs w:val="18"/>
                <w:lang w:eastAsia="en-AU"/>
              </w:rPr>
              <w:t>2014</w:t>
            </w:r>
          </w:p>
        </w:tc>
        <w:tc>
          <w:tcPr>
            <w:tcW w:w="1559" w:type="dxa"/>
            <w:tcBorders>
              <w:top w:val="nil"/>
              <w:left w:val="nil"/>
              <w:bottom w:val="nil"/>
              <w:right w:val="nil"/>
            </w:tcBorders>
            <w:shd w:val="clear" w:color="000000" w:fill="7F7F7F"/>
            <w:vAlign w:val="center"/>
            <w:hideMark/>
          </w:tcPr>
          <w:p w:rsidR="00261E0D" w:rsidRPr="00261E0D" w:rsidRDefault="00261E0D" w:rsidP="00261E0D">
            <w:pPr>
              <w:jc w:val="right"/>
              <w:rPr>
                <w:rFonts w:cs="Arial"/>
                <w:b/>
                <w:bCs/>
                <w:color w:val="FFFFFF"/>
                <w:szCs w:val="18"/>
                <w:lang w:eastAsia="en-AU"/>
              </w:rPr>
            </w:pPr>
            <w:r w:rsidRPr="00261E0D">
              <w:rPr>
                <w:rFonts w:cs="Arial"/>
                <w:b/>
                <w:bCs/>
                <w:color w:val="FFFFFF"/>
                <w:szCs w:val="18"/>
                <w:lang w:eastAsia="en-AU"/>
              </w:rPr>
              <w:t>2015</w:t>
            </w:r>
          </w:p>
        </w:tc>
      </w:tr>
      <w:tr w:rsidR="00261E0D" w:rsidRPr="00261E0D" w:rsidTr="00261E0D">
        <w:trPr>
          <w:trHeight w:val="300"/>
        </w:trPr>
        <w:tc>
          <w:tcPr>
            <w:tcW w:w="2180" w:type="dxa"/>
            <w:tcBorders>
              <w:top w:val="nil"/>
              <w:left w:val="nil"/>
              <w:bottom w:val="nil"/>
              <w:right w:val="nil"/>
            </w:tcBorders>
            <w:shd w:val="clear" w:color="auto" w:fill="auto"/>
            <w:noWrap/>
            <w:vAlign w:val="center"/>
            <w:hideMark/>
          </w:tcPr>
          <w:p w:rsidR="00261E0D" w:rsidRPr="00261E0D" w:rsidRDefault="00261E0D" w:rsidP="00261E0D">
            <w:pPr>
              <w:rPr>
                <w:rFonts w:cs="Arial"/>
                <w:color w:val="7F7F7F"/>
                <w:szCs w:val="18"/>
                <w:lang w:eastAsia="en-AU"/>
              </w:rPr>
            </w:pPr>
            <w:r w:rsidRPr="00261E0D">
              <w:rPr>
                <w:rFonts w:cs="Arial"/>
                <w:color w:val="7F7F7F"/>
                <w:szCs w:val="18"/>
                <w:lang w:eastAsia="en-AU"/>
              </w:rPr>
              <w:t>Private RTO</w:t>
            </w:r>
          </w:p>
        </w:tc>
        <w:tc>
          <w:tcPr>
            <w:tcW w:w="2088" w:type="dxa"/>
            <w:tcBorders>
              <w:top w:val="nil"/>
              <w:left w:val="nil"/>
              <w:bottom w:val="nil"/>
              <w:right w:val="nil"/>
            </w:tcBorders>
            <w:shd w:val="clear" w:color="auto" w:fill="auto"/>
            <w:noWrap/>
            <w:vAlign w:val="center"/>
            <w:hideMark/>
          </w:tcPr>
          <w:p w:rsidR="00261E0D" w:rsidRPr="00261E0D" w:rsidRDefault="00261E0D" w:rsidP="00261E0D">
            <w:pPr>
              <w:jc w:val="right"/>
              <w:rPr>
                <w:rFonts w:cs="Arial"/>
                <w:color w:val="7F7F7F"/>
                <w:szCs w:val="18"/>
                <w:lang w:eastAsia="en-AU"/>
              </w:rPr>
            </w:pPr>
            <w:r w:rsidRPr="00261E0D">
              <w:rPr>
                <w:rFonts w:cs="Arial"/>
                <w:color w:val="7F7F7F"/>
                <w:szCs w:val="18"/>
                <w:lang w:eastAsia="en-AU"/>
              </w:rPr>
              <w:t>35%</w:t>
            </w:r>
          </w:p>
        </w:tc>
        <w:tc>
          <w:tcPr>
            <w:tcW w:w="1559" w:type="dxa"/>
            <w:tcBorders>
              <w:top w:val="nil"/>
              <w:left w:val="nil"/>
              <w:bottom w:val="nil"/>
              <w:right w:val="nil"/>
            </w:tcBorders>
            <w:shd w:val="clear" w:color="auto" w:fill="auto"/>
            <w:noWrap/>
            <w:vAlign w:val="center"/>
            <w:hideMark/>
          </w:tcPr>
          <w:p w:rsidR="00261E0D" w:rsidRPr="00261E0D" w:rsidRDefault="00261E0D" w:rsidP="00261E0D">
            <w:pPr>
              <w:jc w:val="right"/>
              <w:rPr>
                <w:rFonts w:cs="Arial"/>
                <w:color w:val="7F7F7F"/>
                <w:szCs w:val="18"/>
                <w:lang w:eastAsia="en-AU"/>
              </w:rPr>
            </w:pPr>
            <w:r w:rsidRPr="00261E0D">
              <w:rPr>
                <w:rFonts w:cs="Arial"/>
                <w:color w:val="7F7F7F"/>
                <w:szCs w:val="18"/>
                <w:lang w:eastAsia="en-AU"/>
              </w:rPr>
              <w:t>44%</w:t>
            </w:r>
          </w:p>
        </w:tc>
      </w:tr>
      <w:tr w:rsidR="00261E0D" w:rsidRPr="00261E0D" w:rsidTr="00261E0D">
        <w:trPr>
          <w:trHeight w:val="300"/>
        </w:trPr>
        <w:tc>
          <w:tcPr>
            <w:tcW w:w="2180" w:type="dxa"/>
            <w:tcBorders>
              <w:top w:val="nil"/>
              <w:left w:val="nil"/>
              <w:bottom w:val="nil"/>
              <w:right w:val="nil"/>
            </w:tcBorders>
            <w:shd w:val="clear" w:color="auto" w:fill="auto"/>
            <w:noWrap/>
            <w:vAlign w:val="center"/>
            <w:hideMark/>
          </w:tcPr>
          <w:p w:rsidR="00261E0D" w:rsidRPr="00261E0D" w:rsidRDefault="00261E0D" w:rsidP="00261E0D">
            <w:pPr>
              <w:rPr>
                <w:rFonts w:cs="Arial"/>
                <w:color w:val="7F7F7F"/>
                <w:szCs w:val="18"/>
                <w:lang w:eastAsia="en-AU"/>
              </w:rPr>
            </w:pPr>
            <w:r w:rsidRPr="00261E0D">
              <w:rPr>
                <w:rFonts w:cs="Arial"/>
                <w:color w:val="7F7F7F"/>
                <w:szCs w:val="18"/>
                <w:lang w:eastAsia="en-AU"/>
              </w:rPr>
              <w:t>Learn Local</w:t>
            </w:r>
          </w:p>
        </w:tc>
        <w:tc>
          <w:tcPr>
            <w:tcW w:w="2088" w:type="dxa"/>
            <w:tcBorders>
              <w:top w:val="nil"/>
              <w:left w:val="nil"/>
              <w:bottom w:val="nil"/>
              <w:right w:val="nil"/>
            </w:tcBorders>
            <w:shd w:val="clear" w:color="auto" w:fill="auto"/>
            <w:noWrap/>
            <w:vAlign w:val="center"/>
            <w:hideMark/>
          </w:tcPr>
          <w:p w:rsidR="00261E0D" w:rsidRPr="00261E0D" w:rsidRDefault="00261E0D" w:rsidP="00261E0D">
            <w:pPr>
              <w:jc w:val="right"/>
              <w:rPr>
                <w:rFonts w:cs="Arial"/>
                <w:color w:val="7F7F7F"/>
                <w:szCs w:val="18"/>
                <w:lang w:eastAsia="en-AU"/>
              </w:rPr>
            </w:pPr>
            <w:r w:rsidRPr="00261E0D">
              <w:rPr>
                <w:rFonts w:cs="Arial"/>
                <w:color w:val="7F7F7F"/>
                <w:szCs w:val="18"/>
                <w:lang w:eastAsia="en-AU"/>
              </w:rPr>
              <w:t>10%</w:t>
            </w:r>
          </w:p>
        </w:tc>
        <w:tc>
          <w:tcPr>
            <w:tcW w:w="1559" w:type="dxa"/>
            <w:tcBorders>
              <w:top w:val="nil"/>
              <w:left w:val="nil"/>
              <w:bottom w:val="nil"/>
              <w:right w:val="nil"/>
            </w:tcBorders>
            <w:shd w:val="clear" w:color="auto" w:fill="auto"/>
            <w:noWrap/>
            <w:vAlign w:val="center"/>
            <w:hideMark/>
          </w:tcPr>
          <w:p w:rsidR="00261E0D" w:rsidRPr="00261E0D" w:rsidRDefault="00261E0D" w:rsidP="00261E0D">
            <w:pPr>
              <w:jc w:val="right"/>
              <w:rPr>
                <w:rFonts w:cs="Arial"/>
                <w:color w:val="7F7F7F"/>
                <w:szCs w:val="18"/>
                <w:lang w:eastAsia="en-AU"/>
              </w:rPr>
            </w:pPr>
            <w:r w:rsidRPr="00261E0D">
              <w:rPr>
                <w:rFonts w:cs="Arial"/>
                <w:color w:val="7F7F7F"/>
                <w:szCs w:val="18"/>
                <w:lang w:eastAsia="en-AU"/>
              </w:rPr>
              <w:t>10%</w:t>
            </w:r>
          </w:p>
        </w:tc>
      </w:tr>
      <w:tr w:rsidR="00261E0D" w:rsidRPr="00261E0D" w:rsidTr="00261E0D">
        <w:trPr>
          <w:trHeight w:val="300"/>
        </w:trPr>
        <w:tc>
          <w:tcPr>
            <w:tcW w:w="2180" w:type="dxa"/>
            <w:tcBorders>
              <w:top w:val="nil"/>
              <w:left w:val="nil"/>
              <w:bottom w:val="nil"/>
              <w:right w:val="nil"/>
            </w:tcBorders>
            <w:shd w:val="clear" w:color="auto" w:fill="auto"/>
            <w:noWrap/>
            <w:vAlign w:val="center"/>
            <w:hideMark/>
          </w:tcPr>
          <w:p w:rsidR="00261E0D" w:rsidRPr="00261E0D" w:rsidRDefault="00261E0D" w:rsidP="00261E0D">
            <w:pPr>
              <w:rPr>
                <w:rFonts w:cs="Arial"/>
                <w:b/>
                <w:bCs/>
                <w:color w:val="7F7F7F"/>
                <w:szCs w:val="18"/>
                <w:lang w:eastAsia="en-AU"/>
              </w:rPr>
            </w:pPr>
            <w:r w:rsidRPr="00261E0D">
              <w:rPr>
                <w:rFonts w:cs="Arial"/>
                <w:b/>
                <w:bCs/>
                <w:color w:val="7F7F7F"/>
                <w:szCs w:val="18"/>
                <w:lang w:eastAsia="en-AU"/>
              </w:rPr>
              <w:t>TAFE and University</w:t>
            </w:r>
          </w:p>
        </w:tc>
        <w:tc>
          <w:tcPr>
            <w:tcW w:w="2088" w:type="dxa"/>
            <w:tcBorders>
              <w:top w:val="nil"/>
              <w:left w:val="nil"/>
              <w:bottom w:val="nil"/>
              <w:right w:val="nil"/>
            </w:tcBorders>
            <w:shd w:val="clear" w:color="auto" w:fill="auto"/>
            <w:noWrap/>
            <w:vAlign w:val="bottom"/>
            <w:hideMark/>
          </w:tcPr>
          <w:p w:rsidR="00261E0D" w:rsidRPr="00261E0D" w:rsidRDefault="00261E0D" w:rsidP="00261E0D">
            <w:pPr>
              <w:rPr>
                <w:rFonts w:ascii="Calibri" w:hAnsi="Calibri"/>
                <w:color w:val="000000"/>
                <w:sz w:val="22"/>
                <w:szCs w:val="22"/>
                <w:lang w:eastAsia="en-AU"/>
              </w:rPr>
            </w:pPr>
          </w:p>
        </w:tc>
        <w:tc>
          <w:tcPr>
            <w:tcW w:w="1559" w:type="dxa"/>
            <w:tcBorders>
              <w:top w:val="nil"/>
              <w:left w:val="nil"/>
              <w:bottom w:val="nil"/>
              <w:right w:val="nil"/>
            </w:tcBorders>
            <w:shd w:val="clear" w:color="auto" w:fill="auto"/>
            <w:noWrap/>
            <w:vAlign w:val="bottom"/>
            <w:hideMark/>
          </w:tcPr>
          <w:p w:rsidR="00261E0D" w:rsidRPr="00261E0D" w:rsidRDefault="00261E0D" w:rsidP="00261E0D">
            <w:pPr>
              <w:rPr>
                <w:rFonts w:ascii="Calibri" w:hAnsi="Calibri"/>
                <w:color w:val="000000"/>
                <w:sz w:val="22"/>
                <w:szCs w:val="22"/>
                <w:lang w:eastAsia="en-AU"/>
              </w:rPr>
            </w:pPr>
          </w:p>
        </w:tc>
      </w:tr>
      <w:tr w:rsidR="00261E0D" w:rsidRPr="00261E0D" w:rsidTr="00261E0D">
        <w:trPr>
          <w:trHeight w:val="300"/>
        </w:trPr>
        <w:tc>
          <w:tcPr>
            <w:tcW w:w="2180" w:type="dxa"/>
            <w:tcBorders>
              <w:top w:val="nil"/>
              <w:left w:val="nil"/>
              <w:bottom w:val="nil"/>
              <w:right w:val="nil"/>
            </w:tcBorders>
            <w:shd w:val="clear" w:color="auto" w:fill="auto"/>
            <w:noWrap/>
            <w:vAlign w:val="center"/>
            <w:hideMark/>
          </w:tcPr>
          <w:p w:rsidR="00261E0D" w:rsidRPr="00261E0D" w:rsidRDefault="00261E0D" w:rsidP="00261E0D">
            <w:pPr>
              <w:ind w:firstLineChars="200" w:firstLine="360"/>
              <w:rPr>
                <w:rFonts w:cs="Arial"/>
                <w:color w:val="7F7F7F"/>
                <w:szCs w:val="18"/>
                <w:lang w:eastAsia="en-AU"/>
              </w:rPr>
            </w:pPr>
            <w:r w:rsidRPr="00261E0D">
              <w:rPr>
                <w:rFonts w:cs="Arial"/>
                <w:color w:val="7F7F7F"/>
                <w:szCs w:val="18"/>
                <w:lang w:eastAsia="en-AU"/>
              </w:rPr>
              <w:t>TAFE</w:t>
            </w:r>
          </w:p>
        </w:tc>
        <w:tc>
          <w:tcPr>
            <w:tcW w:w="2088" w:type="dxa"/>
            <w:tcBorders>
              <w:top w:val="nil"/>
              <w:left w:val="nil"/>
              <w:bottom w:val="nil"/>
              <w:right w:val="nil"/>
            </w:tcBorders>
            <w:shd w:val="clear" w:color="auto" w:fill="auto"/>
            <w:noWrap/>
            <w:vAlign w:val="center"/>
            <w:hideMark/>
          </w:tcPr>
          <w:p w:rsidR="00261E0D" w:rsidRPr="00261E0D" w:rsidRDefault="00261E0D" w:rsidP="00261E0D">
            <w:pPr>
              <w:jc w:val="right"/>
              <w:rPr>
                <w:rFonts w:cs="Arial"/>
                <w:color w:val="7F7F7F"/>
                <w:szCs w:val="18"/>
                <w:lang w:eastAsia="en-AU"/>
              </w:rPr>
            </w:pPr>
            <w:r w:rsidRPr="00261E0D">
              <w:rPr>
                <w:rFonts w:cs="Arial"/>
                <w:color w:val="7F7F7F"/>
                <w:szCs w:val="18"/>
                <w:lang w:eastAsia="en-AU"/>
              </w:rPr>
              <w:t>47%</w:t>
            </w:r>
          </w:p>
        </w:tc>
        <w:tc>
          <w:tcPr>
            <w:tcW w:w="1559" w:type="dxa"/>
            <w:tcBorders>
              <w:top w:val="nil"/>
              <w:left w:val="nil"/>
              <w:bottom w:val="nil"/>
              <w:right w:val="nil"/>
            </w:tcBorders>
            <w:shd w:val="clear" w:color="auto" w:fill="auto"/>
            <w:noWrap/>
            <w:vAlign w:val="center"/>
            <w:hideMark/>
          </w:tcPr>
          <w:p w:rsidR="00261E0D" w:rsidRPr="00261E0D" w:rsidRDefault="00261E0D" w:rsidP="00261E0D">
            <w:pPr>
              <w:jc w:val="right"/>
              <w:rPr>
                <w:rFonts w:cs="Arial"/>
                <w:color w:val="7F7F7F"/>
                <w:szCs w:val="18"/>
                <w:lang w:eastAsia="en-AU"/>
              </w:rPr>
            </w:pPr>
            <w:r w:rsidRPr="00261E0D">
              <w:rPr>
                <w:rFonts w:cs="Arial"/>
                <w:color w:val="7F7F7F"/>
                <w:szCs w:val="18"/>
                <w:lang w:eastAsia="en-AU"/>
              </w:rPr>
              <w:t>37%</w:t>
            </w:r>
          </w:p>
        </w:tc>
      </w:tr>
      <w:tr w:rsidR="00261E0D" w:rsidRPr="00261E0D" w:rsidTr="00261E0D">
        <w:trPr>
          <w:trHeight w:val="300"/>
        </w:trPr>
        <w:tc>
          <w:tcPr>
            <w:tcW w:w="2180" w:type="dxa"/>
            <w:tcBorders>
              <w:top w:val="nil"/>
              <w:left w:val="nil"/>
              <w:bottom w:val="nil"/>
              <w:right w:val="nil"/>
            </w:tcBorders>
            <w:shd w:val="clear" w:color="auto" w:fill="auto"/>
            <w:noWrap/>
            <w:vAlign w:val="center"/>
            <w:hideMark/>
          </w:tcPr>
          <w:p w:rsidR="00261E0D" w:rsidRPr="00261E0D" w:rsidRDefault="00261E0D" w:rsidP="00261E0D">
            <w:pPr>
              <w:ind w:firstLineChars="200" w:firstLine="360"/>
              <w:rPr>
                <w:rFonts w:cs="Arial"/>
                <w:color w:val="7F7F7F"/>
                <w:szCs w:val="18"/>
                <w:lang w:eastAsia="en-AU"/>
              </w:rPr>
            </w:pPr>
            <w:r w:rsidRPr="00261E0D">
              <w:rPr>
                <w:rFonts w:cs="Arial"/>
                <w:color w:val="7F7F7F"/>
                <w:szCs w:val="18"/>
                <w:lang w:eastAsia="en-AU"/>
              </w:rPr>
              <w:t>University</w:t>
            </w:r>
          </w:p>
        </w:tc>
        <w:tc>
          <w:tcPr>
            <w:tcW w:w="2088" w:type="dxa"/>
            <w:tcBorders>
              <w:top w:val="nil"/>
              <w:left w:val="nil"/>
              <w:bottom w:val="nil"/>
              <w:right w:val="nil"/>
            </w:tcBorders>
            <w:shd w:val="clear" w:color="auto" w:fill="auto"/>
            <w:noWrap/>
            <w:vAlign w:val="center"/>
            <w:hideMark/>
          </w:tcPr>
          <w:p w:rsidR="00261E0D" w:rsidRPr="00261E0D" w:rsidRDefault="00261E0D" w:rsidP="00261E0D">
            <w:pPr>
              <w:jc w:val="right"/>
              <w:rPr>
                <w:rFonts w:cs="Arial"/>
                <w:color w:val="7F7F7F"/>
                <w:szCs w:val="18"/>
                <w:lang w:eastAsia="en-AU"/>
              </w:rPr>
            </w:pPr>
            <w:r w:rsidRPr="00261E0D">
              <w:rPr>
                <w:rFonts w:cs="Arial"/>
                <w:color w:val="7F7F7F"/>
                <w:szCs w:val="18"/>
                <w:lang w:eastAsia="en-AU"/>
              </w:rPr>
              <w:t>8%</w:t>
            </w:r>
          </w:p>
        </w:tc>
        <w:tc>
          <w:tcPr>
            <w:tcW w:w="1559" w:type="dxa"/>
            <w:tcBorders>
              <w:top w:val="nil"/>
              <w:left w:val="nil"/>
              <w:bottom w:val="nil"/>
              <w:right w:val="nil"/>
            </w:tcBorders>
            <w:shd w:val="clear" w:color="auto" w:fill="auto"/>
            <w:noWrap/>
            <w:vAlign w:val="center"/>
            <w:hideMark/>
          </w:tcPr>
          <w:p w:rsidR="00261E0D" w:rsidRPr="00261E0D" w:rsidRDefault="00261E0D" w:rsidP="00261E0D">
            <w:pPr>
              <w:jc w:val="right"/>
              <w:rPr>
                <w:rFonts w:cs="Arial"/>
                <w:color w:val="7F7F7F"/>
                <w:szCs w:val="18"/>
                <w:lang w:eastAsia="en-AU"/>
              </w:rPr>
            </w:pPr>
            <w:r w:rsidRPr="00261E0D">
              <w:rPr>
                <w:rFonts w:cs="Arial"/>
                <w:color w:val="7F7F7F"/>
                <w:szCs w:val="18"/>
                <w:lang w:eastAsia="en-AU"/>
              </w:rPr>
              <w:t>9%</w:t>
            </w:r>
          </w:p>
        </w:tc>
      </w:tr>
      <w:tr w:rsidR="00261E0D" w:rsidRPr="00261E0D" w:rsidTr="00261E0D">
        <w:trPr>
          <w:trHeight w:val="300"/>
        </w:trPr>
        <w:tc>
          <w:tcPr>
            <w:tcW w:w="2180" w:type="dxa"/>
            <w:tcBorders>
              <w:top w:val="nil"/>
              <w:left w:val="nil"/>
              <w:bottom w:val="nil"/>
              <w:right w:val="nil"/>
            </w:tcBorders>
            <w:shd w:val="clear" w:color="000000" w:fill="7F7F7F"/>
            <w:noWrap/>
            <w:vAlign w:val="center"/>
            <w:hideMark/>
          </w:tcPr>
          <w:p w:rsidR="00261E0D" w:rsidRPr="00261E0D" w:rsidRDefault="00261E0D" w:rsidP="00261E0D">
            <w:pPr>
              <w:rPr>
                <w:rFonts w:cs="Arial"/>
                <w:b/>
                <w:bCs/>
                <w:color w:val="FFFFFF"/>
                <w:szCs w:val="18"/>
                <w:lang w:eastAsia="en-AU"/>
              </w:rPr>
            </w:pPr>
            <w:r w:rsidRPr="00261E0D">
              <w:rPr>
                <w:rFonts w:cs="Arial"/>
                <w:b/>
                <w:bCs/>
                <w:color w:val="FFFFFF"/>
                <w:szCs w:val="18"/>
                <w:lang w:eastAsia="en-AU"/>
              </w:rPr>
              <w:t>Total</w:t>
            </w:r>
          </w:p>
        </w:tc>
        <w:tc>
          <w:tcPr>
            <w:tcW w:w="2088" w:type="dxa"/>
            <w:tcBorders>
              <w:top w:val="nil"/>
              <w:left w:val="nil"/>
              <w:bottom w:val="nil"/>
              <w:right w:val="nil"/>
            </w:tcBorders>
            <w:shd w:val="clear" w:color="000000" w:fill="7F7F7F"/>
            <w:noWrap/>
            <w:vAlign w:val="center"/>
            <w:hideMark/>
          </w:tcPr>
          <w:p w:rsidR="00261E0D" w:rsidRPr="00261E0D" w:rsidRDefault="00261E0D" w:rsidP="00261E0D">
            <w:pPr>
              <w:jc w:val="right"/>
              <w:rPr>
                <w:rFonts w:cs="Arial"/>
                <w:b/>
                <w:bCs/>
                <w:color w:val="FFFFFF"/>
                <w:szCs w:val="18"/>
                <w:lang w:eastAsia="en-AU"/>
              </w:rPr>
            </w:pPr>
            <w:r w:rsidRPr="00261E0D">
              <w:rPr>
                <w:rFonts w:cs="Arial"/>
                <w:b/>
                <w:bCs/>
                <w:color w:val="FFFFFF"/>
                <w:szCs w:val="18"/>
                <w:lang w:eastAsia="en-AU"/>
              </w:rPr>
              <w:t>100%</w:t>
            </w:r>
          </w:p>
        </w:tc>
        <w:tc>
          <w:tcPr>
            <w:tcW w:w="1559" w:type="dxa"/>
            <w:tcBorders>
              <w:top w:val="nil"/>
              <w:left w:val="nil"/>
              <w:bottom w:val="nil"/>
              <w:right w:val="nil"/>
            </w:tcBorders>
            <w:shd w:val="clear" w:color="000000" w:fill="7F7F7F"/>
            <w:noWrap/>
            <w:vAlign w:val="center"/>
            <w:hideMark/>
          </w:tcPr>
          <w:p w:rsidR="00261E0D" w:rsidRPr="00261E0D" w:rsidRDefault="00261E0D" w:rsidP="00261E0D">
            <w:pPr>
              <w:jc w:val="right"/>
              <w:rPr>
                <w:rFonts w:cs="Arial"/>
                <w:b/>
                <w:bCs/>
                <w:color w:val="FFFFFF"/>
                <w:szCs w:val="18"/>
                <w:lang w:eastAsia="en-AU"/>
              </w:rPr>
            </w:pPr>
            <w:r w:rsidRPr="00261E0D">
              <w:rPr>
                <w:rFonts w:cs="Arial"/>
                <w:b/>
                <w:bCs/>
                <w:color w:val="FFFFFF"/>
                <w:szCs w:val="18"/>
                <w:lang w:eastAsia="en-AU"/>
              </w:rPr>
              <w:t>100%</w:t>
            </w:r>
          </w:p>
        </w:tc>
      </w:tr>
    </w:tbl>
    <w:p w:rsidR="00261E0D" w:rsidRDefault="00261E0D" w:rsidP="00151889">
      <w:pPr>
        <w:pStyle w:val="Quote"/>
        <w:rPr>
          <w:b w:val="0"/>
          <w:sz w:val="18"/>
          <w:szCs w:val="18"/>
        </w:rPr>
      </w:pPr>
    </w:p>
    <w:p w:rsidR="00261E0D" w:rsidRDefault="00261E0D" w:rsidP="00151889">
      <w:pPr>
        <w:pStyle w:val="Quote"/>
        <w:rPr>
          <w:b w:val="0"/>
          <w:sz w:val="18"/>
          <w:szCs w:val="18"/>
        </w:rPr>
      </w:pPr>
    </w:p>
    <w:p w:rsidR="005544BA" w:rsidRDefault="005544BA">
      <w:r>
        <w:rPr>
          <w:b/>
        </w:rPr>
        <w:br w:type="page"/>
      </w: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5544BA" w:rsidTr="009822B8">
        <w:tc>
          <w:tcPr>
            <w:tcW w:w="1134" w:type="dxa"/>
            <w:tcMar>
              <w:left w:w="0" w:type="dxa"/>
              <w:right w:w="0" w:type="dxa"/>
            </w:tcMar>
          </w:tcPr>
          <w:p w:rsidR="005544BA" w:rsidRDefault="005544BA" w:rsidP="00AB1331">
            <w:pPr>
              <w:pStyle w:val="Quote"/>
              <w:tabs>
                <w:tab w:val="left" w:pos="1134"/>
              </w:tabs>
              <w:rPr>
                <w:b w:val="0"/>
                <w:color w:val="B41F22" w:themeColor="accent1"/>
              </w:rPr>
            </w:pPr>
            <w:r>
              <w:rPr>
                <w:b w:val="0"/>
                <w:color w:val="B41F22" w:themeColor="accent1"/>
              </w:rPr>
              <w:lastRenderedPageBreak/>
              <w:t>Figure 1.</w:t>
            </w:r>
            <w:r w:rsidR="00AB1331">
              <w:rPr>
                <w:b w:val="0"/>
                <w:color w:val="B41F22" w:themeColor="accent1"/>
              </w:rPr>
              <w:t>7</w:t>
            </w:r>
            <w:r>
              <w:rPr>
                <w:b w:val="0"/>
                <w:color w:val="B41F22" w:themeColor="accent1"/>
              </w:rPr>
              <w:t>:</w:t>
            </w:r>
          </w:p>
        </w:tc>
        <w:tc>
          <w:tcPr>
            <w:tcW w:w="6946" w:type="dxa"/>
            <w:tcMar>
              <w:left w:w="0" w:type="dxa"/>
              <w:right w:w="0" w:type="dxa"/>
            </w:tcMar>
          </w:tcPr>
          <w:p w:rsidR="005544BA" w:rsidRDefault="005544BA" w:rsidP="009822B8">
            <w:pPr>
              <w:pStyle w:val="Quote"/>
              <w:tabs>
                <w:tab w:val="left" w:pos="1134"/>
              </w:tabs>
              <w:rPr>
                <w:b w:val="0"/>
                <w:color w:val="B41F22" w:themeColor="accent1"/>
              </w:rPr>
            </w:pPr>
            <w:r w:rsidRPr="005544BA">
              <w:rPr>
                <w:b w:val="0"/>
                <w:color w:val="B41F22" w:themeColor="accent1"/>
              </w:rPr>
              <w:t>Percentage share of fee-for-service domestic enrolments by sector, 2014 to 2015 (half year)</w:t>
            </w:r>
          </w:p>
        </w:tc>
      </w:tr>
    </w:tbl>
    <w:p w:rsidR="00A314FF" w:rsidRDefault="00472F62">
      <w:pPr>
        <w:rPr>
          <w:color w:val="7F7F7F" w:themeColor="text2"/>
        </w:rPr>
      </w:pPr>
      <w:r>
        <w:rPr>
          <w:noProof/>
          <w:color w:val="7F7F7F" w:themeColor="text2"/>
          <w:lang w:eastAsia="en-AU"/>
        </w:rPr>
        <w:drawing>
          <wp:inline distT="0" distB="0" distL="0" distR="0" wp14:anchorId="426C0ED1" wp14:editId="468150AD">
            <wp:extent cx="4320000" cy="2586241"/>
            <wp:effectExtent l="0" t="0" r="4445"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320000" cy="2586241"/>
                    </a:xfrm>
                    <a:prstGeom prst="rect">
                      <a:avLst/>
                    </a:prstGeom>
                    <a:noFill/>
                  </pic:spPr>
                </pic:pic>
              </a:graphicData>
            </a:graphic>
          </wp:inline>
        </w:drawing>
      </w:r>
    </w:p>
    <w:p w:rsidR="00C33D50" w:rsidRDefault="00C33D50">
      <w:pPr>
        <w:rPr>
          <w:noProof/>
          <w:color w:val="7F7F7F" w:themeColor="text2"/>
          <w:lang w:eastAsia="en-AU"/>
        </w:rPr>
      </w:pPr>
    </w:p>
    <w:p w:rsidR="005544BA" w:rsidRDefault="005544BA">
      <w:pPr>
        <w:rPr>
          <w:color w:val="7F7F7F" w:themeColor="text2"/>
        </w:rPr>
      </w:pPr>
    </w:p>
    <w:p w:rsidR="00A10517" w:rsidRPr="00DE7971" w:rsidRDefault="00A10517" w:rsidP="00A10517">
      <w:pPr>
        <w:pStyle w:val="Heading3"/>
        <w:spacing w:after="120"/>
        <w:rPr>
          <w:color w:val="7F7F7F" w:themeColor="text2"/>
        </w:rPr>
      </w:pPr>
      <w:r w:rsidRPr="00DE7971">
        <w:rPr>
          <w:color w:val="7F7F7F" w:themeColor="text2"/>
        </w:rPr>
        <w:t>Domestic Fee-For-Service Enrolments by Qualification Level</w:t>
      </w: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9822B8" w:rsidTr="009822B8">
        <w:tc>
          <w:tcPr>
            <w:tcW w:w="1134" w:type="dxa"/>
            <w:tcMar>
              <w:left w:w="0" w:type="dxa"/>
              <w:right w:w="0" w:type="dxa"/>
            </w:tcMar>
          </w:tcPr>
          <w:p w:rsidR="009822B8" w:rsidRDefault="009822B8" w:rsidP="00C33510">
            <w:pPr>
              <w:pStyle w:val="Quote"/>
              <w:tabs>
                <w:tab w:val="left" w:pos="1134"/>
              </w:tabs>
              <w:rPr>
                <w:b w:val="0"/>
                <w:color w:val="B41F22" w:themeColor="accent1"/>
              </w:rPr>
            </w:pPr>
            <w:r>
              <w:rPr>
                <w:b w:val="0"/>
                <w:color w:val="B41F22" w:themeColor="accent1"/>
              </w:rPr>
              <w:t>Table 1.1</w:t>
            </w:r>
            <w:r w:rsidR="0084117E">
              <w:rPr>
                <w:b w:val="0"/>
                <w:color w:val="B41F22" w:themeColor="accent1"/>
              </w:rPr>
              <w:t>7</w:t>
            </w:r>
            <w:r>
              <w:rPr>
                <w:b w:val="0"/>
                <w:color w:val="B41F22" w:themeColor="accent1"/>
              </w:rPr>
              <w:t>:</w:t>
            </w:r>
          </w:p>
        </w:tc>
        <w:tc>
          <w:tcPr>
            <w:tcW w:w="6946" w:type="dxa"/>
            <w:tcMar>
              <w:left w:w="0" w:type="dxa"/>
              <w:right w:w="0" w:type="dxa"/>
            </w:tcMar>
          </w:tcPr>
          <w:p w:rsidR="009822B8" w:rsidRPr="009822B8" w:rsidRDefault="00C170BB" w:rsidP="009822B8">
            <w:pPr>
              <w:pStyle w:val="Quote"/>
              <w:tabs>
                <w:tab w:val="left" w:pos="1134"/>
              </w:tabs>
              <w:rPr>
                <w:b w:val="0"/>
                <w:color w:val="B41F22" w:themeColor="accent1"/>
              </w:rPr>
            </w:pPr>
            <w:r>
              <w:rPr>
                <w:b w:val="0"/>
                <w:color w:val="B41F22" w:themeColor="accent1"/>
              </w:rPr>
              <w:t>F</w:t>
            </w:r>
            <w:r w:rsidR="009822B8" w:rsidRPr="009822B8">
              <w:rPr>
                <w:b w:val="0"/>
                <w:color w:val="B41F22" w:themeColor="accent1"/>
              </w:rPr>
              <w:t>ee-for-service domestic enrolments by qualification level, 2014 to 2015 (half year)</w:t>
            </w:r>
          </w:p>
        </w:tc>
      </w:tr>
    </w:tbl>
    <w:tbl>
      <w:tblPr>
        <w:tblW w:w="8095" w:type="dxa"/>
        <w:tblInd w:w="93" w:type="dxa"/>
        <w:tblLayout w:type="fixed"/>
        <w:tblLook w:val="04A0" w:firstRow="1" w:lastRow="0" w:firstColumn="1" w:lastColumn="0" w:noHBand="0" w:noVBand="1"/>
      </w:tblPr>
      <w:tblGrid>
        <w:gridCol w:w="2310"/>
        <w:gridCol w:w="1687"/>
        <w:gridCol w:w="1688"/>
        <w:gridCol w:w="993"/>
        <w:gridCol w:w="1417"/>
      </w:tblGrid>
      <w:tr w:rsidR="009822B8" w:rsidRPr="009822B8" w:rsidTr="009822B8">
        <w:trPr>
          <w:trHeight w:val="454"/>
        </w:trPr>
        <w:tc>
          <w:tcPr>
            <w:tcW w:w="2310" w:type="dxa"/>
            <w:tcBorders>
              <w:top w:val="nil"/>
              <w:left w:val="nil"/>
              <w:bottom w:val="nil"/>
              <w:right w:val="nil"/>
            </w:tcBorders>
            <w:shd w:val="clear" w:color="000000" w:fill="7F7F7F"/>
            <w:noWrap/>
            <w:vAlign w:val="bottom"/>
            <w:hideMark/>
          </w:tcPr>
          <w:p w:rsidR="009822B8" w:rsidRPr="009822B8" w:rsidRDefault="009822B8" w:rsidP="009822B8">
            <w:pPr>
              <w:rPr>
                <w:rFonts w:cs="Arial"/>
                <w:color w:val="FFFFFF"/>
                <w:szCs w:val="18"/>
                <w:lang w:eastAsia="en-AU"/>
              </w:rPr>
            </w:pPr>
            <w:r w:rsidRPr="009822B8">
              <w:rPr>
                <w:rFonts w:cs="Arial"/>
                <w:color w:val="FFFFFF"/>
                <w:szCs w:val="18"/>
                <w:lang w:eastAsia="en-AU"/>
              </w:rPr>
              <w:t> </w:t>
            </w:r>
          </w:p>
        </w:tc>
        <w:tc>
          <w:tcPr>
            <w:tcW w:w="1687" w:type="dxa"/>
            <w:tcBorders>
              <w:top w:val="nil"/>
              <w:left w:val="nil"/>
              <w:bottom w:val="nil"/>
              <w:right w:val="nil"/>
            </w:tcBorders>
            <w:shd w:val="clear" w:color="000000" w:fill="7F7F7F"/>
            <w:noWrap/>
            <w:vAlign w:val="bottom"/>
            <w:hideMark/>
          </w:tcPr>
          <w:p w:rsidR="009822B8" w:rsidRPr="009822B8" w:rsidRDefault="009822B8" w:rsidP="009822B8">
            <w:pPr>
              <w:jc w:val="right"/>
              <w:rPr>
                <w:rFonts w:cs="Arial"/>
                <w:b/>
                <w:bCs/>
                <w:color w:val="FFFFFF"/>
                <w:szCs w:val="18"/>
                <w:lang w:eastAsia="en-AU"/>
              </w:rPr>
            </w:pPr>
            <w:r w:rsidRPr="009822B8">
              <w:rPr>
                <w:rFonts w:cs="Arial"/>
                <w:b/>
                <w:bCs/>
                <w:color w:val="FFFFFF"/>
                <w:szCs w:val="18"/>
                <w:lang w:eastAsia="en-AU"/>
              </w:rPr>
              <w:t>2014</w:t>
            </w:r>
          </w:p>
        </w:tc>
        <w:tc>
          <w:tcPr>
            <w:tcW w:w="1688" w:type="dxa"/>
            <w:tcBorders>
              <w:top w:val="nil"/>
              <w:left w:val="nil"/>
              <w:bottom w:val="nil"/>
              <w:right w:val="nil"/>
            </w:tcBorders>
            <w:shd w:val="clear" w:color="000000" w:fill="7F7F7F"/>
            <w:noWrap/>
            <w:vAlign w:val="bottom"/>
            <w:hideMark/>
          </w:tcPr>
          <w:p w:rsidR="009822B8" w:rsidRPr="009822B8" w:rsidRDefault="009822B8" w:rsidP="009822B8">
            <w:pPr>
              <w:jc w:val="right"/>
              <w:rPr>
                <w:rFonts w:cs="Arial"/>
                <w:b/>
                <w:bCs/>
                <w:color w:val="FFFFFF"/>
                <w:szCs w:val="18"/>
                <w:lang w:eastAsia="en-AU"/>
              </w:rPr>
            </w:pPr>
            <w:r w:rsidRPr="009822B8">
              <w:rPr>
                <w:rFonts w:cs="Arial"/>
                <w:b/>
                <w:bCs/>
                <w:color w:val="FFFFFF"/>
                <w:szCs w:val="18"/>
                <w:lang w:eastAsia="en-AU"/>
              </w:rPr>
              <w:t>2015</w:t>
            </w:r>
          </w:p>
        </w:tc>
        <w:tc>
          <w:tcPr>
            <w:tcW w:w="993" w:type="dxa"/>
            <w:tcBorders>
              <w:top w:val="nil"/>
              <w:left w:val="nil"/>
              <w:bottom w:val="nil"/>
              <w:right w:val="nil"/>
            </w:tcBorders>
            <w:shd w:val="clear" w:color="000000" w:fill="7F7F7F"/>
            <w:noWrap/>
            <w:vAlign w:val="bottom"/>
            <w:hideMark/>
          </w:tcPr>
          <w:p w:rsidR="009822B8" w:rsidRPr="009822B8" w:rsidRDefault="009822B8" w:rsidP="009822B8">
            <w:pPr>
              <w:jc w:val="right"/>
              <w:rPr>
                <w:rFonts w:cs="Arial"/>
                <w:b/>
                <w:bCs/>
                <w:color w:val="FFFFFF"/>
                <w:szCs w:val="18"/>
                <w:lang w:eastAsia="en-AU"/>
              </w:rPr>
            </w:pPr>
            <w:r w:rsidRPr="009822B8">
              <w:rPr>
                <w:rFonts w:cs="Arial"/>
                <w:b/>
                <w:bCs/>
                <w:color w:val="FFFFFF"/>
                <w:szCs w:val="18"/>
                <w:lang w:eastAsia="en-AU"/>
              </w:rPr>
              <w:t> </w:t>
            </w:r>
          </w:p>
        </w:tc>
        <w:tc>
          <w:tcPr>
            <w:tcW w:w="1417" w:type="dxa"/>
            <w:tcBorders>
              <w:top w:val="nil"/>
              <w:left w:val="nil"/>
              <w:bottom w:val="nil"/>
              <w:right w:val="nil"/>
            </w:tcBorders>
            <w:shd w:val="clear" w:color="000000" w:fill="7F7F7F"/>
            <w:vAlign w:val="bottom"/>
            <w:hideMark/>
          </w:tcPr>
          <w:p w:rsidR="009822B8" w:rsidRPr="009822B8" w:rsidRDefault="009822B8" w:rsidP="009822B8">
            <w:pPr>
              <w:jc w:val="right"/>
              <w:rPr>
                <w:rFonts w:cs="Arial"/>
                <w:b/>
                <w:bCs/>
                <w:color w:val="FFFFFF"/>
                <w:szCs w:val="18"/>
                <w:lang w:eastAsia="en-AU"/>
              </w:rPr>
            </w:pPr>
            <w:r w:rsidRPr="009822B8">
              <w:rPr>
                <w:rFonts w:cs="Arial"/>
                <w:b/>
                <w:bCs/>
                <w:color w:val="FFFFFF"/>
                <w:szCs w:val="18"/>
                <w:lang w:eastAsia="en-AU"/>
              </w:rPr>
              <w:t>% change 2014 to 2015</w:t>
            </w:r>
          </w:p>
        </w:tc>
      </w:tr>
      <w:tr w:rsidR="009822B8" w:rsidRPr="009822B8" w:rsidTr="009822B8">
        <w:trPr>
          <w:trHeight w:val="300"/>
        </w:trPr>
        <w:tc>
          <w:tcPr>
            <w:tcW w:w="2310" w:type="dxa"/>
            <w:tcBorders>
              <w:top w:val="nil"/>
              <w:left w:val="nil"/>
              <w:bottom w:val="nil"/>
              <w:right w:val="nil"/>
            </w:tcBorders>
            <w:shd w:val="clear" w:color="auto" w:fill="auto"/>
            <w:noWrap/>
            <w:vAlign w:val="center"/>
            <w:hideMark/>
          </w:tcPr>
          <w:p w:rsidR="009822B8" w:rsidRPr="009822B8" w:rsidRDefault="009822B8" w:rsidP="009822B8">
            <w:pPr>
              <w:rPr>
                <w:rFonts w:cs="Arial"/>
                <w:color w:val="7F7F7F"/>
                <w:szCs w:val="18"/>
                <w:lang w:eastAsia="en-AU"/>
              </w:rPr>
            </w:pPr>
            <w:r w:rsidRPr="009822B8">
              <w:rPr>
                <w:rFonts w:cs="Arial"/>
                <w:color w:val="7F7F7F"/>
                <w:szCs w:val="18"/>
                <w:lang w:eastAsia="en-AU"/>
              </w:rPr>
              <w:t>Cert I/II</w:t>
            </w:r>
          </w:p>
        </w:tc>
        <w:tc>
          <w:tcPr>
            <w:tcW w:w="1687" w:type="dxa"/>
            <w:tcBorders>
              <w:top w:val="nil"/>
              <w:left w:val="nil"/>
              <w:bottom w:val="nil"/>
              <w:right w:val="nil"/>
            </w:tcBorders>
            <w:shd w:val="clear" w:color="auto" w:fill="auto"/>
            <w:noWrap/>
            <w:vAlign w:val="center"/>
            <w:hideMark/>
          </w:tcPr>
          <w:p w:rsidR="009822B8" w:rsidRPr="009822B8" w:rsidRDefault="009822B8" w:rsidP="009822B8">
            <w:pPr>
              <w:jc w:val="right"/>
              <w:rPr>
                <w:rFonts w:cs="Arial"/>
                <w:color w:val="7F7F7F"/>
                <w:szCs w:val="18"/>
                <w:lang w:eastAsia="en-AU"/>
              </w:rPr>
            </w:pPr>
            <w:r w:rsidRPr="009822B8">
              <w:rPr>
                <w:rFonts w:cs="Arial"/>
                <w:color w:val="7F7F7F"/>
                <w:szCs w:val="18"/>
                <w:lang w:eastAsia="en-AU"/>
              </w:rPr>
              <w:t>43,327</w:t>
            </w:r>
          </w:p>
        </w:tc>
        <w:tc>
          <w:tcPr>
            <w:tcW w:w="1688" w:type="dxa"/>
            <w:tcBorders>
              <w:top w:val="nil"/>
              <w:left w:val="nil"/>
              <w:bottom w:val="nil"/>
              <w:right w:val="nil"/>
            </w:tcBorders>
            <w:shd w:val="clear" w:color="auto" w:fill="auto"/>
            <w:noWrap/>
            <w:vAlign w:val="center"/>
            <w:hideMark/>
          </w:tcPr>
          <w:p w:rsidR="009822B8" w:rsidRPr="009822B8" w:rsidRDefault="009822B8" w:rsidP="009822B8">
            <w:pPr>
              <w:jc w:val="right"/>
              <w:rPr>
                <w:rFonts w:cs="Arial"/>
                <w:color w:val="7F7F7F"/>
                <w:szCs w:val="18"/>
                <w:lang w:eastAsia="en-AU"/>
              </w:rPr>
            </w:pPr>
            <w:r w:rsidRPr="009822B8">
              <w:rPr>
                <w:rFonts w:cs="Arial"/>
                <w:color w:val="7F7F7F"/>
                <w:szCs w:val="18"/>
                <w:lang w:eastAsia="en-AU"/>
              </w:rPr>
              <w:t>38,467</w:t>
            </w:r>
          </w:p>
        </w:tc>
        <w:tc>
          <w:tcPr>
            <w:tcW w:w="993" w:type="dxa"/>
            <w:tcBorders>
              <w:top w:val="nil"/>
              <w:left w:val="nil"/>
              <w:bottom w:val="nil"/>
              <w:right w:val="nil"/>
            </w:tcBorders>
            <w:shd w:val="clear" w:color="auto" w:fill="auto"/>
            <w:noWrap/>
            <w:vAlign w:val="center"/>
            <w:hideMark/>
          </w:tcPr>
          <w:p w:rsidR="009822B8" w:rsidRPr="009822B8" w:rsidRDefault="009822B8" w:rsidP="009822B8">
            <w:pPr>
              <w:rPr>
                <w:rFonts w:cs="Arial"/>
                <w:color w:val="7F7F7F"/>
                <w:szCs w:val="18"/>
                <w:lang w:eastAsia="en-AU"/>
              </w:rPr>
            </w:pPr>
          </w:p>
        </w:tc>
        <w:tc>
          <w:tcPr>
            <w:tcW w:w="1417" w:type="dxa"/>
            <w:tcBorders>
              <w:top w:val="nil"/>
              <w:left w:val="nil"/>
              <w:bottom w:val="nil"/>
              <w:right w:val="nil"/>
            </w:tcBorders>
            <w:shd w:val="clear" w:color="auto" w:fill="auto"/>
            <w:noWrap/>
            <w:vAlign w:val="center"/>
            <w:hideMark/>
          </w:tcPr>
          <w:p w:rsidR="009822B8" w:rsidRPr="009822B8" w:rsidRDefault="009822B8" w:rsidP="009822B8">
            <w:pPr>
              <w:jc w:val="right"/>
              <w:rPr>
                <w:rFonts w:cs="Arial"/>
                <w:color w:val="7F7F7F"/>
                <w:szCs w:val="18"/>
                <w:lang w:eastAsia="en-AU"/>
              </w:rPr>
            </w:pPr>
            <w:r w:rsidRPr="009822B8">
              <w:rPr>
                <w:rFonts w:cs="Arial"/>
                <w:color w:val="7F7F7F"/>
                <w:szCs w:val="18"/>
                <w:lang w:eastAsia="en-AU"/>
              </w:rPr>
              <w:t>-11%</w:t>
            </w:r>
          </w:p>
        </w:tc>
      </w:tr>
      <w:tr w:rsidR="009822B8" w:rsidRPr="009822B8" w:rsidTr="009822B8">
        <w:trPr>
          <w:trHeight w:val="300"/>
        </w:trPr>
        <w:tc>
          <w:tcPr>
            <w:tcW w:w="2310" w:type="dxa"/>
            <w:tcBorders>
              <w:top w:val="nil"/>
              <w:left w:val="nil"/>
              <w:bottom w:val="nil"/>
              <w:right w:val="nil"/>
            </w:tcBorders>
            <w:shd w:val="clear" w:color="auto" w:fill="auto"/>
            <w:noWrap/>
            <w:vAlign w:val="center"/>
            <w:hideMark/>
          </w:tcPr>
          <w:p w:rsidR="009822B8" w:rsidRPr="009822B8" w:rsidRDefault="009822B8" w:rsidP="009822B8">
            <w:pPr>
              <w:rPr>
                <w:rFonts w:cs="Arial"/>
                <w:color w:val="7F7F7F"/>
                <w:szCs w:val="18"/>
                <w:lang w:eastAsia="en-AU"/>
              </w:rPr>
            </w:pPr>
            <w:r w:rsidRPr="009822B8">
              <w:rPr>
                <w:rFonts w:cs="Arial"/>
                <w:color w:val="7F7F7F"/>
                <w:szCs w:val="18"/>
                <w:lang w:eastAsia="en-AU"/>
              </w:rPr>
              <w:t>Cert III/IV</w:t>
            </w:r>
          </w:p>
        </w:tc>
        <w:tc>
          <w:tcPr>
            <w:tcW w:w="1687" w:type="dxa"/>
            <w:tcBorders>
              <w:top w:val="nil"/>
              <w:left w:val="nil"/>
              <w:bottom w:val="nil"/>
              <w:right w:val="nil"/>
            </w:tcBorders>
            <w:shd w:val="clear" w:color="auto" w:fill="auto"/>
            <w:noWrap/>
            <w:vAlign w:val="center"/>
            <w:hideMark/>
          </w:tcPr>
          <w:p w:rsidR="009822B8" w:rsidRPr="009822B8" w:rsidRDefault="009822B8" w:rsidP="009822B8">
            <w:pPr>
              <w:jc w:val="right"/>
              <w:rPr>
                <w:rFonts w:cs="Arial"/>
                <w:color w:val="7F7F7F"/>
                <w:szCs w:val="18"/>
                <w:lang w:eastAsia="en-AU"/>
              </w:rPr>
            </w:pPr>
            <w:r w:rsidRPr="009822B8">
              <w:rPr>
                <w:rFonts w:cs="Arial"/>
                <w:color w:val="7F7F7F"/>
                <w:szCs w:val="18"/>
                <w:lang w:eastAsia="en-AU"/>
              </w:rPr>
              <w:t>56,613</w:t>
            </w:r>
          </w:p>
        </w:tc>
        <w:tc>
          <w:tcPr>
            <w:tcW w:w="1688" w:type="dxa"/>
            <w:tcBorders>
              <w:top w:val="nil"/>
              <w:left w:val="nil"/>
              <w:bottom w:val="nil"/>
              <w:right w:val="nil"/>
            </w:tcBorders>
            <w:shd w:val="clear" w:color="auto" w:fill="auto"/>
            <w:noWrap/>
            <w:vAlign w:val="center"/>
            <w:hideMark/>
          </w:tcPr>
          <w:p w:rsidR="009822B8" w:rsidRPr="009822B8" w:rsidRDefault="009822B8" w:rsidP="009822B8">
            <w:pPr>
              <w:jc w:val="right"/>
              <w:rPr>
                <w:rFonts w:cs="Arial"/>
                <w:color w:val="7F7F7F"/>
                <w:szCs w:val="18"/>
                <w:lang w:eastAsia="en-AU"/>
              </w:rPr>
            </w:pPr>
            <w:r w:rsidRPr="009822B8">
              <w:rPr>
                <w:rFonts w:cs="Arial"/>
                <w:color w:val="7F7F7F"/>
                <w:szCs w:val="18"/>
                <w:lang w:eastAsia="en-AU"/>
              </w:rPr>
              <w:t>58,981</w:t>
            </w:r>
          </w:p>
        </w:tc>
        <w:tc>
          <w:tcPr>
            <w:tcW w:w="993" w:type="dxa"/>
            <w:tcBorders>
              <w:top w:val="nil"/>
              <w:left w:val="nil"/>
              <w:bottom w:val="nil"/>
              <w:right w:val="nil"/>
            </w:tcBorders>
            <w:shd w:val="clear" w:color="auto" w:fill="auto"/>
            <w:noWrap/>
            <w:vAlign w:val="center"/>
            <w:hideMark/>
          </w:tcPr>
          <w:p w:rsidR="009822B8" w:rsidRPr="009822B8" w:rsidRDefault="009822B8" w:rsidP="009822B8">
            <w:pPr>
              <w:rPr>
                <w:rFonts w:cs="Arial"/>
                <w:color w:val="7F7F7F"/>
                <w:szCs w:val="18"/>
                <w:lang w:eastAsia="en-AU"/>
              </w:rPr>
            </w:pPr>
          </w:p>
        </w:tc>
        <w:tc>
          <w:tcPr>
            <w:tcW w:w="1417" w:type="dxa"/>
            <w:tcBorders>
              <w:top w:val="nil"/>
              <w:left w:val="nil"/>
              <w:bottom w:val="nil"/>
              <w:right w:val="nil"/>
            </w:tcBorders>
            <w:shd w:val="clear" w:color="auto" w:fill="auto"/>
            <w:noWrap/>
            <w:vAlign w:val="center"/>
            <w:hideMark/>
          </w:tcPr>
          <w:p w:rsidR="009822B8" w:rsidRPr="009822B8" w:rsidRDefault="009822B8" w:rsidP="009822B8">
            <w:pPr>
              <w:jc w:val="right"/>
              <w:rPr>
                <w:rFonts w:cs="Arial"/>
                <w:color w:val="7F7F7F"/>
                <w:szCs w:val="18"/>
                <w:lang w:eastAsia="en-AU"/>
              </w:rPr>
            </w:pPr>
            <w:r w:rsidRPr="009822B8">
              <w:rPr>
                <w:rFonts w:cs="Arial"/>
                <w:color w:val="7F7F7F"/>
                <w:szCs w:val="18"/>
                <w:lang w:eastAsia="en-AU"/>
              </w:rPr>
              <w:t>4%</w:t>
            </w:r>
          </w:p>
        </w:tc>
      </w:tr>
      <w:tr w:rsidR="009822B8" w:rsidRPr="009822B8" w:rsidTr="009822B8">
        <w:trPr>
          <w:trHeight w:val="300"/>
        </w:trPr>
        <w:tc>
          <w:tcPr>
            <w:tcW w:w="2310" w:type="dxa"/>
            <w:tcBorders>
              <w:top w:val="nil"/>
              <w:left w:val="nil"/>
              <w:bottom w:val="nil"/>
              <w:right w:val="nil"/>
            </w:tcBorders>
            <w:shd w:val="clear" w:color="auto" w:fill="auto"/>
            <w:noWrap/>
            <w:vAlign w:val="center"/>
            <w:hideMark/>
          </w:tcPr>
          <w:p w:rsidR="009822B8" w:rsidRPr="009822B8" w:rsidRDefault="009822B8" w:rsidP="009822B8">
            <w:pPr>
              <w:rPr>
                <w:rFonts w:cs="Arial"/>
                <w:color w:val="7F7F7F"/>
                <w:szCs w:val="18"/>
                <w:lang w:eastAsia="en-AU"/>
              </w:rPr>
            </w:pPr>
            <w:r w:rsidRPr="009822B8">
              <w:rPr>
                <w:rFonts w:cs="Arial"/>
                <w:color w:val="7F7F7F"/>
                <w:szCs w:val="18"/>
                <w:lang w:eastAsia="en-AU"/>
              </w:rPr>
              <w:t>Diploma &amp; Above</w:t>
            </w:r>
          </w:p>
        </w:tc>
        <w:tc>
          <w:tcPr>
            <w:tcW w:w="1687" w:type="dxa"/>
            <w:tcBorders>
              <w:top w:val="nil"/>
              <w:left w:val="nil"/>
              <w:bottom w:val="nil"/>
              <w:right w:val="nil"/>
            </w:tcBorders>
            <w:shd w:val="clear" w:color="auto" w:fill="auto"/>
            <w:noWrap/>
            <w:vAlign w:val="center"/>
            <w:hideMark/>
          </w:tcPr>
          <w:p w:rsidR="009822B8" w:rsidRPr="009822B8" w:rsidRDefault="009822B8" w:rsidP="009822B8">
            <w:pPr>
              <w:jc w:val="right"/>
              <w:rPr>
                <w:rFonts w:cs="Arial"/>
                <w:color w:val="7F7F7F"/>
                <w:szCs w:val="18"/>
                <w:lang w:eastAsia="en-AU"/>
              </w:rPr>
            </w:pPr>
            <w:r w:rsidRPr="009822B8">
              <w:rPr>
                <w:rFonts w:cs="Arial"/>
                <w:color w:val="7F7F7F"/>
                <w:szCs w:val="18"/>
                <w:lang w:eastAsia="en-AU"/>
              </w:rPr>
              <w:t>12,111</w:t>
            </w:r>
          </w:p>
        </w:tc>
        <w:tc>
          <w:tcPr>
            <w:tcW w:w="1688" w:type="dxa"/>
            <w:tcBorders>
              <w:top w:val="nil"/>
              <w:left w:val="nil"/>
              <w:bottom w:val="nil"/>
              <w:right w:val="nil"/>
            </w:tcBorders>
            <w:shd w:val="clear" w:color="auto" w:fill="auto"/>
            <w:noWrap/>
            <w:vAlign w:val="center"/>
            <w:hideMark/>
          </w:tcPr>
          <w:p w:rsidR="009822B8" w:rsidRPr="009822B8" w:rsidRDefault="009822B8" w:rsidP="009822B8">
            <w:pPr>
              <w:jc w:val="right"/>
              <w:rPr>
                <w:rFonts w:cs="Arial"/>
                <w:color w:val="7F7F7F"/>
                <w:szCs w:val="18"/>
                <w:lang w:eastAsia="en-AU"/>
              </w:rPr>
            </w:pPr>
            <w:r w:rsidRPr="009822B8">
              <w:rPr>
                <w:rFonts w:cs="Arial"/>
                <w:color w:val="7F7F7F"/>
                <w:szCs w:val="18"/>
                <w:lang w:eastAsia="en-AU"/>
              </w:rPr>
              <w:t>23,243</w:t>
            </w:r>
          </w:p>
        </w:tc>
        <w:tc>
          <w:tcPr>
            <w:tcW w:w="993" w:type="dxa"/>
            <w:tcBorders>
              <w:top w:val="nil"/>
              <w:left w:val="nil"/>
              <w:bottom w:val="nil"/>
              <w:right w:val="nil"/>
            </w:tcBorders>
            <w:shd w:val="clear" w:color="auto" w:fill="auto"/>
            <w:noWrap/>
            <w:vAlign w:val="center"/>
            <w:hideMark/>
          </w:tcPr>
          <w:p w:rsidR="009822B8" w:rsidRPr="009822B8" w:rsidRDefault="009822B8" w:rsidP="009822B8">
            <w:pPr>
              <w:rPr>
                <w:rFonts w:cs="Arial"/>
                <w:color w:val="7F7F7F"/>
                <w:szCs w:val="18"/>
                <w:lang w:eastAsia="en-AU"/>
              </w:rPr>
            </w:pPr>
          </w:p>
        </w:tc>
        <w:tc>
          <w:tcPr>
            <w:tcW w:w="1417" w:type="dxa"/>
            <w:tcBorders>
              <w:top w:val="nil"/>
              <w:left w:val="nil"/>
              <w:bottom w:val="nil"/>
              <w:right w:val="nil"/>
            </w:tcBorders>
            <w:shd w:val="clear" w:color="auto" w:fill="auto"/>
            <w:noWrap/>
            <w:vAlign w:val="center"/>
            <w:hideMark/>
          </w:tcPr>
          <w:p w:rsidR="009822B8" w:rsidRPr="009822B8" w:rsidRDefault="009822B8" w:rsidP="009822B8">
            <w:pPr>
              <w:jc w:val="right"/>
              <w:rPr>
                <w:rFonts w:cs="Arial"/>
                <w:color w:val="7F7F7F"/>
                <w:szCs w:val="18"/>
                <w:lang w:eastAsia="en-AU"/>
              </w:rPr>
            </w:pPr>
            <w:r w:rsidRPr="009822B8">
              <w:rPr>
                <w:rFonts w:cs="Arial"/>
                <w:color w:val="7F7F7F"/>
                <w:szCs w:val="18"/>
                <w:lang w:eastAsia="en-AU"/>
              </w:rPr>
              <w:t>92%</w:t>
            </w:r>
          </w:p>
        </w:tc>
      </w:tr>
      <w:tr w:rsidR="009822B8" w:rsidRPr="009822B8" w:rsidTr="009822B8">
        <w:trPr>
          <w:trHeight w:val="300"/>
        </w:trPr>
        <w:tc>
          <w:tcPr>
            <w:tcW w:w="2310" w:type="dxa"/>
            <w:tcBorders>
              <w:top w:val="nil"/>
              <w:left w:val="nil"/>
              <w:bottom w:val="nil"/>
              <w:right w:val="nil"/>
            </w:tcBorders>
            <w:shd w:val="clear" w:color="auto" w:fill="auto"/>
            <w:noWrap/>
            <w:vAlign w:val="center"/>
            <w:hideMark/>
          </w:tcPr>
          <w:p w:rsidR="009822B8" w:rsidRPr="009822B8" w:rsidRDefault="009822B8" w:rsidP="009822B8">
            <w:pPr>
              <w:rPr>
                <w:rFonts w:cs="Arial"/>
                <w:i/>
                <w:iCs/>
                <w:color w:val="7F7F7F"/>
                <w:szCs w:val="18"/>
                <w:lang w:eastAsia="en-AU"/>
              </w:rPr>
            </w:pPr>
            <w:r w:rsidRPr="009822B8">
              <w:rPr>
                <w:rFonts w:cs="Arial"/>
                <w:i/>
                <w:iCs/>
                <w:color w:val="7F7F7F"/>
                <w:szCs w:val="18"/>
                <w:lang w:eastAsia="en-AU"/>
              </w:rPr>
              <w:t xml:space="preserve">     VET FEE-HELP*</w:t>
            </w:r>
          </w:p>
        </w:tc>
        <w:tc>
          <w:tcPr>
            <w:tcW w:w="1687" w:type="dxa"/>
            <w:tcBorders>
              <w:top w:val="nil"/>
              <w:left w:val="nil"/>
              <w:bottom w:val="nil"/>
              <w:right w:val="nil"/>
            </w:tcBorders>
            <w:shd w:val="clear" w:color="auto" w:fill="auto"/>
            <w:noWrap/>
            <w:vAlign w:val="center"/>
            <w:hideMark/>
          </w:tcPr>
          <w:p w:rsidR="009822B8" w:rsidRPr="009822B8" w:rsidRDefault="009822B8" w:rsidP="009822B8">
            <w:pPr>
              <w:jc w:val="right"/>
              <w:rPr>
                <w:rFonts w:cs="Arial"/>
                <w:i/>
                <w:iCs/>
                <w:color w:val="7F7F7F"/>
                <w:szCs w:val="18"/>
                <w:lang w:eastAsia="en-AU"/>
              </w:rPr>
            </w:pPr>
            <w:r w:rsidRPr="009822B8">
              <w:rPr>
                <w:rFonts w:cs="Arial"/>
                <w:i/>
                <w:iCs/>
                <w:color w:val="7F7F7F"/>
                <w:szCs w:val="18"/>
                <w:lang w:eastAsia="en-AU"/>
              </w:rPr>
              <w:t>2,760</w:t>
            </w:r>
          </w:p>
        </w:tc>
        <w:tc>
          <w:tcPr>
            <w:tcW w:w="1688" w:type="dxa"/>
            <w:tcBorders>
              <w:top w:val="nil"/>
              <w:left w:val="nil"/>
              <w:bottom w:val="nil"/>
              <w:right w:val="nil"/>
            </w:tcBorders>
            <w:shd w:val="clear" w:color="auto" w:fill="auto"/>
            <w:noWrap/>
            <w:vAlign w:val="center"/>
            <w:hideMark/>
          </w:tcPr>
          <w:p w:rsidR="009822B8" w:rsidRPr="009822B8" w:rsidRDefault="009822B8" w:rsidP="009822B8">
            <w:pPr>
              <w:jc w:val="right"/>
              <w:rPr>
                <w:rFonts w:cs="Arial"/>
                <w:i/>
                <w:iCs/>
                <w:color w:val="7F7F7F"/>
                <w:szCs w:val="18"/>
                <w:lang w:eastAsia="en-AU"/>
              </w:rPr>
            </w:pPr>
            <w:r w:rsidRPr="009822B8">
              <w:rPr>
                <w:rFonts w:cs="Arial"/>
                <w:i/>
                <w:iCs/>
                <w:color w:val="7F7F7F"/>
                <w:szCs w:val="18"/>
                <w:lang w:eastAsia="en-AU"/>
              </w:rPr>
              <w:t>13,077</w:t>
            </w:r>
          </w:p>
        </w:tc>
        <w:tc>
          <w:tcPr>
            <w:tcW w:w="993" w:type="dxa"/>
            <w:tcBorders>
              <w:top w:val="nil"/>
              <w:left w:val="nil"/>
              <w:bottom w:val="nil"/>
              <w:right w:val="nil"/>
            </w:tcBorders>
            <w:shd w:val="clear" w:color="auto" w:fill="auto"/>
            <w:noWrap/>
            <w:vAlign w:val="center"/>
            <w:hideMark/>
          </w:tcPr>
          <w:p w:rsidR="009822B8" w:rsidRPr="009822B8" w:rsidRDefault="009822B8" w:rsidP="009822B8">
            <w:pPr>
              <w:rPr>
                <w:rFonts w:cs="Arial"/>
                <w:i/>
                <w:iCs/>
                <w:color w:val="7F7F7F"/>
                <w:szCs w:val="18"/>
                <w:lang w:eastAsia="en-AU"/>
              </w:rPr>
            </w:pPr>
          </w:p>
        </w:tc>
        <w:tc>
          <w:tcPr>
            <w:tcW w:w="1417" w:type="dxa"/>
            <w:tcBorders>
              <w:top w:val="nil"/>
              <w:left w:val="nil"/>
              <w:bottom w:val="nil"/>
              <w:right w:val="nil"/>
            </w:tcBorders>
            <w:shd w:val="clear" w:color="auto" w:fill="auto"/>
            <w:noWrap/>
            <w:vAlign w:val="center"/>
            <w:hideMark/>
          </w:tcPr>
          <w:p w:rsidR="009822B8" w:rsidRPr="009822B8" w:rsidRDefault="009822B8" w:rsidP="009822B8">
            <w:pPr>
              <w:jc w:val="right"/>
              <w:rPr>
                <w:rFonts w:cs="Arial"/>
                <w:i/>
                <w:iCs/>
                <w:color w:val="7F7F7F"/>
                <w:szCs w:val="18"/>
                <w:lang w:eastAsia="en-AU"/>
              </w:rPr>
            </w:pPr>
            <w:r w:rsidRPr="009822B8">
              <w:rPr>
                <w:rFonts w:cs="Arial"/>
                <w:i/>
                <w:iCs/>
                <w:color w:val="7F7F7F"/>
                <w:szCs w:val="18"/>
                <w:lang w:eastAsia="en-AU"/>
              </w:rPr>
              <w:t>374%</w:t>
            </w:r>
          </w:p>
        </w:tc>
      </w:tr>
      <w:tr w:rsidR="009822B8" w:rsidRPr="009822B8" w:rsidTr="009822B8">
        <w:trPr>
          <w:trHeight w:val="600"/>
        </w:trPr>
        <w:tc>
          <w:tcPr>
            <w:tcW w:w="2310" w:type="dxa"/>
            <w:tcBorders>
              <w:top w:val="nil"/>
              <w:left w:val="nil"/>
              <w:bottom w:val="nil"/>
              <w:right w:val="nil"/>
            </w:tcBorders>
            <w:shd w:val="clear" w:color="auto" w:fill="auto"/>
            <w:vAlign w:val="center"/>
            <w:hideMark/>
          </w:tcPr>
          <w:p w:rsidR="009822B8" w:rsidRPr="009822B8" w:rsidRDefault="009822B8" w:rsidP="009822B8">
            <w:pPr>
              <w:rPr>
                <w:rFonts w:cs="Arial"/>
                <w:i/>
                <w:iCs/>
                <w:color w:val="7F7F7F"/>
                <w:szCs w:val="18"/>
                <w:lang w:eastAsia="en-AU"/>
              </w:rPr>
            </w:pPr>
            <w:r w:rsidRPr="009822B8">
              <w:rPr>
                <w:rFonts w:cs="Arial"/>
                <w:i/>
                <w:iCs/>
                <w:color w:val="7F7F7F"/>
                <w:szCs w:val="18"/>
                <w:lang w:eastAsia="en-AU"/>
              </w:rPr>
              <w:t xml:space="preserve">     Without any</w:t>
            </w:r>
            <w:r w:rsidRPr="009822B8">
              <w:rPr>
                <w:rFonts w:cs="Arial"/>
                <w:i/>
                <w:iCs/>
                <w:color w:val="7F7F7F"/>
                <w:szCs w:val="18"/>
                <w:lang w:eastAsia="en-AU"/>
              </w:rPr>
              <w:br/>
              <w:t xml:space="preserve">     VET FEE-HELP*</w:t>
            </w:r>
          </w:p>
        </w:tc>
        <w:tc>
          <w:tcPr>
            <w:tcW w:w="1687" w:type="dxa"/>
            <w:tcBorders>
              <w:top w:val="nil"/>
              <w:left w:val="nil"/>
              <w:bottom w:val="nil"/>
              <w:right w:val="nil"/>
            </w:tcBorders>
            <w:shd w:val="clear" w:color="auto" w:fill="auto"/>
            <w:noWrap/>
            <w:vAlign w:val="center"/>
            <w:hideMark/>
          </w:tcPr>
          <w:p w:rsidR="009822B8" w:rsidRPr="009822B8" w:rsidRDefault="009822B8" w:rsidP="00951ED0">
            <w:pPr>
              <w:jc w:val="right"/>
              <w:rPr>
                <w:rFonts w:cs="Arial"/>
                <w:i/>
                <w:iCs/>
                <w:color w:val="7F7F7F"/>
                <w:szCs w:val="18"/>
                <w:lang w:eastAsia="en-AU"/>
              </w:rPr>
            </w:pPr>
            <w:r w:rsidRPr="009822B8">
              <w:rPr>
                <w:rFonts w:cs="Arial"/>
                <w:i/>
                <w:iCs/>
                <w:color w:val="7F7F7F"/>
                <w:szCs w:val="18"/>
                <w:lang w:eastAsia="en-AU"/>
              </w:rPr>
              <w:t>9,</w:t>
            </w:r>
            <w:r w:rsidR="00951ED0">
              <w:rPr>
                <w:rFonts w:cs="Arial"/>
                <w:i/>
                <w:iCs/>
                <w:color w:val="7F7F7F"/>
                <w:szCs w:val="18"/>
                <w:lang w:eastAsia="en-AU"/>
              </w:rPr>
              <w:t>351</w:t>
            </w:r>
          </w:p>
        </w:tc>
        <w:tc>
          <w:tcPr>
            <w:tcW w:w="1688" w:type="dxa"/>
            <w:tcBorders>
              <w:top w:val="nil"/>
              <w:left w:val="nil"/>
              <w:bottom w:val="nil"/>
              <w:right w:val="nil"/>
            </w:tcBorders>
            <w:shd w:val="clear" w:color="auto" w:fill="auto"/>
            <w:noWrap/>
            <w:vAlign w:val="center"/>
            <w:hideMark/>
          </w:tcPr>
          <w:p w:rsidR="009822B8" w:rsidRPr="009822B8" w:rsidRDefault="009822B8" w:rsidP="00951ED0">
            <w:pPr>
              <w:jc w:val="right"/>
              <w:rPr>
                <w:rFonts w:cs="Arial"/>
                <w:i/>
                <w:iCs/>
                <w:color w:val="7F7F7F"/>
                <w:szCs w:val="18"/>
                <w:lang w:eastAsia="en-AU"/>
              </w:rPr>
            </w:pPr>
            <w:r w:rsidRPr="009822B8">
              <w:rPr>
                <w:rFonts w:cs="Arial"/>
                <w:i/>
                <w:iCs/>
                <w:color w:val="7F7F7F"/>
                <w:szCs w:val="18"/>
                <w:lang w:eastAsia="en-AU"/>
              </w:rPr>
              <w:t>10,</w:t>
            </w:r>
            <w:r w:rsidR="00951ED0">
              <w:rPr>
                <w:rFonts w:cs="Arial"/>
                <w:i/>
                <w:iCs/>
                <w:color w:val="7F7F7F"/>
                <w:szCs w:val="18"/>
                <w:lang w:eastAsia="en-AU"/>
              </w:rPr>
              <w:t>166</w:t>
            </w:r>
          </w:p>
        </w:tc>
        <w:tc>
          <w:tcPr>
            <w:tcW w:w="993" w:type="dxa"/>
            <w:tcBorders>
              <w:top w:val="nil"/>
              <w:left w:val="nil"/>
              <w:bottom w:val="nil"/>
              <w:right w:val="nil"/>
            </w:tcBorders>
            <w:shd w:val="clear" w:color="auto" w:fill="auto"/>
            <w:noWrap/>
            <w:vAlign w:val="center"/>
            <w:hideMark/>
          </w:tcPr>
          <w:p w:rsidR="009822B8" w:rsidRPr="009822B8" w:rsidRDefault="009822B8" w:rsidP="009822B8">
            <w:pPr>
              <w:rPr>
                <w:rFonts w:cs="Arial"/>
                <w:i/>
                <w:iCs/>
                <w:color w:val="7F7F7F"/>
                <w:szCs w:val="18"/>
                <w:lang w:eastAsia="en-AU"/>
              </w:rPr>
            </w:pPr>
          </w:p>
        </w:tc>
        <w:tc>
          <w:tcPr>
            <w:tcW w:w="1417" w:type="dxa"/>
            <w:tcBorders>
              <w:top w:val="nil"/>
              <w:left w:val="nil"/>
              <w:bottom w:val="nil"/>
              <w:right w:val="nil"/>
            </w:tcBorders>
            <w:shd w:val="clear" w:color="auto" w:fill="auto"/>
            <w:noWrap/>
            <w:vAlign w:val="center"/>
            <w:hideMark/>
          </w:tcPr>
          <w:p w:rsidR="009822B8" w:rsidRPr="009822B8" w:rsidRDefault="00951ED0" w:rsidP="00951ED0">
            <w:pPr>
              <w:jc w:val="right"/>
              <w:rPr>
                <w:rFonts w:cs="Arial"/>
                <w:i/>
                <w:iCs/>
                <w:color w:val="7F7F7F"/>
                <w:szCs w:val="18"/>
                <w:lang w:eastAsia="en-AU"/>
              </w:rPr>
            </w:pPr>
            <w:r>
              <w:rPr>
                <w:rFonts w:cs="Arial"/>
                <w:i/>
                <w:iCs/>
                <w:color w:val="7F7F7F"/>
                <w:szCs w:val="18"/>
                <w:lang w:eastAsia="en-AU"/>
              </w:rPr>
              <w:t>9</w:t>
            </w:r>
            <w:r w:rsidR="009822B8" w:rsidRPr="009822B8">
              <w:rPr>
                <w:rFonts w:cs="Arial"/>
                <w:i/>
                <w:iCs/>
                <w:color w:val="7F7F7F"/>
                <w:szCs w:val="18"/>
                <w:lang w:eastAsia="en-AU"/>
              </w:rPr>
              <w:t>%</w:t>
            </w:r>
          </w:p>
        </w:tc>
      </w:tr>
      <w:tr w:rsidR="009822B8" w:rsidRPr="009822B8" w:rsidTr="009822B8">
        <w:trPr>
          <w:trHeight w:val="300"/>
        </w:trPr>
        <w:tc>
          <w:tcPr>
            <w:tcW w:w="2310" w:type="dxa"/>
            <w:tcBorders>
              <w:top w:val="nil"/>
              <w:left w:val="nil"/>
              <w:bottom w:val="nil"/>
              <w:right w:val="nil"/>
            </w:tcBorders>
            <w:shd w:val="clear" w:color="auto" w:fill="auto"/>
            <w:noWrap/>
            <w:vAlign w:val="center"/>
            <w:hideMark/>
          </w:tcPr>
          <w:p w:rsidR="009822B8" w:rsidRPr="009822B8" w:rsidRDefault="009822B8" w:rsidP="009822B8">
            <w:pPr>
              <w:rPr>
                <w:rFonts w:cs="Arial"/>
                <w:color w:val="7F7F7F"/>
                <w:szCs w:val="18"/>
                <w:lang w:eastAsia="en-AU"/>
              </w:rPr>
            </w:pPr>
            <w:r w:rsidRPr="009822B8">
              <w:rPr>
                <w:rFonts w:cs="Arial"/>
                <w:color w:val="7F7F7F"/>
                <w:szCs w:val="18"/>
                <w:lang w:eastAsia="en-AU"/>
              </w:rPr>
              <w:t>Higher Education</w:t>
            </w:r>
          </w:p>
        </w:tc>
        <w:tc>
          <w:tcPr>
            <w:tcW w:w="1687" w:type="dxa"/>
            <w:tcBorders>
              <w:top w:val="nil"/>
              <w:left w:val="nil"/>
              <w:bottom w:val="nil"/>
              <w:right w:val="nil"/>
            </w:tcBorders>
            <w:shd w:val="clear" w:color="auto" w:fill="auto"/>
            <w:noWrap/>
            <w:vAlign w:val="center"/>
            <w:hideMark/>
          </w:tcPr>
          <w:p w:rsidR="009822B8" w:rsidRPr="009822B8" w:rsidRDefault="009822B8" w:rsidP="009822B8">
            <w:pPr>
              <w:jc w:val="right"/>
              <w:rPr>
                <w:rFonts w:cs="Arial"/>
                <w:color w:val="7F7F7F"/>
                <w:szCs w:val="18"/>
                <w:lang w:eastAsia="en-AU"/>
              </w:rPr>
            </w:pPr>
            <w:r w:rsidRPr="009822B8">
              <w:rPr>
                <w:rFonts w:cs="Arial"/>
                <w:color w:val="7F7F7F"/>
                <w:szCs w:val="18"/>
                <w:lang w:eastAsia="en-AU"/>
              </w:rPr>
              <w:t>1,383</w:t>
            </w:r>
          </w:p>
        </w:tc>
        <w:tc>
          <w:tcPr>
            <w:tcW w:w="1688" w:type="dxa"/>
            <w:tcBorders>
              <w:top w:val="nil"/>
              <w:left w:val="nil"/>
              <w:bottom w:val="nil"/>
              <w:right w:val="nil"/>
            </w:tcBorders>
            <w:shd w:val="clear" w:color="auto" w:fill="auto"/>
            <w:noWrap/>
            <w:vAlign w:val="center"/>
            <w:hideMark/>
          </w:tcPr>
          <w:p w:rsidR="009822B8" w:rsidRPr="009822B8" w:rsidRDefault="009822B8" w:rsidP="009822B8">
            <w:pPr>
              <w:jc w:val="right"/>
              <w:rPr>
                <w:rFonts w:cs="Arial"/>
                <w:color w:val="7F7F7F"/>
                <w:szCs w:val="18"/>
                <w:lang w:eastAsia="en-AU"/>
              </w:rPr>
            </w:pPr>
            <w:r w:rsidRPr="009822B8">
              <w:rPr>
                <w:rFonts w:cs="Arial"/>
                <w:color w:val="7F7F7F"/>
                <w:szCs w:val="18"/>
                <w:lang w:eastAsia="en-AU"/>
              </w:rPr>
              <w:t>1,415</w:t>
            </w:r>
          </w:p>
        </w:tc>
        <w:tc>
          <w:tcPr>
            <w:tcW w:w="993" w:type="dxa"/>
            <w:tcBorders>
              <w:top w:val="nil"/>
              <w:left w:val="nil"/>
              <w:bottom w:val="nil"/>
              <w:right w:val="nil"/>
            </w:tcBorders>
            <w:shd w:val="clear" w:color="auto" w:fill="auto"/>
            <w:noWrap/>
            <w:vAlign w:val="center"/>
            <w:hideMark/>
          </w:tcPr>
          <w:p w:rsidR="009822B8" w:rsidRPr="009822B8" w:rsidRDefault="009822B8" w:rsidP="009822B8">
            <w:pPr>
              <w:rPr>
                <w:rFonts w:cs="Arial"/>
                <w:color w:val="7F7F7F"/>
                <w:szCs w:val="18"/>
                <w:lang w:eastAsia="en-AU"/>
              </w:rPr>
            </w:pPr>
          </w:p>
        </w:tc>
        <w:tc>
          <w:tcPr>
            <w:tcW w:w="1417" w:type="dxa"/>
            <w:tcBorders>
              <w:top w:val="nil"/>
              <w:left w:val="nil"/>
              <w:bottom w:val="nil"/>
              <w:right w:val="nil"/>
            </w:tcBorders>
            <w:shd w:val="clear" w:color="auto" w:fill="auto"/>
            <w:noWrap/>
            <w:vAlign w:val="center"/>
            <w:hideMark/>
          </w:tcPr>
          <w:p w:rsidR="009822B8" w:rsidRPr="009822B8" w:rsidRDefault="009822B8" w:rsidP="009822B8">
            <w:pPr>
              <w:jc w:val="right"/>
              <w:rPr>
                <w:rFonts w:cs="Arial"/>
                <w:color w:val="7F7F7F"/>
                <w:szCs w:val="18"/>
                <w:lang w:eastAsia="en-AU"/>
              </w:rPr>
            </w:pPr>
            <w:r w:rsidRPr="009822B8">
              <w:rPr>
                <w:rFonts w:cs="Arial"/>
                <w:color w:val="7F7F7F"/>
                <w:szCs w:val="18"/>
                <w:lang w:eastAsia="en-AU"/>
              </w:rPr>
              <w:t>2%</w:t>
            </w:r>
          </w:p>
        </w:tc>
      </w:tr>
      <w:tr w:rsidR="009822B8" w:rsidRPr="009822B8" w:rsidTr="009822B8">
        <w:trPr>
          <w:trHeight w:val="300"/>
        </w:trPr>
        <w:tc>
          <w:tcPr>
            <w:tcW w:w="2310" w:type="dxa"/>
            <w:tcBorders>
              <w:top w:val="nil"/>
              <w:left w:val="nil"/>
              <w:bottom w:val="nil"/>
              <w:right w:val="nil"/>
            </w:tcBorders>
            <w:shd w:val="clear" w:color="auto" w:fill="auto"/>
            <w:noWrap/>
            <w:vAlign w:val="center"/>
            <w:hideMark/>
          </w:tcPr>
          <w:p w:rsidR="009822B8" w:rsidRPr="009822B8" w:rsidRDefault="009822B8" w:rsidP="009822B8">
            <w:pPr>
              <w:rPr>
                <w:rFonts w:cs="Arial"/>
                <w:color w:val="7F7F7F"/>
                <w:szCs w:val="18"/>
                <w:lang w:eastAsia="en-AU"/>
              </w:rPr>
            </w:pPr>
            <w:r w:rsidRPr="009822B8">
              <w:rPr>
                <w:rFonts w:cs="Arial"/>
                <w:color w:val="7F7F7F"/>
                <w:szCs w:val="18"/>
                <w:lang w:eastAsia="en-AU"/>
              </w:rPr>
              <w:t>Module Only</w:t>
            </w:r>
          </w:p>
        </w:tc>
        <w:tc>
          <w:tcPr>
            <w:tcW w:w="1687" w:type="dxa"/>
            <w:tcBorders>
              <w:top w:val="nil"/>
              <w:left w:val="nil"/>
              <w:bottom w:val="nil"/>
              <w:right w:val="nil"/>
            </w:tcBorders>
            <w:shd w:val="clear" w:color="auto" w:fill="auto"/>
            <w:noWrap/>
            <w:vAlign w:val="center"/>
            <w:hideMark/>
          </w:tcPr>
          <w:p w:rsidR="009822B8" w:rsidRPr="009822B8" w:rsidRDefault="009822B8" w:rsidP="009822B8">
            <w:pPr>
              <w:jc w:val="right"/>
              <w:rPr>
                <w:rFonts w:cs="Arial"/>
                <w:color w:val="7F7F7F"/>
                <w:szCs w:val="18"/>
                <w:lang w:eastAsia="en-AU"/>
              </w:rPr>
            </w:pPr>
            <w:r w:rsidRPr="009822B8">
              <w:rPr>
                <w:rFonts w:cs="Arial"/>
                <w:color w:val="7F7F7F"/>
                <w:szCs w:val="18"/>
                <w:lang w:eastAsia="en-AU"/>
              </w:rPr>
              <w:t>12,377</w:t>
            </w:r>
          </w:p>
        </w:tc>
        <w:tc>
          <w:tcPr>
            <w:tcW w:w="1688" w:type="dxa"/>
            <w:tcBorders>
              <w:top w:val="nil"/>
              <w:left w:val="nil"/>
              <w:bottom w:val="nil"/>
              <w:right w:val="nil"/>
            </w:tcBorders>
            <w:shd w:val="clear" w:color="auto" w:fill="auto"/>
            <w:noWrap/>
            <w:vAlign w:val="center"/>
            <w:hideMark/>
          </w:tcPr>
          <w:p w:rsidR="009822B8" w:rsidRPr="009822B8" w:rsidRDefault="009822B8" w:rsidP="009822B8">
            <w:pPr>
              <w:jc w:val="right"/>
              <w:rPr>
                <w:rFonts w:cs="Arial"/>
                <w:color w:val="7F7F7F"/>
                <w:szCs w:val="18"/>
                <w:lang w:eastAsia="en-AU"/>
              </w:rPr>
            </w:pPr>
            <w:r w:rsidRPr="009822B8">
              <w:rPr>
                <w:rFonts w:cs="Arial"/>
                <w:color w:val="7F7F7F"/>
                <w:szCs w:val="18"/>
                <w:lang w:eastAsia="en-AU"/>
              </w:rPr>
              <w:t>22,006</w:t>
            </w:r>
          </w:p>
        </w:tc>
        <w:tc>
          <w:tcPr>
            <w:tcW w:w="993" w:type="dxa"/>
            <w:tcBorders>
              <w:top w:val="nil"/>
              <w:left w:val="nil"/>
              <w:bottom w:val="nil"/>
              <w:right w:val="nil"/>
            </w:tcBorders>
            <w:shd w:val="clear" w:color="auto" w:fill="auto"/>
            <w:noWrap/>
            <w:vAlign w:val="center"/>
            <w:hideMark/>
          </w:tcPr>
          <w:p w:rsidR="009822B8" w:rsidRPr="009822B8" w:rsidRDefault="009822B8" w:rsidP="009822B8">
            <w:pPr>
              <w:rPr>
                <w:rFonts w:cs="Arial"/>
                <w:color w:val="7F7F7F"/>
                <w:szCs w:val="18"/>
                <w:lang w:eastAsia="en-AU"/>
              </w:rPr>
            </w:pPr>
          </w:p>
        </w:tc>
        <w:tc>
          <w:tcPr>
            <w:tcW w:w="1417" w:type="dxa"/>
            <w:tcBorders>
              <w:top w:val="nil"/>
              <w:left w:val="nil"/>
              <w:bottom w:val="nil"/>
              <w:right w:val="nil"/>
            </w:tcBorders>
            <w:shd w:val="clear" w:color="auto" w:fill="auto"/>
            <w:noWrap/>
            <w:vAlign w:val="center"/>
            <w:hideMark/>
          </w:tcPr>
          <w:p w:rsidR="009822B8" w:rsidRPr="009822B8" w:rsidRDefault="009822B8" w:rsidP="009822B8">
            <w:pPr>
              <w:jc w:val="right"/>
              <w:rPr>
                <w:rFonts w:cs="Arial"/>
                <w:color w:val="7F7F7F"/>
                <w:szCs w:val="18"/>
                <w:lang w:eastAsia="en-AU"/>
              </w:rPr>
            </w:pPr>
            <w:r w:rsidRPr="009822B8">
              <w:rPr>
                <w:rFonts w:cs="Arial"/>
                <w:color w:val="7F7F7F"/>
                <w:szCs w:val="18"/>
                <w:lang w:eastAsia="en-AU"/>
              </w:rPr>
              <w:t>78%</w:t>
            </w:r>
          </w:p>
        </w:tc>
      </w:tr>
      <w:tr w:rsidR="009822B8" w:rsidRPr="009822B8" w:rsidTr="009822B8">
        <w:trPr>
          <w:trHeight w:val="300"/>
        </w:trPr>
        <w:tc>
          <w:tcPr>
            <w:tcW w:w="2310" w:type="dxa"/>
            <w:tcBorders>
              <w:top w:val="nil"/>
              <w:left w:val="nil"/>
              <w:bottom w:val="nil"/>
              <w:right w:val="nil"/>
            </w:tcBorders>
            <w:shd w:val="clear" w:color="auto" w:fill="auto"/>
            <w:noWrap/>
            <w:vAlign w:val="center"/>
            <w:hideMark/>
          </w:tcPr>
          <w:p w:rsidR="009822B8" w:rsidRPr="009822B8" w:rsidRDefault="009822B8" w:rsidP="009822B8">
            <w:pPr>
              <w:rPr>
                <w:rFonts w:cs="Arial"/>
                <w:color w:val="7F7F7F"/>
                <w:szCs w:val="18"/>
                <w:lang w:eastAsia="en-AU"/>
              </w:rPr>
            </w:pPr>
            <w:r w:rsidRPr="009822B8">
              <w:rPr>
                <w:rFonts w:cs="Arial"/>
                <w:color w:val="7F7F7F"/>
                <w:szCs w:val="18"/>
                <w:lang w:eastAsia="en-AU"/>
              </w:rPr>
              <w:t>Other</w:t>
            </w:r>
          </w:p>
        </w:tc>
        <w:tc>
          <w:tcPr>
            <w:tcW w:w="1687" w:type="dxa"/>
            <w:tcBorders>
              <w:top w:val="nil"/>
              <w:left w:val="nil"/>
              <w:bottom w:val="nil"/>
              <w:right w:val="nil"/>
            </w:tcBorders>
            <w:shd w:val="clear" w:color="auto" w:fill="auto"/>
            <w:noWrap/>
            <w:vAlign w:val="center"/>
            <w:hideMark/>
          </w:tcPr>
          <w:p w:rsidR="009822B8" w:rsidRPr="009822B8" w:rsidRDefault="009822B8" w:rsidP="009822B8">
            <w:pPr>
              <w:jc w:val="right"/>
              <w:rPr>
                <w:rFonts w:cs="Arial"/>
                <w:color w:val="7F7F7F"/>
                <w:szCs w:val="18"/>
                <w:lang w:eastAsia="en-AU"/>
              </w:rPr>
            </w:pPr>
            <w:r w:rsidRPr="009822B8">
              <w:rPr>
                <w:rFonts w:cs="Arial"/>
                <w:color w:val="7F7F7F"/>
                <w:szCs w:val="18"/>
                <w:lang w:eastAsia="en-AU"/>
              </w:rPr>
              <w:t>28,998</w:t>
            </w:r>
          </w:p>
        </w:tc>
        <w:tc>
          <w:tcPr>
            <w:tcW w:w="1688" w:type="dxa"/>
            <w:tcBorders>
              <w:top w:val="nil"/>
              <w:left w:val="nil"/>
              <w:bottom w:val="nil"/>
              <w:right w:val="nil"/>
            </w:tcBorders>
            <w:shd w:val="clear" w:color="auto" w:fill="auto"/>
            <w:noWrap/>
            <w:vAlign w:val="center"/>
            <w:hideMark/>
          </w:tcPr>
          <w:p w:rsidR="009822B8" w:rsidRPr="009822B8" w:rsidRDefault="009822B8" w:rsidP="009822B8">
            <w:pPr>
              <w:jc w:val="right"/>
              <w:rPr>
                <w:rFonts w:cs="Arial"/>
                <w:color w:val="7F7F7F"/>
                <w:szCs w:val="18"/>
                <w:lang w:eastAsia="en-AU"/>
              </w:rPr>
            </w:pPr>
            <w:r w:rsidRPr="009822B8">
              <w:rPr>
                <w:rFonts w:cs="Arial"/>
                <w:color w:val="7F7F7F"/>
                <w:szCs w:val="18"/>
                <w:lang w:eastAsia="en-AU"/>
              </w:rPr>
              <w:t>27,971</w:t>
            </w:r>
          </w:p>
        </w:tc>
        <w:tc>
          <w:tcPr>
            <w:tcW w:w="993" w:type="dxa"/>
            <w:tcBorders>
              <w:top w:val="nil"/>
              <w:left w:val="nil"/>
              <w:bottom w:val="nil"/>
              <w:right w:val="nil"/>
            </w:tcBorders>
            <w:shd w:val="clear" w:color="auto" w:fill="auto"/>
            <w:noWrap/>
            <w:vAlign w:val="center"/>
            <w:hideMark/>
          </w:tcPr>
          <w:p w:rsidR="009822B8" w:rsidRPr="009822B8" w:rsidRDefault="009822B8" w:rsidP="009822B8">
            <w:pPr>
              <w:rPr>
                <w:rFonts w:cs="Arial"/>
                <w:color w:val="7F7F7F"/>
                <w:szCs w:val="18"/>
                <w:lang w:eastAsia="en-AU"/>
              </w:rPr>
            </w:pPr>
          </w:p>
        </w:tc>
        <w:tc>
          <w:tcPr>
            <w:tcW w:w="1417" w:type="dxa"/>
            <w:tcBorders>
              <w:top w:val="nil"/>
              <w:left w:val="nil"/>
              <w:bottom w:val="nil"/>
              <w:right w:val="nil"/>
            </w:tcBorders>
            <w:shd w:val="clear" w:color="auto" w:fill="auto"/>
            <w:noWrap/>
            <w:vAlign w:val="center"/>
            <w:hideMark/>
          </w:tcPr>
          <w:p w:rsidR="009822B8" w:rsidRPr="009822B8" w:rsidRDefault="009822B8" w:rsidP="009822B8">
            <w:pPr>
              <w:jc w:val="right"/>
              <w:rPr>
                <w:rFonts w:cs="Arial"/>
                <w:color w:val="7F7F7F"/>
                <w:szCs w:val="18"/>
                <w:lang w:eastAsia="en-AU"/>
              </w:rPr>
            </w:pPr>
            <w:r w:rsidRPr="009822B8">
              <w:rPr>
                <w:rFonts w:cs="Arial"/>
                <w:color w:val="7F7F7F"/>
                <w:szCs w:val="18"/>
                <w:lang w:eastAsia="en-AU"/>
              </w:rPr>
              <w:t>-4%</w:t>
            </w:r>
          </w:p>
        </w:tc>
      </w:tr>
      <w:tr w:rsidR="009822B8" w:rsidRPr="009822B8" w:rsidTr="009822B8">
        <w:trPr>
          <w:trHeight w:val="300"/>
        </w:trPr>
        <w:tc>
          <w:tcPr>
            <w:tcW w:w="2310" w:type="dxa"/>
            <w:tcBorders>
              <w:top w:val="nil"/>
              <w:left w:val="nil"/>
              <w:bottom w:val="nil"/>
              <w:right w:val="nil"/>
            </w:tcBorders>
            <w:shd w:val="clear" w:color="auto" w:fill="auto"/>
            <w:noWrap/>
            <w:vAlign w:val="center"/>
            <w:hideMark/>
          </w:tcPr>
          <w:p w:rsidR="009822B8" w:rsidRPr="009822B8" w:rsidRDefault="009822B8" w:rsidP="009822B8">
            <w:pPr>
              <w:rPr>
                <w:rFonts w:cs="Arial"/>
                <w:color w:val="7F7F7F"/>
                <w:szCs w:val="18"/>
                <w:lang w:eastAsia="en-AU"/>
              </w:rPr>
            </w:pPr>
            <w:r w:rsidRPr="009822B8">
              <w:rPr>
                <w:rFonts w:cs="Arial"/>
                <w:color w:val="7F7F7F"/>
                <w:szCs w:val="18"/>
                <w:lang w:eastAsia="en-AU"/>
              </w:rPr>
              <w:t>Secondary Education**</w:t>
            </w:r>
          </w:p>
        </w:tc>
        <w:tc>
          <w:tcPr>
            <w:tcW w:w="1687" w:type="dxa"/>
            <w:tcBorders>
              <w:top w:val="nil"/>
              <w:left w:val="nil"/>
              <w:bottom w:val="nil"/>
              <w:right w:val="nil"/>
            </w:tcBorders>
            <w:shd w:val="clear" w:color="auto" w:fill="auto"/>
            <w:noWrap/>
            <w:vAlign w:val="center"/>
            <w:hideMark/>
          </w:tcPr>
          <w:p w:rsidR="009822B8" w:rsidRPr="009822B8" w:rsidRDefault="009822B8" w:rsidP="009822B8">
            <w:pPr>
              <w:jc w:val="right"/>
              <w:rPr>
                <w:rFonts w:cs="Arial"/>
                <w:color w:val="7F7F7F"/>
                <w:szCs w:val="18"/>
                <w:lang w:eastAsia="en-AU"/>
              </w:rPr>
            </w:pPr>
            <w:r w:rsidRPr="009822B8">
              <w:rPr>
                <w:rFonts w:cs="Arial"/>
                <w:color w:val="7F7F7F"/>
                <w:szCs w:val="18"/>
                <w:lang w:eastAsia="en-AU"/>
              </w:rPr>
              <w:t>565</w:t>
            </w:r>
          </w:p>
        </w:tc>
        <w:tc>
          <w:tcPr>
            <w:tcW w:w="1688" w:type="dxa"/>
            <w:tcBorders>
              <w:top w:val="nil"/>
              <w:left w:val="nil"/>
              <w:bottom w:val="nil"/>
              <w:right w:val="nil"/>
            </w:tcBorders>
            <w:shd w:val="clear" w:color="auto" w:fill="auto"/>
            <w:noWrap/>
            <w:vAlign w:val="center"/>
            <w:hideMark/>
          </w:tcPr>
          <w:p w:rsidR="009822B8" w:rsidRPr="009822B8" w:rsidRDefault="009822B8" w:rsidP="009822B8">
            <w:pPr>
              <w:jc w:val="right"/>
              <w:rPr>
                <w:rFonts w:cs="Arial"/>
                <w:color w:val="7F7F7F"/>
                <w:szCs w:val="18"/>
                <w:lang w:eastAsia="en-AU"/>
              </w:rPr>
            </w:pPr>
            <w:r w:rsidRPr="009822B8">
              <w:rPr>
                <w:rFonts w:cs="Arial"/>
                <w:color w:val="7F7F7F"/>
                <w:szCs w:val="18"/>
                <w:lang w:eastAsia="en-AU"/>
              </w:rPr>
              <w:t>707</w:t>
            </w:r>
          </w:p>
        </w:tc>
        <w:tc>
          <w:tcPr>
            <w:tcW w:w="993" w:type="dxa"/>
            <w:tcBorders>
              <w:top w:val="nil"/>
              <w:left w:val="nil"/>
              <w:bottom w:val="nil"/>
              <w:right w:val="nil"/>
            </w:tcBorders>
            <w:shd w:val="clear" w:color="auto" w:fill="auto"/>
            <w:noWrap/>
            <w:vAlign w:val="center"/>
            <w:hideMark/>
          </w:tcPr>
          <w:p w:rsidR="009822B8" w:rsidRPr="009822B8" w:rsidRDefault="009822B8" w:rsidP="009822B8">
            <w:pPr>
              <w:rPr>
                <w:rFonts w:cs="Arial"/>
                <w:color w:val="7F7F7F"/>
                <w:szCs w:val="18"/>
                <w:lang w:eastAsia="en-AU"/>
              </w:rPr>
            </w:pPr>
          </w:p>
        </w:tc>
        <w:tc>
          <w:tcPr>
            <w:tcW w:w="1417" w:type="dxa"/>
            <w:tcBorders>
              <w:top w:val="nil"/>
              <w:left w:val="nil"/>
              <w:bottom w:val="nil"/>
              <w:right w:val="nil"/>
            </w:tcBorders>
            <w:shd w:val="clear" w:color="auto" w:fill="auto"/>
            <w:noWrap/>
            <w:vAlign w:val="center"/>
            <w:hideMark/>
          </w:tcPr>
          <w:p w:rsidR="009822B8" w:rsidRPr="009822B8" w:rsidRDefault="009822B8" w:rsidP="009822B8">
            <w:pPr>
              <w:jc w:val="right"/>
              <w:rPr>
                <w:rFonts w:cs="Arial"/>
                <w:color w:val="7F7F7F"/>
                <w:szCs w:val="18"/>
                <w:lang w:eastAsia="en-AU"/>
              </w:rPr>
            </w:pPr>
            <w:r w:rsidRPr="009822B8">
              <w:rPr>
                <w:rFonts w:cs="Arial"/>
                <w:color w:val="7F7F7F"/>
                <w:szCs w:val="18"/>
                <w:lang w:eastAsia="en-AU"/>
              </w:rPr>
              <w:t>25%</w:t>
            </w:r>
          </w:p>
        </w:tc>
      </w:tr>
      <w:tr w:rsidR="009822B8" w:rsidRPr="009822B8" w:rsidTr="009822B8">
        <w:trPr>
          <w:trHeight w:val="300"/>
        </w:trPr>
        <w:tc>
          <w:tcPr>
            <w:tcW w:w="2310" w:type="dxa"/>
            <w:tcBorders>
              <w:top w:val="nil"/>
              <w:left w:val="nil"/>
              <w:bottom w:val="nil"/>
              <w:right w:val="nil"/>
            </w:tcBorders>
            <w:shd w:val="clear" w:color="000000" w:fill="7F7F7F"/>
            <w:noWrap/>
            <w:vAlign w:val="center"/>
            <w:hideMark/>
          </w:tcPr>
          <w:p w:rsidR="009822B8" w:rsidRPr="009822B8" w:rsidRDefault="009822B8" w:rsidP="009822B8">
            <w:pPr>
              <w:rPr>
                <w:rFonts w:cs="Arial"/>
                <w:b/>
                <w:bCs/>
                <w:color w:val="FFFFFF"/>
                <w:szCs w:val="18"/>
                <w:lang w:eastAsia="en-AU"/>
              </w:rPr>
            </w:pPr>
            <w:r w:rsidRPr="009822B8">
              <w:rPr>
                <w:rFonts w:cs="Arial"/>
                <w:b/>
                <w:bCs/>
                <w:color w:val="FFFFFF"/>
                <w:szCs w:val="18"/>
                <w:lang w:eastAsia="en-AU"/>
              </w:rPr>
              <w:t>Total***</w:t>
            </w:r>
          </w:p>
        </w:tc>
        <w:tc>
          <w:tcPr>
            <w:tcW w:w="1687" w:type="dxa"/>
            <w:tcBorders>
              <w:top w:val="nil"/>
              <w:left w:val="nil"/>
              <w:bottom w:val="nil"/>
              <w:right w:val="nil"/>
            </w:tcBorders>
            <w:shd w:val="clear" w:color="000000" w:fill="7F7F7F"/>
            <w:noWrap/>
            <w:vAlign w:val="center"/>
            <w:hideMark/>
          </w:tcPr>
          <w:p w:rsidR="009822B8" w:rsidRPr="009822B8" w:rsidRDefault="009822B8" w:rsidP="009822B8">
            <w:pPr>
              <w:jc w:val="right"/>
              <w:rPr>
                <w:rFonts w:cs="Arial"/>
                <w:b/>
                <w:bCs/>
                <w:color w:val="FFFFFF"/>
                <w:szCs w:val="18"/>
                <w:lang w:eastAsia="en-AU"/>
              </w:rPr>
            </w:pPr>
            <w:r w:rsidRPr="009822B8">
              <w:rPr>
                <w:rFonts w:cs="Arial"/>
                <w:b/>
                <w:bCs/>
                <w:color w:val="FFFFFF"/>
                <w:szCs w:val="18"/>
                <w:lang w:eastAsia="en-AU"/>
              </w:rPr>
              <w:t>155,790</w:t>
            </w:r>
          </w:p>
        </w:tc>
        <w:tc>
          <w:tcPr>
            <w:tcW w:w="1688" w:type="dxa"/>
            <w:tcBorders>
              <w:top w:val="nil"/>
              <w:left w:val="nil"/>
              <w:bottom w:val="nil"/>
              <w:right w:val="nil"/>
            </w:tcBorders>
            <w:shd w:val="clear" w:color="000000" w:fill="7F7F7F"/>
            <w:noWrap/>
            <w:vAlign w:val="center"/>
            <w:hideMark/>
          </w:tcPr>
          <w:p w:rsidR="009822B8" w:rsidRPr="009822B8" w:rsidRDefault="009822B8" w:rsidP="009822B8">
            <w:pPr>
              <w:jc w:val="right"/>
              <w:rPr>
                <w:rFonts w:cs="Arial"/>
                <w:b/>
                <w:bCs/>
                <w:color w:val="FFFFFF"/>
                <w:szCs w:val="18"/>
                <w:lang w:eastAsia="en-AU"/>
              </w:rPr>
            </w:pPr>
            <w:r w:rsidRPr="009822B8">
              <w:rPr>
                <w:rFonts w:cs="Arial"/>
                <w:b/>
                <w:bCs/>
                <w:color w:val="FFFFFF"/>
                <w:szCs w:val="18"/>
                <w:lang w:eastAsia="en-AU"/>
              </w:rPr>
              <w:t>173,510</w:t>
            </w:r>
          </w:p>
        </w:tc>
        <w:tc>
          <w:tcPr>
            <w:tcW w:w="993" w:type="dxa"/>
            <w:tcBorders>
              <w:top w:val="nil"/>
              <w:left w:val="nil"/>
              <w:bottom w:val="nil"/>
              <w:right w:val="nil"/>
            </w:tcBorders>
            <w:shd w:val="clear" w:color="000000" w:fill="7F7F7F"/>
            <w:noWrap/>
            <w:vAlign w:val="center"/>
            <w:hideMark/>
          </w:tcPr>
          <w:p w:rsidR="009822B8" w:rsidRPr="009822B8" w:rsidRDefault="009822B8" w:rsidP="009822B8">
            <w:pPr>
              <w:rPr>
                <w:rFonts w:cs="Arial"/>
                <w:b/>
                <w:bCs/>
                <w:color w:val="FFFFFF"/>
                <w:szCs w:val="18"/>
                <w:lang w:eastAsia="en-AU"/>
              </w:rPr>
            </w:pPr>
            <w:r w:rsidRPr="009822B8">
              <w:rPr>
                <w:rFonts w:cs="Arial"/>
                <w:b/>
                <w:bCs/>
                <w:color w:val="FFFFFF"/>
                <w:szCs w:val="18"/>
                <w:lang w:eastAsia="en-AU"/>
              </w:rPr>
              <w:t> </w:t>
            </w:r>
          </w:p>
        </w:tc>
        <w:tc>
          <w:tcPr>
            <w:tcW w:w="1417" w:type="dxa"/>
            <w:tcBorders>
              <w:top w:val="nil"/>
              <w:left w:val="nil"/>
              <w:bottom w:val="nil"/>
              <w:right w:val="nil"/>
            </w:tcBorders>
            <w:shd w:val="clear" w:color="000000" w:fill="7F7F7F"/>
            <w:noWrap/>
            <w:vAlign w:val="center"/>
            <w:hideMark/>
          </w:tcPr>
          <w:p w:rsidR="009822B8" w:rsidRPr="009822B8" w:rsidRDefault="009822B8" w:rsidP="009822B8">
            <w:pPr>
              <w:jc w:val="right"/>
              <w:rPr>
                <w:rFonts w:cs="Arial"/>
                <w:b/>
                <w:bCs/>
                <w:color w:val="FFFFFF"/>
                <w:szCs w:val="18"/>
                <w:lang w:eastAsia="en-AU"/>
              </w:rPr>
            </w:pPr>
            <w:r w:rsidRPr="009822B8">
              <w:rPr>
                <w:rFonts w:cs="Arial"/>
                <w:b/>
                <w:bCs/>
                <w:color w:val="FFFFFF"/>
                <w:szCs w:val="18"/>
                <w:lang w:eastAsia="en-AU"/>
              </w:rPr>
              <w:t>11%</w:t>
            </w:r>
          </w:p>
        </w:tc>
      </w:tr>
    </w:tbl>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4A0" w:firstRow="1" w:lastRow="0" w:firstColumn="1" w:lastColumn="0" w:noHBand="0" w:noVBand="1"/>
      </w:tblPr>
      <w:tblGrid>
        <w:gridCol w:w="431"/>
        <w:gridCol w:w="7649"/>
      </w:tblGrid>
      <w:tr w:rsidR="009822B8" w:rsidRPr="00913551" w:rsidTr="009822B8">
        <w:tc>
          <w:tcPr>
            <w:tcW w:w="431" w:type="dxa"/>
            <w:tcMar>
              <w:left w:w="0" w:type="dxa"/>
              <w:right w:w="28" w:type="dxa"/>
            </w:tcMar>
          </w:tcPr>
          <w:p w:rsidR="009822B8" w:rsidRPr="00091191" w:rsidRDefault="009822B8" w:rsidP="009822B8">
            <w:pPr>
              <w:spacing w:after="0" w:line="240" w:lineRule="auto"/>
              <w:jc w:val="right"/>
              <w:rPr>
                <w:color w:val="7F7F7F" w:themeColor="text2"/>
                <w:sz w:val="16"/>
                <w:szCs w:val="16"/>
              </w:rPr>
            </w:pPr>
            <w:r w:rsidRPr="00091191">
              <w:rPr>
                <w:color w:val="7F7F7F" w:themeColor="text2"/>
                <w:sz w:val="16"/>
                <w:szCs w:val="16"/>
              </w:rPr>
              <w:t xml:space="preserve">* </w:t>
            </w:r>
          </w:p>
        </w:tc>
        <w:tc>
          <w:tcPr>
            <w:tcW w:w="7649" w:type="dxa"/>
            <w:tcMar>
              <w:left w:w="0" w:type="dxa"/>
              <w:right w:w="28" w:type="dxa"/>
            </w:tcMar>
          </w:tcPr>
          <w:p w:rsidR="009822B8" w:rsidRPr="00913551" w:rsidRDefault="009822B8" w:rsidP="009822B8">
            <w:pPr>
              <w:spacing w:after="0" w:line="240" w:lineRule="auto"/>
              <w:rPr>
                <w:i/>
                <w:color w:val="7F7F7F" w:themeColor="text2"/>
                <w:sz w:val="16"/>
                <w:szCs w:val="16"/>
              </w:rPr>
            </w:pPr>
            <w:r w:rsidRPr="00091191">
              <w:rPr>
                <w:i/>
                <w:sz w:val="16"/>
                <w:szCs w:val="16"/>
              </w:rPr>
              <w:t xml:space="preserve">In </w:t>
            </w:r>
            <w:proofErr w:type="gramStart"/>
            <w:r w:rsidRPr="00091191">
              <w:rPr>
                <w:i/>
                <w:sz w:val="16"/>
                <w:szCs w:val="16"/>
              </w:rPr>
              <w:t>2014</w:t>
            </w:r>
            <w:proofErr w:type="gramEnd"/>
            <w:r w:rsidRPr="00091191">
              <w:rPr>
                <w:i/>
                <w:sz w:val="16"/>
                <w:szCs w:val="16"/>
              </w:rPr>
              <w:t xml:space="preserve"> a small number of contracted training providers failed to submit information on VET FEE-HELP.</w:t>
            </w:r>
          </w:p>
        </w:tc>
      </w:tr>
      <w:tr w:rsidR="009822B8" w:rsidRPr="00913551" w:rsidTr="009822B8">
        <w:tc>
          <w:tcPr>
            <w:tcW w:w="431" w:type="dxa"/>
            <w:tcMar>
              <w:left w:w="0" w:type="dxa"/>
              <w:right w:w="28" w:type="dxa"/>
            </w:tcMar>
          </w:tcPr>
          <w:p w:rsidR="009822B8" w:rsidRPr="00913551" w:rsidRDefault="009822B8" w:rsidP="009822B8">
            <w:pPr>
              <w:spacing w:after="0" w:line="240" w:lineRule="auto"/>
              <w:jc w:val="right"/>
              <w:rPr>
                <w:color w:val="7F7F7F" w:themeColor="text2"/>
                <w:sz w:val="16"/>
                <w:szCs w:val="16"/>
              </w:rPr>
            </w:pPr>
            <w:r w:rsidRPr="00913551">
              <w:rPr>
                <w:color w:val="7F7F7F" w:themeColor="text2"/>
                <w:sz w:val="16"/>
                <w:szCs w:val="16"/>
              </w:rPr>
              <w:t>**</w:t>
            </w:r>
          </w:p>
        </w:tc>
        <w:tc>
          <w:tcPr>
            <w:tcW w:w="7649" w:type="dxa"/>
            <w:tcMar>
              <w:left w:w="0" w:type="dxa"/>
              <w:right w:w="28" w:type="dxa"/>
            </w:tcMar>
          </w:tcPr>
          <w:p w:rsidR="009822B8" w:rsidRPr="00913551" w:rsidRDefault="009822B8" w:rsidP="009822B8">
            <w:pPr>
              <w:spacing w:after="0" w:line="240" w:lineRule="auto"/>
              <w:rPr>
                <w:i/>
                <w:sz w:val="16"/>
                <w:szCs w:val="16"/>
              </w:rPr>
            </w:pPr>
            <w:proofErr w:type="gramStart"/>
            <w:r w:rsidRPr="00913551">
              <w:rPr>
                <w:i/>
                <w:sz w:val="16"/>
                <w:szCs w:val="16"/>
              </w:rPr>
              <w:t>Includes VCE/VCAL courses of study.</w:t>
            </w:r>
            <w:proofErr w:type="gramEnd"/>
          </w:p>
        </w:tc>
      </w:tr>
      <w:tr w:rsidR="009822B8" w:rsidRPr="00913551" w:rsidTr="009822B8">
        <w:tc>
          <w:tcPr>
            <w:tcW w:w="431" w:type="dxa"/>
            <w:tcMar>
              <w:left w:w="0" w:type="dxa"/>
              <w:right w:w="28" w:type="dxa"/>
            </w:tcMar>
          </w:tcPr>
          <w:p w:rsidR="009822B8" w:rsidRPr="00913551" w:rsidRDefault="009822B8" w:rsidP="009822B8">
            <w:pPr>
              <w:spacing w:after="0" w:line="240" w:lineRule="auto"/>
              <w:jc w:val="right"/>
              <w:rPr>
                <w:color w:val="7F7F7F" w:themeColor="text2"/>
                <w:sz w:val="16"/>
                <w:szCs w:val="16"/>
              </w:rPr>
            </w:pPr>
            <w:r w:rsidRPr="00913551">
              <w:rPr>
                <w:color w:val="7F7F7F" w:themeColor="text2"/>
                <w:sz w:val="16"/>
                <w:szCs w:val="16"/>
              </w:rPr>
              <w:t>***</w:t>
            </w:r>
          </w:p>
        </w:tc>
        <w:tc>
          <w:tcPr>
            <w:tcW w:w="7649" w:type="dxa"/>
            <w:tcMar>
              <w:left w:w="0" w:type="dxa"/>
              <w:right w:w="28" w:type="dxa"/>
            </w:tcMar>
          </w:tcPr>
          <w:p w:rsidR="009822B8" w:rsidRPr="00913551" w:rsidRDefault="009822B8" w:rsidP="009822B8">
            <w:pPr>
              <w:spacing w:after="0" w:line="240" w:lineRule="auto"/>
              <w:rPr>
                <w:i/>
                <w:sz w:val="16"/>
                <w:szCs w:val="16"/>
              </w:rPr>
            </w:pPr>
            <w:r w:rsidRPr="00913551">
              <w:rPr>
                <w:i/>
                <w:sz w:val="16"/>
                <w:szCs w:val="16"/>
              </w:rPr>
              <w:t>Total includes 416 unknown in 2014 (half year) and 720 unknown in 2015 (half year).</w:t>
            </w:r>
          </w:p>
        </w:tc>
      </w:tr>
    </w:tbl>
    <w:p w:rsidR="009822B8" w:rsidRDefault="009822B8">
      <w:pPr>
        <w:rPr>
          <w:color w:val="7F7F7F" w:themeColor="text2"/>
        </w:rPr>
      </w:pPr>
    </w:p>
    <w:p w:rsidR="009822B8" w:rsidRDefault="009822B8">
      <w:pPr>
        <w:rPr>
          <w:color w:val="7F7F7F" w:themeColor="text2"/>
        </w:rPr>
      </w:pPr>
    </w:p>
    <w:p w:rsidR="000515A3" w:rsidRDefault="000515A3">
      <w:pPr>
        <w:rPr>
          <w:rFonts w:cs="Arial"/>
          <w:b/>
          <w:bCs/>
          <w:sz w:val="19"/>
          <w:szCs w:val="19"/>
        </w:rPr>
      </w:pPr>
      <w:r>
        <w:br w:type="page"/>
      </w:r>
    </w:p>
    <w:p w:rsidR="00A10517" w:rsidRPr="00DE7971" w:rsidRDefault="00A10517" w:rsidP="00A10517">
      <w:pPr>
        <w:pStyle w:val="Heading3"/>
        <w:spacing w:after="120"/>
        <w:rPr>
          <w:color w:val="7F7F7F" w:themeColor="text2"/>
        </w:rPr>
      </w:pPr>
      <w:r w:rsidRPr="00DE7971">
        <w:rPr>
          <w:color w:val="7F7F7F" w:themeColor="text2"/>
        </w:rPr>
        <w:lastRenderedPageBreak/>
        <w:t>Domestic Fee-For-Service Students by Age Group</w:t>
      </w: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752281" w:rsidTr="003603BF">
        <w:tc>
          <w:tcPr>
            <w:tcW w:w="1134" w:type="dxa"/>
            <w:tcMar>
              <w:left w:w="0" w:type="dxa"/>
              <w:right w:w="0" w:type="dxa"/>
            </w:tcMar>
          </w:tcPr>
          <w:p w:rsidR="00752281" w:rsidRDefault="00752281" w:rsidP="00C33510">
            <w:pPr>
              <w:pStyle w:val="Quote"/>
              <w:tabs>
                <w:tab w:val="left" w:pos="1134"/>
              </w:tabs>
              <w:rPr>
                <w:b w:val="0"/>
                <w:color w:val="B41F22" w:themeColor="accent1"/>
              </w:rPr>
            </w:pPr>
            <w:r>
              <w:rPr>
                <w:b w:val="0"/>
                <w:color w:val="B41F22" w:themeColor="accent1"/>
              </w:rPr>
              <w:t>Table 1.1</w:t>
            </w:r>
            <w:r w:rsidR="0084117E">
              <w:rPr>
                <w:b w:val="0"/>
                <w:color w:val="B41F22" w:themeColor="accent1"/>
              </w:rPr>
              <w:t>8</w:t>
            </w:r>
            <w:r>
              <w:rPr>
                <w:b w:val="0"/>
                <w:color w:val="B41F22" w:themeColor="accent1"/>
              </w:rPr>
              <w:t>:</w:t>
            </w:r>
          </w:p>
        </w:tc>
        <w:tc>
          <w:tcPr>
            <w:tcW w:w="6946" w:type="dxa"/>
            <w:tcMar>
              <w:left w:w="0" w:type="dxa"/>
              <w:right w:w="0" w:type="dxa"/>
            </w:tcMar>
          </w:tcPr>
          <w:p w:rsidR="00752281" w:rsidRPr="009822B8" w:rsidRDefault="00C170BB" w:rsidP="00752281">
            <w:pPr>
              <w:pStyle w:val="Quote"/>
              <w:tabs>
                <w:tab w:val="left" w:pos="1134"/>
              </w:tabs>
              <w:rPr>
                <w:b w:val="0"/>
                <w:color w:val="B41F22" w:themeColor="accent1"/>
              </w:rPr>
            </w:pPr>
            <w:r>
              <w:rPr>
                <w:b w:val="0"/>
                <w:color w:val="B41F22" w:themeColor="accent1"/>
              </w:rPr>
              <w:t>D</w:t>
            </w:r>
            <w:r w:rsidR="00752281" w:rsidRPr="00752281">
              <w:rPr>
                <w:b w:val="0"/>
                <w:color w:val="B41F22" w:themeColor="accent1"/>
              </w:rPr>
              <w:t>omestic students enrolled in fee-for-service training by age group, 2014 to 2015 (half year)</w:t>
            </w:r>
          </w:p>
        </w:tc>
      </w:tr>
    </w:tbl>
    <w:tbl>
      <w:tblPr>
        <w:tblW w:w="8095" w:type="dxa"/>
        <w:tblInd w:w="93" w:type="dxa"/>
        <w:tblLayout w:type="fixed"/>
        <w:tblLook w:val="04A0" w:firstRow="1" w:lastRow="0" w:firstColumn="1" w:lastColumn="0" w:noHBand="0" w:noVBand="1"/>
      </w:tblPr>
      <w:tblGrid>
        <w:gridCol w:w="2310"/>
        <w:gridCol w:w="1687"/>
        <w:gridCol w:w="1688"/>
        <w:gridCol w:w="993"/>
        <w:gridCol w:w="1417"/>
      </w:tblGrid>
      <w:tr w:rsidR="00752281" w:rsidRPr="00752281" w:rsidTr="00752281">
        <w:trPr>
          <w:trHeight w:val="454"/>
        </w:trPr>
        <w:tc>
          <w:tcPr>
            <w:tcW w:w="2310" w:type="dxa"/>
            <w:tcBorders>
              <w:top w:val="nil"/>
              <w:left w:val="nil"/>
              <w:bottom w:val="nil"/>
              <w:right w:val="nil"/>
            </w:tcBorders>
            <w:shd w:val="clear" w:color="000000" w:fill="7F7F7F"/>
            <w:noWrap/>
            <w:vAlign w:val="bottom"/>
            <w:hideMark/>
          </w:tcPr>
          <w:p w:rsidR="00752281" w:rsidRPr="00752281" w:rsidRDefault="00752281" w:rsidP="00752281">
            <w:pPr>
              <w:rPr>
                <w:rFonts w:cs="Arial"/>
                <w:color w:val="FFFFFF"/>
                <w:szCs w:val="18"/>
                <w:lang w:eastAsia="en-AU"/>
              </w:rPr>
            </w:pPr>
            <w:r w:rsidRPr="00752281">
              <w:rPr>
                <w:rFonts w:cs="Arial"/>
                <w:color w:val="FFFFFF"/>
                <w:szCs w:val="18"/>
                <w:lang w:eastAsia="en-AU"/>
              </w:rPr>
              <w:t> </w:t>
            </w:r>
          </w:p>
        </w:tc>
        <w:tc>
          <w:tcPr>
            <w:tcW w:w="1687" w:type="dxa"/>
            <w:tcBorders>
              <w:top w:val="nil"/>
              <w:left w:val="nil"/>
              <w:bottom w:val="nil"/>
              <w:right w:val="nil"/>
            </w:tcBorders>
            <w:shd w:val="clear" w:color="000000" w:fill="7F7F7F"/>
            <w:noWrap/>
            <w:vAlign w:val="bottom"/>
            <w:hideMark/>
          </w:tcPr>
          <w:p w:rsidR="00752281" w:rsidRPr="00752281" w:rsidRDefault="00752281" w:rsidP="00752281">
            <w:pPr>
              <w:jc w:val="right"/>
              <w:rPr>
                <w:rFonts w:cs="Arial"/>
                <w:b/>
                <w:bCs/>
                <w:color w:val="FFFFFF"/>
                <w:szCs w:val="18"/>
                <w:lang w:eastAsia="en-AU"/>
              </w:rPr>
            </w:pPr>
            <w:r w:rsidRPr="00752281">
              <w:rPr>
                <w:rFonts w:cs="Arial"/>
                <w:b/>
                <w:bCs/>
                <w:color w:val="FFFFFF"/>
                <w:szCs w:val="18"/>
                <w:lang w:eastAsia="en-AU"/>
              </w:rPr>
              <w:t>2014</w:t>
            </w:r>
          </w:p>
        </w:tc>
        <w:tc>
          <w:tcPr>
            <w:tcW w:w="1688" w:type="dxa"/>
            <w:tcBorders>
              <w:top w:val="nil"/>
              <w:left w:val="nil"/>
              <w:bottom w:val="nil"/>
              <w:right w:val="nil"/>
            </w:tcBorders>
            <w:shd w:val="clear" w:color="000000" w:fill="7F7F7F"/>
            <w:noWrap/>
            <w:vAlign w:val="bottom"/>
            <w:hideMark/>
          </w:tcPr>
          <w:p w:rsidR="00752281" w:rsidRPr="00752281" w:rsidRDefault="00752281" w:rsidP="00752281">
            <w:pPr>
              <w:jc w:val="right"/>
              <w:rPr>
                <w:rFonts w:cs="Arial"/>
                <w:b/>
                <w:bCs/>
                <w:color w:val="FFFFFF"/>
                <w:szCs w:val="18"/>
                <w:lang w:eastAsia="en-AU"/>
              </w:rPr>
            </w:pPr>
            <w:r w:rsidRPr="00752281">
              <w:rPr>
                <w:rFonts w:cs="Arial"/>
                <w:b/>
                <w:bCs/>
                <w:color w:val="FFFFFF"/>
                <w:szCs w:val="18"/>
                <w:lang w:eastAsia="en-AU"/>
              </w:rPr>
              <w:t>2015</w:t>
            </w:r>
          </w:p>
        </w:tc>
        <w:tc>
          <w:tcPr>
            <w:tcW w:w="993" w:type="dxa"/>
            <w:tcBorders>
              <w:top w:val="nil"/>
              <w:left w:val="nil"/>
              <w:bottom w:val="nil"/>
              <w:right w:val="nil"/>
            </w:tcBorders>
            <w:shd w:val="clear" w:color="000000" w:fill="7F7F7F"/>
            <w:noWrap/>
            <w:vAlign w:val="bottom"/>
            <w:hideMark/>
          </w:tcPr>
          <w:p w:rsidR="00752281" w:rsidRPr="00752281" w:rsidRDefault="00752281" w:rsidP="00752281">
            <w:pPr>
              <w:jc w:val="right"/>
              <w:rPr>
                <w:rFonts w:cs="Arial"/>
                <w:b/>
                <w:bCs/>
                <w:color w:val="FFFFFF"/>
                <w:szCs w:val="18"/>
                <w:lang w:eastAsia="en-AU"/>
              </w:rPr>
            </w:pPr>
            <w:r w:rsidRPr="00752281">
              <w:rPr>
                <w:rFonts w:cs="Arial"/>
                <w:b/>
                <w:bCs/>
                <w:color w:val="FFFFFF"/>
                <w:szCs w:val="18"/>
                <w:lang w:eastAsia="en-AU"/>
              </w:rPr>
              <w:t> </w:t>
            </w:r>
          </w:p>
        </w:tc>
        <w:tc>
          <w:tcPr>
            <w:tcW w:w="1417" w:type="dxa"/>
            <w:tcBorders>
              <w:top w:val="nil"/>
              <w:left w:val="nil"/>
              <w:bottom w:val="nil"/>
              <w:right w:val="nil"/>
            </w:tcBorders>
            <w:shd w:val="clear" w:color="000000" w:fill="7F7F7F"/>
            <w:vAlign w:val="bottom"/>
            <w:hideMark/>
          </w:tcPr>
          <w:p w:rsidR="00752281" w:rsidRPr="00752281" w:rsidRDefault="00752281" w:rsidP="00752281">
            <w:pPr>
              <w:jc w:val="right"/>
              <w:rPr>
                <w:rFonts w:cs="Arial"/>
                <w:b/>
                <w:bCs/>
                <w:color w:val="FFFFFF"/>
                <w:szCs w:val="18"/>
                <w:lang w:eastAsia="en-AU"/>
              </w:rPr>
            </w:pPr>
            <w:r w:rsidRPr="00752281">
              <w:rPr>
                <w:rFonts w:cs="Arial"/>
                <w:b/>
                <w:bCs/>
                <w:color w:val="FFFFFF"/>
                <w:szCs w:val="18"/>
                <w:lang w:eastAsia="en-AU"/>
              </w:rPr>
              <w:t>% change 2014 to 2015</w:t>
            </w:r>
          </w:p>
        </w:tc>
      </w:tr>
      <w:tr w:rsidR="00752281" w:rsidRPr="00752281" w:rsidTr="00752281">
        <w:trPr>
          <w:trHeight w:val="300"/>
        </w:trPr>
        <w:tc>
          <w:tcPr>
            <w:tcW w:w="2310" w:type="dxa"/>
            <w:tcBorders>
              <w:top w:val="nil"/>
              <w:left w:val="nil"/>
              <w:bottom w:val="nil"/>
              <w:right w:val="nil"/>
            </w:tcBorders>
            <w:shd w:val="clear" w:color="auto" w:fill="auto"/>
            <w:noWrap/>
            <w:vAlign w:val="center"/>
            <w:hideMark/>
          </w:tcPr>
          <w:p w:rsidR="00752281" w:rsidRPr="00752281" w:rsidRDefault="00752281" w:rsidP="00752281">
            <w:pPr>
              <w:rPr>
                <w:rFonts w:cs="Arial"/>
                <w:color w:val="7F7F7F"/>
                <w:szCs w:val="18"/>
                <w:lang w:eastAsia="en-AU"/>
              </w:rPr>
            </w:pPr>
            <w:r w:rsidRPr="00752281">
              <w:rPr>
                <w:rFonts w:cs="Arial"/>
                <w:color w:val="7F7F7F"/>
                <w:szCs w:val="18"/>
                <w:lang w:eastAsia="en-AU"/>
              </w:rPr>
              <w:t>15 to 19</w:t>
            </w:r>
          </w:p>
        </w:tc>
        <w:tc>
          <w:tcPr>
            <w:tcW w:w="1687" w:type="dxa"/>
            <w:tcBorders>
              <w:top w:val="nil"/>
              <w:left w:val="nil"/>
              <w:bottom w:val="nil"/>
              <w:right w:val="nil"/>
            </w:tcBorders>
            <w:shd w:val="clear" w:color="auto" w:fill="auto"/>
            <w:noWrap/>
            <w:vAlign w:val="center"/>
            <w:hideMark/>
          </w:tcPr>
          <w:p w:rsidR="00752281" w:rsidRPr="00752281" w:rsidRDefault="00752281" w:rsidP="00752281">
            <w:pPr>
              <w:jc w:val="right"/>
              <w:rPr>
                <w:rFonts w:cs="Arial"/>
                <w:color w:val="7F7F7F"/>
                <w:szCs w:val="18"/>
                <w:lang w:eastAsia="en-AU"/>
              </w:rPr>
            </w:pPr>
            <w:r w:rsidRPr="00752281">
              <w:rPr>
                <w:rFonts w:cs="Arial"/>
                <w:color w:val="7F7F7F"/>
                <w:szCs w:val="18"/>
                <w:lang w:eastAsia="en-AU"/>
              </w:rPr>
              <w:t>26,680</w:t>
            </w:r>
          </w:p>
        </w:tc>
        <w:tc>
          <w:tcPr>
            <w:tcW w:w="1688" w:type="dxa"/>
            <w:tcBorders>
              <w:top w:val="nil"/>
              <w:left w:val="nil"/>
              <w:bottom w:val="nil"/>
              <w:right w:val="nil"/>
            </w:tcBorders>
            <w:shd w:val="clear" w:color="auto" w:fill="auto"/>
            <w:noWrap/>
            <w:vAlign w:val="center"/>
            <w:hideMark/>
          </w:tcPr>
          <w:p w:rsidR="00752281" w:rsidRPr="00752281" w:rsidRDefault="00752281" w:rsidP="00752281">
            <w:pPr>
              <w:jc w:val="right"/>
              <w:rPr>
                <w:rFonts w:cs="Arial"/>
                <w:color w:val="7F7F7F"/>
                <w:szCs w:val="18"/>
                <w:lang w:eastAsia="en-AU"/>
              </w:rPr>
            </w:pPr>
            <w:r w:rsidRPr="00752281">
              <w:rPr>
                <w:rFonts w:cs="Arial"/>
                <w:color w:val="7F7F7F"/>
                <w:szCs w:val="18"/>
                <w:lang w:eastAsia="en-AU"/>
              </w:rPr>
              <w:t>28,062</w:t>
            </w:r>
          </w:p>
        </w:tc>
        <w:tc>
          <w:tcPr>
            <w:tcW w:w="993" w:type="dxa"/>
            <w:tcBorders>
              <w:top w:val="nil"/>
              <w:left w:val="nil"/>
              <w:bottom w:val="nil"/>
              <w:right w:val="nil"/>
            </w:tcBorders>
            <w:shd w:val="clear" w:color="auto" w:fill="auto"/>
            <w:noWrap/>
            <w:vAlign w:val="center"/>
            <w:hideMark/>
          </w:tcPr>
          <w:p w:rsidR="00752281" w:rsidRPr="00752281" w:rsidRDefault="00752281" w:rsidP="00752281">
            <w:pPr>
              <w:rPr>
                <w:rFonts w:cs="Arial"/>
                <w:color w:val="7F7F7F"/>
                <w:szCs w:val="18"/>
                <w:lang w:eastAsia="en-AU"/>
              </w:rPr>
            </w:pPr>
          </w:p>
        </w:tc>
        <w:tc>
          <w:tcPr>
            <w:tcW w:w="1417" w:type="dxa"/>
            <w:tcBorders>
              <w:top w:val="nil"/>
              <w:left w:val="nil"/>
              <w:bottom w:val="nil"/>
              <w:right w:val="nil"/>
            </w:tcBorders>
            <w:shd w:val="clear" w:color="auto" w:fill="auto"/>
            <w:noWrap/>
            <w:vAlign w:val="center"/>
            <w:hideMark/>
          </w:tcPr>
          <w:p w:rsidR="00752281" w:rsidRPr="00752281" w:rsidRDefault="00752281" w:rsidP="00752281">
            <w:pPr>
              <w:jc w:val="right"/>
              <w:rPr>
                <w:rFonts w:cs="Arial"/>
                <w:color w:val="7F7F7F"/>
                <w:szCs w:val="18"/>
                <w:lang w:eastAsia="en-AU"/>
              </w:rPr>
            </w:pPr>
            <w:r w:rsidRPr="00752281">
              <w:rPr>
                <w:rFonts w:cs="Arial"/>
                <w:color w:val="7F7F7F"/>
                <w:szCs w:val="18"/>
                <w:lang w:eastAsia="en-AU"/>
              </w:rPr>
              <w:t>5%</w:t>
            </w:r>
          </w:p>
        </w:tc>
      </w:tr>
      <w:tr w:rsidR="00752281" w:rsidRPr="00752281" w:rsidTr="00752281">
        <w:trPr>
          <w:trHeight w:val="300"/>
        </w:trPr>
        <w:tc>
          <w:tcPr>
            <w:tcW w:w="2310" w:type="dxa"/>
            <w:tcBorders>
              <w:top w:val="nil"/>
              <w:left w:val="nil"/>
              <w:bottom w:val="nil"/>
              <w:right w:val="nil"/>
            </w:tcBorders>
            <w:shd w:val="clear" w:color="auto" w:fill="auto"/>
            <w:noWrap/>
            <w:vAlign w:val="center"/>
            <w:hideMark/>
          </w:tcPr>
          <w:p w:rsidR="00752281" w:rsidRPr="00752281" w:rsidRDefault="00752281" w:rsidP="00752281">
            <w:pPr>
              <w:rPr>
                <w:rFonts w:cs="Arial"/>
                <w:color w:val="7F7F7F"/>
                <w:szCs w:val="18"/>
                <w:lang w:eastAsia="en-AU"/>
              </w:rPr>
            </w:pPr>
            <w:r w:rsidRPr="00752281">
              <w:rPr>
                <w:rFonts w:cs="Arial"/>
                <w:color w:val="7F7F7F"/>
                <w:szCs w:val="18"/>
                <w:lang w:eastAsia="en-AU"/>
              </w:rPr>
              <w:t>20 to 24</w:t>
            </w:r>
          </w:p>
        </w:tc>
        <w:tc>
          <w:tcPr>
            <w:tcW w:w="1687" w:type="dxa"/>
            <w:tcBorders>
              <w:top w:val="nil"/>
              <w:left w:val="nil"/>
              <w:bottom w:val="nil"/>
              <w:right w:val="nil"/>
            </w:tcBorders>
            <w:shd w:val="clear" w:color="auto" w:fill="auto"/>
            <w:noWrap/>
            <w:vAlign w:val="center"/>
            <w:hideMark/>
          </w:tcPr>
          <w:p w:rsidR="00752281" w:rsidRPr="00752281" w:rsidRDefault="00752281" w:rsidP="00752281">
            <w:pPr>
              <w:jc w:val="right"/>
              <w:rPr>
                <w:rFonts w:cs="Arial"/>
                <w:color w:val="7F7F7F"/>
                <w:szCs w:val="18"/>
                <w:lang w:eastAsia="en-AU"/>
              </w:rPr>
            </w:pPr>
            <w:r w:rsidRPr="00752281">
              <w:rPr>
                <w:rFonts w:cs="Arial"/>
                <w:color w:val="7F7F7F"/>
                <w:szCs w:val="18"/>
                <w:lang w:eastAsia="en-AU"/>
              </w:rPr>
              <w:t>17,625</w:t>
            </w:r>
          </w:p>
        </w:tc>
        <w:tc>
          <w:tcPr>
            <w:tcW w:w="1688" w:type="dxa"/>
            <w:tcBorders>
              <w:top w:val="nil"/>
              <w:left w:val="nil"/>
              <w:bottom w:val="nil"/>
              <w:right w:val="nil"/>
            </w:tcBorders>
            <w:shd w:val="clear" w:color="auto" w:fill="auto"/>
            <w:noWrap/>
            <w:vAlign w:val="center"/>
            <w:hideMark/>
          </w:tcPr>
          <w:p w:rsidR="00752281" w:rsidRPr="00752281" w:rsidRDefault="00752281" w:rsidP="00752281">
            <w:pPr>
              <w:jc w:val="right"/>
              <w:rPr>
                <w:rFonts w:cs="Arial"/>
                <w:color w:val="7F7F7F"/>
                <w:szCs w:val="18"/>
                <w:lang w:eastAsia="en-AU"/>
              </w:rPr>
            </w:pPr>
            <w:r w:rsidRPr="00752281">
              <w:rPr>
                <w:rFonts w:cs="Arial"/>
                <w:color w:val="7F7F7F"/>
                <w:szCs w:val="18"/>
                <w:lang w:eastAsia="en-AU"/>
              </w:rPr>
              <w:t>19,984</w:t>
            </w:r>
          </w:p>
        </w:tc>
        <w:tc>
          <w:tcPr>
            <w:tcW w:w="993" w:type="dxa"/>
            <w:tcBorders>
              <w:top w:val="nil"/>
              <w:left w:val="nil"/>
              <w:bottom w:val="nil"/>
              <w:right w:val="nil"/>
            </w:tcBorders>
            <w:shd w:val="clear" w:color="auto" w:fill="auto"/>
            <w:noWrap/>
            <w:vAlign w:val="center"/>
            <w:hideMark/>
          </w:tcPr>
          <w:p w:rsidR="00752281" w:rsidRPr="00752281" w:rsidRDefault="00752281" w:rsidP="00752281">
            <w:pPr>
              <w:rPr>
                <w:rFonts w:cs="Arial"/>
                <w:color w:val="7F7F7F"/>
                <w:szCs w:val="18"/>
                <w:lang w:eastAsia="en-AU"/>
              </w:rPr>
            </w:pPr>
          </w:p>
        </w:tc>
        <w:tc>
          <w:tcPr>
            <w:tcW w:w="1417" w:type="dxa"/>
            <w:tcBorders>
              <w:top w:val="nil"/>
              <w:left w:val="nil"/>
              <w:bottom w:val="nil"/>
              <w:right w:val="nil"/>
            </w:tcBorders>
            <w:shd w:val="clear" w:color="auto" w:fill="auto"/>
            <w:noWrap/>
            <w:vAlign w:val="center"/>
            <w:hideMark/>
          </w:tcPr>
          <w:p w:rsidR="00752281" w:rsidRPr="00752281" w:rsidRDefault="00752281" w:rsidP="00752281">
            <w:pPr>
              <w:jc w:val="right"/>
              <w:rPr>
                <w:rFonts w:cs="Arial"/>
                <w:color w:val="7F7F7F"/>
                <w:szCs w:val="18"/>
                <w:lang w:eastAsia="en-AU"/>
              </w:rPr>
            </w:pPr>
            <w:r w:rsidRPr="00752281">
              <w:rPr>
                <w:rFonts w:cs="Arial"/>
                <w:color w:val="7F7F7F"/>
                <w:szCs w:val="18"/>
                <w:lang w:eastAsia="en-AU"/>
              </w:rPr>
              <w:t>13%</w:t>
            </w:r>
          </w:p>
        </w:tc>
      </w:tr>
      <w:tr w:rsidR="00752281" w:rsidRPr="00752281" w:rsidTr="00752281">
        <w:trPr>
          <w:trHeight w:val="300"/>
        </w:trPr>
        <w:tc>
          <w:tcPr>
            <w:tcW w:w="2310" w:type="dxa"/>
            <w:tcBorders>
              <w:top w:val="nil"/>
              <w:left w:val="nil"/>
              <w:bottom w:val="nil"/>
              <w:right w:val="nil"/>
            </w:tcBorders>
            <w:shd w:val="clear" w:color="auto" w:fill="auto"/>
            <w:noWrap/>
            <w:vAlign w:val="center"/>
            <w:hideMark/>
          </w:tcPr>
          <w:p w:rsidR="00752281" w:rsidRPr="00752281" w:rsidRDefault="00752281" w:rsidP="00752281">
            <w:pPr>
              <w:rPr>
                <w:rFonts w:cs="Arial"/>
                <w:color w:val="7F7F7F"/>
                <w:szCs w:val="18"/>
                <w:lang w:eastAsia="en-AU"/>
              </w:rPr>
            </w:pPr>
            <w:r w:rsidRPr="00752281">
              <w:rPr>
                <w:rFonts w:cs="Arial"/>
                <w:color w:val="7F7F7F"/>
                <w:szCs w:val="18"/>
                <w:lang w:eastAsia="en-AU"/>
              </w:rPr>
              <w:t>25 to 44</w:t>
            </w:r>
          </w:p>
        </w:tc>
        <w:tc>
          <w:tcPr>
            <w:tcW w:w="1687" w:type="dxa"/>
            <w:tcBorders>
              <w:top w:val="nil"/>
              <w:left w:val="nil"/>
              <w:bottom w:val="nil"/>
              <w:right w:val="nil"/>
            </w:tcBorders>
            <w:shd w:val="clear" w:color="auto" w:fill="auto"/>
            <w:noWrap/>
            <w:vAlign w:val="center"/>
            <w:hideMark/>
          </w:tcPr>
          <w:p w:rsidR="00752281" w:rsidRPr="00752281" w:rsidRDefault="00752281" w:rsidP="00752281">
            <w:pPr>
              <w:jc w:val="right"/>
              <w:rPr>
                <w:rFonts w:cs="Arial"/>
                <w:color w:val="7F7F7F"/>
                <w:szCs w:val="18"/>
                <w:lang w:eastAsia="en-AU"/>
              </w:rPr>
            </w:pPr>
            <w:r w:rsidRPr="00752281">
              <w:rPr>
                <w:rFonts w:cs="Arial"/>
                <w:color w:val="7F7F7F"/>
                <w:szCs w:val="18"/>
                <w:lang w:eastAsia="en-AU"/>
              </w:rPr>
              <w:t>55,189</w:t>
            </w:r>
          </w:p>
        </w:tc>
        <w:tc>
          <w:tcPr>
            <w:tcW w:w="1688" w:type="dxa"/>
            <w:tcBorders>
              <w:top w:val="nil"/>
              <w:left w:val="nil"/>
              <w:bottom w:val="nil"/>
              <w:right w:val="nil"/>
            </w:tcBorders>
            <w:shd w:val="clear" w:color="auto" w:fill="auto"/>
            <w:noWrap/>
            <w:vAlign w:val="center"/>
            <w:hideMark/>
          </w:tcPr>
          <w:p w:rsidR="00752281" w:rsidRPr="00752281" w:rsidRDefault="00752281" w:rsidP="00752281">
            <w:pPr>
              <w:jc w:val="right"/>
              <w:rPr>
                <w:rFonts w:cs="Arial"/>
                <w:color w:val="7F7F7F"/>
                <w:szCs w:val="18"/>
                <w:lang w:eastAsia="en-AU"/>
              </w:rPr>
            </w:pPr>
            <w:r w:rsidRPr="00752281">
              <w:rPr>
                <w:rFonts w:cs="Arial"/>
                <w:color w:val="7F7F7F"/>
                <w:szCs w:val="18"/>
                <w:lang w:eastAsia="en-AU"/>
              </w:rPr>
              <w:t>62,076</w:t>
            </w:r>
          </w:p>
        </w:tc>
        <w:tc>
          <w:tcPr>
            <w:tcW w:w="993" w:type="dxa"/>
            <w:tcBorders>
              <w:top w:val="nil"/>
              <w:left w:val="nil"/>
              <w:bottom w:val="nil"/>
              <w:right w:val="nil"/>
            </w:tcBorders>
            <w:shd w:val="clear" w:color="auto" w:fill="auto"/>
            <w:noWrap/>
            <w:vAlign w:val="center"/>
            <w:hideMark/>
          </w:tcPr>
          <w:p w:rsidR="00752281" w:rsidRPr="00752281" w:rsidRDefault="00752281" w:rsidP="00752281">
            <w:pPr>
              <w:rPr>
                <w:rFonts w:cs="Arial"/>
                <w:color w:val="7F7F7F"/>
                <w:szCs w:val="18"/>
                <w:lang w:eastAsia="en-AU"/>
              </w:rPr>
            </w:pPr>
          </w:p>
        </w:tc>
        <w:tc>
          <w:tcPr>
            <w:tcW w:w="1417" w:type="dxa"/>
            <w:tcBorders>
              <w:top w:val="nil"/>
              <w:left w:val="nil"/>
              <w:bottom w:val="nil"/>
              <w:right w:val="nil"/>
            </w:tcBorders>
            <w:shd w:val="clear" w:color="auto" w:fill="auto"/>
            <w:noWrap/>
            <w:vAlign w:val="center"/>
            <w:hideMark/>
          </w:tcPr>
          <w:p w:rsidR="00752281" w:rsidRPr="00752281" w:rsidRDefault="00752281" w:rsidP="00752281">
            <w:pPr>
              <w:jc w:val="right"/>
              <w:rPr>
                <w:rFonts w:cs="Arial"/>
                <w:color w:val="7F7F7F"/>
                <w:szCs w:val="18"/>
                <w:lang w:eastAsia="en-AU"/>
              </w:rPr>
            </w:pPr>
            <w:r w:rsidRPr="00752281">
              <w:rPr>
                <w:rFonts w:cs="Arial"/>
                <w:color w:val="7F7F7F"/>
                <w:szCs w:val="18"/>
                <w:lang w:eastAsia="en-AU"/>
              </w:rPr>
              <w:t>12%</w:t>
            </w:r>
          </w:p>
        </w:tc>
      </w:tr>
      <w:tr w:rsidR="00752281" w:rsidRPr="00752281" w:rsidTr="00752281">
        <w:trPr>
          <w:trHeight w:val="300"/>
        </w:trPr>
        <w:tc>
          <w:tcPr>
            <w:tcW w:w="2310" w:type="dxa"/>
            <w:tcBorders>
              <w:top w:val="nil"/>
              <w:left w:val="nil"/>
              <w:bottom w:val="nil"/>
              <w:right w:val="nil"/>
            </w:tcBorders>
            <w:shd w:val="clear" w:color="auto" w:fill="auto"/>
            <w:noWrap/>
            <w:vAlign w:val="center"/>
            <w:hideMark/>
          </w:tcPr>
          <w:p w:rsidR="00752281" w:rsidRPr="00752281" w:rsidRDefault="00752281" w:rsidP="00752281">
            <w:pPr>
              <w:rPr>
                <w:rFonts w:cs="Arial"/>
                <w:color w:val="7F7F7F"/>
                <w:szCs w:val="18"/>
                <w:lang w:eastAsia="en-AU"/>
              </w:rPr>
            </w:pPr>
            <w:r w:rsidRPr="00752281">
              <w:rPr>
                <w:rFonts w:cs="Arial"/>
                <w:color w:val="7F7F7F"/>
                <w:szCs w:val="18"/>
                <w:lang w:eastAsia="en-AU"/>
              </w:rPr>
              <w:t>45 to 64</w:t>
            </w:r>
          </w:p>
        </w:tc>
        <w:tc>
          <w:tcPr>
            <w:tcW w:w="1687" w:type="dxa"/>
            <w:tcBorders>
              <w:top w:val="nil"/>
              <w:left w:val="nil"/>
              <w:bottom w:val="nil"/>
              <w:right w:val="nil"/>
            </w:tcBorders>
            <w:shd w:val="clear" w:color="auto" w:fill="auto"/>
            <w:noWrap/>
            <w:vAlign w:val="center"/>
            <w:hideMark/>
          </w:tcPr>
          <w:p w:rsidR="00752281" w:rsidRPr="00752281" w:rsidRDefault="00752281" w:rsidP="00752281">
            <w:pPr>
              <w:jc w:val="right"/>
              <w:rPr>
                <w:rFonts w:cs="Arial"/>
                <w:color w:val="7F7F7F"/>
                <w:szCs w:val="18"/>
                <w:lang w:eastAsia="en-AU"/>
              </w:rPr>
            </w:pPr>
            <w:r w:rsidRPr="00752281">
              <w:rPr>
                <w:rFonts w:cs="Arial"/>
                <w:color w:val="7F7F7F"/>
                <w:szCs w:val="18"/>
                <w:lang w:eastAsia="en-AU"/>
              </w:rPr>
              <w:t>29,567</w:t>
            </w:r>
          </w:p>
        </w:tc>
        <w:tc>
          <w:tcPr>
            <w:tcW w:w="1688" w:type="dxa"/>
            <w:tcBorders>
              <w:top w:val="nil"/>
              <w:left w:val="nil"/>
              <w:bottom w:val="nil"/>
              <w:right w:val="nil"/>
            </w:tcBorders>
            <w:shd w:val="clear" w:color="auto" w:fill="auto"/>
            <w:noWrap/>
            <w:vAlign w:val="center"/>
            <w:hideMark/>
          </w:tcPr>
          <w:p w:rsidR="00752281" w:rsidRPr="00752281" w:rsidRDefault="00752281" w:rsidP="00752281">
            <w:pPr>
              <w:jc w:val="right"/>
              <w:rPr>
                <w:rFonts w:cs="Arial"/>
                <w:color w:val="7F7F7F"/>
                <w:szCs w:val="18"/>
                <w:lang w:eastAsia="en-AU"/>
              </w:rPr>
            </w:pPr>
            <w:r w:rsidRPr="00752281">
              <w:rPr>
                <w:rFonts w:cs="Arial"/>
                <w:color w:val="7F7F7F"/>
                <w:szCs w:val="18"/>
                <w:lang w:eastAsia="en-AU"/>
              </w:rPr>
              <w:t>32,474</w:t>
            </w:r>
          </w:p>
        </w:tc>
        <w:tc>
          <w:tcPr>
            <w:tcW w:w="993" w:type="dxa"/>
            <w:tcBorders>
              <w:top w:val="nil"/>
              <w:left w:val="nil"/>
              <w:bottom w:val="nil"/>
              <w:right w:val="nil"/>
            </w:tcBorders>
            <w:shd w:val="clear" w:color="auto" w:fill="auto"/>
            <w:noWrap/>
            <w:vAlign w:val="center"/>
            <w:hideMark/>
          </w:tcPr>
          <w:p w:rsidR="00752281" w:rsidRPr="00752281" w:rsidRDefault="00752281" w:rsidP="00752281">
            <w:pPr>
              <w:rPr>
                <w:rFonts w:cs="Arial"/>
                <w:color w:val="7F7F7F"/>
                <w:szCs w:val="18"/>
                <w:lang w:eastAsia="en-AU"/>
              </w:rPr>
            </w:pPr>
          </w:p>
        </w:tc>
        <w:tc>
          <w:tcPr>
            <w:tcW w:w="1417" w:type="dxa"/>
            <w:tcBorders>
              <w:top w:val="nil"/>
              <w:left w:val="nil"/>
              <w:bottom w:val="nil"/>
              <w:right w:val="nil"/>
            </w:tcBorders>
            <w:shd w:val="clear" w:color="auto" w:fill="auto"/>
            <w:noWrap/>
            <w:vAlign w:val="center"/>
            <w:hideMark/>
          </w:tcPr>
          <w:p w:rsidR="00752281" w:rsidRPr="00752281" w:rsidRDefault="00752281" w:rsidP="00752281">
            <w:pPr>
              <w:jc w:val="right"/>
              <w:rPr>
                <w:rFonts w:cs="Arial"/>
                <w:color w:val="7F7F7F"/>
                <w:szCs w:val="18"/>
                <w:lang w:eastAsia="en-AU"/>
              </w:rPr>
            </w:pPr>
            <w:r w:rsidRPr="00752281">
              <w:rPr>
                <w:rFonts w:cs="Arial"/>
                <w:color w:val="7F7F7F"/>
                <w:szCs w:val="18"/>
                <w:lang w:eastAsia="en-AU"/>
              </w:rPr>
              <w:t>10%</w:t>
            </w:r>
          </w:p>
        </w:tc>
      </w:tr>
      <w:tr w:rsidR="00752281" w:rsidRPr="00752281" w:rsidTr="00752281">
        <w:trPr>
          <w:trHeight w:val="300"/>
        </w:trPr>
        <w:tc>
          <w:tcPr>
            <w:tcW w:w="2310" w:type="dxa"/>
            <w:tcBorders>
              <w:top w:val="nil"/>
              <w:left w:val="nil"/>
              <w:bottom w:val="nil"/>
              <w:right w:val="nil"/>
            </w:tcBorders>
            <w:shd w:val="clear" w:color="auto" w:fill="auto"/>
            <w:noWrap/>
            <w:vAlign w:val="center"/>
            <w:hideMark/>
          </w:tcPr>
          <w:p w:rsidR="00752281" w:rsidRPr="00752281" w:rsidRDefault="00752281" w:rsidP="00752281">
            <w:pPr>
              <w:rPr>
                <w:rFonts w:cs="Arial"/>
                <w:color w:val="7F7F7F"/>
                <w:szCs w:val="18"/>
                <w:lang w:eastAsia="en-AU"/>
              </w:rPr>
            </w:pPr>
            <w:r w:rsidRPr="00752281">
              <w:rPr>
                <w:rFonts w:cs="Arial"/>
                <w:color w:val="7F7F7F"/>
                <w:szCs w:val="18"/>
                <w:lang w:eastAsia="en-AU"/>
              </w:rPr>
              <w:t>Other**</w:t>
            </w:r>
          </w:p>
        </w:tc>
        <w:tc>
          <w:tcPr>
            <w:tcW w:w="1687" w:type="dxa"/>
            <w:tcBorders>
              <w:top w:val="nil"/>
              <w:left w:val="nil"/>
              <w:bottom w:val="nil"/>
              <w:right w:val="nil"/>
            </w:tcBorders>
            <w:shd w:val="clear" w:color="auto" w:fill="auto"/>
            <w:noWrap/>
            <w:vAlign w:val="center"/>
            <w:hideMark/>
          </w:tcPr>
          <w:p w:rsidR="00752281" w:rsidRPr="00752281" w:rsidRDefault="00752281" w:rsidP="00752281">
            <w:pPr>
              <w:jc w:val="right"/>
              <w:rPr>
                <w:rFonts w:cs="Arial"/>
                <w:color w:val="7F7F7F"/>
                <w:szCs w:val="18"/>
                <w:lang w:eastAsia="en-AU"/>
              </w:rPr>
            </w:pPr>
            <w:r w:rsidRPr="00752281">
              <w:rPr>
                <w:rFonts w:cs="Arial"/>
                <w:color w:val="7F7F7F"/>
                <w:szCs w:val="18"/>
                <w:lang w:eastAsia="en-AU"/>
              </w:rPr>
              <w:t>2,622</w:t>
            </w:r>
          </w:p>
        </w:tc>
        <w:tc>
          <w:tcPr>
            <w:tcW w:w="1688" w:type="dxa"/>
            <w:tcBorders>
              <w:top w:val="nil"/>
              <w:left w:val="nil"/>
              <w:bottom w:val="nil"/>
              <w:right w:val="nil"/>
            </w:tcBorders>
            <w:shd w:val="clear" w:color="auto" w:fill="auto"/>
            <w:noWrap/>
            <w:vAlign w:val="center"/>
            <w:hideMark/>
          </w:tcPr>
          <w:p w:rsidR="00752281" w:rsidRPr="00752281" w:rsidRDefault="00752281" w:rsidP="00752281">
            <w:pPr>
              <w:jc w:val="right"/>
              <w:rPr>
                <w:rFonts w:cs="Arial"/>
                <w:color w:val="7F7F7F"/>
                <w:szCs w:val="18"/>
                <w:lang w:eastAsia="en-AU"/>
              </w:rPr>
            </w:pPr>
            <w:r w:rsidRPr="00752281">
              <w:rPr>
                <w:rFonts w:cs="Arial"/>
                <w:color w:val="7F7F7F"/>
                <w:szCs w:val="18"/>
                <w:lang w:eastAsia="en-AU"/>
              </w:rPr>
              <w:t>2,847</w:t>
            </w:r>
          </w:p>
        </w:tc>
        <w:tc>
          <w:tcPr>
            <w:tcW w:w="993" w:type="dxa"/>
            <w:tcBorders>
              <w:top w:val="nil"/>
              <w:left w:val="nil"/>
              <w:bottom w:val="nil"/>
              <w:right w:val="nil"/>
            </w:tcBorders>
            <w:shd w:val="clear" w:color="auto" w:fill="auto"/>
            <w:noWrap/>
            <w:vAlign w:val="center"/>
            <w:hideMark/>
          </w:tcPr>
          <w:p w:rsidR="00752281" w:rsidRPr="00752281" w:rsidRDefault="00752281" w:rsidP="00752281">
            <w:pPr>
              <w:rPr>
                <w:rFonts w:cs="Arial"/>
                <w:color w:val="7F7F7F"/>
                <w:szCs w:val="18"/>
                <w:lang w:eastAsia="en-AU"/>
              </w:rPr>
            </w:pPr>
          </w:p>
        </w:tc>
        <w:tc>
          <w:tcPr>
            <w:tcW w:w="1417" w:type="dxa"/>
            <w:tcBorders>
              <w:top w:val="nil"/>
              <w:left w:val="nil"/>
              <w:bottom w:val="nil"/>
              <w:right w:val="nil"/>
            </w:tcBorders>
            <w:shd w:val="clear" w:color="auto" w:fill="auto"/>
            <w:noWrap/>
            <w:vAlign w:val="center"/>
            <w:hideMark/>
          </w:tcPr>
          <w:p w:rsidR="00752281" w:rsidRPr="00752281" w:rsidRDefault="00752281" w:rsidP="00752281">
            <w:pPr>
              <w:jc w:val="right"/>
              <w:rPr>
                <w:rFonts w:cs="Arial"/>
                <w:color w:val="7F7F7F"/>
                <w:szCs w:val="18"/>
                <w:lang w:eastAsia="en-AU"/>
              </w:rPr>
            </w:pPr>
            <w:r w:rsidRPr="00752281">
              <w:rPr>
                <w:rFonts w:cs="Arial"/>
                <w:color w:val="7F7F7F"/>
                <w:szCs w:val="18"/>
                <w:lang w:eastAsia="en-AU"/>
              </w:rPr>
              <w:t>9%</w:t>
            </w:r>
          </w:p>
        </w:tc>
      </w:tr>
      <w:tr w:rsidR="00752281" w:rsidRPr="00752281" w:rsidTr="00752281">
        <w:trPr>
          <w:trHeight w:val="300"/>
        </w:trPr>
        <w:tc>
          <w:tcPr>
            <w:tcW w:w="2310" w:type="dxa"/>
            <w:tcBorders>
              <w:top w:val="nil"/>
              <w:left w:val="nil"/>
              <w:bottom w:val="nil"/>
              <w:right w:val="nil"/>
            </w:tcBorders>
            <w:shd w:val="clear" w:color="000000" w:fill="7F7F7F"/>
            <w:noWrap/>
            <w:vAlign w:val="center"/>
            <w:hideMark/>
          </w:tcPr>
          <w:p w:rsidR="00752281" w:rsidRPr="00752281" w:rsidRDefault="00752281" w:rsidP="00752281">
            <w:pPr>
              <w:rPr>
                <w:rFonts w:cs="Arial"/>
                <w:b/>
                <w:bCs/>
                <w:color w:val="FFFFFF"/>
                <w:szCs w:val="18"/>
                <w:lang w:eastAsia="en-AU"/>
              </w:rPr>
            </w:pPr>
            <w:r w:rsidRPr="00752281">
              <w:rPr>
                <w:rFonts w:cs="Arial"/>
                <w:b/>
                <w:bCs/>
                <w:color w:val="FFFFFF"/>
                <w:szCs w:val="18"/>
                <w:lang w:eastAsia="en-AU"/>
              </w:rPr>
              <w:t>Total</w:t>
            </w:r>
          </w:p>
        </w:tc>
        <w:tc>
          <w:tcPr>
            <w:tcW w:w="1687" w:type="dxa"/>
            <w:tcBorders>
              <w:top w:val="nil"/>
              <w:left w:val="nil"/>
              <w:bottom w:val="nil"/>
              <w:right w:val="nil"/>
            </w:tcBorders>
            <w:shd w:val="clear" w:color="000000" w:fill="7F7F7F"/>
            <w:noWrap/>
            <w:vAlign w:val="center"/>
            <w:hideMark/>
          </w:tcPr>
          <w:p w:rsidR="00752281" w:rsidRPr="00752281" w:rsidRDefault="00752281" w:rsidP="00752281">
            <w:pPr>
              <w:jc w:val="right"/>
              <w:rPr>
                <w:rFonts w:cs="Arial"/>
                <w:b/>
                <w:bCs/>
                <w:color w:val="FFFFFF"/>
                <w:szCs w:val="18"/>
                <w:lang w:eastAsia="en-AU"/>
              </w:rPr>
            </w:pPr>
            <w:r w:rsidRPr="00752281">
              <w:rPr>
                <w:rFonts w:cs="Arial"/>
                <w:b/>
                <w:bCs/>
                <w:color w:val="FFFFFF"/>
                <w:szCs w:val="18"/>
                <w:lang w:eastAsia="en-AU"/>
              </w:rPr>
              <w:t>131,683</w:t>
            </w:r>
          </w:p>
        </w:tc>
        <w:tc>
          <w:tcPr>
            <w:tcW w:w="1688" w:type="dxa"/>
            <w:tcBorders>
              <w:top w:val="nil"/>
              <w:left w:val="nil"/>
              <w:bottom w:val="nil"/>
              <w:right w:val="nil"/>
            </w:tcBorders>
            <w:shd w:val="clear" w:color="000000" w:fill="7F7F7F"/>
            <w:noWrap/>
            <w:vAlign w:val="center"/>
            <w:hideMark/>
          </w:tcPr>
          <w:p w:rsidR="00752281" w:rsidRPr="00752281" w:rsidRDefault="00752281" w:rsidP="00752281">
            <w:pPr>
              <w:jc w:val="right"/>
              <w:rPr>
                <w:rFonts w:cs="Arial"/>
                <w:b/>
                <w:bCs/>
                <w:color w:val="FFFFFF"/>
                <w:szCs w:val="18"/>
                <w:lang w:eastAsia="en-AU"/>
              </w:rPr>
            </w:pPr>
            <w:r w:rsidRPr="00752281">
              <w:rPr>
                <w:rFonts w:cs="Arial"/>
                <w:b/>
                <w:bCs/>
                <w:color w:val="FFFFFF"/>
                <w:szCs w:val="18"/>
                <w:lang w:eastAsia="en-AU"/>
              </w:rPr>
              <w:t>145,443</w:t>
            </w:r>
          </w:p>
        </w:tc>
        <w:tc>
          <w:tcPr>
            <w:tcW w:w="993" w:type="dxa"/>
            <w:tcBorders>
              <w:top w:val="nil"/>
              <w:left w:val="nil"/>
              <w:bottom w:val="nil"/>
              <w:right w:val="nil"/>
            </w:tcBorders>
            <w:shd w:val="clear" w:color="000000" w:fill="7F7F7F"/>
            <w:noWrap/>
            <w:vAlign w:val="center"/>
            <w:hideMark/>
          </w:tcPr>
          <w:p w:rsidR="00752281" w:rsidRPr="00752281" w:rsidRDefault="00752281" w:rsidP="00752281">
            <w:pPr>
              <w:rPr>
                <w:rFonts w:cs="Arial"/>
                <w:b/>
                <w:bCs/>
                <w:color w:val="FFFFFF"/>
                <w:szCs w:val="18"/>
                <w:lang w:eastAsia="en-AU"/>
              </w:rPr>
            </w:pPr>
            <w:r w:rsidRPr="00752281">
              <w:rPr>
                <w:rFonts w:cs="Arial"/>
                <w:b/>
                <w:bCs/>
                <w:color w:val="FFFFFF"/>
                <w:szCs w:val="18"/>
                <w:lang w:eastAsia="en-AU"/>
              </w:rPr>
              <w:t> </w:t>
            </w:r>
          </w:p>
        </w:tc>
        <w:tc>
          <w:tcPr>
            <w:tcW w:w="1417" w:type="dxa"/>
            <w:tcBorders>
              <w:top w:val="nil"/>
              <w:left w:val="nil"/>
              <w:bottom w:val="nil"/>
              <w:right w:val="nil"/>
            </w:tcBorders>
            <w:shd w:val="clear" w:color="000000" w:fill="7F7F7F"/>
            <w:noWrap/>
            <w:vAlign w:val="center"/>
            <w:hideMark/>
          </w:tcPr>
          <w:p w:rsidR="00752281" w:rsidRPr="00752281" w:rsidRDefault="00752281" w:rsidP="00752281">
            <w:pPr>
              <w:jc w:val="right"/>
              <w:rPr>
                <w:rFonts w:cs="Arial"/>
                <w:b/>
                <w:bCs/>
                <w:color w:val="FFFFFF"/>
                <w:szCs w:val="18"/>
                <w:lang w:eastAsia="en-AU"/>
              </w:rPr>
            </w:pPr>
            <w:r w:rsidRPr="00752281">
              <w:rPr>
                <w:rFonts w:cs="Arial"/>
                <w:b/>
                <w:bCs/>
                <w:color w:val="FFFFFF"/>
                <w:szCs w:val="18"/>
                <w:lang w:eastAsia="en-AU"/>
              </w:rPr>
              <w:t>10%</w:t>
            </w:r>
          </w:p>
        </w:tc>
      </w:tr>
    </w:tbl>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4A0" w:firstRow="1" w:lastRow="0" w:firstColumn="1" w:lastColumn="0" w:noHBand="0" w:noVBand="1"/>
      </w:tblPr>
      <w:tblGrid>
        <w:gridCol w:w="431"/>
        <w:gridCol w:w="7649"/>
      </w:tblGrid>
      <w:tr w:rsidR="00752281" w:rsidRPr="00913551" w:rsidTr="003603BF">
        <w:tc>
          <w:tcPr>
            <w:tcW w:w="431" w:type="dxa"/>
            <w:tcMar>
              <w:left w:w="0" w:type="dxa"/>
              <w:right w:w="28" w:type="dxa"/>
            </w:tcMar>
          </w:tcPr>
          <w:p w:rsidR="00752281" w:rsidRPr="00913551" w:rsidRDefault="00752281" w:rsidP="003603BF">
            <w:pPr>
              <w:spacing w:after="0" w:line="240" w:lineRule="auto"/>
              <w:jc w:val="right"/>
              <w:rPr>
                <w:color w:val="7F7F7F" w:themeColor="text2"/>
                <w:sz w:val="16"/>
                <w:szCs w:val="16"/>
              </w:rPr>
            </w:pPr>
            <w:r w:rsidRPr="00913551">
              <w:rPr>
                <w:color w:val="7F7F7F" w:themeColor="text2"/>
                <w:sz w:val="16"/>
                <w:szCs w:val="16"/>
              </w:rPr>
              <w:t>*</w:t>
            </w:r>
          </w:p>
        </w:tc>
        <w:tc>
          <w:tcPr>
            <w:tcW w:w="7649" w:type="dxa"/>
            <w:tcMar>
              <w:left w:w="0" w:type="dxa"/>
              <w:right w:w="28" w:type="dxa"/>
            </w:tcMar>
          </w:tcPr>
          <w:p w:rsidR="00752281" w:rsidRPr="00913551" w:rsidRDefault="00752281" w:rsidP="003603BF">
            <w:pPr>
              <w:spacing w:after="0" w:line="240" w:lineRule="auto"/>
              <w:rPr>
                <w:i/>
                <w:sz w:val="16"/>
                <w:szCs w:val="16"/>
              </w:rPr>
            </w:pPr>
            <w:r w:rsidRPr="00913551">
              <w:rPr>
                <w:i/>
                <w:color w:val="7F7F7F" w:themeColor="text2"/>
                <w:sz w:val="16"/>
                <w:szCs w:val="16"/>
              </w:rPr>
              <w:t>'Other' includes age under 15 years old, 65 years and over or not stated.</w:t>
            </w:r>
          </w:p>
        </w:tc>
      </w:tr>
    </w:tbl>
    <w:p w:rsidR="004A63CB" w:rsidRDefault="004A63CB" w:rsidP="004A63CB">
      <w:pPr>
        <w:rPr>
          <w:color w:val="7F7F7F" w:themeColor="text2"/>
        </w:rPr>
      </w:pPr>
    </w:p>
    <w:p w:rsidR="004A63CB" w:rsidRDefault="004A63CB">
      <w:pPr>
        <w:rPr>
          <w:color w:val="7F7F7F" w:themeColor="text2"/>
        </w:rPr>
      </w:pPr>
    </w:p>
    <w:p w:rsidR="00253B8B" w:rsidRPr="00DE7971" w:rsidRDefault="00A10517" w:rsidP="00A10517">
      <w:pPr>
        <w:pStyle w:val="Heading3"/>
        <w:spacing w:after="120"/>
        <w:rPr>
          <w:color w:val="7F7F7F" w:themeColor="text2"/>
        </w:rPr>
      </w:pPr>
      <w:r w:rsidRPr="00DE7971">
        <w:rPr>
          <w:color w:val="7F7F7F" w:themeColor="text2"/>
        </w:rPr>
        <w:t xml:space="preserve">Domestic Fee-For-Service Enrolments by </w:t>
      </w:r>
      <w:r w:rsidR="00253B8B" w:rsidRPr="00DE7971">
        <w:rPr>
          <w:color w:val="7F7F7F" w:themeColor="text2"/>
        </w:rPr>
        <w:t>Delivery Region</w:t>
      </w:r>
    </w:p>
    <w:p w:rsidR="00253B8B" w:rsidRPr="002F6569" w:rsidRDefault="00253B8B" w:rsidP="00253B8B">
      <w:pPr>
        <w:rPr>
          <w:color w:val="7F7F7F" w:themeColor="text2"/>
        </w:rPr>
      </w:pPr>
      <w:r w:rsidRPr="002F6569">
        <w:rPr>
          <w:color w:val="7F7F7F" w:themeColor="text2"/>
        </w:rPr>
        <w:t xml:space="preserve">This section focuses on the delivery of fee-for-service training by location as defined by </w:t>
      </w:r>
      <w:r w:rsidR="003603BF" w:rsidRPr="002F6569">
        <w:rPr>
          <w:color w:val="7F7F7F" w:themeColor="text2"/>
        </w:rPr>
        <w:t>four Departmental administrative regions and nine regional areas.</w:t>
      </w:r>
      <w:r w:rsidRPr="002F6569">
        <w:rPr>
          <w:color w:val="7F7F7F" w:themeColor="text2"/>
        </w:rPr>
        <w:t xml:space="preserve"> </w:t>
      </w:r>
      <w:proofErr w:type="gramStart"/>
      <w:r w:rsidRPr="002F6569">
        <w:rPr>
          <w:color w:val="7F7F7F" w:themeColor="text2"/>
        </w:rPr>
        <w:t>Training courses can be undertaken by both students who live locally and students who travel from outside the local area</w:t>
      </w:r>
      <w:proofErr w:type="gramEnd"/>
      <w:r w:rsidRPr="002F6569">
        <w:rPr>
          <w:color w:val="7F7F7F" w:themeColor="text2"/>
        </w:rPr>
        <w:t>.</w:t>
      </w:r>
    </w:p>
    <w:p w:rsidR="00253B8B" w:rsidRDefault="00253B8B">
      <w:pPr>
        <w:rPr>
          <w:color w:val="7F7F7F" w:themeColor="text2"/>
        </w:rPr>
      </w:pP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3603BF" w:rsidTr="003603BF">
        <w:tc>
          <w:tcPr>
            <w:tcW w:w="1134" w:type="dxa"/>
            <w:tcMar>
              <w:left w:w="0" w:type="dxa"/>
              <w:right w:w="0" w:type="dxa"/>
            </w:tcMar>
          </w:tcPr>
          <w:p w:rsidR="003603BF" w:rsidRDefault="003603BF" w:rsidP="0084117E">
            <w:pPr>
              <w:pStyle w:val="Quote"/>
              <w:tabs>
                <w:tab w:val="left" w:pos="1134"/>
              </w:tabs>
              <w:rPr>
                <w:b w:val="0"/>
                <w:color w:val="B41F22" w:themeColor="accent1"/>
              </w:rPr>
            </w:pPr>
            <w:r>
              <w:rPr>
                <w:b w:val="0"/>
                <w:color w:val="B41F22" w:themeColor="accent1"/>
              </w:rPr>
              <w:t>Table 1.1</w:t>
            </w:r>
            <w:r w:rsidR="0084117E">
              <w:rPr>
                <w:b w:val="0"/>
                <w:color w:val="B41F22" w:themeColor="accent1"/>
              </w:rPr>
              <w:t>9</w:t>
            </w:r>
            <w:r>
              <w:rPr>
                <w:b w:val="0"/>
                <w:color w:val="B41F22" w:themeColor="accent1"/>
              </w:rPr>
              <w:t>.1:</w:t>
            </w:r>
          </w:p>
        </w:tc>
        <w:tc>
          <w:tcPr>
            <w:tcW w:w="6946" w:type="dxa"/>
            <w:tcMar>
              <w:left w:w="0" w:type="dxa"/>
              <w:right w:w="0" w:type="dxa"/>
            </w:tcMar>
          </w:tcPr>
          <w:p w:rsidR="003603BF" w:rsidRPr="003603BF" w:rsidRDefault="003603BF" w:rsidP="003603BF">
            <w:pPr>
              <w:pStyle w:val="Quote"/>
              <w:tabs>
                <w:tab w:val="left" w:pos="1134"/>
              </w:tabs>
              <w:rPr>
                <w:b w:val="0"/>
                <w:color w:val="B41F22" w:themeColor="accent1"/>
              </w:rPr>
            </w:pPr>
            <w:r w:rsidRPr="003603BF">
              <w:rPr>
                <w:b w:val="0"/>
                <w:color w:val="B41F22" w:themeColor="accent1"/>
              </w:rPr>
              <w:t xml:space="preserve">Fee-for-service domestic enrolments by </w:t>
            </w:r>
            <w:r>
              <w:rPr>
                <w:b w:val="0"/>
                <w:color w:val="B41F22" w:themeColor="accent1"/>
              </w:rPr>
              <w:t xml:space="preserve">Departmental administrative </w:t>
            </w:r>
            <w:r w:rsidRPr="003603BF">
              <w:rPr>
                <w:b w:val="0"/>
                <w:color w:val="B41F22" w:themeColor="accent1"/>
              </w:rPr>
              <w:t>delivery region, 2014 to 2015 (half year)</w:t>
            </w:r>
          </w:p>
        </w:tc>
      </w:tr>
    </w:tbl>
    <w:tbl>
      <w:tblPr>
        <w:tblW w:w="8095" w:type="dxa"/>
        <w:tblInd w:w="93" w:type="dxa"/>
        <w:tblLayout w:type="fixed"/>
        <w:tblLook w:val="04A0" w:firstRow="1" w:lastRow="0" w:firstColumn="1" w:lastColumn="0" w:noHBand="0" w:noVBand="1"/>
      </w:tblPr>
      <w:tblGrid>
        <w:gridCol w:w="2456"/>
        <w:gridCol w:w="1528"/>
        <w:gridCol w:w="1701"/>
        <w:gridCol w:w="993"/>
        <w:gridCol w:w="1417"/>
      </w:tblGrid>
      <w:tr w:rsidR="00F37B64" w:rsidRPr="00F37B64" w:rsidTr="00F37B64">
        <w:trPr>
          <w:trHeight w:val="454"/>
        </w:trPr>
        <w:tc>
          <w:tcPr>
            <w:tcW w:w="2456" w:type="dxa"/>
            <w:tcBorders>
              <w:top w:val="nil"/>
              <w:left w:val="nil"/>
              <w:bottom w:val="nil"/>
              <w:right w:val="nil"/>
            </w:tcBorders>
            <w:shd w:val="clear" w:color="000000" w:fill="7F7F7F"/>
            <w:noWrap/>
            <w:vAlign w:val="bottom"/>
            <w:hideMark/>
          </w:tcPr>
          <w:p w:rsidR="00F37B64" w:rsidRPr="00F37B64" w:rsidRDefault="00F37B64" w:rsidP="00F37B64">
            <w:pPr>
              <w:rPr>
                <w:rFonts w:cs="Arial"/>
                <w:color w:val="FFFFFF"/>
                <w:szCs w:val="18"/>
                <w:lang w:eastAsia="en-AU"/>
              </w:rPr>
            </w:pPr>
            <w:r w:rsidRPr="00F37B64">
              <w:rPr>
                <w:rFonts w:cs="Arial"/>
                <w:color w:val="FFFFFF"/>
                <w:szCs w:val="18"/>
                <w:lang w:eastAsia="en-AU"/>
              </w:rPr>
              <w:t> </w:t>
            </w:r>
          </w:p>
        </w:tc>
        <w:tc>
          <w:tcPr>
            <w:tcW w:w="1528" w:type="dxa"/>
            <w:tcBorders>
              <w:top w:val="nil"/>
              <w:left w:val="nil"/>
              <w:bottom w:val="nil"/>
              <w:right w:val="nil"/>
            </w:tcBorders>
            <w:shd w:val="clear" w:color="000000" w:fill="7F7F7F"/>
            <w:noWrap/>
            <w:vAlign w:val="bottom"/>
            <w:hideMark/>
          </w:tcPr>
          <w:p w:rsidR="00F37B64" w:rsidRPr="00F37B64" w:rsidRDefault="00F37B64" w:rsidP="00F37B64">
            <w:pPr>
              <w:jc w:val="right"/>
              <w:rPr>
                <w:rFonts w:cs="Arial"/>
                <w:b/>
                <w:bCs/>
                <w:color w:val="FFFFFF"/>
                <w:szCs w:val="18"/>
                <w:lang w:eastAsia="en-AU"/>
              </w:rPr>
            </w:pPr>
            <w:r w:rsidRPr="00F37B64">
              <w:rPr>
                <w:rFonts w:cs="Arial"/>
                <w:b/>
                <w:bCs/>
                <w:color w:val="FFFFFF"/>
                <w:szCs w:val="18"/>
                <w:lang w:eastAsia="en-AU"/>
              </w:rPr>
              <w:t>2014</w:t>
            </w:r>
          </w:p>
        </w:tc>
        <w:tc>
          <w:tcPr>
            <w:tcW w:w="1701" w:type="dxa"/>
            <w:tcBorders>
              <w:top w:val="nil"/>
              <w:left w:val="nil"/>
              <w:bottom w:val="nil"/>
              <w:right w:val="nil"/>
            </w:tcBorders>
            <w:shd w:val="clear" w:color="000000" w:fill="7F7F7F"/>
            <w:noWrap/>
            <w:vAlign w:val="bottom"/>
            <w:hideMark/>
          </w:tcPr>
          <w:p w:rsidR="00F37B64" w:rsidRPr="00F37B64" w:rsidRDefault="00F37B64" w:rsidP="00F37B64">
            <w:pPr>
              <w:jc w:val="right"/>
              <w:rPr>
                <w:rFonts w:cs="Arial"/>
                <w:b/>
                <w:bCs/>
                <w:color w:val="FFFFFF"/>
                <w:szCs w:val="18"/>
                <w:lang w:eastAsia="en-AU"/>
              </w:rPr>
            </w:pPr>
            <w:r w:rsidRPr="00F37B64">
              <w:rPr>
                <w:rFonts w:cs="Arial"/>
                <w:b/>
                <w:bCs/>
                <w:color w:val="FFFFFF"/>
                <w:szCs w:val="18"/>
                <w:lang w:eastAsia="en-AU"/>
              </w:rPr>
              <w:t>2015</w:t>
            </w:r>
          </w:p>
        </w:tc>
        <w:tc>
          <w:tcPr>
            <w:tcW w:w="993" w:type="dxa"/>
            <w:tcBorders>
              <w:top w:val="nil"/>
              <w:left w:val="nil"/>
              <w:bottom w:val="nil"/>
              <w:right w:val="nil"/>
            </w:tcBorders>
            <w:shd w:val="clear" w:color="000000" w:fill="7F7F7F"/>
            <w:noWrap/>
            <w:vAlign w:val="bottom"/>
            <w:hideMark/>
          </w:tcPr>
          <w:p w:rsidR="00F37B64" w:rsidRPr="00F37B64" w:rsidRDefault="00F37B64" w:rsidP="00F37B64">
            <w:pPr>
              <w:jc w:val="right"/>
              <w:rPr>
                <w:rFonts w:cs="Arial"/>
                <w:b/>
                <w:bCs/>
                <w:color w:val="FFFFFF"/>
                <w:szCs w:val="18"/>
                <w:lang w:eastAsia="en-AU"/>
              </w:rPr>
            </w:pPr>
            <w:r w:rsidRPr="00F37B64">
              <w:rPr>
                <w:rFonts w:cs="Arial"/>
                <w:b/>
                <w:bCs/>
                <w:color w:val="FFFFFF"/>
                <w:szCs w:val="18"/>
                <w:lang w:eastAsia="en-AU"/>
              </w:rPr>
              <w:t> </w:t>
            </w:r>
          </w:p>
        </w:tc>
        <w:tc>
          <w:tcPr>
            <w:tcW w:w="1417" w:type="dxa"/>
            <w:tcBorders>
              <w:top w:val="nil"/>
              <w:left w:val="nil"/>
              <w:bottom w:val="nil"/>
              <w:right w:val="nil"/>
            </w:tcBorders>
            <w:shd w:val="clear" w:color="000000" w:fill="7F7F7F"/>
            <w:vAlign w:val="bottom"/>
            <w:hideMark/>
          </w:tcPr>
          <w:p w:rsidR="00F37B64" w:rsidRPr="00F37B64" w:rsidRDefault="00F37B64" w:rsidP="00F37B64">
            <w:pPr>
              <w:jc w:val="right"/>
              <w:rPr>
                <w:rFonts w:cs="Arial"/>
                <w:b/>
                <w:bCs/>
                <w:color w:val="FFFFFF"/>
                <w:szCs w:val="18"/>
                <w:lang w:eastAsia="en-AU"/>
              </w:rPr>
            </w:pPr>
            <w:r w:rsidRPr="00F37B64">
              <w:rPr>
                <w:rFonts w:cs="Arial"/>
                <w:b/>
                <w:bCs/>
                <w:color w:val="FFFFFF"/>
                <w:szCs w:val="18"/>
                <w:lang w:eastAsia="en-AU"/>
              </w:rPr>
              <w:t>% change 2014 to 2015</w:t>
            </w:r>
          </w:p>
        </w:tc>
      </w:tr>
      <w:tr w:rsidR="00F37B64" w:rsidRPr="00F37B64" w:rsidTr="00F37B64">
        <w:trPr>
          <w:trHeight w:val="300"/>
        </w:trPr>
        <w:tc>
          <w:tcPr>
            <w:tcW w:w="2456" w:type="dxa"/>
            <w:tcBorders>
              <w:top w:val="nil"/>
              <w:left w:val="nil"/>
              <w:bottom w:val="nil"/>
              <w:right w:val="nil"/>
            </w:tcBorders>
            <w:shd w:val="clear" w:color="auto" w:fill="auto"/>
            <w:noWrap/>
            <w:vAlign w:val="center"/>
            <w:hideMark/>
          </w:tcPr>
          <w:p w:rsidR="00F37B64" w:rsidRPr="00F37B64" w:rsidRDefault="00F37B64" w:rsidP="00F37B64">
            <w:pPr>
              <w:rPr>
                <w:rFonts w:cs="Arial"/>
                <w:color w:val="7F7F7F"/>
                <w:szCs w:val="18"/>
                <w:lang w:eastAsia="en-AU"/>
              </w:rPr>
            </w:pPr>
            <w:r w:rsidRPr="00F37B64">
              <w:rPr>
                <w:rFonts w:cs="Arial"/>
                <w:color w:val="7F7F7F"/>
                <w:szCs w:val="18"/>
                <w:lang w:eastAsia="en-AU"/>
              </w:rPr>
              <w:t>North-Eastern Victoria</w:t>
            </w:r>
          </w:p>
        </w:tc>
        <w:tc>
          <w:tcPr>
            <w:tcW w:w="1528" w:type="dxa"/>
            <w:tcBorders>
              <w:top w:val="nil"/>
              <w:left w:val="nil"/>
              <w:bottom w:val="nil"/>
              <w:right w:val="nil"/>
            </w:tcBorders>
            <w:shd w:val="clear" w:color="auto" w:fill="auto"/>
            <w:noWrap/>
            <w:vAlign w:val="center"/>
            <w:hideMark/>
          </w:tcPr>
          <w:p w:rsidR="00F37B64" w:rsidRPr="00F37B64" w:rsidRDefault="00F37B64" w:rsidP="00F37B64">
            <w:pPr>
              <w:jc w:val="right"/>
              <w:rPr>
                <w:rFonts w:cs="Arial"/>
                <w:color w:val="7F7F7F"/>
                <w:szCs w:val="18"/>
                <w:lang w:eastAsia="en-AU"/>
              </w:rPr>
            </w:pPr>
            <w:r w:rsidRPr="00F37B64">
              <w:rPr>
                <w:rFonts w:cs="Arial"/>
                <w:color w:val="7F7F7F"/>
                <w:szCs w:val="18"/>
                <w:lang w:eastAsia="en-AU"/>
              </w:rPr>
              <w:t>29,073</w:t>
            </w:r>
          </w:p>
        </w:tc>
        <w:tc>
          <w:tcPr>
            <w:tcW w:w="1701" w:type="dxa"/>
            <w:tcBorders>
              <w:top w:val="nil"/>
              <w:left w:val="nil"/>
              <w:bottom w:val="nil"/>
              <w:right w:val="nil"/>
            </w:tcBorders>
            <w:shd w:val="clear" w:color="auto" w:fill="auto"/>
            <w:noWrap/>
            <w:vAlign w:val="center"/>
            <w:hideMark/>
          </w:tcPr>
          <w:p w:rsidR="00F37B64" w:rsidRPr="00F37B64" w:rsidRDefault="00F37B64" w:rsidP="00F37B64">
            <w:pPr>
              <w:jc w:val="right"/>
              <w:rPr>
                <w:rFonts w:cs="Arial"/>
                <w:color w:val="7F7F7F"/>
                <w:szCs w:val="18"/>
                <w:lang w:eastAsia="en-AU"/>
              </w:rPr>
            </w:pPr>
            <w:r w:rsidRPr="00F37B64">
              <w:rPr>
                <w:rFonts w:cs="Arial"/>
                <w:color w:val="7F7F7F"/>
                <w:szCs w:val="18"/>
                <w:lang w:eastAsia="en-AU"/>
              </w:rPr>
              <w:t>33,666</w:t>
            </w:r>
          </w:p>
        </w:tc>
        <w:tc>
          <w:tcPr>
            <w:tcW w:w="993" w:type="dxa"/>
            <w:tcBorders>
              <w:top w:val="nil"/>
              <w:left w:val="nil"/>
              <w:bottom w:val="nil"/>
              <w:right w:val="nil"/>
            </w:tcBorders>
            <w:shd w:val="clear" w:color="auto" w:fill="auto"/>
            <w:noWrap/>
            <w:vAlign w:val="center"/>
            <w:hideMark/>
          </w:tcPr>
          <w:p w:rsidR="00F37B64" w:rsidRPr="00F37B64" w:rsidRDefault="00F37B64" w:rsidP="00F37B64">
            <w:pPr>
              <w:rPr>
                <w:rFonts w:cs="Arial"/>
                <w:color w:val="7F7F7F"/>
                <w:szCs w:val="18"/>
                <w:lang w:eastAsia="en-AU"/>
              </w:rPr>
            </w:pPr>
          </w:p>
        </w:tc>
        <w:tc>
          <w:tcPr>
            <w:tcW w:w="1417" w:type="dxa"/>
            <w:tcBorders>
              <w:top w:val="nil"/>
              <w:left w:val="nil"/>
              <w:bottom w:val="nil"/>
              <w:right w:val="nil"/>
            </w:tcBorders>
            <w:shd w:val="clear" w:color="auto" w:fill="auto"/>
            <w:noWrap/>
            <w:vAlign w:val="center"/>
            <w:hideMark/>
          </w:tcPr>
          <w:p w:rsidR="00F37B64" w:rsidRPr="00F37B64" w:rsidRDefault="00F37B64" w:rsidP="00F37B64">
            <w:pPr>
              <w:jc w:val="right"/>
              <w:rPr>
                <w:rFonts w:cs="Arial"/>
                <w:color w:val="7F7F7F"/>
                <w:szCs w:val="18"/>
                <w:lang w:eastAsia="en-AU"/>
              </w:rPr>
            </w:pPr>
            <w:r w:rsidRPr="00F37B64">
              <w:rPr>
                <w:rFonts w:cs="Arial"/>
                <w:color w:val="7F7F7F"/>
                <w:szCs w:val="18"/>
                <w:lang w:eastAsia="en-AU"/>
              </w:rPr>
              <w:t>16%</w:t>
            </w:r>
          </w:p>
        </w:tc>
      </w:tr>
      <w:tr w:rsidR="00F37B64" w:rsidRPr="00F37B64" w:rsidTr="00F37B64">
        <w:trPr>
          <w:trHeight w:val="300"/>
        </w:trPr>
        <w:tc>
          <w:tcPr>
            <w:tcW w:w="2456" w:type="dxa"/>
            <w:tcBorders>
              <w:top w:val="nil"/>
              <w:left w:val="nil"/>
              <w:bottom w:val="nil"/>
              <w:right w:val="nil"/>
            </w:tcBorders>
            <w:shd w:val="clear" w:color="auto" w:fill="auto"/>
            <w:noWrap/>
            <w:vAlign w:val="center"/>
            <w:hideMark/>
          </w:tcPr>
          <w:p w:rsidR="00F37B64" w:rsidRPr="00F37B64" w:rsidRDefault="00F37B64" w:rsidP="00F37B64">
            <w:pPr>
              <w:rPr>
                <w:rFonts w:cs="Arial"/>
                <w:color w:val="7F7F7F"/>
                <w:szCs w:val="18"/>
                <w:lang w:eastAsia="en-AU"/>
              </w:rPr>
            </w:pPr>
            <w:r w:rsidRPr="00F37B64">
              <w:rPr>
                <w:rFonts w:cs="Arial"/>
                <w:color w:val="7F7F7F"/>
                <w:szCs w:val="18"/>
                <w:lang w:eastAsia="en-AU"/>
              </w:rPr>
              <w:t>North-Western Victoria</w:t>
            </w:r>
          </w:p>
        </w:tc>
        <w:tc>
          <w:tcPr>
            <w:tcW w:w="1528" w:type="dxa"/>
            <w:tcBorders>
              <w:top w:val="nil"/>
              <w:left w:val="nil"/>
              <w:bottom w:val="nil"/>
              <w:right w:val="nil"/>
            </w:tcBorders>
            <w:shd w:val="clear" w:color="auto" w:fill="auto"/>
            <w:noWrap/>
            <w:vAlign w:val="center"/>
            <w:hideMark/>
          </w:tcPr>
          <w:p w:rsidR="00F37B64" w:rsidRPr="00F37B64" w:rsidRDefault="00F37B64" w:rsidP="00F37B64">
            <w:pPr>
              <w:jc w:val="right"/>
              <w:rPr>
                <w:rFonts w:cs="Arial"/>
                <w:color w:val="7F7F7F"/>
                <w:szCs w:val="18"/>
                <w:lang w:eastAsia="en-AU"/>
              </w:rPr>
            </w:pPr>
            <w:r w:rsidRPr="00F37B64">
              <w:rPr>
                <w:rFonts w:cs="Arial"/>
                <w:color w:val="7F7F7F"/>
                <w:szCs w:val="18"/>
                <w:lang w:eastAsia="en-AU"/>
              </w:rPr>
              <w:t>26,409</w:t>
            </w:r>
          </w:p>
        </w:tc>
        <w:tc>
          <w:tcPr>
            <w:tcW w:w="1701" w:type="dxa"/>
            <w:tcBorders>
              <w:top w:val="nil"/>
              <w:left w:val="nil"/>
              <w:bottom w:val="nil"/>
              <w:right w:val="nil"/>
            </w:tcBorders>
            <w:shd w:val="clear" w:color="auto" w:fill="auto"/>
            <w:noWrap/>
            <w:vAlign w:val="center"/>
            <w:hideMark/>
          </w:tcPr>
          <w:p w:rsidR="00F37B64" w:rsidRPr="00F37B64" w:rsidRDefault="00F37B64" w:rsidP="00F37B64">
            <w:pPr>
              <w:jc w:val="right"/>
              <w:rPr>
                <w:rFonts w:cs="Arial"/>
                <w:color w:val="7F7F7F"/>
                <w:szCs w:val="18"/>
                <w:lang w:eastAsia="en-AU"/>
              </w:rPr>
            </w:pPr>
            <w:r w:rsidRPr="00F37B64">
              <w:rPr>
                <w:rFonts w:cs="Arial"/>
                <w:color w:val="7F7F7F"/>
                <w:szCs w:val="18"/>
                <w:lang w:eastAsia="en-AU"/>
              </w:rPr>
              <w:t>28,802</w:t>
            </w:r>
          </w:p>
        </w:tc>
        <w:tc>
          <w:tcPr>
            <w:tcW w:w="993" w:type="dxa"/>
            <w:tcBorders>
              <w:top w:val="nil"/>
              <w:left w:val="nil"/>
              <w:bottom w:val="nil"/>
              <w:right w:val="nil"/>
            </w:tcBorders>
            <w:shd w:val="clear" w:color="auto" w:fill="auto"/>
            <w:noWrap/>
            <w:vAlign w:val="center"/>
            <w:hideMark/>
          </w:tcPr>
          <w:p w:rsidR="00F37B64" w:rsidRPr="00F37B64" w:rsidRDefault="00F37B64" w:rsidP="00F37B64">
            <w:pPr>
              <w:rPr>
                <w:rFonts w:cs="Arial"/>
                <w:color w:val="7F7F7F"/>
                <w:szCs w:val="18"/>
                <w:lang w:eastAsia="en-AU"/>
              </w:rPr>
            </w:pPr>
          </w:p>
        </w:tc>
        <w:tc>
          <w:tcPr>
            <w:tcW w:w="1417" w:type="dxa"/>
            <w:tcBorders>
              <w:top w:val="nil"/>
              <w:left w:val="nil"/>
              <w:bottom w:val="nil"/>
              <w:right w:val="nil"/>
            </w:tcBorders>
            <w:shd w:val="clear" w:color="auto" w:fill="auto"/>
            <w:noWrap/>
            <w:vAlign w:val="center"/>
            <w:hideMark/>
          </w:tcPr>
          <w:p w:rsidR="00F37B64" w:rsidRPr="00F37B64" w:rsidRDefault="00F37B64" w:rsidP="00F37B64">
            <w:pPr>
              <w:jc w:val="right"/>
              <w:rPr>
                <w:rFonts w:cs="Arial"/>
                <w:color w:val="7F7F7F"/>
                <w:szCs w:val="18"/>
                <w:lang w:eastAsia="en-AU"/>
              </w:rPr>
            </w:pPr>
            <w:r w:rsidRPr="00F37B64">
              <w:rPr>
                <w:rFonts w:cs="Arial"/>
                <w:color w:val="7F7F7F"/>
                <w:szCs w:val="18"/>
                <w:lang w:eastAsia="en-AU"/>
              </w:rPr>
              <w:t>9%</w:t>
            </w:r>
          </w:p>
        </w:tc>
      </w:tr>
      <w:tr w:rsidR="00F37B64" w:rsidRPr="00F37B64" w:rsidTr="00F37B64">
        <w:trPr>
          <w:trHeight w:val="300"/>
        </w:trPr>
        <w:tc>
          <w:tcPr>
            <w:tcW w:w="2456" w:type="dxa"/>
            <w:tcBorders>
              <w:top w:val="nil"/>
              <w:left w:val="nil"/>
              <w:bottom w:val="nil"/>
              <w:right w:val="nil"/>
            </w:tcBorders>
            <w:shd w:val="clear" w:color="auto" w:fill="auto"/>
            <w:noWrap/>
            <w:vAlign w:val="center"/>
            <w:hideMark/>
          </w:tcPr>
          <w:p w:rsidR="00F37B64" w:rsidRPr="00F37B64" w:rsidRDefault="00F37B64" w:rsidP="00F37B64">
            <w:pPr>
              <w:rPr>
                <w:rFonts w:cs="Arial"/>
                <w:color w:val="7F7F7F"/>
                <w:szCs w:val="18"/>
                <w:lang w:eastAsia="en-AU"/>
              </w:rPr>
            </w:pPr>
            <w:r w:rsidRPr="00F37B64">
              <w:rPr>
                <w:rFonts w:cs="Arial"/>
                <w:color w:val="7F7F7F"/>
                <w:szCs w:val="18"/>
                <w:lang w:eastAsia="en-AU"/>
              </w:rPr>
              <w:t>South-Eastern Victoria</w:t>
            </w:r>
          </w:p>
        </w:tc>
        <w:tc>
          <w:tcPr>
            <w:tcW w:w="1528" w:type="dxa"/>
            <w:tcBorders>
              <w:top w:val="nil"/>
              <w:left w:val="nil"/>
              <w:bottom w:val="nil"/>
              <w:right w:val="nil"/>
            </w:tcBorders>
            <w:shd w:val="clear" w:color="auto" w:fill="auto"/>
            <w:noWrap/>
            <w:vAlign w:val="center"/>
            <w:hideMark/>
          </w:tcPr>
          <w:p w:rsidR="00F37B64" w:rsidRPr="00F37B64" w:rsidRDefault="00F37B64" w:rsidP="00F37B64">
            <w:pPr>
              <w:jc w:val="right"/>
              <w:rPr>
                <w:rFonts w:cs="Arial"/>
                <w:color w:val="7F7F7F"/>
                <w:szCs w:val="18"/>
                <w:lang w:eastAsia="en-AU"/>
              </w:rPr>
            </w:pPr>
            <w:r w:rsidRPr="00F37B64">
              <w:rPr>
                <w:rFonts w:cs="Arial"/>
                <w:color w:val="7F7F7F"/>
                <w:szCs w:val="18"/>
                <w:lang w:eastAsia="en-AU"/>
              </w:rPr>
              <w:t>37,634</w:t>
            </w:r>
          </w:p>
        </w:tc>
        <w:tc>
          <w:tcPr>
            <w:tcW w:w="1701" w:type="dxa"/>
            <w:tcBorders>
              <w:top w:val="nil"/>
              <w:left w:val="nil"/>
              <w:bottom w:val="nil"/>
              <w:right w:val="nil"/>
            </w:tcBorders>
            <w:shd w:val="clear" w:color="auto" w:fill="auto"/>
            <w:noWrap/>
            <w:vAlign w:val="center"/>
            <w:hideMark/>
          </w:tcPr>
          <w:p w:rsidR="00F37B64" w:rsidRPr="00F37B64" w:rsidRDefault="00F37B64" w:rsidP="00F37B64">
            <w:pPr>
              <w:jc w:val="right"/>
              <w:rPr>
                <w:rFonts w:cs="Arial"/>
                <w:color w:val="7F7F7F"/>
                <w:szCs w:val="18"/>
                <w:lang w:eastAsia="en-AU"/>
              </w:rPr>
            </w:pPr>
            <w:r w:rsidRPr="00F37B64">
              <w:rPr>
                <w:rFonts w:cs="Arial"/>
                <w:color w:val="7F7F7F"/>
                <w:szCs w:val="18"/>
                <w:lang w:eastAsia="en-AU"/>
              </w:rPr>
              <w:t>37,937</w:t>
            </w:r>
          </w:p>
        </w:tc>
        <w:tc>
          <w:tcPr>
            <w:tcW w:w="993" w:type="dxa"/>
            <w:tcBorders>
              <w:top w:val="nil"/>
              <w:left w:val="nil"/>
              <w:bottom w:val="nil"/>
              <w:right w:val="nil"/>
            </w:tcBorders>
            <w:shd w:val="clear" w:color="auto" w:fill="auto"/>
            <w:noWrap/>
            <w:vAlign w:val="center"/>
            <w:hideMark/>
          </w:tcPr>
          <w:p w:rsidR="00F37B64" w:rsidRPr="00F37B64" w:rsidRDefault="00F37B64" w:rsidP="00F37B64">
            <w:pPr>
              <w:rPr>
                <w:rFonts w:cs="Arial"/>
                <w:color w:val="7F7F7F"/>
                <w:szCs w:val="18"/>
                <w:lang w:eastAsia="en-AU"/>
              </w:rPr>
            </w:pPr>
          </w:p>
        </w:tc>
        <w:tc>
          <w:tcPr>
            <w:tcW w:w="1417" w:type="dxa"/>
            <w:tcBorders>
              <w:top w:val="nil"/>
              <w:left w:val="nil"/>
              <w:bottom w:val="nil"/>
              <w:right w:val="nil"/>
            </w:tcBorders>
            <w:shd w:val="clear" w:color="auto" w:fill="auto"/>
            <w:noWrap/>
            <w:vAlign w:val="center"/>
            <w:hideMark/>
          </w:tcPr>
          <w:p w:rsidR="00F37B64" w:rsidRPr="00F37B64" w:rsidRDefault="00F37B64" w:rsidP="00F37B64">
            <w:pPr>
              <w:jc w:val="right"/>
              <w:rPr>
                <w:rFonts w:cs="Arial"/>
                <w:color w:val="7F7F7F"/>
                <w:szCs w:val="18"/>
                <w:lang w:eastAsia="en-AU"/>
              </w:rPr>
            </w:pPr>
            <w:r w:rsidRPr="00F37B64">
              <w:rPr>
                <w:rFonts w:cs="Arial"/>
                <w:color w:val="7F7F7F"/>
                <w:szCs w:val="18"/>
                <w:lang w:eastAsia="en-AU"/>
              </w:rPr>
              <w:t>1%</w:t>
            </w:r>
          </w:p>
        </w:tc>
      </w:tr>
      <w:tr w:rsidR="00F37B64" w:rsidRPr="00F37B64" w:rsidTr="00F37B64">
        <w:trPr>
          <w:trHeight w:val="300"/>
        </w:trPr>
        <w:tc>
          <w:tcPr>
            <w:tcW w:w="2456" w:type="dxa"/>
            <w:tcBorders>
              <w:top w:val="nil"/>
              <w:left w:val="nil"/>
              <w:bottom w:val="nil"/>
              <w:right w:val="nil"/>
            </w:tcBorders>
            <w:shd w:val="clear" w:color="auto" w:fill="auto"/>
            <w:noWrap/>
            <w:vAlign w:val="center"/>
            <w:hideMark/>
          </w:tcPr>
          <w:p w:rsidR="00F37B64" w:rsidRPr="00F37B64" w:rsidRDefault="00F37B64" w:rsidP="004065BE">
            <w:pPr>
              <w:rPr>
                <w:rFonts w:cs="Arial"/>
                <w:color w:val="7F7F7F"/>
                <w:szCs w:val="18"/>
                <w:lang w:eastAsia="en-AU"/>
              </w:rPr>
            </w:pPr>
            <w:r w:rsidRPr="00F37B64">
              <w:rPr>
                <w:rFonts w:cs="Arial"/>
                <w:color w:val="7F7F7F"/>
                <w:szCs w:val="18"/>
                <w:lang w:eastAsia="en-AU"/>
              </w:rPr>
              <w:t>South</w:t>
            </w:r>
            <w:r w:rsidR="004065BE">
              <w:rPr>
                <w:rFonts w:cs="Arial"/>
                <w:color w:val="7F7F7F"/>
                <w:szCs w:val="18"/>
                <w:lang w:eastAsia="en-AU"/>
              </w:rPr>
              <w:t>-</w:t>
            </w:r>
            <w:r w:rsidRPr="00F37B64">
              <w:rPr>
                <w:rFonts w:cs="Arial"/>
                <w:color w:val="7F7F7F"/>
                <w:szCs w:val="18"/>
                <w:lang w:eastAsia="en-AU"/>
              </w:rPr>
              <w:t>Western Victoria</w:t>
            </w:r>
          </w:p>
        </w:tc>
        <w:tc>
          <w:tcPr>
            <w:tcW w:w="1528" w:type="dxa"/>
            <w:tcBorders>
              <w:top w:val="nil"/>
              <w:left w:val="nil"/>
              <w:bottom w:val="nil"/>
              <w:right w:val="nil"/>
            </w:tcBorders>
            <w:shd w:val="clear" w:color="auto" w:fill="auto"/>
            <w:noWrap/>
            <w:vAlign w:val="center"/>
            <w:hideMark/>
          </w:tcPr>
          <w:p w:rsidR="00F37B64" w:rsidRPr="00F37B64" w:rsidRDefault="00F37B64" w:rsidP="00F37B64">
            <w:pPr>
              <w:jc w:val="right"/>
              <w:rPr>
                <w:rFonts w:cs="Arial"/>
                <w:color w:val="7F7F7F"/>
                <w:szCs w:val="18"/>
                <w:lang w:eastAsia="en-AU"/>
              </w:rPr>
            </w:pPr>
            <w:r w:rsidRPr="00F37B64">
              <w:rPr>
                <w:rFonts w:cs="Arial"/>
                <w:color w:val="7F7F7F"/>
                <w:szCs w:val="18"/>
                <w:lang w:eastAsia="en-AU"/>
              </w:rPr>
              <w:t>59,333</w:t>
            </w:r>
          </w:p>
        </w:tc>
        <w:tc>
          <w:tcPr>
            <w:tcW w:w="1701" w:type="dxa"/>
            <w:tcBorders>
              <w:top w:val="nil"/>
              <w:left w:val="nil"/>
              <w:bottom w:val="nil"/>
              <w:right w:val="nil"/>
            </w:tcBorders>
            <w:shd w:val="clear" w:color="auto" w:fill="auto"/>
            <w:noWrap/>
            <w:vAlign w:val="center"/>
            <w:hideMark/>
          </w:tcPr>
          <w:p w:rsidR="00F37B64" w:rsidRPr="00F37B64" w:rsidRDefault="00F37B64" w:rsidP="00F37B64">
            <w:pPr>
              <w:jc w:val="right"/>
              <w:rPr>
                <w:rFonts w:cs="Arial"/>
                <w:color w:val="7F7F7F"/>
                <w:szCs w:val="18"/>
                <w:lang w:eastAsia="en-AU"/>
              </w:rPr>
            </w:pPr>
            <w:r w:rsidRPr="00F37B64">
              <w:rPr>
                <w:rFonts w:cs="Arial"/>
                <w:color w:val="7F7F7F"/>
                <w:szCs w:val="18"/>
                <w:lang w:eastAsia="en-AU"/>
              </w:rPr>
              <w:t>64,715</w:t>
            </w:r>
          </w:p>
        </w:tc>
        <w:tc>
          <w:tcPr>
            <w:tcW w:w="993" w:type="dxa"/>
            <w:tcBorders>
              <w:top w:val="nil"/>
              <w:left w:val="nil"/>
              <w:bottom w:val="nil"/>
              <w:right w:val="nil"/>
            </w:tcBorders>
            <w:shd w:val="clear" w:color="auto" w:fill="auto"/>
            <w:noWrap/>
            <w:vAlign w:val="center"/>
            <w:hideMark/>
          </w:tcPr>
          <w:p w:rsidR="00F37B64" w:rsidRPr="00F37B64" w:rsidRDefault="00F37B64" w:rsidP="00F37B64">
            <w:pPr>
              <w:rPr>
                <w:rFonts w:cs="Arial"/>
                <w:color w:val="7F7F7F"/>
                <w:szCs w:val="18"/>
                <w:lang w:eastAsia="en-AU"/>
              </w:rPr>
            </w:pPr>
          </w:p>
        </w:tc>
        <w:tc>
          <w:tcPr>
            <w:tcW w:w="1417" w:type="dxa"/>
            <w:tcBorders>
              <w:top w:val="nil"/>
              <w:left w:val="nil"/>
              <w:bottom w:val="nil"/>
              <w:right w:val="nil"/>
            </w:tcBorders>
            <w:shd w:val="clear" w:color="auto" w:fill="auto"/>
            <w:noWrap/>
            <w:vAlign w:val="center"/>
            <w:hideMark/>
          </w:tcPr>
          <w:p w:rsidR="00F37B64" w:rsidRPr="00F37B64" w:rsidRDefault="00F37B64" w:rsidP="00F37B64">
            <w:pPr>
              <w:jc w:val="right"/>
              <w:rPr>
                <w:rFonts w:cs="Arial"/>
                <w:color w:val="7F7F7F"/>
                <w:szCs w:val="18"/>
                <w:lang w:eastAsia="en-AU"/>
              </w:rPr>
            </w:pPr>
            <w:r w:rsidRPr="00F37B64">
              <w:rPr>
                <w:rFonts w:cs="Arial"/>
                <w:color w:val="7F7F7F"/>
                <w:szCs w:val="18"/>
                <w:lang w:eastAsia="en-AU"/>
              </w:rPr>
              <w:t>9%</w:t>
            </w:r>
          </w:p>
        </w:tc>
      </w:tr>
      <w:tr w:rsidR="00F37B64" w:rsidRPr="00F37B64" w:rsidTr="00F37B64">
        <w:trPr>
          <w:trHeight w:val="300"/>
        </w:trPr>
        <w:tc>
          <w:tcPr>
            <w:tcW w:w="2456" w:type="dxa"/>
            <w:tcBorders>
              <w:top w:val="nil"/>
              <w:left w:val="nil"/>
              <w:bottom w:val="nil"/>
              <w:right w:val="nil"/>
            </w:tcBorders>
            <w:shd w:val="clear" w:color="auto" w:fill="auto"/>
            <w:noWrap/>
            <w:vAlign w:val="center"/>
            <w:hideMark/>
          </w:tcPr>
          <w:p w:rsidR="00F37B64" w:rsidRPr="00F37B64" w:rsidRDefault="00F37B64" w:rsidP="00F37B64">
            <w:pPr>
              <w:rPr>
                <w:rFonts w:cs="Arial"/>
                <w:color w:val="7F7F7F"/>
                <w:szCs w:val="18"/>
                <w:lang w:eastAsia="en-AU"/>
              </w:rPr>
            </w:pPr>
            <w:r w:rsidRPr="00F37B64">
              <w:rPr>
                <w:rFonts w:cs="Arial"/>
                <w:color w:val="7F7F7F"/>
                <w:szCs w:val="18"/>
                <w:lang w:eastAsia="en-AU"/>
              </w:rPr>
              <w:t>Interstate</w:t>
            </w:r>
          </w:p>
        </w:tc>
        <w:tc>
          <w:tcPr>
            <w:tcW w:w="1528" w:type="dxa"/>
            <w:tcBorders>
              <w:top w:val="nil"/>
              <w:left w:val="nil"/>
              <w:bottom w:val="nil"/>
              <w:right w:val="nil"/>
            </w:tcBorders>
            <w:shd w:val="clear" w:color="auto" w:fill="auto"/>
            <w:noWrap/>
            <w:vAlign w:val="center"/>
            <w:hideMark/>
          </w:tcPr>
          <w:p w:rsidR="00F37B64" w:rsidRPr="00F37B64" w:rsidRDefault="00F37B64" w:rsidP="00F37B64">
            <w:pPr>
              <w:jc w:val="right"/>
              <w:rPr>
                <w:rFonts w:cs="Arial"/>
                <w:color w:val="7F7F7F"/>
                <w:szCs w:val="18"/>
                <w:lang w:eastAsia="en-AU"/>
              </w:rPr>
            </w:pPr>
            <w:r w:rsidRPr="00F37B64">
              <w:rPr>
                <w:rFonts w:cs="Arial"/>
                <w:color w:val="7F7F7F"/>
                <w:szCs w:val="18"/>
                <w:lang w:eastAsia="en-AU"/>
              </w:rPr>
              <w:t>1,460</w:t>
            </w:r>
          </w:p>
        </w:tc>
        <w:tc>
          <w:tcPr>
            <w:tcW w:w="1701" w:type="dxa"/>
            <w:tcBorders>
              <w:top w:val="nil"/>
              <w:left w:val="nil"/>
              <w:bottom w:val="nil"/>
              <w:right w:val="nil"/>
            </w:tcBorders>
            <w:shd w:val="clear" w:color="auto" w:fill="auto"/>
            <w:noWrap/>
            <w:vAlign w:val="center"/>
            <w:hideMark/>
          </w:tcPr>
          <w:p w:rsidR="00F37B64" w:rsidRPr="00F37B64" w:rsidRDefault="00F37B64" w:rsidP="00F37B64">
            <w:pPr>
              <w:jc w:val="right"/>
              <w:rPr>
                <w:rFonts w:cs="Arial"/>
                <w:color w:val="7F7F7F"/>
                <w:szCs w:val="18"/>
                <w:lang w:eastAsia="en-AU"/>
              </w:rPr>
            </w:pPr>
            <w:r w:rsidRPr="00F37B64">
              <w:rPr>
                <w:rFonts w:cs="Arial"/>
                <w:color w:val="7F7F7F"/>
                <w:szCs w:val="18"/>
                <w:lang w:eastAsia="en-AU"/>
              </w:rPr>
              <w:t>2,147</w:t>
            </w:r>
          </w:p>
        </w:tc>
        <w:tc>
          <w:tcPr>
            <w:tcW w:w="993" w:type="dxa"/>
            <w:tcBorders>
              <w:top w:val="nil"/>
              <w:left w:val="nil"/>
              <w:bottom w:val="nil"/>
              <w:right w:val="nil"/>
            </w:tcBorders>
            <w:shd w:val="clear" w:color="auto" w:fill="auto"/>
            <w:noWrap/>
            <w:vAlign w:val="center"/>
            <w:hideMark/>
          </w:tcPr>
          <w:p w:rsidR="00F37B64" w:rsidRPr="00F37B64" w:rsidRDefault="00F37B64" w:rsidP="00F37B64">
            <w:pPr>
              <w:rPr>
                <w:rFonts w:cs="Arial"/>
                <w:color w:val="7F7F7F"/>
                <w:szCs w:val="18"/>
                <w:lang w:eastAsia="en-AU"/>
              </w:rPr>
            </w:pPr>
          </w:p>
        </w:tc>
        <w:tc>
          <w:tcPr>
            <w:tcW w:w="1417" w:type="dxa"/>
            <w:tcBorders>
              <w:top w:val="nil"/>
              <w:left w:val="nil"/>
              <w:bottom w:val="nil"/>
              <w:right w:val="nil"/>
            </w:tcBorders>
            <w:shd w:val="clear" w:color="auto" w:fill="auto"/>
            <w:noWrap/>
            <w:vAlign w:val="center"/>
            <w:hideMark/>
          </w:tcPr>
          <w:p w:rsidR="00F37B64" w:rsidRPr="00F37B64" w:rsidRDefault="00F37B64" w:rsidP="00F37B64">
            <w:pPr>
              <w:jc w:val="right"/>
              <w:rPr>
                <w:rFonts w:cs="Arial"/>
                <w:color w:val="7F7F7F"/>
                <w:szCs w:val="18"/>
                <w:lang w:eastAsia="en-AU"/>
              </w:rPr>
            </w:pPr>
            <w:r w:rsidRPr="00F37B64">
              <w:rPr>
                <w:rFonts w:cs="Arial"/>
                <w:color w:val="7F7F7F"/>
                <w:szCs w:val="18"/>
                <w:lang w:eastAsia="en-AU"/>
              </w:rPr>
              <w:t>47%</w:t>
            </w:r>
          </w:p>
        </w:tc>
      </w:tr>
      <w:tr w:rsidR="00F37B64" w:rsidRPr="00F37B64" w:rsidTr="00F37B64">
        <w:trPr>
          <w:trHeight w:val="300"/>
        </w:trPr>
        <w:tc>
          <w:tcPr>
            <w:tcW w:w="2456" w:type="dxa"/>
            <w:tcBorders>
              <w:top w:val="nil"/>
              <w:left w:val="nil"/>
              <w:bottom w:val="nil"/>
              <w:right w:val="nil"/>
            </w:tcBorders>
            <w:shd w:val="clear" w:color="auto" w:fill="auto"/>
            <w:noWrap/>
            <w:vAlign w:val="center"/>
            <w:hideMark/>
          </w:tcPr>
          <w:p w:rsidR="00F37B64" w:rsidRPr="00F37B64" w:rsidRDefault="00F37B64" w:rsidP="00F37B64">
            <w:pPr>
              <w:rPr>
                <w:rFonts w:cs="Arial"/>
                <w:color w:val="7F7F7F"/>
                <w:szCs w:val="18"/>
                <w:lang w:eastAsia="en-AU"/>
              </w:rPr>
            </w:pPr>
            <w:r w:rsidRPr="00F37B64">
              <w:rPr>
                <w:rFonts w:cs="Arial"/>
                <w:color w:val="7F7F7F"/>
                <w:szCs w:val="18"/>
                <w:lang w:eastAsia="en-AU"/>
              </w:rPr>
              <w:t>Other*</w:t>
            </w:r>
          </w:p>
        </w:tc>
        <w:tc>
          <w:tcPr>
            <w:tcW w:w="1528" w:type="dxa"/>
            <w:tcBorders>
              <w:top w:val="nil"/>
              <w:left w:val="nil"/>
              <w:bottom w:val="nil"/>
              <w:right w:val="nil"/>
            </w:tcBorders>
            <w:shd w:val="clear" w:color="auto" w:fill="auto"/>
            <w:noWrap/>
            <w:vAlign w:val="center"/>
            <w:hideMark/>
          </w:tcPr>
          <w:p w:rsidR="00F37B64" w:rsidRPr="00F37B64" w:rsidRDefault="00F37B64" w:rsidP="00F37B64">
            <w:pPr>
              <w:jc w:val="right"/>
              <w:rPr>
                <w:rFonts w:cs="Arial"/>
                <w:color w:val="7F7F7F"/>
                <w:szCs w:val="18"/>
                <w:lang w:eastAsia="en-AU"/>
              </w:rPr>
            </w:pPr>
            <w:r w:rsidRPr="00F37B64">
              <w:rPr>
                <w:rFonts w:cs="Arial"/>
                <w:color w:val="7F7F7F"/>
                <w:szCs w:val="18"/>
                <w:lang w:eastAsia="en-AU"/>
              </w:rPr>
              <w:t>2,185</w:t>
            </w:r>
          </w:p>
        </w:tc>
        <w:tc>
          <w:tcPr>
            <w:tcW w:w="1701" w:type="dxa"/>
            <w:tcBorders>
              <w:top w:val="nil"/>
              <w:left w:val="nil"/>
              <w:bottom w:val="nil"/>
              <w:right w:val="nil"/>
            </w:tcBorders>
            <w:shd w:val="clear" w:color="auto" w:fill="auto"/>
            <w:noWrap/>
            <w:vAlign w:val="center"/>
            <w:hideMark/>
          </w:tcPr>
          <w:p w:rsidR="00F37B64" w:rsidRPr="00F37B64" w:rsidRDefault="00F37B64" w:rsidP="00F37B64">
            <w:pPr>
              <w:jc w:val="right"/>
              <w:rPr>
                <w:rFonts w:cs="Arial"/>
                <w:color w:val="7F7F7F"/>
                <w:szCs w:val="18"/>
                <w:lang w:eastAsia="en-AU"/>
              </w:rPr>
            </w:pPr>
            <w:r w:rsidRPr="00F37B64">
              <w:rPr>
                <w:rFonts w:cs="Arial"/>
                <w:color w:val="7F7F7F"/>
                <w:szCs w:val="18"/>
                <w:lang w:eastAsia="en-AU"/>
              </w:rPr>
              <w:t>6,595</w:t>
            </w:r>
          </w:p>
        </w:tc>
        <w:tc>
          <w:tcPr>
            <w:tcW w:w="993" w:type="dxa"/>
            <w:tcBorders>
              <w:top w:val="nil"/>
              <w:left w:val="nil"/>
              <w:bottom w:val="nil"/>
              <w:right w:val="nil"/>
            </w:tcBorders>
            <w:shd w:val="clear" w:color="auto" w:fill="auto"/>
            <w:noWrap/>
            <w:vAlign w:val="center"/>
            <w:hideMark/>
          </w:tcPr>
          <w:p w:rsidR="00F37B64" w:rsidRPr="00F37B64" w:rsidRDefault="00F37B64" w:rsidP="00F37B64">
            <w:pPr>
              <w:rPr>
                <w:rFonts w:cs="Arial"/>
                <w:color w:val="7F7F7F"/>
                <w:szCs w:val="18"/>
                <w:lang w:eastAsia="en-AU"/>
              </w:rPr>
            </w:pPr>
          </w:p>
        </w:tc>
        <w:tc>
          <w:tcPr>
            <w:tcW w:w="1417" w:type="dxa"/>
            <w:tcBorders>
              <w:top w:val="nil"/>
              <w:left w:val="nil"/>
              <w:bottom w:val="nil"/>
              <w:right w:val="nil"/>
            </w:tcBorders>
            <w:shd w:val="clear" w:color="auto" w:fill="auto"/>
            <w:noWrap/>
            <w:vAlign w:val="center"/>
            <w:hideMark/>
          </w:tcPr>
          <w:p w:rsidR="00F37B64" w:rsidRPr="00F37B64" w:rsidRDefault="00F37B64" w:rsidP="00F37B64">
            <w:pPr>
              <w:jc w:val="right"/>
              <w:rPr>
                <w:rFonts w:cs="Arial"/>
                <w:color w:val="7F7F7F"/>
                <w:szCs w:val="18"/>
                <w:lang w:eastAsia="en-AU"/>
              </w:rPr>
            </w:pPr>
            <w:r w:rsidRPr="00F37B64">
              <w:rPr>
                <w:rFonts w:cs="Arial"/>
                <w:color w:val="7F7F7F"/>
                <w:szCs w:val="18"/>
                <w:lang w:eastAsia="en-AU"/>
              </w:rPr>
              <w:t>202%</w:t>
            </w:r>
          </w:p>
        </w:tc>
      </w:tr>
      <w:tr w:rsidR="00F37B64" w:rsidRPr="00F37B64" w:rsidTr="00F37B64">
        <w:trPr>
          <w:trHeight w:val="300"/>
        </w:trPr>
        <w:tc>
          <w:tcPr>
            <w:tcW w:w="2456" w:type="dxa"/>
            <w:tcBorders>
              <w:top w:val="nil"/>
              <w:left w:val="nil"/>
              <w:bottom w:val="nil"/>
              <w:right w:val="nil"/>
            </w:tcBorders>
            <w:shd w:val="clear" w:color="000000" w:fill="7F7F7F"/>
            <w:noWrap/>
            <w:vAlign w:val="center"/>
            <w:hideMark/>
          </w:tcPr>
          <w:p w:rsidR="00F37B64" w:rsidRPr="00F37B64" w:rsidRDefault="00F37B64" w:rsidP="00F37B64">
            <w:pPr>
              <w:rPr>
                <w:rFonts w:cs="Arial"/>
                <w:b/>
                <w:bCs/>
                <w:color w:val="FFFFFF"/>
                <w:szCs w:val="18"/>
                <w:lang w:eastAsia="en-AU"/>
              </w:rPr>
            </w:pPr>
            <w:r w:rsidRPr="00F37B64">
              <w:rPr>
                <w:rFonts w:cs="Arial"/>
                <w:b/>
                <w:bCs/>
                <w:color w:val="FFFFFF"/>
                <w:szCs w:val="18"/>
                <w:lang w:eastAsia="en-AU"/>
              </w:rPr>
              <w:t>Total**</w:t>
            </w:r>
          </w:p>
        </w:tc>
        <w:tc>
          <w:tcPr>
            <w:tcW w:w="1528" w:type="dxa"/>
            <w:tcBorders>
              <w:top w:val="nil"/>
              <w:left w:val="nil"/>
              <w:bottom w:val="nil"/>
              <w:right w:val="nil"/>
            </w:tcBorders>
            <w:shd w:val="clear" w:color="000000" w:fill="7F7F7F"/>
            <w:noWrap/>
            <w:vAlign w:val="center"/>
            <w:hideMark/>
          </w:tcPr>
          <w:p w:rsidR="00F37B64" w:rsidRPr="00F37B64" w:rsidRDefault="00F37B64" w:rsidP="00F37B64">
            <w:pPr>
              <w:jc w:val="right"/>
              <w:rPr>
                <w:rFonts w:cs="Arial"/>
                <w:b/>
                <w:bCs/>
                <w:color w:val="FFFFFF"/>
                <w:szCs w:val="18"/>
                <w:lang w:eastAsia="en-AU"/>
              </w:rPr>
            </w:pPr>
            <w:r w:rsidRPr="00F37B64">
              <w:rPr>
                <w:rFonts w:cs="Arial"/>
                <w:b/>
                <w:bCs/>
                <w:color w:val="FFFFFF"/>
                <w:szCs w:val="18"/>
                <w:lang w:eastAsia="en-AU"/>
              </w:rPr>
              <w:t>155,790</w:t>
            </w:r>
          </w:p>
        </w:tc>
        <w:tc>
          <w:tcPr>
            <w:tcW w:w="1701" w:type="dxa"/>
            <w:tcBorders>
              <w:top w:val="nil"/>
              <w:left w:val="nil"/>
              <w:bottom w:val="nil"/>
              <w:right w:val="nil"/>
            </w:tcBorders>
            <w:shd w:val="clear" w:color="000000" w:fill="7F7F7F"/>
            <w:noWrap/>
            <w:vAlign w:val="center"/>
            <w:hideMark/>
          </w:tcPr>
          <w:p w:rsidR="00F37B64" w:rsidRPr="00F37B64" w:rsidRDefault="00F37B64" w:rsidP="00F37B64">
            <w:pPr>
              <w:jc w:val="right"/>
              <w:rPr>
                <w:rFonts w:cs="Arial"/>
                <w:b/>
                <w:bCs/>
                <w:color w:val="FFFFFF"/>
                <w:szCs w:val="18"/>
                <w:lang w:eastAsia="en-AU"/>
              </w:rPr>
            </w:pPr>
            <w:r w:rsidRPr="00F37B64">
              <w:rPr>
                <w:rFonts w:cs="Arial"/>
                <w:b/>
                <w:bCs/>
                <w:color w:val="FFFFFF"/>
                <w:szCs w:val="18"/>
                <w:lang w:eastAsia="en-AU"/>
              </w:rPr>
              <w:t>173,510</w:t>
            </w:r>
          </w:p>
        </w:tc>
        <w:tc>
          <w:tcPr>
            <w:tcW w:w="993" w:type="dxa"/>
            <w:tcBorders>
              <w:top w:val="nil"/>
              <w:left w:val="nil"/>
              <w:bottom w:val="nil"/>
              <w:right w:val="nil"/>
            </w:tcBorders>
            <w:shd w:val="clear" w:color="000000" w:fill="7F7F7F"/>
            <w:noWrap/>
            <w:vAlign w:val="center"/>
            <w:hideMark/>
          </w:tcPr>
          <w:p w:rsidR="00F37B64" w:rsidRPr="00F37B64" w:rsidRDefault="00F37B64" w:rsidP="00F37B64">
            <w:pPr>
              <w:jc w:val="right"/>
              <w:rPr>
                <w:rFonts w:cs="Arial"/>
                <w:b/>
                <w:bCs/>
                <w:color w:val="FFFFFF"/>
                <w:szCs w:val="18"/>
                <w:lang w:eastAsia="en-AU"/>
              </w:rPr>
            </w:pPr>
            <w:r w:rsidRPr="00F37B64">
              <w:rPr>
                <w:rFonts w:cs="Arial"/>
                <w:b/>
                <w:bCs/>
                <w:color w:val="FFFFFF"/>
                <w:szCs w:val="18"/>
                <w:lang w:eastAsia="en-AU"/>
              </w:rPr>
              <w:t> </w:t>
            </w:r>
          </w:p>
        </w:tc>
        <w:tc>
          <w:tcPr>
            <w:tcW w:w="1417" w:type="dxa"/>
            <w:tcBorders>
              <w:top w:val="nil"/>
              <w:left w:val="nil"/>
              <w:bottom w:val="nil"/>
              <w:right w:val="nil"/>
            </w:tcBorders>
            <w:shd w:val="clear" w:color="000000" w:fill="7F7F7F"/>
            <w:noWrap/>
            <w:vAlign w:val="center"/>
            <w:hideMark/>
          </w:tcPr>
          <w:p w:rsidR="00F37B64" w:rsidRPr="00F37B64" w:rsidRDefault="00F37B64" w:rsidP="00F37B64">
            <w:pPr>
              <w:jc w:val="right"/>
              <w:rPr>
                <w:rFonts w:cs="Arial"/>
                <w:color w:val="FFFFFF"/>
                <w:szCs w:val="18"/>
                <w:lang w:eastAsia="en-AU"/>
              </w:rPr>
            </w:pPr>
            <w:r w:rsidRPr="00F37B64">
              <w:rPr>
                <w:rFonts w:cs="Arial"/>
                <w:color w:val="FFFFFF"/>
                <w:szCs w:val="18"/>
                <w:lang w:eastAsia="en-AU"/>
              </w:rPr>
              <w:t>11%</w:t>
            </w:r>
          </w:p>
        </w:tc>
      </w:tr>
    </w:tbl>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4A0" w:firstRow="1" w:lastRow="0" w:firstColumn="1" w:lastColumn="0" w:noHBand="0" w:noVBand="1"/>
      </w:tblPr>
      <w:tblGrid>
        <w:gridCol w:w="431"/>
        <w:gridCol w:w="7649"/>
      </w:tblGrid>
      <w:tr w:rsidR="00F37B64" w:rsidRPr="00913551" w:rsidTr="00F37B64">
        <w:tc>
          <w:tcPr>
            <w:tcW w:w="431" w:type="dxa"/>
            <w:tcMar>
              <w:left w:w="0" w:type="dxa"/>
              <w:right w:w="28" w:type="dxa"/>
            </w:tcMar>
          </w:tcPr>
          <w:p w:rsidR="00F37B64" w:rsidRPr="00913551" w:rsidRDefault="00F37B64" w:rsidP="00F37B64">
            <w:pPr>
              <w:spacing w:after="0" w:line="240" w:lineRule="auto"/>
              <w:jc w:val="right"/>
              <w:rPr>
                <w:color w:val="7F7F7F" w:themeColor="text2"/>
                <w:sz w:val="16"/>
                <w:szCs w:val="16"/>
              </w:rPr>
            </w:pPr>
            <w:r w:rsidRPr="00913551">
              <w:rPr>
                <w:color w:val="7F7F7F" w:themeColor="text2"/>
                <w:sz w:val="16"/>
                <w:szCs w:val="16"/>
              </w:rPr>
              <w:t xml:space="preserve">* </w:t>
            </w:r>
          </w:p>
        </w:tc>
        <w:tc>
          <w:tcPr>
            <w:tcW w:w="7649" w:type="dxa"/>
            <w:tcMar>
              <w:left w:w="0" w:type="dxa"/>
              <w:right w:w="28" w:type="dxa"/>
            </w:tcMar>
          </w:tcPr>
          <w:p w:rsidR="00F37B64" w:rsidRPr="00913551" w:rsidRDefault="00F37B64" w:rsidP="00F37B64">
            <w:pPr>
              <w:spacing w:after="0" w:line="240" w:lineRule="auto"/>
              <w:rPr>
                <w:i/>
                <w:color w:val="7F7F7F" w:themeColor="text2"/>
                <w:sz w:val="16"/>
                <w:szCs w:val="16"/>
              </w:rPr>
            </w:pPr>
            <w:r w:rsidRPr="00913551">
              <w:rPr>
                <w:i/>
                <w:color w:val="7F7F7F" w:themeColor="text2"/>
                <w:sz w:val="16"/>
                <w:szCs w:val="16"/>
              </w:rPr>
              <w:t xml:space="preserve">'Other' includes on-line delivery and workplace delivery where the location </w:t>
            </w:r>
            <w:proofErr w:type="gramStart"/>
            <w:r w:rsidRPr="00913551">
              <w:rPr>
                <w:i/>
                <w:color w:val="7F7F7F" w:themeColor="text2"/>
                <w:sz w:val="16"/>
                <w:szCs w:val="16"/>
              </w:rPr>
              <w:t>cannot be defined</w:t>
            </w:r>
            <w:proofErr w:type="gramEnd"/>
            <w:r w:rsidRPr="00913551">
              <w:rPr>
                <w:i/>
                <w:color w:val="7F7F7F" w:themeColor="text2"/>
                <w:sz w:val="16"/>
                <w:szCs w:val="16"/>
              </w:rPr>
              <w:t>.</w:t>
            </w:r>
          </w:p>
        </w:tc>
      </w:tr>
      <w:tr w:rsidR="00F37B64" w:rsidRPr="00913551" w:rsidTr="00F37B64">
        <w:tc>
          <w:tcPr>
            <w:tcW w:w="431" w:type="dxa"/>
            <w:tcMar>
              <w:left w:w="0" w:type="dxa"/>
              <w:right w:w="28" w:type="dxa"/>
            </w:tcMar>
          </w:tcPr>
          <w:p w:rsidR="00F37B64" w:rsidRPr="00913551" w:rsidRDefault="00F37B64" w:rsidP="00F37B64">
            <w:pPr>
              <w:spacing w:after="0" w:line="240" w:lineRule="auto"/>
              <w:jc w:val="right"/>
              <w:rPr>
                <w:color w:val="7F7F7F" w:themeColor="text2"/>
                <w:sz w:val="16"/>
                <w:szCs w:val="16"/>
              </w:rPr>
            </w:pPr>
            <w:r w:rsidRPr="00913551">
              <w:rPr>
                <w:color w:val="7F7F7F" w:themeColor="text2"/>
                <w:sz w:val="16"/>
                <w:szCs w:val="16"/>
              </w:rPr>
              <w:t>**</w:t>
            </w:r>
          </w:p>
        </w:tc>
        <w:tc>
          <w:tcPr>
            <w:tcW w:w="7649" w:type="dxa"/>
            <w:tcMar>
              <w:left w:w="0" w:type="dxa"/>
              <w:right w:w="28" w:type="dxa"/>
            </w:tcMar>
          </w:tcPr>
          <w:p w:rsidR="00F37B64" w:rsidRPr="00913551" w:rsidRDefault="001A6F4D" w:rsidP="00F37B64">
            <w:pPr>
              <w:spacing w:after="0" w:line="240" w:lineRule="auto"/>
              <w:rPr>
                <w:i/>
                <w:sz w:val="16"/>
                <w:szCs w:val="16"/>
              </w:rPr>
            </w:pPr>
            <w:r w:rsidRPr="00C344DB">
              <w:rPr>
                <w:i/>
                <w:sz w:val="16"/>
                <w:szCs w:val="16"/>
              </w:rPr>
              <w:t xml:space="preserve">Where a course </w:t>
            </w:r>
            <w:proofErr w:type="gramStart"/>
            <w:r>
              <w:rPr>
                <w:i/>
                <w:sz w:val="16"/>
                <w:szCs w:val="16"/>
              </w:rPr>
              <w:t>was</w:t>
            </w:r>
            <w:r w:rsidRPr="00C344DB">
              <w:rPr>
                <w:i/>
                <w:sz w:val="16"/>
                <w:szCs w:val="16"/>
              </w:rPr>
              <w:t xml:space="preserve"> delivered</w:t>
            </w:r>
            <w:proofErr w:type="gramEnd"/>
            <w:r w:rsidRPr="00C344DB">
              <w:rPr>
                <w:i/>
                <w:sz w:val="16"/>
                <w:szCs w:val="16"/>
              </w:rPr>
              <w:t xml:space="preserve"> across more than one region, an enrolment in this course is also counted in more than one region. The </w:t>
            </w:r>
            <w:r>
              <w:rPr>
                <w:i/>
                <w:sz w:val="16"/>
                <w:szCs w:val="16"/>
              </w:rPr>
              <w:t>total has eliminated any duplicates.</w:t>
            </w:r>
          </w:p>
        </w:tc>
      </w:tr>
    </w:tbl>
    <w:p w:rsidR="00F37B64" w:rsidRDefault="00F37B64">
      <w:pPr>
        <w:rPr>
          <w:color w:val="7F7F7F" w:themeColor="text2"/>
        </w:rPr>
      </w:pPr>
    </w:p>
    <w:p w:rsidR="00F37B64" w:rsidRDefault="00F37B64">
      <w:pPr>
        <w:rPr>
          <w:color w:val="7F7F7F" w:themeColor="text2"/>
        </w:rPr>
      </w:pPr>
    </w:p>
    <w:p w:rsidR="00F37B64" w:rsidRDefault="00F37B64">
      <w:r>
        <w:rPr>
          <w:b/>
        </w:rPr>
        <w:br w:type="page"/>
      </w: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F37B64" w:rsidTr="00F37B64">
        <w:tc>
          <w:tcPr>
            <w:tcW w:w="1134" w:type="dxa"/>
            <w:tcMar>
              <w:left w:w="0" w:type="dxa"/>
              <w:right w:w="0" w:type="dxa"/>
            </w:tcMar>
          </w:tcPr>
          <w:p w:rsidR="00F37B64" w:rsidRDefault="00F37B64" w:rsidP="0084117E">
            <w:pPr>
              <w:pStyle w:val="Quote"/>
              <w:tabs>
                <w:tab w:val="left" w:pos="1134"/>
              </w:tabs>
              <w:rPr>
                <w:b w:val="0"/>
                <w:color w:val="B41F22" w:themeColor="accent1"/>
              </w:rPr>
            </w:pPr>
            <w:r>
              <w:rPr>
                <w:b w:val="0"/>
                <w:color w:val="B41F22" w:themeColor="accent1"/>
              </w:rPr>
              <w:lastRenderedPageBreak/>
              <w:t>Table 1.1</w:t>
            </w:r>
            <w:r w:rsidR="0084117E">
              <w:rPr>
                <w:b w:val="0"/>
                <w:color w:val="B41F22" w:themeColor="accent1"/>
              </w:rPr>
              <w:t>9</w:t>
            </w:r>
            <w:r>
              <w:rPr>
                <w:b w:val="0"/>
                <w:color w:val="B41F22" w:themeColor="accent1"/>
              </w:rPr>
              <w:t>.2:</w:t>
            </w:r>
          </w:p>
        </w:tc>
        <w:tc>
          <w:tcPr>
            <w:tcW w:w="6946" w:type="dxa"/>
            <w:tcMar>
              <w:left w:w="0" w:type="dxa"/>
              <w:right w:w="0" w:type="dxa"/>
            </w:tcMar>
          </w:tcPr>
          <w:p w:rsidR="00F37B64" w:rsidRPr="003603BF" w:rsidRDefault="00F37B64" w:rsidP="00F37B64">
            <w:pPr>
              <w:pStyle w:val="Quote"/>
              <w:tabs>
                <w:tab w:val="left" w:pos="1134"/>
              </w:tabs>
              <w:rPr>
                <w:b w:val="0"/>
                <w:color w:val="B41F22" w:themeColor="accent1"/>
              </w:rPr>
            </w:pPr>
            <w:r w:rsidRPr="00F37B64">
              <w:rPr>
                <w:b w:val="0"/>
                <w:color w:val="B41F22" w:themeColor="accent1"/>
              </w:rPr>
              <w:t>Fee-for-service domestic enrolments by delivery regional area, 2014 to 2015 (half year)</w:t>
            </w:r>
          </w:p>
        </w:tc>
      </w:tr>
    </w:tbl>
    <w:tbl>
      <w:tblPr>
        <w:tblW w:w="8095" w:type="dxa"/>
        <w:tblInd w:w="93" w:type="dxa"/>
        <w:tblLayout w:type="fixed"/>
        <w:tblLook w:val="04A0" w:firstRow="1" w:lastRow="0" w:firstColumn="1" w:lastColumn="0" w:noHBand="0" w:noVBand="1"/>
      </w:tblPr>
      <w:tblGrid>
        <w:gridCol w:w="2456"/>
        <w:gridCol w:w="1528"/>
        <w:gridCol w:w="1701"/>
        <w:gridCol w:w="993"/>
        <w:gridCol w:w="1417"/>
      </w:tblGrid>
      <w:tr w:rsidR="00F37B64" w:rsidRPr="00F37B64" w:rsidTr="00F37B64">
        <w:trPr>
          <w:trHeight w:val="454"/>
        </w:trPr>
        <w:tc>
          <w:tcPr>
            <w:tcW w:w="2456" w:type="dxa"/>
            <w:tcBorders>
              <w:top w:val="nil"/>
              <w:left w:val="nil"/>
              <w:bottom w:val="nil"/>
              <w:right w:val="nil"/>
            </w:tcBorders>
            <w:shd w:val="clear" w:color="000000" w:fill="7F7F7F"/>
            <w:noWrap/>
            <w:vAlign w:val="bottom"/>
            <w:hideMark/>
          </w:tcPr>
          <w:p w:rsidR="00F37B64" w:rsidRPr="00F37B64" w:rsidRDefault="00F37B64" w:rsidP="00F37B64">
            <w:pPr>
              <w:rPr>
                <w:rFonts w:cs="Arial"/>
                <w:color w:val="FFFFFF"/>
                <w:szCs w:val="18"/>
                <w:lang w:eastAsia="en-AU"/>
              </w:rPr>
            </w:pPr>
            <w:r w:rsidRPr="00F37B64">
              <w:rPr>
                <w:rFonts w:cs="Arial"/>
                <w:color w:val="FFFFFF"/>
                <w:szCs w:val="18"/>
                <w:lang w:eastAsia="en-AU"/>
              </w:rPr>
              <w:t> </w:t>
            </w:r>
          </w:p>
        </w:tc>
        <w:tc>
          <w:tcPr>
            <w:tcW w:w="1528" w:type="dxa"/>
            <w:tcBorders>
              <w:top w:val="nil"/>
              <w:left w:val="nil"/>
              <w:bottom w:val="nil"/>
              <w:right w:val="nil"/>
            </w:tcBorders>
            <w:shd w:val="clear" w:color="000000" w:fill="7F7F7F"/>
            <w:noWrap/>
            <w:vAlign w:val="bottom"/>
            <w:hideMark/>
          </w:tcPr>
          <w:p w:rsidR="00F37B64" w:rsidRPr="00F37B64" w:rsidRDefault="00F37B64" w:rsidP="00F37B64">
            <w:pPr>
              <w:jc w:val="right"/>
              <w:rPr>
                <w:rFonts w:cs="Arial"/>
                <w:b/>
                <w:bCs/>
                <w:color w:val="FFFFFF"/>
                <w:szCs w:val="18"/>
                <w:lang w:eastAsia="en-AU"/>
              </w:rPr>
            </w:pPr>
            <w:r w:rsidRPr="00F37B64">
              <w:rPr>
                <w:rFonts w:cs="Arial"/>
                <w:b/>
                <w:bCs/>
                <w:color w:val="FFFFFF"/>
                <w:szCs w:val="18"/>
                <w:lang w:eastAsia="en-AU"/>
              </w:rPr>
              <w:t>2014</w:t>
            </w:r>
          </w:p>
        </w:tc>
        <w:tc>
          <w:tcPr>
            <w:tcW w:w="1701" w:type="dxa"/>
            <w:tcBorders>
              <w:top w:val="nil"/>
              <w:left w:val="nil"/>
              <w:bottom w:val="nil"/>
              <w:right w:val="nil"/>
            </w:tcBorders>
            <w:shd w:val="clear" w:color="000000" w:fill="7F7F7F"/>
            <w:noWrap/>
            <w:vAlign w:val="bottom"/>
            <w:hideMark/>
          </w:tcPr>
          <w:p w:rsidR="00F37B64" w:rsidRPr="00F37B64" w:rsidRDefault="00F37B64" w:rsidP="00F37B64">
            <w:pPr>
              <w:jc w:val="right"/>
              <w:rPr>
                <w:rFonts w:cs="Arial"/>
                <w:b/>
                <w:bCs/>
                <w:color w:val="FFFFFF"/>
                <w:szCs w:val="18"/>
                <w:lang w:eastAsia="en-AU"/>
              </w:rPr>
            </w:pPr>
            <w:r w:rsidRPr="00F37B64">
              <w:rPr>
                <w:rFonts w:cs="Arial"/>
                <w:b/>
                <w:bCs/>
                <w:color w:val="FFFFFF"/>
                <w:szCs w:val="18"/>
                <w:lang w:eastAsia="en-AU"/>
              </w:rPr>
              <w:t>2015</w:t>
            </w:r>
          </w:p>
        </w:tc>
        <w:tc>
          <w:tcPr>
            <w:tcW w:w="993" w:type="dxa"/>
            <w:tcBorders>
              <w:top w:val="nil"/>
              <w:left w:val="nil"/>
              <w:bottom w:val="nil"/>
              <w:right w:val="nil"/>
            </w:tcBorders>
            <w:shd w:val="clear" w:color="000000" w:fill="7F7F7F"/>
            <w:noWrap/>
            <w:vAlign w:val="bottom"/>
            <w:hideMark/>
          </w:tcPr>
          <w:p w:rsidR="00F37B64" w:rsidRPr="00F37B64" w:rsidRDefault="00F37B64" w:rsidP="00F37B64">
            <w:pPr>
              <w:jc w:val="right"/>
              <w:rPr>
                <w:rFonts w:cs="Arial"/>
                <w:b/>
                <w:bCs/>
                <w:color w:val="FFFFFF"/>
                <w:szCs w:val="18"/>
                <w:lang w:eastAsia="en-AU"/>
              </w:rPr>
            </w:pPr>
            <w:r w:rsidRPr="00F37B64">
              <w:rPr>
                <w:rFonts w:cs="Arial"/>
                <w:b/>
                <w:bCs/>
                <w:color w:val="FFFFFF"/>
                <w:szCs w:val="18"/>
                <w:lang w:eastAsia="en-AU"/>
              </w:rPr>
              <w:t> </w:t>
            </w:r>
          </w:p>
        </w:tc>
        <w:tc>
          <w:tcPr>
            <w:tcW w:w="1417" w:type="dxa"/>
            <w:tcBorders>
              <w:top w:val="nil"/>
              <w:left w:val="nil"/>
              <w:bottom w:val="nil"/>
              <w:right w:val="nil"/>
            </w:tcBorders>
            <w:shd w:val="clear" w:color="000000" w:fill="7F7F7F"/>
            <w:vAlign w:val="bottom"/>
            <w:hideMark/>
          </w:tcPr>
          <w:p w:rsidR="00F37B64" w:rsidRPr="00F37B64" w:rsidRDefault="00F37B64" w:rsidP="00F37B64">
            <w:pPr>
              <w:jc w:val="right"/>
              <w:rPr>
                <w:rFonts w:cs="Arial"/>
                <w:b/>
                <w:bCs/>
                <w:color w:val="FFFFFF"/>
                <w:szCs w:val="18"/>
                <w:lang w:eastAsia="en-AU"/>
              </w:rPr>
            </w:pPr>
            <w:r w:rsidRPr="00F37B64">
              <w:rPr>
                <w:rFonts w:cs="Arial"/>
                <w:b/>
                <w:bCs/>
                <w:color w:val="FFFFFF"/>
                <w:szCs w:val="18"/>
                <w:lang w:eastAsia="en-AU"/>
              </w:rPr>
              <w:t>% change 2014 to 2015</w:t>
            </w:r>
          </w:p>
        </w:tc>
      </w:tr>
      <w:tr w:rsidR="00F37B64" w:rsidRPr="00F37B64" w:rsidTr="00F37B64">
        <w:trPr>
          <w:trHeight w:val="300"/>
        </w:trPr>
        <w:tc>
          <w:tcPr>
            <w:tcW w:w="2456" w:type="dxa"/>
            <w:tcBorders>
              <w:top w:val="nil"/>
              <w:left w:val="nil"/>
              <w:bottom w:val="nil"/>
              <w:right w:val="nil"/>
            </w:tcBorders>
            <w:shd w:val="clear" w:color="auto" w:fill="auto"/>
            <w:noWrap/>
            <w:vAlign w:val="center"/>
            <w:hideMark/>
          </w:tcPr>
          <w:p w:rsidR="00F37B64" w:rsidRPr="00F37B64" w:rsidRDefault="00F37B64" w:rsidP="00F37B64">
            <w:pPr>
              <w:rPr>
                <w:rFonts w:cs="Arial"/>
                <w:color w:val="7F7F7F"/>
                <w:szCs w:val="18"/>
                <w:lang w:eastAsia="en-AU"/>
              </w:rPr>
            </w:pPr>
            <w:r w:rsidRPr="00F37B64">
              <w:rPr>
                <w:rFonts w:cs="Arial"/>
                <w:color w:val="7F7F7F"/>
                <w:szCs w:val="18"/>
                <w:lang w:eastAsia="en-AU"/>
              </w:rPr>
              <w:t>Barwon South West</w:t>
            </w:r>
          </w:p>
        </w:tc>
        <w:tc>
          <w:tcPr>
            <w:tcW w:w="1528" w:type="dxa"/>
            <w:tcBorders>
              <w:top w:val="nil"/>
              <w:left w:val="nil"/>
              <w:bottom w:val="nil"/>
              <w:right w:val="nil"/>
            </w:tcBorders>
            <w:shd w:val="clear" w:color="auto" w:fill="auto"/>
            <w:noWrap/>
            <w:vAlign w:val="center"/>
            <w:hideMark/>
          </w:tcPr>
          <w:p w:rsidR="00F37B64" w:rsidRPr="00F37B64" w:rsidRDefault="00F37B64" w:rsidP="00F37B64">
            <w:pPr>
              <w:jc w:val="right"/>
              <w:rPr>
                <w:rFonts w:cs="Arial"/>
                <w:color w:val="7F7F7F"/>
                <w:szCs w:val="18"/>
                <w:lang w:eastAsia="en-AU"/>
              </w:rPr>
            </w:pPr>
            <w:r w:rsidRPr="00F37B64">
              <w:rPr>
                <w:rFonts w:cs="Arial"/>
                <w:color w:val="7F7F7F"/>
                <w:szCs w:val="18"/>
                <w:lang w:eastAsia="en-AU"/>
              </w:rPr>
              <w:t>12,861</w:t>
            </w:r>
          </w:p>
        </w:tc>
        <w:tc>
          <w:tcPr>
            <w:tcW w:w="1701" w:type="dxa"/>
            <w:tcBorders>
              <w:top w:val="nil"/>
              <w:left w:val="nil"/>
              <w:bottom w:val="nil"/>
              <w:right w:val="nil"/>
            </w:tcBorders>
            <w:shd w:val="clear" w:color="auto" w:fill="auto"/>
            <w:noWrap/>
            <w:vAlign w:val="center"/>
            <w:hideMark/>
          </w:tcPr>
          <w:p w:rsidR="00F37B64" w:rsidRPr="00F37B64" w:rsidRDefault="00F37B64" w:rsidP="00F37B64">
            <w:pPr>
              <w:jc w:val="right"/>
              <w:rPr>
                <w:rFonts w:cs="Arial"/>
                <w:color w:val="7F7F7F"/>
                <w:szCs w:val="18"/>
                <w:lang w:eastAsia="en-AU"/>
              </w:rPr>
            </w:pPr>
            <w:r w:rsidRPr="00F37B64">
              <w:rPr>
                <w:rFonts w:cs="Arial"/>
                <w:color w:val="7F7F7F"/>
                <w:szCs w:val="18"/>
                <w:lang w:eastAsia="en-AU"/>
              </w:rPr>
              <w:t>12,153</w:t>
            </w:r>
          </w:p>
        </w:tc>
        <w:tc>
          <w:tcPr>
            <w:tcW w:w="993" w:type="dxa"/>
            <w:tcBorders>
              <w:top w:val="nil"/>
              <w:left w:val="nil"/>
              <w:bottom w:val="nil"/>
              <w:right w:val="nil"/>
            </w:tcBorders>
            <w:shd w:val="clear" w:color="auto" w:fill="auto"/>
            <w:noWrap/>
            <w:vAlign w:val="center"/>
            <w:hideMark/>
          </w:tcPr>
          <w:p w:rsidR="00F37B64" w:rsidRPr="00F37B64" w:rsidRDefault="00F37B64" w:rsidP="00F37B64">
            <w:pPr>
              <w:rPr>
                <w:rFonts w:cs="Arial"/>
                <w:color w:val="7F7F7F"/>
                <w:szCs w:val="18"/>
                <w:lang w:eastAsia="en-AU"/>
              </w:rPr>
            </w:pPr>
          </w:p>
        </w:tc>
        <w:tc>
          <w:tcPr>
            <w:tcW w:w="1417" w:type="dxa"/>
            <w:tcBorders>
              <w:top w:val="nil"/>
              <w:left w:val="nil"/>
              <w:bottom w:val="nil"/>
              <w:right w:val="nil"/>
            </w:tcBorders>
            <w:shd w:val="clear" w:color="auto" w:fill="auto"/>
            <w:noWrap/>
            <w:vAlign w:val="center"/>
            <w:hideMark/>
          </w:tcPr>
          <w:p w:rsidR="00F37B64" w:rsidRPr="00F37B64" w:rsidRDefault="00F37B64" w:rsidP="00F37B64">
            <w:pPr>
              <w:jc w:val="right"/>
              <w:rPr>
                <w:rFonts w:cs="Arial"/>
                <w:color w:val="7F7F7F"/>
                <w:szCs w:val="18"/>
                <w:lang w:eastAsia="en-AU"/>
              </w:rPr>
            </w:pPr>
            <w:r w:rsidRPr="00F37B64">
              <w:rPr>
                <w:rFonts w:cs="Arial"/>
                <w:color w:val="7F7F7F"/>
                <w:szCs w:val="18"/>
                <w:lang w:eastAsia="en-AU"/>
              </w:rPr>
              <w:t>-6%</w:t>
            </w:r>
          </w:p>
        </w:tc>
      </w:tr>
      <w:tr w:rsidR="00F37B64" w:rsidRPr="00F37B64" w:rsidTr="00F37B64">
        <w:trPr>
          <w:trHeight w:val="300"/>
        </w:trPr>
        <w:tc>
          <w:tcPr>
            <w:tcW w:w="2456" w:type="dxa"/>
            <w:tcBorders>
              <w:top w:val="nil"/>
              <w:left w:val="nil"/>
              <w:bottom w:val="nil"/>
              <w:right w:val="nil"/>
            </w:tcBorders>
            <w:shd w:val="clear" w:color="auto" w:fill="auto"/>
            <w:noWrap/>
            <w:vAlign w:val="center"/>
            <w:hideMark/>
          </w:tcPr>
          <w:p w:rsidR="00F37B64" w:rsidRPr="00F37B64" w:rsidRDefault="00F37B64" w:rsidP="00F37B64">
            <w:pPr>
              <w:rPr>
                <w:rFonts w:cs="Arial"/>
                <w:color w:val="7F7F7F"/>
                <w:szCs w:val="18"/>
                <w:lang w:eastAsia="en-AU"/>
              </w:rPr>
            </w:pPr>
            <w:r w:rsidRPr="00F37B64">
              <w:rPr>
                <w:rFonts w:cs="Arial"/>
                <w:color w:val="7F7F7F"/>
                <w:szCs w:val="18"/>
                <w:lang w:eastAsia="en-AU"/>
              </w:rPr>
              <w:t>Grampians</w:t>
            </w:r>
          </w:p>
        </w:tc>
        <w:tc>
          <w:tcPr>
            <w:tcW w:w="1528" w:type="dxa"/>
            <w:tcBorders>
              <w:top w:val="nil"/>
              <w:left w:val="nil"/>
              <w:bottom w:val="nil"/>
              <w:right w:val="nil"/>
            </w:tcBorders>
            <w:shd w:val="clear" w:color="auto" w:fill="auto"/>
            <w:noWrap/>
            <w:vAlign w:val="center"/>
            <w:hideMark/>
          </w:tcPr>
          <w:p w:rsidR="00F37B64" w:rsidRPr="00F37B64" w:rsidRDefault="00F37B64" w:rsidP="00F37B64">
            <w:pPr>
              <w:jc w:val="right"/>
              <w:rPr>
                <w:rFonts w:cs="Arial"/>
                <w:color w:val="7F7F7F"/>
                <w:szCs w:val="18"/>
                <w:lang w:eastAsia="en-AU"/>
              </w:rPr>
            </w:pPr>
            <w:r w:rsidRPr="00F37B64">
              <w:rPr>
                <w:rFonts w:cs="Arial"/>
                <w:color w:val="7F7F7F"/>
                <w:szCs w:val="18"/>
                <w:lang w:eastAsia="en-AU"/>
              </w:rPr>
              <w:t>5,357</w:t>
            </w:r>
          </w:p>
        </w:tc>
        <w:tc>
          <w:tcPr>
            <w:tcW w:w="1701" w:type="dxa"/>
            <w:tcBorders>
              <w:top w:val="nil"/>
              <w:left w:val="nil"/>
              <w:bottom w:val="nil"/>
              <w:right w:val="nil"/>
            </w:tcBorders>
            <w:shd w:val="clear" w:color="auto" w:fill="auto"/>
            <w:noWrap/>
            <w:vAlign w:val="center"/>
            <w:hideMark/>
          </w:tcPr>
          <w:p w:rsidR="00F37B64" w:rsidRPr="00F37B64" w:rsidRDefault="00F37B64" w:rsidP="00F37B64">
            <w:pPr>
              <w:jc w:val="right"/>
              <w:rPr>
                <w:rFonts w:cs="Arial"/>
                <w:color w:val="7F7F7F"/>
                <w:szCs w:val="18"/>
                <w:lang w:eastAsia="en-AU"/>
              </w:rPr>
            </w:pPr>
            <w:r w:rsidRPr="00F37B64">
              <w:rPr>
                <w:rFonts w:cs="Arial"/>
                <w:color w:val="7F7F7F"/>
                <w:szCs w:val="18"/>
                <w:lang w:eastAsia="en-AU"/>
              </w:rPr>
              <w:t>4,331</w:t>
            </w:r>
          </w:p>
        </w:tc>
        <w:tc>
          <w:tcPr>
            <w:tcW w:w="993" w:type="dxa"/>
            <w:tcBorders>
              <w:top w:val="nil"/>
              <w:left w:val="nil"/>
              <w:bottom w:val="nil"/>
              <w:right w:val="nil"/>
            </w:tcBorders>
            <w:shd w:val="clear" w:color="auto" w:fill="auto"/>
            <w:noWrap/>
            <w:vAlign w:val="center"/>
            <w:hideMark/>
          </w:tcPr>
          <w:p w:rsidR="00F37B64" w:rsidRPr="00F37B64" w:rsidRDefault="00F37B64" w:rsidP="00F37B64">
            <w:pPr>
              <w:rPr>
                <w:rFonts w:cs="Arial"/>
                <w:color w:val="7F7F7F"/>
                <w:szCs w:val="18"/>
                <w:lang w:eastAsia="en-AU"/>
              </w:rPr>
            </w:pPr>
          </w:p>
        </w:tc>
        <w:tc>
          <w:tcPr>
            <w:tcW w:w="1417" w:type="dxa"/>
            <w:tcBorders>
              <w:top w:val="nil"/>
              <w:left w:val="nil"/>
              <w:bottom w:val="nil"/>
              <w:right w:val="nil"/>
            </w:tcBorders>
            <w:shd w:val="clear" w:color="auto" w:fill="auto"/>
            <w:noWrap/>
            <w:vAlign w:val="center"/>
            <w:hideMark/>
          </w:tcPr>
          <w:p w:rsidR="00F37B64" w:rsidRPr="00F37B64" w:rsidRDefault="00F37B64" w:rsidP="00F37B64">
            <w:pPr>
              <w:jc w:val="right"/>
              <w:rPr>
                <w:rFonts w:cs="Arial"/>
                <w:color w:val="7F7F7F"/>
                <w:szCs w:val="18"/>
                <w:lang w:eastAsia="en-AU"/>
              </w:rPr>
            </w:pPr>
            <w:r w:rsidRPr="00F37B64">
              <w:rPr>
                <w:rFonts w:cs="Arial"/>
                <w:color w:val="7F7F7F"/>
                <w:szCs w:val="18"/>
                <w:lang w:eastAsia="en-AU"/>
              </w:rPr>
              <w:t>-19%</w:t>
            </w:r>
          </w:p>
        </w:tc>
      </w:tr>
      <w:tr w:rsidR="00F37B64" w:rsidRPr="00F37B64" w:rsidTr="00F37B64">
        <w:trPr>
          <w:trHeight w:val="300"/>
        </w:trPr>
        <w:tc>
          <w:tcPr>
            <w:tcW w:w="2456" w:type="dxa"/>
            <w:tcBorders>
              <w:top w:val="nil"/>
              <w:left w:val="nil"/>
              <w:bottom w:val="nil"/>
              <w:right w:val="nil"/>
            </w:tcBorders>
            <w:shd w:val="clear" w:color="auto" w:fill="auto"/>
            <w:noWrap/>
            <w:vAlign w:val="center"/>
            <w:hideMark/>
          </w:tcPr>
          <w:p w:rsidR="00F37B64" w:rsidRPr="00F37B64" w:rsidRDefault="00F37B64" w:rsidP="00F37B64">
            <w:pPr>
              <w:rPr>
                <w:rFonts w:cs="Arial"/>
                <w:color w:val="7F7F7F"/>
                <w:szCs w:val="18"/>
                <w:lang w:eastAsia="en-AU"/>
              </w:rPr>
            </w:pPr>
            <w:r w:rsidRPr="00F37B64">
              <w:rPr>
                <w:rFonts w:cs="Arial"/>
                <w:color w:val="7F7F7F"/>
                <w:szCs w:val="18"/>
                <w:lang w:eastAsia="en-AU"/>
              </w:rPr>
              <w:t>Loddon Mallee</w:t>
            </w:r>
          </w:p>
        </w:tc>
        <w:tc>
          <w:tcPr>
            <w:tcW w:w="1528" w:type="dxa"/>
            <w:tcBorders>
              <w:top w:val="nil"/>
              <w:left w:val="nil"/>
              <w:bottom w:val="nil"/>
              <w:right w:val="nil"/>
            </w:tcBorders>
            <w:shd w:val="clear" w:color="auto" w:fill="auto"/>
            <w:noWrap/>
            <w:vAlign w:val="center"/>
            <w:hideMark/>
          </w:tcPr>
          <w:p w:rsidR="00F37B64" w:rsidRPr="00F37B64" w:rsidRDefault="00F37B64" w:rsidP="00F37B64">
            <w:pPr>
              <w:jc w:val="right"/>
              <w:rPr>
                <w:rFonts w:cs="Arial"/>
                <w:color w:val="7F7F7F"/>
                <w:szCs w:val="18"/>
                <w:lang w:eastAsia="en-AU"/>
              </w:rPr>
            </w:pPr>
            <w:r w:rsidRPr="00F37B64">
              <w:rPr>
                <w:rFonts w:cs="Arial"/>
                <w:color w:val="7F7F7F"/>
                <w:szCs w:val="18"/>
                <w:lang w:eastAsia="en-AU"/>
              </w:rPr>
              <w:t>8,431</w:t>
            </w:r>
          </w:p>
        </w:tc>
        <w:tc>
          <w:tcPr>
            <w:tcW w:w="1701" w:type="dxa"/>
            <w:tcBorders>
              <w:top w:val="nil"/>
              <w:left w:val="nil"/>
              <w:bottom w:val="nil"/>
              <w:right w:val="nil"/>
            </w:tcBorders>
            <w:shd w:val="clear" w:color="auto" w:fill="auto"/>
            <w:noWrap/>
            <w:vAlign w:val="center"/>
            <w:hideMark/>
          </w:tcPr>
          <w:p w:rsidR="00F37B64" w:rsidRPr="00F37B64" w:rsidRDefault="00F37B64" w:rsidP="00F37B64">
            <w:pPr>
              <w:jc w:val="right"/>
              <w:rPr>
                <w:rFonts w:cs="Arial"/>
                <w:color w:val="7F7F7F"/>
                <w:szCs w:val="18"/>
                <w:lang w:eastAsia="en-AU"/>
              </w:rPr>
            </w:pPr>
            <w:r w:rsidRPr="00F37B64">
              <w:rPr>
                <w:rFonts w:cs="Arial"/>
                <w:color w:val="7F7F7F"/>
                <w:szCs w:val="18"/>
                <w:lang w:eastAsia="en-AU"/>
              </w:rPr>
              <w:t>8,179</w:t>
            </w:r>
          </w:p>
        </w:tc>
        <w:tc>
          <w:tcPr>
            <w:tcW w:w="993" w:type="dxa"/>
            <w:tcBorders>
              <w:top w:val="nil"/>
              <w:left w:val="nil"/>
              <w:bottom w:val="nil"/>
              <w:right w:val="nil"/>
            </w:tcBorders>
            <w:shd w:val="clear" w:color="auto" w:fill="auto"/>
            <w:noWrap/>
            <w:vAlign w:val="center"/>
            <w:hideMark/>
          </w:tcPr>
          <w:p w:rsidR="00F37B64" w:rsidRPr="00F37B64" w:rsidRDefault="00F37B64" w:rsidP="00F37B64">
            <w:pPr>
              <w:rPr>
                <w:rFonts w:cs="Arial"/>
                <w:color w:val="7F7F7F"/>
                <w:szCs w:val="18"/>
                <w:lang w:eastAsia="en-AU"/>
              </w:rPr>
            </w:pPr>
          </w:p>
        </w:tc>
        <w:tc>
          <w:tcPr>
            <w:tcW w:w="1417" w:type="dxa"/>
            <w:tcBorders>
              <w:top w:val="nil"/>
              <w:left w:val="nil"/>
              <w:bottom w:val="nil"/>
              <w:right w:val="nil"/>
            </w:tcBorders>
            <w:shd w:val="clear" w:color="auto" w:fill="auto"/>
            <w:noWrap/>
            <w:vAlign w:val="center"/>
            <w:hideMark/>
          </w:tcPr>
          <w:p w:rsidR="00F37B64" w:rsidRPr="00F37B64" w:rsidRDefault="00F37B64" w:rsidP="00F37B64">
            <w:pPr>
              <w:jc w:val="right"/>
              <w:rPr>
                <w:rFonts w:cs="Arial"/>
                <w:color w:val="7F7F7F"/>
                <w:szCs w:val="18"/>
                <w:lang w:eastAsia="en-AU"/>
              </w:rPr>
            </w:pPr>
            <w:r w:rsidRPr="00F37B64">
              <w:rPr>
                <w:rFonts w:cs="Arial"/>
                <w:color w:val="7F7F7F"/>
                <w:szCs w:val="18"/>
                <w:lang w:eastAsia="en-AU"/>
              </w:rPr>
              <w:t>-3%</w:t>
            </w:r>
          </w:p>
        </w:tc>
      </w:tr>
      <w:tr w:rsidR="00F37B64" w:rsidRPr="00F37B64" w:rsidTr="00F37B64">
        <w:trPr>
          <w:trHeight w:val="300"/>
        </w:trPr>
        <w:tc>
          <w:tcPr>
            <w:tcW w:w="2456" w:type="dxa"/>
            <w:tcBorders>
              <w:top w:val="nil"/>
              <w:left w:val="nil"/>
              <w:bottom w:val="nil"/>
              <w:right w:val="nil"/>
            </w:tcBorders>
            <w:shd w:val="clear" w:color="auto" w:fill="auto"/>
            <w:noWrap/>
            <w:vAlign w:val="center"/>
            <w:hideMark/>
          </w:tcPr>
          <w:p w:rsidR="00F37B64" w:rsidRPr="00F37B64" w:rsidRDefault="00F37B64" w:rsidP="00F37B64">
            <w:pPr>
              <w:rPr>
                <w:rFonts w:cs="Arial"/>
                <w:color w:val="7F7F7F"/>
                <w:szCs w:val="18"/>
                <w:lang w:eastAsia="en-AU"/>
              </w:rPr>
            </w:pPr>
            <w:r w:rsidRPr="00F37B64">
              <w:rPr>
                <w:rFonts w:cs="Arial"/>
                <w:color w:val="7F7F7F"/>
                <w:szCs w:val="18"/>
                <w:lang w:eastAsia="en-AU"/>
              </w:rPr>
              <w:t>Hume</w:t>
            </w:r>
          </w:p>
        </w:tc>
        <w:tc>
          <w:tcPr>
            <w:tcW w:w="1528" w:type="dxa"/>
            <w:tcBorders>
              <w:top w:val="nil"/>
              <w:left w:val="nil"/>
              <w:bottom w:val="nil"/>
              <w:right w:val="nil"/>
            </w:tcBorders>
            <w:shd w:val="clear" w:color="auto" w:fill="auto"/>
            <w:noWrap/>
            <w:vAlign w:val="center"/>
            <w:hideMark/>
          </w:tcPr>
          <w:p w:rsidR="00F37B64" w:rsidRPr="00F37B64" w:rsidRDefault="00F37B64" w:rsidP="00F37B64">
            <w:pPr>
              <w:jc w:val="right"/>
              <w:rPr>
                <w:rFonts w:cs="Arial"/>
                <w:color w:val="7F7F7F"/>
                <w:szCs w:val="18"/>
                <w:lang w:eastAsia="en-AU"/>
              </w:rPr>
            </w:pPr>
            <w:r w:rsidRPr="00F37B64">
              <w:rPr>
                <w:rFonts w:cs="Arial"/>
                <w:color w:val="7F7F7F"/>
                <w:szCs w:val="18"/>
                <w:lang w:eastAsia="en-AU"/>
              </w:rPr>
              <w:t>11,140</w:t>
            </w:r>
          </w:p>
        </w:tc>
        <w:tc>
          <w:tcPr>
            <w:tcW w:w="1701" w:type="dxa"/>
            <w:tcBorders>
              <w:top w:val="nil"/>
              <w:left w:val="nil"/>
              <w:bottom w:val="nil"/>
              <w:right w:val="nil"/>
            </w:tcBorders>
            <w:shd w:val="clear" w:color="auto" w:fill="auto"/>
            <w:noWrap/>
            <w:vAlign w:val="center"/>
            <w:hideMark/>
          </w:tcPr>
          <w:p w:rsidR="00F37B64" w:rsidRPr="00F37B64" w:rsidRDefault="00F37B64" w:rsidP="00F37B64">
            <w:pPr>
              <w:jc w:val="right"/>
              <w:rPr>
                <w:rFonts w:cs="Arial"/>
                <w:color w:val="7F7F7F"/>
                <w:szCs w:val="18"/>
                <w:lang w:eastAsia="en-AU"/>
              </w:rPr>
            </w:pPr>
            <w:r w:rsidRPr="00F37B64">
              <w:rPr>
                <w:rFonts w:cs="Arial"/>
                <w:color w:val="7F7F7F"/>
                <w:szCs w:val="18"/>
                <w:lang w:eastAsia="en-AU"/>
              </w:rPr>
              <w:t>11,471</w:t>
            </w:r>
          </w:p>
        </w:tc>
        <w:tc>
          <w:tcPr>
            <w:tcW w:w="993" w:type="dxa"/>
            <w:tcBorders>
              <w:top w:val="nil"/>
              <w:left w:val="nil"/>
              <w:bottom w:val="nil"/>
              <w:right w:val="nil"/>
            </w:tcBorders>
            <w:shd w:val="clear" w:color="auto" w:fill="auto"/>
            <w:noWrap/>
            <w:vAlign w:val="center"/>
            <w:hideMark/>
          </w:tcPr>
          <w:p w:rsidR="00F37B64" w:rsidRPr="00F37B64" w:rsidRDefault="00F37B64" w:rsidP="00F37B64">
            <w:pPr>
              <w:rPr>
                <w:rFonts w:cs="Arial"/>
                <w:color w:val="7F7F7F"/>
                <w:szCs w:val="18"/>
                <w:lang w:eastAsia="en-AU"/>
              </w:rPr>
            </w:pPr>
          </w:p>
        </w:tc>
        <w:tc>
          <w:tcPr>
            <w:tcW w:w="1417" w:type="dxa"/>
            <w:tcBorders>
              <w:top w:val="nil"/>
              <w:left w:val="nil"/>
              <w:bottom w:val="nil"/>
              <w:right w:val="nil"/>
            </w:tcBorders>
            <w:shd w:val="clear" w:color="auto" w:fill="auto"/>
            <w:noWrap/>
            <w:vAlign w:val="center"/>
            <w:hideMark/>
          </w:tcPr>
          <w:p w:rsidR="00F37B64" w:rsidRPr="00F37B64" w:rsidRDefault="00F37B64" w:rsidP="00F37B64">
            <w:pPr>
              <w:jc w:val="right"/>
              <w:rPr>
                <w:rFonts w:cs="Arial"/>
                <w:color w:val="7F7F7F"/>
                <w:szCs w:val="18"/>
                <w:lang w:eastAsia="en-AU"/>
              </w:rPr>
            </w:pPr>
            <w:r w:rsidRPr="00F37B64">
              <w:rPr>
                <w:rFonts w:cs="Arial"/>
                <w:color w:val="7F7F7F"/>
                <w:szCs w:val="18"/>
                <w:lang w:eastAsia="en-AU"/>
              </w:rPr>
              <w:t>3%</w:t>
            </w:r>
          </w:p>
        </w:tc>
      </w:tr>
      <w:tr w:rsidR="00F37B64" w:rsidRPr="00F37B64" w:rsidTr="00F37B64">
        <w:trPr>
          <w:trHeight w:val="300"/>
        </w:trPr>
        <w:tc>
          <w:tcPr>
            <w:tcW w:w="2456" w:type="dxa"/>
            <w:tcBorders>
              <w:top w:val="nil"/>
              <w:left w:val="nil"/>
              <w:bottom w:val="nil"/>
              <w:right w:val="nil"/>
            </w:tcBorders>
            <w:shd w:val="clear" w:color="auto" w:fill="auto"/>
            <w:noWrap/>
            <w:vAlign w:val="center"/>
            <w:hideMark/>
          </w:tcPr>
          <w:p w:rsidR="00F37B64" w:rsidRPr="00F37B64" w:rsidRDefault="00F37B64" w:rsidP="00F37B64">
            <w:pPr>
              <w:rPr>
                <w:rFonts w:cs="Arial"/>
                <w:color w:val="7F7F7F"/>
                <w:szCs w:val="18"/>
                <w:lang w:eastAsia="en-AU"/>
              </w:rPr>
            </w:pPr>
            <w:r w:rsidRPr="00F37B64">
              <w:rPr>
                <w:rFonts w:cs="Arial"/>
                <w:color w:val="7F7F7F"/>
                <w:szCs w:val="18"/>
                <w:lang w:eastAsia="en-AU"/>
              </w:rPr>
              <w:t>Gippsland</w:t>
            </w:r>
          </w:p>
        </w:tc>
        <w:tc>
          <w:tcPr>
            <w:tcW w:w="1528" w:type="dxa"/>
            <w:tcBorders>
              <w:top w:val="nil"/>
              <w:left w:val="nil"/>
              <w:bottom w:val="nil"/>
              <w:right w:val="nil"/>
            </w:tcBorders>
            <w:shd w:val="clear" w:color="auto" w:fill="auto"/>
            <w:noWrap/>
            <w:vAlign w:val="center"/>
            <w:hideMark/>
          </w:tcPr>
          <w:p w:rsidR="00F37B64" w:rsidRPr="00F37B64" w:rsidRDefault="00F37B64" w:rsidP="00F37B64">
            <w:pPr>
              <w:jc w:val="right"/>
              <w:rPr>
                <w:rFonts w:cs="Arial"/>
                <w:color w:val="7F7F7F"/>
                <w:szCs w:val="18"/>
                <w:lang w:eastAsia="en-AU"/>
              </w:rPr>
            </w:pPr>
            <w:r w:rsidRPr="00F37B64">
              <w:rPr>
                <w:rFonts w:cs="Arial"/>
                <w:color w:val="7F7F7F"/>
                <w:szCs w:val="18"/>
                <w:lang w:eastAsia="en-AU"/>
              </w:rPr>
              <w:t>8,962</w:t>
            </w:r>
          </w:p>
        </w:tc>
        <w:tc>
          <w:tcPr>
            <w:tcW w:w="1701" w:type="dxa"/>
            <w:tcBorders>
              <w:top w:val="nil"/>
              <w:left w:val="nil"/>
              <w:bottom w:val="nil"/>
              <w:right w:val="nil"/>
            </w:tcBorders>
            <w:shd w:val="clear" w:color="auto" w:fill="auto"/>
            <w:noWrap/>
            <w:vAlign w:val="center"/>
            <w:hideMark/>
          </w:tcPr>
          <w:p w:rsidR="00F37B64" w:rsidRPr="00F37B64" w:rsidRDefault="00F37B64" w:rsidP="00F37B64">
            <w:pPr>
              <w:jc w:val="right"/>
              <w:rPr>
                <w:rFonts w:cs="Arial"/>
                <w:color w:val="7F7F7F"/>
                <w:szCs w:val="18"/>
                <w:lang w:eastAsia="en-AU"/>
              </w:rPr>
            </w:pPr>
            <w:r w:rsidRPr="00F37B64">
              <w:rPr>
                <w:rFonts w:cs="Arial"/>
                <w:color w:val="7F7F7F"/>
                <w:szCs w:val="18"/>
                <w:lang w:eastAsia="en-AU"/>
              </w:rPr>
              <w:t>6,694</w:t>
            </w:r>
          </w:p>
        </w:tc>
        <w:tc>
          <w:tcPr>
            <w:tcW w:w="993" w:type="dxa"/>
            <w:tcBorders>
              <w:top w:val="nil"/>
              <w:left w:val="nil"/>
              <w:bottom w:val="nil"/>
              <w:right w:val="nil"/>
            </w:tcBorders>
            <w:shd w:val="clear" w:color="auto" w:fill="auto"/>
            <w:noWrap/>
            <w:vAlign w:val="center"/>
            <w:hideMark/>
          </w:tcPr>
          <w:p w:rsidR="00F37B64" w:rsidRPr="00F37B64" w:rsidRDefault="00F37B64" w:rsidP="00F37B64">
            <w:pPr>
              <w:rPr>
                <w:rFonts w:cs="Arial"/>
                <w:color w:val="7F7F7F"/>
                <w:szCs w:val="18"/>
                <w:lang w:eastAsia="en-AU"/>
              </w:rPr>
            </w:pPr>
          </w:p>
        </w:tc>
        <w:tc>
          <w:tcPr>
            <w:tcW w:w="1417" w:type="dxa"/>
            <w:tcBorders>
              <w:top w:val="nil"/>
              <w:left w:val="nil"/>
              <w:bottom w:val="nil"/>
              <w:right w:val="nil"/>
            </w:tcBorders>
            <w:shd w:val="clear" w:color="auto" w:fill="auto"/>
            <w:noWrap/>
            <w:vAlign w:val="center"/>
            <w:hideMark/>
          </w:tcPr>
          <w:p w:rsidR="00F37B64" w:rsidRPr="00F37B64" w:rsidRDefault="00F37B64" w:rsidP="00F37B64">
            <w:pPr>
              <w:jc w:val="right"/>
              <w:rPr>
                <w:rFonts w:cs="Arial"/>
                <w:color w:val="7F7F7F"/>
                <w:szCs w:val="18"/>
                <w:lang w:eastAsia="en-AU"/>
              </w:rPr>
            </w:pPr>
            <w:r w:rsidRPr="00F37B64">
              <w:rPr>
                <w:rFonts w:cs="Arial"/>
                <w:color w:val="7F7F7F"/>
                <w:szCs w:val="18"/>
                <w:lang w:eastAsia="en-AU"/>
              </w:rPr>
              <w:t>-25%</w:t>
            </w:r>
          </w:p>
        </w:tc>
      </w:tr>
      <w:tr w:rsidR="00F37B64" w:rsidRPr="00F37B64" w:rsidTr="00F37B64">
        <w:trPr>
          <w:trHeight w:val="300"/>
        </w:trPr>
        <w:tc>
          <w:tcPr>
            <w:tcW w:w="2456" w:type="dxa"/>
            <w:tcBorders>
              <w:top w:val="nil"/>
              <w:left w:val="nil"/>
              <w:bottom w:val="nil"/>
              <w:right w:val="nil"/>
            </w:tcBorders>
            <w:shd w:val="clear" w:color="auto" w:fill="auto"/>
            <w:noWrap/>
            <w:vAlign w:val="center"/>
            <w:hideMark/>
          </w:tcPr>
          <w:p w:rsidR="00F37B64" w:rsidRPr="00F37B64" w:rsidRDefault="00F37B64" w:rsidP="00F37B64">
            <w:pPr>
              <w:rPr>
                <w:rFonts w:cs="Arial"/>
                <w:color w:val="7F7F7F"/>
                <w:szCs w:val="18"/>
                <w:lang w:eastAsia="en-AU"/>
              </w:rPr>
            </w:pPr>
            <w:r w:rsidRPr="00F37B64">
              <w:rPr>
                <w:rFonts w:cs="Arial"/>
                <w:color w:val="7F7F7F"/>
                <w:szCs w:val="18"/>
                <w:lang w:eastAsia="en-AU"/>
              </w:rPr>
              <w:t>Eastern Metropolitan</w:t>
            </w:r>
          </w:p>
        </w:tc>
        <w:tc>
          <w:tcPr>
            <w:tcW w:w="1528" w:type="dxa"/>
            <w:tcBorders>
              <w:top w:val="nil"/>
              <w:left w:val="nil"/>
              <w:bottom w:val="nil"/>
              <w:right w:val="nil"/>
            </w:tcBorders>
            <w:shd w:val="clear" w:color="auto" w:fill="auto"/>
            <w:noWrap/>
            <w:vAlign w:val="center"/>
            <w:hideMark/>
          </w:tcPr>
          <w:p w:rsidR="00F37B64" w:rsidRPr="00F37B64" w:rsidRDefault="00F37B64" w:rsidP="00F37B64">
            <w:pPr>
              <w:jc w:val="right"/>
              <w:rPr>
                <w:rFonts w:cs="Arial"/>
                <w:color w:val="7F7F7F"/>
                <w:szCs w:val="18"/>
                <w:lang w:eastAsia="en-AU"/>
              </w:rPr>
            </w:pPr>
            <w:r w:rsidRPr="00F37B64">
              <w:rPr>
                <w:rFonts w:cs="Arial"/>
                <w:color w:val="7F7F7F"/>
                <w:szCs w:val="18"/>
                <w:lang w:eastAsia="en-AU"/>
              </w:rPr>
              <w:t>17,934</w:t>
            </w:r>
          </w:p>
        </w:tc>
        <w:tc>
          <w:tcPr>
            <w:tcW w:w="1701" w:type="dxa"/>
            <w:tcBorders>
              <w:top w:val="nil"/>
              <w:left w:val="nil"/>
              <w:bottom w:val="nil"/>
              <w:right w:val="nil"/>
            </w:tcBorders>
            <w:shd w:val="clear" w:color="auto" w:fill="auto"/>
            <w:noWrap/>
            <w:vAlign w:val="center"/>
            <w:hideMark/>
          </w:tcPr>
          <w:p w:rsidR="00F37B64" w:rsidRPr="00F37B64" w:rsidRDefault="00F37B64" w:rsidP="00F37B64">
            <w:pPr>
              <w:jc w:val="right"/>
              <w:rPr>
                <w:rFonts w:cs="Arial"/>
                <w:color w:val="7F7F7F"/>
                <w:szCs w:val="18"/>
                <w:lang w:eastAsia="en-AU"/>
              </w:rPr>
            </w:pPr>
            <w:r w:rsidRPr="00F37B64">
              <w:rPr>
                <w:rFonts w:cs="Arial"/>
                <w:color w:val="7F7F7F"/>
                <w:szCs w:val="18"/>
                <w:lang w:eastAsia="en-AU"/>
              </w:rPr>
              <w:t>22,195</w:t>
            </w:r>
          </w:p>
        </w:tc>
        <w:tc>
          <w:tcPr>
            <w:tcW w:w="993" w:type="dxa"/>
            <w:tcBorders>
              <w:top w:val="nil"/>
              <w:left w:val="nil"/>
              <w:bottom w:val="nil"/>
              <w:right w:val="nil"/>
            </w:tcBorders>
            <w:shd w:val="clear" w:color="auto" w:fill="auto"/>
            <w:noWrap/>
            <w:vAlign w:val="center"/>
            <w:hideMark/>
          </w:tcPr>
          <w:p w:rsidR="00F37B64" w:rsidRPr="00F37B64" w:rsidRDefault="00F37B64" w:rsidP="00F37B64">
            <w:pPr>
              <w:rPr>
                <w:rFonts w:cs="Arial"/>
                <w:color w:val="7F7F7F"/>
                <w:szCs w:val="18"/>
                <w:lang w:eastAsia="en-AU"/>
              </w:rPr>
            </w:pPr>
          </w:p>
        </w:tc>
        <w:tc>
          <w:tcPr>
            <w:tcW w:w="1417" w:type="dxa"/>
            <w:tcBorders>
              <w:top w:val="nil"/>
              <w:left w:val="nil"/>
              <w:bottom w:val="nil"/>
              <w:right w:val="nil"/>
            </w:tcBorders>
            <w:shd w:val="clear" w:color="auto" w:fill="auto"/>
            <w:noWrap/>
            <w:vAlign w:val="center"/>
            <w:hideMark/>
          </w:tcPr>
          <w:p w:rsidR="00F37B64" w:rsidRPr="00F37B64" w:rsidRDefault="00F37B64" w:rsidP="00F37B64">
            <w:pPr>
              <w:jc w:val="right"/>
              <w:rPr>
                <w:rFonts w:cs="Arial"/>
                <w:color w:val="7F7F7F"/>
                <w:szCs w:val="18"/>
                <w:lang w:eastAsia="en-AU"/>
              </w:rPr>
            </w:pPr>
            <w:r w:rsidRPr="00F37B64">
              <w:rPr>
                <w:rFonts w:cs="Arial"/>
                <w:color w:val="7F7F7F"/>
                <w:szCs w:val="18"/>
                <w:lang w:eastAsia="en-AU"/>
              </w:rPr>
              <w:t>24%</w:t>
            </w:r>
          </w:p>
        </w:tc>
      </w:tr>
      <w:tr w:rsidR="00F37B64" w:rsidRPr="00F37B64" w:rsidTr="00F37B64">
        <w:trPr>
          <w:trHeight w:val="300"/>
        </w:trPr>
        <w:tc>
          <w:tcPr>
            <w:tcW w:w="2456" w:type="dxa"/>
            <w:tcBorders>
              <w:top w:val="nil"/>
              <w:left w:val="nil"/>
              <w:bottom w:val="nil"/>
              <w:right w:val="nil"/>
            </w:tcBorders>
            <w:shd w:val="clear" w:color="auto" w:fill="auto"/>
            <w:noWrap/>
            <w:vAlign w:val="center"/>
            <w:hideMark/>
          </w:tcPr>
          <w:p w:rsidR="00F37B64" w:rsidRPr="00F37B64" w:rsidRDefault="00F37B64" w:rsidP="00F37B64">
            <w:pPr>
              <w:rPr>
                <w:rFonts w:cs="Arial"/>
                <w:color w:val="7F7F7F"/>
                <w:szCs w:val="18"/>
                <w:lang w:eastAsia="en-AU"/>
              </w:rPr>
            </w:pPr>
            <w:r w:rsidRPr="00F37B64">
              <w:rPr>
                <w:rFonts w:cs="Arial"/>
                <w:color w:val="7F7F7F"/>
                <w:szCs w:val="18"/>
                <w:lang w:eastAsia="en-AU"/>
              </w:rPr>
              <w:t>Western Metropolitan</w:t>
            </w:r>
          </w:p>
        </w:tc>
        <w:tc>
          <w:tcPr>
            <w:tcW w:w="1528" w:type="dxa"/>
            <w:tcBorders>
              <w:top w:val="nil"/>
              <w:left w:val="nil"/>
              <w:bottom w:val="nil"/>
              <w:right w:val="nil"/>
            </w:tcBorders>
            <w:shd w:val="clear" w:color="auto" w:fill="auto"/>
            <w:noWrap/>
            <w:vAlign w:val="center"/>
            <w:hideMark/>
          </w:tcPr>
          <w:p w:rsidR="00F37B64" w:rsidRPr="00F37B64" w:rsidRDefault="00F37B64" w:rsidP="00F37B64">
            <w:pPr>
              <w:jc w:val="right"/>
              <w:rPr>
                <w:rFonts w:cs="Arial"/>
                <w:color w:val="7F7F7F"/>
                <w:szCs w:val="18"/>
                <w:lang w:eastAsia="en-AU"/>
              </w:rPr>
            </w:pPr>
            <w:r w:rsidRPr="00F37B64">
              <w:rPr>
                <w:rFonts w:cs="Arial"/>
                <w:color w:val="7F7F7F"/>
                <w:szCs w:val="18"/>
                <w:lang w:eastAsia="en-AU"/>
              </w:rPr>
              <w:t>41,140</w:t>
            </w:r>
          </w:p>
        </w:tc>
        <w:tc>
          <w:tcPr>
            <w:tcW w:w="1701" w:type="dxa"/>
            <w:tcBorders>
              <w:top w:val="nil"/>
              <w:left w:val="nil"/>
              <w:bottom w:val="nil"/>
              <w:right w:val="nil"/>
            </w:tcBorders>
            <w:shd w:val="clear" w:color="auto" w:fill="auto"/>
            <w:noWrap/>
            <w:vAlign w:val="center"/>
            <w:hideMark/>
          </w:tcPr>
          <w:p w:rsidR="00F37B64" w:rsidRPr="00F37B64" w:rsidRDefault="00F37B64" w:rsidP="00F37B64">
            <w:pPr>
              <w:jc w:val="right"/>
              <w:rPr>
                <w:rFonts w:cs="Arial"/>
                <w:color w:val="7F7F7F"/>
                <w:szCs w:val="18"/>
                <w:lang w:eastAsia="en-AU"/>
              </w:rPr>
            </w:pPr>
            <w:r w:rsidRPr="00F37B64">
              <w:rPr>
                <w:rFonts w:cs="Arial"/>
                <w:color w:val="7F7F7F"/>
                <w:szCs w:val="18"/>
                <w:lang w:eastAsia="en-AU"/>
              </w:rPr>
              <w:t>48,234</w:t>
            </w:r>
          </w:p>
        </w:tc>
        <w:tc>
          <w:tcPr>
            <w:tcW w:w="993" w:type="dxa"/>
            <w:tcBorders>
              <w:top w:val="nil"/>
              <w:left w:val="nil"/>
              <w:bottom w:val="nil"/>
              <w:right w:val="nil"/>
            </w:tcBorders>
            <w:shd w:val="clear" w:color="auto" w:fill="auto"/>
            <w:noWrap/>
            <w:vAlign w:val="center"/>
            <w:hideMark/>
          </w:tcPr>
          <w:p w:rsidR="00F37B64" w:rsidRPr="00F37B64" w:rsidRDefault="00F37B64" w:rsidP="00F37B64">
            <w:pPr>
              <w:rPr>
                <w:rFonts w:cs="Arial"/>
                <w:color w:val="7F7F7F"/>
                <w:szCs w:val="18"/>
                <w:lang w:eastAsia="en-AU"/>
              </w:rPr>
            </w:pPr>
          </w:p>
        </w:tc>
        <w:tc>
          <w:tcPr>
            <w:tcW w:w="1417" w:type="dxa"/>
            <w:tcBorders>
              <w:top w:val="nil"/>
              <w:left w:val="nil"/>
              <w:bottom w:val="nil"/>
              <w:right w:val="nil"/>
            </w:tcBorders>
            <w:shd w:val="clear" w:color="auto" w:fill="auto"/>
            <w:noWrap/>
            <w:vAlign w:val="center"/>
            <w:hideMark/>
          </w:tcPr>
          <w:p w:rsidR="00F37B64" w:rsidRPr="00F37B64" w:rsidRDefault="00F37B64" w:rsidP="00F37B64">
            <w:pPr>
              <w:jc w:val="right"/>
              <w:rPr>
                <w:rFonts w:cs="Arial"/>
                <w:color w:val="7F7F7F"/>
                <w:szCs w:val="18"/>
                <w:lang w:eastAsia="en-AU"/>
              </w:rPr>
            </w:pPr>
            <w:r w:rsidRPr="00F37B64">
              <w:rPr>
                <w:rFonts w:cs="Arial"/>
                <w:color w:val="7F7F7F"/>
                <w:szCs w:val="18"/>
                <w:lang w:eastAsia="en-AU"/>
              </w:rPr>
              <w:t>17%</w:t>
            </w:r>
          </w:p>
        </w:tc>
      </w:tr>
      <w:tr w:rsidR="00F37B64" w:rsidRPr="00F37B64" w:rsidTr="00F37B64">
        <w:trPr>
          <w:trHeight w:val="300"/>
        </w:trPr>
        <w:tc>
          <w:tcPr>
            <w:tcW w:w="2456" w:type="dxa"/>
            <w:tcBorders>
              <w:top w:val="nil"/>
              <w:left w:val="nil"/>
              <w:bottom w:val="nil"/>
              <w:right w:val="nil"/>
            </w:tcBorders>
            <w:shd w:val="clear" w:color="auto" w:fill="auto"/>
            <w:noWrap/>
            <w:vAlign w:val="center"/>
            <w:hideMark/>
          </w:tcPr>
          <w:p w:rsidR="00F37B64" w:rsidRPr="00F37B64" w:rsidRDefault="00F37B64" w:rsidP="00F37B64">
            <w:pPr>
              <w:rPr>
                <w:rFonts w:cs="Arial"/>
                <w:color w:val="7F7F7F"/>
                <w:szCs w:val="18"/>
                <w:lang w:eastAsia="en-AU"/>
              </w:rPr>
            </w:pPr>
            <w:r w:rsidRPr="00F37B64">
              <w:rPr>
                <w:rFonts w:cs="Arial"/>
                <w:color w:val="7F7F7F"/>
                <w:szCs w:val="18"/>
                <w:lang w:eastAsia="en-AU"/>
              </w:rPr>
              <w:t>Southern Metropolitan</w:t>
            </w:r>
          </w:p>
        </w:tc>
        <w:tc>
          <w:tcPr>
            <w:tcW w:w="1528" w:type="dxa"/>
            <w:tcBorders>
              <w:top w:val="nil"/>
              <w:left w:val="nil"/>
              <w:bottom w:val="nil"/>
              <w:right w:val="nil"/>
            </w:tcBorders>
            <w:shd w:val="clear" w:color="auto" w:fill="auto"/>
            <w:noWrap/>
            <w:vAlign w:val="center"/>
            <w:hideMark/>
          </w:tcPr>
          <w:p w:rsidR="00F37B64" w:rsidRPr="00F37B64" w:rsidRDefault="00F37B64" w:rsidP="00F37B64">
            <w:pPr>
              <w:jc w:val="right"/>
              <w:rPr>
                <w:rFonts w:cs="Arial"/>
                <w:color w:val="7F7F7F"/>
                <w:szCs w:val="18"/>
                <w:lang w:eastAsia="en-AU"/>
              </w:rPr>
            </w:pPr>
            <w:r w:rsidRPr="00F37B64">
              <w:rPr>
                <w:rFonts w:cs="Arial"/>
                <w:color w:val="7F7F7F"/>
                <w:szCs w:val="18"/>
                <w:lang w:eastAsia="en-AU"/>
              </w:rPr>
              <w:t>28,676</w:t>
            </w:r>
          </w:p>
        </w:tc>
        <w:tc>
          <w:tcPr>
            <w:tcW w:w="1701" w:type="dxa"/>
            <w:tcBorders>
              <w:top w:val="nil"/>
              <w:left w:val="nil"/>
              <w:bottom w:val="nil"/>
              <w:right w:val="nil"/>
            </w:tcBorders>
            <w:shd w:val="clear" w:color="auto" w:fill="auto"/>
            <w:noWrap/>
            <w:vAlign w:val="center"/>
            <w:hideMark/>
          </w:tcPr>
          <w:p w:rsidR="00F37B64" w:rsidRPr="00F37B64" w:rsidRDefault="00F37B64" w:rsidP="00F37B64">
            <w:pPr>
              <w:jc w:val="right"/>
              <w:rPr>
                <w:rFonts w:cs="Arial"/>
                <w:color w:val="7F7F7F"/>
                <w:szCs w:val="18"/>
                <w:lang w:eastAsia="en-AU"/>
              </w:rPr>
            </w:pPr>
            <w:r w:rsidRPr="00F37B64">
              <w:rPr>
                <w:rFonts w:cs="Arial"/>
                <w:color w:val="7F7F7F"/>
                <w:szCs w:val="18"/>
                <w:lang w:eastAsia="en-AU"/>
              </w:rPr>
              <w:t>31,258</w:t>
            </w:r>
          </w:p>
        </w:tc>
        <w:tc>
          <w:tcPr>
            <w:tcW w:w="993" w:type="dxa"/>
            <w:tcBorders>
              <w:top w:val="nil"/>
              <w:left w:val="nil"/>
              <w:bottom w:val="nil"/>
              <w:right w:val="nil"/>
            </w:tcBorders>
            <w:shd w:val="clear" w:color="auto" w:fill="auto"/>
            <w:noWrap/>
            <w:vAlign w:val="center"/>
            <w:hideMark/>
          </w:tcPr>
          <w:p w:rsidR="00F37B64" w:rsidRPr="00F37B64" w:rsidRDefault="00F37B64" w:rsidP="00F37B64">
            <w:pPr>
              <w:rPr>
                <w:rFonts w:cs="Arial"/>
                <w:color w:val="7F7F7F"/>
                <w:szCs w:val="18"/>
                <w:lang w:eastAsia="en-AU"/>
              </w:rPr>
            </w:pPr>
          </w:p>
        </w:tc>
        <w:tc>
          <w:tcPr>
            <w:tcW w:w="1417" w:type="dxa"/>
            <w:tcBorders>
              <w:top w:val="nil"/>
              <w:left w:val="nil"/>
              <w:bottom w:val="nil"/>
              <w:right w:val="nil"/>
            </w:tcBorders>
            <w:shd w:val="clear" w:color="auto" w:fill="auto"/>
            <w:noWrap/>
            <w:vAlign w:val="center"/>
            <w:hideMark/>
          </w:tcPr>
          <w:p w:rsidR="00F37B64" w:rsidRPr="00F37B64" w:rsidRDefault="00F37B64" w:rsidP="00F37B64">
            <w:pPr>
              <w:jc w:val="right"/>
              <w:rPr>
                <w:rFonts w:cs="Arial"/>
                <w:color w:val="7F7F7F"/>
                <w:szCs w:val="18"/>
                <w:lang w:eastAsia="en-AU"/>
              </w:rPr>
            </w:pPr>
            <w:r w:rsidRPr="00F37B64">
              <w:rPr>
                <w:rFonts w:cs="Arial"/>
                <w:color w:val="7F7F7F"/>
                <w:szCs w:val="18"/>
                <w:lang w:eastAsia="en-AU"/>
              </w:rPr>
              <w:t>9%</w:t>
            </w:r>
          </w:p>
        </w:tc>
      </w:tr>
      <w:tr w:rsidR="00F37B64" w:rsidRPr="00F37B64" w:rsidTr="00F37B64">
        <w:trPr>
          <w:trHeight w:val="300"/>
        </w:trPr>
        <w:tc>
          <w:tcPr>
            <w:tcW w:w="2456" w:type="dxa"/>
            <w:tcBorders>
              <w:top w:val="nil"/>
              <w:left w:val="nil"/>
              <w:bottom w:val="nil"/>
              <w:right w:val="nil"/>
            </w:tcBorders>
            <w:shd w:val="clear" w:color="auto" w:fill="auto"/>
            <w:noWrap/>
            <w:vAlign w:val="center"/>
            <w:hideMark/>
          </w:tcPr>
          <w:p w:rsidR="00F37B64" w:rsidRPr="00F37B64" w:rsidRDefault="00F37B64" w:rsidP="00F37B64">
            <w:pPr>
              <w:rPr>
                <w:rFonts w:cs="Arial"/>
                <w:color w:val="7F7F7F"/>
                <w:szCs w:val="18"/>
                <w:lang w:eastAsia="en-AU"/>
              </w:rPr>
            </w:pPr>
            <w:r w:rsidRPr="00F37B64">
              <w:rPr>
                <w:rFonts w:cs="Arial"/>
                <w:color w:val="7F7F7F"/>
                <w:szCs w:val="18"/>
                <w:lang w:eastAsia="en-AU"/>
              </w:rPr>
              <w:t>Northern Metropolitan</w:t>
            </w:r>
          </w:p>
        </w:tc>
        <w:tc>
          <w:tcPr>
            <w:tcW w:w="1528" w:type="dxa"/>
            <w:tcBorders>
              <w:top w:val="nil"/>
              <w:left w:val="nil"/>
              <w:bottom w:val="nil"/>
              <w:right w:val="nil"/>
            </w:tcBorders>
            <w:shd w:val="clear" w:color="auto" w:fill="auto"/>
            <w:noWrap/>
            <w:vAlign w:val="center"/>
            <w:hideMark/>
          </w:tcPr>
          <w:p w:rsidR="00F37B64" w:rsidRPr="00F37B64" w:rsidRDefault="00F37B64" w:rsidP="00F37B64">
            <w:pPr>
              <w:jc w:val="right"/>
              <w:rPr>
                <w:rFonts w:cs="Arial"/>
                <w:color w:val="7F7F7F"/>
                <w:szCs w:val="18"/>
                <w:lang w:eastAsia="en-AU"/>
              </w:rPr>
            </w:pPr>
            <w:r w:rsidRPr="00F37B64">
              <w:rPr>
                <w:rFonts w:cs="Arial"/>
                <w:color w:val="7F7F7F"/>
                <w:szCs w:val="18"/>
                <w:lang w:eastAsia="en-AU"/>
              </w:rPr>
              <w:t>17,984</w:t>
            </w:r>
          </w:p>
        </w:tc>
        <w:tc>
          <w:tcPr>
            <w:tcW w:w="1701" w:type="dxa"/>
            <w:tcBorders>
              <w:top w:val="nil"/>
              <w:left w:val="nil"/>
              <w:bottom w:val="nil"/>
              <w:right w:val="nil"/>
            </w:tcBorders>
            <w:shd w:val="clear" w:color="auto" w:fill="auto"/>
            <w:noWrap/>
            <w:vAlign w:val="center"/>
            <w:hideMark/>
          </w:tcPr>
          <w:p w:rsidR="00F37B64" w:rsidRPr="00F37B64" w:rsidRDefault="00F37B64" w:rsidP="00F37B64">
            <w:pPr>
              <w:jc w:val="right"/>
              <w:rPr>
                <w:rFonts w:cs="Arial"/>
                <w:color w:val="7F7F7F"/>
                <w:szCs w:val="18"/>
                <w:lang w:eastAsia="en-AU"/>
              </w:rPr>
            </w:pPr>
            <w:r w:rsidRPr="00F37B64">
              <w:rPr>
                <w:rFonts w:cs="Arial"/>
                <w:color w:val="7F7F7F"/>
                <w:szCs w:val="18"/>
                <w:lang w:eastAsia="en-AU"/>
              </w:rPr>
              <w:t>20,623</w:t>
            </w:r>
          </w:p>
        </w:tc>
        <w:tc>
          <w:tcPr>
            <w:tcW w:w="993" w:type="dxa"/>
            <w:tcBorders>
              <w:top w:val="nil"/>
              <w:left w:val="nil"/>
              <w:bottom w:val="nil"/>
              <w:right w:val="nil"/>
            </w:tcBorders>
            <w:shd w:val="clear" w:color="auto" w:fill="auto"/>
            <w:noWrap/>
            <w:vAlign w:val="center"/>
            <w:hideMark/>
          </w:tcPr>
          <w:p w:rsidR="00F37B64" w:rsidRPr="00F37B64" w:rsidRDefault="00F37B64" w:rsidP="00F37B64">
            <w:pPr>
              <w:rPr>
                <w:rFonts w:cs="Arial"/>
                <w:color w:val="7F7F7F"/>
                <w:szCs w:val="18"/>
                <w:lang w:eastAsia="en-AU"/>
              </w:rPr>
            </w:pPr>
          </w:p>
        </w:tc>
        <w:tc>
          <w:tcPr>
            <w:tcW w:w="1417" w:type="dxa"/>
            <w:tcBorders>
              <w:top w:val="nil"/>
              <w:left w:val="nil"/>
              <w:bottom w:val="nil"/>
              <w:right w:val="nil"/>
            </w:tcBorders>
            <w:shd w:val="clear" w:color="auto" w:fill="auto"/>
            <w:noWrap/>
            <w:vAlign w:val="center"/>
            <w:hideMark/>
          </w:tcPr>
          <w:p w:rsidR="00F37B64" w:rsidRPr="00F37B64" w:rsidRDefault="00F37B64" w:rsidP="00F37B64">
            <w:pPr>
              <w:jc w:val="right"/>
              <w:rPr>
                <w:rFonts w:cs="Arial"/>
                <w:color w:val="7F7F7F"/>
                <w:szCs w:val="18"/>
                <w:lang w:eastAsia="en-AU"/>
              </w:rPr>
            </w:pPr>
            <w:r w:rsidRPr="00F37B64">
              <w:rPr>
                <w:rFonts w:cs="Arial"/>
                <w:color w:val="7F7F7F"/>
                <w:szCs w:val="18"/>
                <w:lang w:eastAsia="en-AU"/>
              </w:rPr>
              <w:t>15%</w:t>
            </w:r>
          </w:p>
        </w:tc>
      </w:tr>
      <w:tr w:rsidR="00F37B64" w:rsidRPr="00F37B64" w:rsidTr="00F37B64">
        <w:trPr>
          <w:trHeight w:val="300"/>
        </w:trPr>
        <w:tc>
          <w:tcPr>
            <w:tcW w:w="2456" w:type="dxa"/>
            <w:tcBorders>
              <w:top w:val="nil"/>
              <w:left w:val="nil"/>
              <w:bottom w:val="nil"/>
              <w:right w:val="nil"/>
            </w:tcBorders>
            <w:shd w:val="clear" w:color="auto" w:fill="auto"/>
            <w:noWrap/>
            <w:vAlign w:val="center"/>
            <w:hideMark/>
          </w:tcPr>
          <w:p w:rsidR="00F37B64" w:rsidRPr="00F37B64" w:rsidRDefault="00F37B64" w:rsidP="00F37B64">
            <w:pPr>
              <w:rPr>
                <w:rFonts w:cs="Arial"/>
                <w:color w:val="7F7F7F"/>
                <w:szCs w:val="18"/>
                <w:lang w:eastAsia="en-AU"/>
              </w:rPr>
            </w:pPr>
            <w:r w:rsidRPr="00F37B64">
              <w:rPr>
                <w:rFonts w:cs="Arial"/>
                <w:color w:val="7F7F7F"/>
                <w:szCs w:val="18"/>
                <w:lang w:eastAsia="en-AU"/>
              </w:rPr>
              <w:t>Interstate</w:t>
            </w:r>
          </w:p>
        </w:tc>
        <w:tc>
          <w:tcPr>
            <w:tcW w:w="1528" w:type="dxa"/>
            <w:tcBorders>
              <w:top w:val="nil"/>
              <w:left w:val="nil"/>
              <w:bottom w:val="nil"/>
              <w:right w:val="nil"/>
            </w:tcBorders>
            <w:shd w:val="clear" w:color="auto" w:fill="auto"/>
            <w:noWrap/>
            <w:vAlign w:val="center"/>
            <w:hideMark/>
          </w:tcPr>
          <w:p w:rsidR="00F37B64" w:rsidRPr="00F37B64" w:rsidRDefault="00F37B64" w:rsidP="00F37B64">
            <w:pPr>
              <w:jc w:val="right"/>
              <w:rPr>
                <w:rFonts w:cs="Arial"/>
                <w:color w:val="7F7F7F"/>
                <w:szCs w:val="18"/>
                <w:lang w:eastAsia="en-AU"/>
              </w:rPr>
            </w:pPr>
            <w:r w:rsidRPr="00F37B64">
              <w:rPr>
                <w:rFonts w:cs="Arial"/>
                <w:color w:val="7F7F7F"/>
                <w:szCs w:val="18"/>
                <w:lang w:eastAsia="en-AU"/>
              </w:rPr>
              <w:t>1,460</w:t>
            </w:r>
          </w:p>
        </w:tc>
        <w:tc>
          <w:tcPr>
            <w:tcW w:w="1701" w:type="dxa"/>
            <w:tcBorders>
              <w:top w:val="nil"/>
              <w:left w:val="nil"/>
              <w:bottom w:val="nil"/>
              <w:right w:val="nil"/>
            </w:tcBorders>
            <w:shd w:val="clear" w:color="auto" w:fill="auto"/>
            <w:noWrap/>
            <w:vAlign w:val="center"/>
            <w:hideMark/>
          </w:tcPr>
          <w:p w:rsidR="00F37B64" w:rsidRPr="00F37B64" w:rsidRDefault="00F37B64" w:rsidP="00F37B64">
            <w:pPr>
              <w:jc w:val="right"/>
              <w:rPr>
                <w:rFonts w:cs="Arial"/>
                <w:color w:val="7F7F7F"/>
                <w:szCs w:val="18"/>
                <w:lang w:eastAsia="en-AU"/>
              </w:rPr>
            </w:pPr>
            <w:r w:rsidRPr="00F37B64">
              <w:rPr>
                <w:rFonts w:cs="Arial"/>
                <w:color w:val="7F7F7F"/>
                <w:szCs w:val="18"/>
                <w:lang w:eastAsia="en-AU"/>
              </w:rPr>
              <w:t>2,147</w:t>
            </w:r>
          </w:p>
        </w:tc>
        <w:tc>
          <w:tcPr>
            <w:tcW w:w="993" w:type="dxa"/>
            <w:tcBorders>
              <w:top w:val="nil"/>
              <w:left w:val="nil"/>
              <w:bottom w:val="nil"/>
              <w:right w:val="nil"/>
            </w:tcBorders>
            <w:shd w:val="clear" w:color="auto" w:fill="auto"/>
            <w:noWrap/>
            <w:vAlign w:val="center"/>
            <w:hideMark/>
          </w:tcPr>
          <w:p w:rsidR="00F37B64" w:rsidRPr="00F37B64" w:rsidRDefault="00F37B64" w:rsidP="00F37B64">
            <w:pPr>
              <w:rPr>
                <w:rFonts w:cs="Arial"/>
                <w:color w:val="7F7F7F"/>
                <w:szCs w:val="18"/>
                <w:lang w:eastAsia="en-AU"/>
              </w:rPr>
            </w:pPr>
          </w:p>
        </w:tc>
        <w:tc>
          <w:tcPr>
            <w:tcW w:w="1417" w:type="dxa"/>
            <w:tcBorders>
              <w:top w:val="nil"/>
              <w:left w:val="nil"/>
              <w:bottom w:val="nil"/>
              <w:right w:val="nil"/>
            </w:tcBorders>
            <w:shd w:val="clear" w:color="auto" w:fill="auto"/>
            <w:noWrap/>
            <w:vAlign w:val="center"/>
            <w:hideMark/>
          </w:tcPr>
          <w:p w:rsidR="00F37B64" w:rsidRPr="00F37B64" w:rsidRDefault="00F37B64" w:rsidP="00F37B64">
            <w:pPr>
              <w:jc w:val="right"/>
              <w:rPr>
                <w:rFonts w:cs="Arial"/>
                <w:color w:val="7F7F7F"/>
                <w:szCs w:val="18"/>
                <w:lang w:eastAsia="en-AU"/>
              </w:rPr>
            </w:pPr>
            <w:r w:rsidRPr="00F37B64">
              <w:rPr>
                <w:rFonts w:cs="Arial"/>
                <w:color w:val="7F7F7F"/>
                <w:szCs w:val="18"/>
                <w:lang w:eastAsia="en-AU"/>
              </w:rPr>
              <w:t>47%</w:t>
            </w:r>
          </w:p>
        </w:tc>
      </w:tr>
      <w:tr w:rsidR="00F37B64" w:rsidRPr="00F37B64" w:rsidTr="00F37B64">
        <w:trPr>
          <w:trHeight w:val="300"/>
        </w:trPr>
        <w:tc>
          <w:tcPr>
            <w:tcW w:w="2456" w:type="dxa"/>
            <w:tcBorders>
              <w:top w:val="nil"/>
              <w:left w:val="nil"/>
              <w:bottom w:val="nil"/>
              <w:right w:val="nil"/>
            </w:tcBorders>
            <w:shd w:val="clear" w:color="auto" w:fill="auto"/>
            <w:noWrap/>
            <w:vAlign w:val="center"/>
            <w:hideMark/>
          </w:tcPr>
          <w:p w:rsidR="00F37B64" w:rsidRPr="00F37B64" w:rsidRDefault="00F37B64" w:rsidP="00F37B64">
            <w:pPr>
              <w:rPr>
                <w:rFonts w:cs="Arial"/>
                <w:color w:val="7F7F7F"/>
                <w:szCs w:val="18"/>
                <w:lang w:eastAsia="en-AU"/>
              </w:rPr>
            </w:pPr>
            <w:r w:rsidRPr="00F37B64">
              <w:rPr>
                <w:rFonts w:cs="Arial"/>
                <w:color w:val="7F7F7F"/>
                <w:szCs w:val="18"/>
                <w:lang w:eastAsia="en-AU"/>
              </w:rPr>
              <w:t>Other*</w:t>
            </w:r>
          </w:p>
        </w:tc>
        <w:tc>
          <w:tcPr>
            <w:tcW w:w="1528" w:type="dxa"/>
            <w:tcBorders>
              <w:top w:val="nil"/>
              <w:left w:val="nil"/>
              <w:bottom w:val="nil"/>
              <w:right w:val="nil"/>
            </w:tcBorders>
            <w:shd w:val="clear" w:color="auto" w:fill="auto"/>
            <w:noWrap/>
            <w:vAlign w:val="center"/>
            <w:hideMark/>
          </w:tcPr>
          <w:p w:rsidR="00F37B64" w:rsidRPr="00F37B64" w:rsidRDefault="00F37B64" w:rsidP="00F37B64">
            <w:pPr>
              <w:jc w:val="right"/>
              <w:rPr>
                <w:rFonts w:cs="Arial"/>
                <w:color w:val="7F7F7F"/>
                <w:szCs w:val="18"/>
                <w:lang w:eastAsia="en-AU"/>
              </w:rPr>
            </w:pPr>
            <w:r w:rsidRPr="00F37B64">
              <w:rPr>
                <w:rFonts w:cs="Arial"/>
                <w:color w:val="7F7F7F"/>
                <w:szCs w:val="18"/>
                <w:lang w:eastAsia="en-AU"/>
              </w:rPr>
              <w:t>2,185</w:t>
            </w:r>
          </w:p>
        </w:tc>
        <w:tc>
          <w:tcPr>
            <w:tcW w:w="1701" w:type="dxa"/>
            <w:tcBorders>
              <w:top w:val="nil"/>
              <w:left w:val="nil"/>
              <w:bottom w:val="nil"/>
              <w:right w:val="nil"/>
            </w:tcBorders>
            <w:shd w:val="clear" w:color="auto" w:fill="auto"/>
            <w:noWrap/>
            <w:vAlign w:val="center"/>
            <w:hideMark/>
          </w:tcPr>
          <w:p w:rsidR="00F37B64" w:rsidRPr="00F37B64" w:rsidRDefault="00F37B64" w:rsidP="00F37B64">
            <w:pPr>
              <w:jc w:val="right"/>
              <w:rPr>
                <w:rFonts w:cs="Arial"/>
                <w:color w:val="7F7F7F"/>
                <w:szCs w:val="18"/>
                <w:lang w:eastAsia="en-AU"/>
              </w:rPr>
            </w:pPr>
            <w:r w:rsidRPr="00F37B64">
              <w:rPr>
                <w:rFonts w:cs="Arial"/>
                <w:color w:val="7F7F7F"/>
                <w:szCs w:val="18"/>
                <w:lang w:eastAsia="en-AU"/>
              </w:rPr>
              <w:t>6,595</w:t>
            </w:r>
          </w:p>
        </w:tc>
        <w:tc>
          <w:tcPr>
            <w:tcW w:w="993" w:type="dxa"/>
            <w:tcBorders>
              <w:top w:val="nil"/>
              <w:left w:val="nil"/>
              <w:bottom w:val="nil"/>
              <w:right w:val="nil"/>
            </w:tcBorders>
            <w:shd w:val="clear" w:color="auto" w:fill="auto"/>
            <w:noWrap/>
            <w:vAlign w:val="center"/>
            <w:hideMark/>
          </w:tcPr>
          <w:p w:rsidR="00F37B64" w:rsidRPr="00F37B64" w:rsidRDefault="00F37B64" w:rsidP="00F37B64">
            <w:pPr>
              <w:rPr>
                <w:rFonts w:cs="Arial"/>
                <w:color w:val="7F7F7F"/>
                <w:szCs w:val="18"/>
                <w:lang w:eastAsia="en-AU"/>
              </w:rPr>
            </w:pPr>
          </w:p>
        </w:tc>
        <w:tc>
          <w:tcPr>
            <w:tcW w:w="1417" w:type="dxa"/>
            <w:tcBorders>
              <w:top w:val="nil"/>
              <w:left w:val="nil"/>
              <w:bottom w:val="nil"/>
              <w:right w:val="nil"/>
            </w:tcBorders>
            <w:shd w:val="clear" w:color="auto" w:fill="auto"/>
            <w:noWrap/>
            <w:vAlign w:val="center"/>
            <w:hideMark/>
          </w:tcPr>
          <w:p w:rsidR="00F37B64" w:rsidRPr="00F37B64" w:rsidRDefault="00F37B64" w:rsidP="00F37B64">
            <w:pPr>
              <w:jc w:val="right"/>
              <w:rPr>
                <w:rFonts w:cs="Arial"/>
                <w:color w:val="7F7F7F"/>
                <w:szCs w:val="18"/>
                <w:lang w:eastAsia="en-AU"/>
              </w:rPr>
            </w:pPr>
            <w:r w:rsidRPr="00F37B64">
              <w:rPr>
                <w:rFonts w:cs="Arial"/>
                <w:color w:val="7F7F7F"/>
                <w:szCs w:val="18"/>
                <w:lang w:eastAsia="en-AU"/>
              </w:rPr>
              <w:t>202%</w:t>
            </w:r>
          </w:p>
        </w:tc>
      </w:tr>
      <w:tr w:rsidR="00F37B64" w:rsidRPr="00F37B64" w:rsidTr="00F37B64">
        <w:trPr>
          <w:trHeight w:val="300"/>
        </w:trPr>
        <w:tc>
          <w:tcPr>
            <w:tcW w:w="2456" w:type="dxa"/>
            <w:tcBorders>
              <w:top w:val="nil"/>
              <w:left w:val="nil"/>
              <w:bottom w:val="nil"/>
              <w:right w:val="nil"/>
            </w:tcBorders>
            <w:shd w:val="clear" w:color="000000" w:fill="7F7F7F"/>
            <w:noWrap/>
            <w:vAlign w:val="center"/>
            <w:hideMark/>
          </w:tcPr>
          <w:p w:rsidR="00F37B64" w:rsidRPr="00F37B64" w:rsidRDefault="00F37B64" w:rsidP="00F37B64">
            <w:pPr>
              <w:rPr>
                <w:rFonts w:cs="Arial"/>
                <w:b/>
                <w:bCs/>
                <w:color w:val="FFFFFF"/>
                <w:szCs w:val="18"/>
                <w:lang w:eastAsia="en-AU"/>
              </w:rPr>
            </w:pPr>
            <w:r w:rsidRPr="00F37B64">
              <w:rPr>
                <w:rFonts w:cs="Arial"/>
                <w:b/>
                <w:bCs/>
                <w:color w:val="FFFFFF"/>
                <w:szCs w:val="18"/>
                <w:lang w:eastAsia="en-AU"/>
              </w:rPr>
              <w:t>Total**</w:t>
            </w:r>
          </w:p>
        </w:tc>
        <w:tc>
          <w:tcPr>
            <w:tcW w:w="1528" w:type="dxa"/>
            <w:tcBorders>
              <w:top w:val="nil"/>
              <w:left w:val="nil"/>
              <w:bottom w:val="nil"/>
              <w:right w:val="nil"/>
            </w:tcBorders>
            <w:shd w:val="clear" w:color="000000" w:fill="7F7F7F"/>
            <w:noWrap/>
            <w:vAlign w:val="center"/>
            <w:hideMark/>
          </w:tcPr>
          <w:p w:rsidR="00F37B64" w:rsidRPr="00F37B64" w:rsidRDefault="00F37B64" w:rsidP="00F37B64">
            <w:pPr>
              <w:jc w:val="right"/>
              <w:rPr>
                <w:rFonts w:cs="Arial"/>
                <w:b/>
                <w:bCs/>
                <w:color w:val="FFFFFF"/>
                <w:szCs w:val="18"/>
                <w:lang w:eastAsia="en-AU"/>
              </w:rPr>
            </w:pPr>
            <w:r w:rsidRPr="00F37B64">
              <w:rPr>
                <w:rFonts w:cs="Arial"/>
                <w:b/>
                <w:bCs/>
                <w:color w:val="FFFFFF"/>
                <w:szCs w:val="18"/>
                <w:lang w:eastAsia="en-AU"/>
              </w:rPr>
              <w:t>155,790</w:t>
            </w:r>
          </w:p>
        </w:tc>
        <w:tc>
          <w:tcPr>
            <w:tcW w:w="1701" w:type="dxa"/>
            <w:tcBorders>
              <w:top w:val="nil"/>
              <w:left w:val="nil"/>
              <w:bottom w:val="nil"/>
              <w:right w:val="nil"/>
            </w:tcBorders>
            <w:shd w:val="clear" w:color="000000" w:fill="7F7F7F"/>
            <w:noWrap/>
            <w:vAlign w:val="center"/>
            <w:hideMark/>
          </w:tcPr>
          <w:p w:rsidR="00F37B64" w:rsidRPr="00F37B64" w:rsidRDefault="00F37B64" w:rsidP="00F37B64">
            <w:pPr>
              <w:jc w:val="right"/>
              <w:rPr>
                <w:rFonts w:cs="Arial"/>
                <w:b/>
                <w:bCs/>
                <w:color w:val="FFFFFF"/>
                <w:szCs w:val="18"/>
                <w:lang w:eastAsia="en-AU"/>
              </w:rPr>
            </w:pPr>
            <w:r w:rsidRPr="00F37B64">
              <w:rPr>
                <w:rFonts w:cs="Arial"/>
                <w:b/>
                <w:bCs/>
                <w:color w:val="FFFFFF"/>
                <w:szCs w:val="18"/>
                <w:lang w:eastAsia="en-AU"/>
              </w:rPr>
              <w:t>173,510</w:t>
            </w:r>
          </w:p>
        </w:tc>
        <w:tc>
          <w:tcPr>
            <w:tcW w:w="993" w:type="dxa"/>
            <w:tcBorders>
              <w:top w:val="nil"/>
              <w:left w:val="nil"/>
              <w:bottom w:val="nil"/>
              <w:right w:val="nil"/>
            </w:tcBorders>
            <w:shd w:val="clear" w:color="000000" w:fill="7F7F7F"/>
            <w:noWrap/>
            <w:vAlign w:val="center"/>
            <w:hideMark/>
          </w:tcPr>
          <w:p w:rsidR="00F37B64" w:rsidRPr="00F37B64" w:rsidRDefault="00F37B64" w:rsidP="00F37B64">
            <w:pPr>
              <w:rPr>
                <w:rFonts w:cs="Arial"/>
                <w:b/>
                <w:bCs/>
                <w:color w:val="FFFFFF"/>
                <w:szCs w:val="18"/>
                <w:lang w:eastAsia="en-AU"/>
              </w:rPr>
            </w:pPr>
            <w:r w:rsidRPr="00F37B64">
              <w:rPr>
                <w:rFonts w:cs="Arial"/>
                <w:b/>
                <w:bCs/>
                <w:color w:val="FFFFFF"/>
                <w:szCs w:val="18"/>
                <w:lang w:eastAsia="en-AU"/>
              </w:rPr>
              <w:t> </w:t>
            </w:r>
          </w:p>
        </w:tc>
        <w:tc>
          <w:tcPr>
            <w:tcW w:w="1417" w:type="dxa"/>
            <w:tcBorders>
              <w:top w:val="nil"/>
              <w:left w:val="nil"/>
              <w:bottom w:val="nil"/>
              <w:right w:val="nil"/>
            </w:tcBorders>
            <w:shd w:val="clear" w:color="000000" w:fill="7F7F7F"/>
            <w:noWrap/>
            <w:vAlign w:val="center"/>
            <w:hideMark/>
          </w:tcPr>
          <w:p w:rsidR="00F37B64" w:rsidRPr="00F37B64" w:rsidRDefault="00F37B64" w:rsidP="00F37B64">
            <w:pPr>
              <w:jc w:val="right"/>
              <w:rPr>
                <w:rFonts w:cs="Arial"/>
                <w:color w:val="FFFFFF"/>
                <w:szCs w:val="18"/>
                <w:lang w:eastAsia="en-AU"/>
              </w:rPr>
            </w:pPr>
            <w:r w:rsidRPr="00F37B64">
              <w:rPr>
                <w:rFonts w:cs="Arial"/>
                <w:color w:val="FFFFFF"/>
                <w:szCs w:val="18"/>
                <w:lang w:eastAsia="en-AU"/>
              </w:rPr>
              <w:t>11%</w:t>
            </w:r>
          </w:p>
        </w:tc>
      </w:tr>
    </w:tbl>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4A0" w:firstRow="1" w:lastRow="0" w:firstColumn="1" w:lastColumn="0" w:noHBand="0" w:noVBand="1"/>
      </w:tblPr>
      <w:tblGrid>
        <w:gridCol w:w="431"/>
        <w:gridCol w:w="7649"/>
      </w:tblGrid>
      <w:tr w:rsidR="00F37B64" w:rsidRPr="00913551" w:rsidTr="00F37B64">
        <w:tc>
          <w:tcPr>
            <w:tcW w:w="431" w:type="dxa"/>
            <w:tcMar>
              <w:left w:w="0" w:type="dxa"/>
              <w:right w:w="28" w:type="dxa"/>
            </w:tcMar>
          </w:tcPr>
          <w:p w:rsidR="00F37B64" w:rsidRPr="00913551" w:rsidRDefault="00F37B64" w:rsidP="00F37B64">
            <w:pPr>
              <w:spacing w:after="0" w:line="240" w:lineRule="auto"/>
              <w:jc w:val="right"/>
              <w:rPr>
                <w:color w:val="7F7F7F" w:themeColor="text2"/>
                <w:sz w:val="16"/>
                <w:szCs w:val="16"/>
              </w:rPr>
            </w:pPr>
            <w:r w:rsidRPr="00913551">
              <w:rPr>
                <w:color w:val="7F7F7F" w:themeColor="text2"/>
                <w:sz w:val="16"/>
                <w:szCs w:val="16"/>
              </w:rPr>
              <w:t xml:space="preserve">* </w:t>
            </w:r>
          </w:p>
        </w:tc>
        <w:tc>
          <w:tcPr>
            <w:tcW w:w="7649" w:type="dxa"/>
            <w:tcMar>
              <w:left w:w="0" w:type="dxa"/>
              <w:right w:w="28" w:type="dxa"/>
            </w:tcMar>
          </w:tcPr>
          <w:p w:rsidR="00F37B64" w:rsidRPr="00913551" w:rsidRDefault="00F37B64" w:rsidP="00F37B64">
            <w:pPr>
              <w:spacing w:after="0" w:line="240" w:lineRule="auto"/>
              <w:rPr>
                <w:i/>
                <w:color w:val="7F7F7F" w:themeColor="text2"/>
                <w:sz w:val="16"/>
                <w:szCs w:val="16"/>
              </w:rPr>
            </w:pPr>
            <w:r w:rsidRPr="00913551">
              <w:rPr>
                <w:i/>
                <w:color w:val="7F7F7F" w:themeColor="text2"/>
                <w:sz w:val="16"/>
                <w:szCs w:val="16"/>
              </w:rPr>
              <w:t xml:space="preserve">'Other' includes on-line delivery and workplace delivery where the location </w:t>
            </w:r>
            <w:proofErr w:type="gramStart"/>
            <w:r w:rsidRPr="00913551">
              <w:rPr>
                <w:i/>
                <w:color w:val="7F7F7F" w:themeColor="text2"/>
                <w:sz w:val="16"/>
                <w:szCs w:val="16"/>
              </w:rPr>
              <w:t>cannot be defined</w:t>
            </w:r>
            <w:proofErr w:type="gramEnd"/>
            <w:r w:rsidRPr="00913551">
              <w:rPr>
                <w:i/>
                <w:color w:val="7F7F7F" w:themeColor="text2"/>
                <w:sz w:val="16"/>
                <w:szCs w:val="16"/>
              </w:rPr>
              <w:t>.</w:t>
            </w:r>
          </w:p>
        </w:tc>
      </w:tr>
      <w:tr w:rsidR="00F37B64" w:rsidRPr="00913551" w:rsidTr="00F37B64">
        <w:tc>
          <w:tcPr>
            <w:tcW w:w="431" w:type="dxa"/>
            <w:tcMar>
              <w:left w:w="0" w:type="dxa"/>
              <w:right w:w="28" w:type="dxa"/>
            </w:tcMar>
          </w:tcPr>
          <w:p w:rsidR="00F37B64" w:rsidRPr="00913551" w:rsidRDefault="00F37B64" w:rsidP="00F37B64">
            <w:pPr>
              <w:spacing w:after="0" w:line="240" w:lineRule="auto"/>
              <w:jc w:val="right"/>
              <w:rPr>
                <w:color w:val="7F7F7F" w:themeColor="text2"/>
                <w:sz w:val="16"/>
                <w:szCs w:val="16"/>
              </w:rPr>
            </w:pPr>
            <w:r w:rsidRPr="00913551">
              <w:rPr>
                <w:color w:val="7F7F7F" w:themeColor="text2"/>
                <w:sz w:val="16"/>
                <w:szCs w:val="16"/>
              </w:rPr>
              <w:t>**</w:t>
            </w:r>
          </w:p>
        </w:tc>
        <w:tc>
          <w:tcPr>
            <w:tcW w:w="7649" w:type="dxa"/>
            <w:tcMar>
              <w:left w:w="0" w:type="dxa"/>
              <w:right w:w="28" w:type="dxa"/>
            </w:tcMar>
          </w:tcPr>
          <w:p w:rsidR="00F37B64" w:rsidRPr="00913551" w:rsidRDefault="001A6F4D" w:rsidP="00F37B64">
            <w:pPr>
              <w:spacing w:after="0" w:line="240" w:lineRule="auto"/>
              <w:rPr>
                <w:i/>
                <w:sz w:val="16"/>
                <w:szCs w:val="16"/>
              </w:rPr>
            </w:pPr>
            <w:r w:rsidRPr="00C344DB">
              <w:rPr>
                <w:i/>
                <w:sz w:val="16"/>
                <w:szCs w:val="16"/>
              </w:rPr>
              <w:t xml:space="preserve">Where a course </w:t>
            </w:r>
            <w:proofErr w:type="gramStart"/>
            <w:r>
              <w:rPr>
                <w:i/>
                <w:sz w:val="16"/>
                <w:szCs w:val="16"/>
              </w:rPr>
              <w:t>was</w:t>
            </w:r>
            <w:r w:rsidRPr="00C344DB">
              <w:rPr>
                <w:i/>
                <w:sz w:val="16"/>
                <w:szCs w:val="16"/>
              </w:rPr>
              <w:t xml:space="preserve"> delivered</w:t>
            </w:r>
            <w:proofErr w:type="gramEnd"/>
            <w:r w:rsidRPr="00C344DB">
              <w:rPr>
                <w:i/>
                <w:sz w:val="16"/>
                <w:szCs w:val="16"/>
              </w:rPr>
              <w:t xml:space="preserve"> across more than one region, an enrolment in this course is also counted in more than one region. The </w:t>
            </w:r>
            <w:r>
              <w:rPr>
                <w:i/>
                <w:sz w:val="16"/>
                <w:szCs w:val="16"/>
              </w:rPr>
              <w:t>total has eliminated any duplicates.</w:t>
            </w:r>
          </w:p>
        </w:tc>
      </w:tr>
    </w:tbl>
    <w:p w:rsidR="004A63CB" w:rsidRDefault="004A63CB">
      <w:pPr>
        <w:rPr>
          <w:color w:val="7F7F7F" w:themeColor="text2"/>
        </w:rPr>
      </w:pPr>
    </w:p>
    <w:p w:rsidR="00F37B64" w:rsidRDefault="00F37B64">
      <w:pPr>
        <w:rPr>
          <w:color w:val="7F7F7F" w:themeColor="text2"/>
        </w:rPr>
      </w:pPr>
    </w:p>
    <w:p w:rsidR="00A10517" w:rsidRPr="00DE7971" w:rsidRDefault="00A10517" w:rsidP="00A10517">
      <w:pPr>
        <w:pStyle w:val="Heading3"/>
        <w:spacing w:after="120"/>
        <w:rPr>
          <w:color w:val="7F7F7F" w:themeColor="text2"/>
        </w:rPr>
      </w:pPr>
      <w:r w:rsidRPr="00DE7971">
        <w:rPr>
          <w:color w:val="7F7F7F" w:themeColor="text2"/>
        </w:rPr>
        <w:t xml:space="preserve">Domestic Fee-For-Service </w:t>
      </w:r>
      <w:r w:rsidR="000F5CCE" w:rsidRPr="00DE7971">
        <w:rPr>
          <w:color w:val="7F7F7F" w:themeColor="text2"/>
        </w:rPr>
        <w:t>Enrolments by Occupation</w:t>
      </w: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150EE2" w:rsidTr="00BC1522">
        <w:tc>
          <w:tcPr>
            <w:tcW w:w="1134" w:type="dxa"/>
            <w:tcMar>
              <w:left w:w="0" w:type="dxa"/>
              <w:right w:w="0" w:type="dxa"/>
            </w:tcMar>
          </w:tcPr>
          <w:p w:rsidR="00150EE2" w:rsidRDefault="00150EE2" w:rsidP="0084117E">
            <w:pPr>
              <w:pStyle w:val="Quote"/>
              <w:tabs>
                <w:tab w:val="left" w:pos="1134"/>
              </w:tabs>
              <w:rPr>
                <w:b w:val="0"/>
                <w:color w:val="B41F22" w:themeColor="accent1"/>
              </w:rPr>
            </w:pPr>
            <w:r>
              <w:rPr>
                <w:b w:val="0"/>
                <w:color w:val="B41F22" w:themeColor="accent1"/>
              </w:rPr>
              <w:t>Table 1.</w:t>
            </w:r>
            <w:r w:rsidR="0084117E">
              <w:rPr>
                <w:b w:val="0"/>
                <w:color w:val="B41F22" w:themeColor="accent1"/>
              </w:rPr>
              <w:t>20</w:t>
            </w:r>
            <w:r>
              <w:rPr>
                <w:b w:val="0"/>
                <w:color w:val="B41F22" w:themeColor="accent1"/>
              </w:rPr>
              <w:t>:</w:t>
            </w:r>
          </w:p>
        </w:tc>
        <w:tc>
          <w:tcPr>
            <w:tcW w:w="6946" w:type="dxa"/>
            <w:tcMar>
              <w:left w:w="0" w:type="dxa"/>
              <w:right w:w="0" w:type="dxa"/>
            </w:tcMar>
          </w:tcPr>
          <w:p w:rsidR="00150EE2" w:rsidRPr="00150EE2" w:rsidRDefault="00150EE2" w:rsidP="00150EE2">
            <w:pPr>
              <w:pStyle w:val="Quote"/>
              <w:tabs>
                <w:tab w:val="left" w:pos="1134"/>
              </w:tabs>
              <w:rPr>
                <w:b w:val="0"/>
                <w:color w:val="B41F22" w:themeColor="accent1"/>
              </w:rPr>
            </w:pPr>
            <w:r w:rsidRPr="00150EE2">
              <w:rPr>
                <w:b w:val="0"/>
                <w:color w:val="B41F22" w:themeColor="accent1"/>
              </w:rPr>
              <w:t>Fee-for-service domestic enrolments (AQF I and higher only), proportional share across sectors by occupation, 2015 (half year)</w:t>
            </w:r>
          </w:p>
        </w:tc>
      </w:tr>
    </w:tbl>
    <w:p w:rsidR="00B47406" w:rsidRPr="008760E9" w:rsidRDefault="008760E9">
      <w:pPr>
        <w:rPr>
          <w:i/>
          <w:color w:val="7F7F7F" w:themeColor="text2"/>
        </w:rPr>
      </w:pPr>
      <w:r w:rsidRPr="008760E9">
        <w:rPr>
          <w:i/>
          <w:color w:val="7F7F7F" w:themeColor="text2"/>
        </w:rPr>
        <w:t>Percentages total across rows in the table below</w:t>
      </w:r>
    </w:p>
    <w:tbl>
      <w:tblPr>
        <w:tblW w:w="8095" w:type="dxa"/>
        <w:tblInd w:w="93" w:type="dxa"/>
        <w:tblLayout w:type="fixed"/>
        <w:tblLook w:val="04A0" w:firstRow="1" w:lastRow="0" w:firstColumn="1" w:lastColumn="0" w:noHBand="0" w:noVBand="1"/>
      </w:tblPr>
      <w:tblGrid>
        <w:gridCol w:w="2180"/>
        <w:gridCol w:w="529"/>
        <w:gridCol w:w="992"/>
        <w:gridCol w:w="1162"/>
        <w:gridCol w:w="1077"/>
        <w:gridCol w:w="1077"/>
        <w:gridCol w:w="1078"/>
      </w:tblGrid>
      <w:tr w:rsidR="008760E9" w:rsidRPr="008760E9" w:rsidTr="00150EE2">
        <w:trPr>
          <w:trHeight w:val="480"/>
        </w:trPr>
        <w:tc>
          <w:tcPr>
            <w:tcW w:w="2180" w:type="dxa"/>
            <w:tcBorders>
              <w:top w:val="nil"/>
              <w:left w:val="nil"/>
              <w:bottom w:val="nil"/>
              <w:right w:val="nil"/>
            </w:tcBorders>
            <w:shd w:val="clear" w:color="000000" w:fill="7F7F7F"/>
            <w:noWrap/>
            <w:vAlign w:val="center"/>
            <w:hideMark/>
          </w:tcPr>
          <w:p w:rsidR="008760E9" w:rsidRPr="008760E9" w:rsidRDefault="008760E9" w:rsidP="008760E9">
            <w:pPr>
              <w:rPr>
                <w:rFonts w:cs="Arial"/>
                <w:color w:val="FFFFFF"/>
                <w:szCs w:val="18"/>
                <w:lang w:eastAsia="en-AU"/>
              </w:rPr>
            </w:pPr>
            <w:r w:rsidRPr="008760E9">
              <w:rPr>
                <w:rFonts w:cs="Arial"/>
                <w:color w:val="FFFFFF"/>
                <w:szCs w:val="18"/>
                <w:lang w:eastAsia="en-AU"/>
              </w:rPr>
              <w:t> </w:t>
            </w:r>
          </w:p>
        </w:tc>
        <w:tc>
          <w:tcPr>
            <w:tcW w:w="529" w:type="dxa"/>
            <w:tcBorders>
              <w:top w:val="nil"/>
              <w:left w:val="nil"/>
              <w:bottom w:val="nil"/>
              <w:right w:val="nil"/>
            </w:tcBorders>
            <w:shd w:val="clear" w:color="000000" w:fill="7F7F7F"/>
            <w:noWrap/>
            <w:vAlign w:val="center"/>
            <w:hideMark/>
          </w:tcPr>
          <w:p w:rsidR="008760E9" w:rsidRPr="008760E9" w:rsidRDefault="008760E9" w:rsidP="008760E9">
            <w:pPr>
              <w:rPr>
                <w:rFonts w:cs="Arial"/>
                <w:color w:val="FFFFFF"/>
                <w:szCs w:val="18"/>
                <w:lang w:eastAsia="en-AU"/>
              </w:rPr>
            </w:pPr>
            <w:r w:rsidRPr="008760E9">
              <w:rPr>
                <w:rFonts w:cs="Arial"/>
                <w:color w:val="FFFFFF"/>
                <w:szCs w:val="18"/>
                <w:lang w:eastAsia="en-AU"/>
              </w:rPr>
              <w:t> </w:t>
            </w:r>
          </w:p>
        </w:tc>
        <w:tc>
          <w:tcPr>
            <w:tcW w:w="992" w:type="dxa"/>
            <w:tcBorders>
              <w:top w:val="nil"/>
              <w:left w:val="nil"/>
              <w:bottom w:val="nil"/>
              <w:right w:val="nil"/>
            </w:tcBorders>
            <w:shd w:val="clear" w:color="000000" w:fill="7F7F7F"/>
            <w:vAlign w:val="center"/>
            <w:hideMark/>
          </w:tcPr>
          <w:p w:rsidR="008760E9" w:rsidRPr="008760E9" w:rsidRDefault="008760E9" w:rsidP="008760E9">
            <w:pPr>
              <w:jc w:val="center"/>
              <w:rPr>
                <w:rFonts w:cs="Arial"/>
                <w:b/>
                <w:bCs/>
                <w:color w:val="FFFFFF"/>
                <w:szCs w:val="18"/>
                <w:lang w:eastAsia="en-AU"/>
              </w:rPr>
            </w:pPr>
            <w:r w:rsidRPr="008760E9">
              <w:rPr>
                <w:rFonts w:cs="Arial"/>
                <w:b/>
                <w:bCs/>
                <w:color w:val="FFFFFF"/>
                <w:szCs w:val="18"/>
                <w:lang w:eastAsia="en-AU"/>
              </w:rPr>
              <w:t>TAFE</w:t>
            </w:r>
          </w:p>
        </w:tc>
        <w:tc>
          <w:tcPr>
            <w:tcW w:w="1162" w:type="dxa"/>
            <w:tcBorders>
              <w:top w:val="nil"/>
              <w:left w:val="nil"/>
              <w:bottom w:val="nil"/>
              <w:right w:val="nil"/>
            </w:tcBorders>
            <w:shd w:val="clear" w:color="000000" w:fill="7F7F7F"/>
            <w:vAlign w:val="center"/>
            <w:hideMark/>
          </w:tcPr>
          <w:p w:rsidR="008760E9" w:rsidRPr="008760E9" w:rsidRDefault="008760E9" w:rsidP="008760E9">
            <w:pPr>
              <w:jc w:val="center"/>
              <w:rPr>
                <w:rFonts w:cs="Arial"/>
                <w:b/>
                <w:bCs/>
                <w:color w:val="FFFFFF"/>
                <w:szCs w:val="18"/>
                <w:lang w:eastAsia="en-AU"/>
              </w:rPr>
            </w:pPr>
            <w:r w:rsidRPr="008760E9">
              <w:rPr>
                <w:rFonts w:cs="Arial"/>
                <w:b/>
                <w:bCs/>
                <w:color w:val="FFFFFF"/>
                <w:szCs w:val="18"/>
                <w:lang w:eastAsia="en-AU"/>
              </w:rPr>
              <w:t>University</w:t>
            </w:r>
          </w:p>
        </w:tc>
        <w:tc>
          <w:tcPr>
            <w:tcW w:w="1077" w:type="dxa"/>
            <w:tcBorders>
              <w:top w:val="nil"/>
              <w:left w:val="nil"/>
              <w:bottom w:val="nil"/>
              <w:right w:val="nil"/>
            </w:tcBorders>
            <w:shd w:val="clear" w:color="000000" w:fill="7F7F7F"/>
            <w:vAlign w:val="center"/>
            <w:hideMark/>
          </w:tcPr>
          <w:p w:rsidR="008760E9" w:rsidRPr="008760E9" w:rsidRDefault="008760E9" w:rsidP="008760E9">
            <w:pPr>
              <w:jc w:val="center"/>
              <w:rPr>
                <w:rFonts w:cs="Arial"/>
                <w:b/>
                <w:bCs/>
                <w:color w:val="FFFFFF"/>
                <w:szCs w:val="18"/>
                <w:lang w:eastAsia="en-AU"/>
              </w:rPr>
            </w:pPr>
            <w:r w:rsidRPr="008760E9">
              <w:rPr>
                <w:rFonts w:cs="Arial"/>
                <w:b/>
                <w:bCs/>
                <w:color w:val="FFFFFF"/>
                <w:szCs w:val="18"/>
                <w:lang w:eastAsia="en-AU"/>
              </w:rPr>
              <w:t>Private RTO</w:t>
            </w:r>
          </w:p>
        </w:tc>
        <w:tc>
          <w:tcPr>
            <w:tcW w:w="1077" w:type="dxa"/>
            <w:tcBorders>
              <w:top w:val="nil"/>
              <w:left w:val="nil"/>
              <w:bottom w:val="nil"/>
              <w:right w:val="nil"/>
            </w:tcBorders>
            <w:shd w:val="clear" w:color="000000" w:fill="7F7F7F"/>
            <w:vAlign w:val="center"/>
            <w:hideMark/>
          </w:tcPr>
          <w:p w:rsidR="008760E9" w:rsidRPr="008760E9" w:rsidRDefault="008760E9" w:rsidP="008760E9">
            <w:pPr>
              <w:jc w:val="center"/>
              <w:rPr>
                <w:rFonts w:cs="Arial"/>
                <w:b/>
                <w:bCs/>
                <w:color w:val="FFFFFF"/>
                <w:szCs w:val="18"/>
                <w:lang w:eastAsia="en-AU"/>
              </w:rPr>
            </w:pPr>
            <w:r w:rsidRPr="008760E9">
              <w:rPr>
                <w:rFonts w:cs="Arial"/>
                <w:b/>
                <w:bCs/>
                <w:color w:val="FFFFFF"/>
                <w:szCs w:val="18"/>
                <w:lang w:eastAsia="en-AU"/>
              </w:rPr>
              <w:t>Learn Local</w:t>
            </w:r>
          </w:p>
        </w:tc>
        <w:tc>
          <w:tcPr>
            <w:tcW w:w="1078" w:type="dxa"/>
            <w:tcBorders>
              <w:top w:val="nil"/>
              <w:left w:val="nil"/>
              <w:bottom w:val="nil"/>
              <w:right w:val="nil"/>
            </w:tcBorders>
            <w:shd w:val="clear" w:color="000000" w:fill="7F7F7F"/>
            <w:vAlign w:val="center"/>
            <w:hideMark/>
          </w:tcPr>
          <w:p w:rsidR="008760E9" w:rsidRPr="008760E9" w:rsidRDefault="008760E9" w:rsidP="008760E9">
            <w:pPr>
              <w:jc w:val="center"/>
              <w:rPr>
                <w:rFonts w:cs="Arial"/>
                <w:b/>
                <w:bCs/>
                <w:color w:val="FFFFFF"/>
                <w:szCs w:val="18"/>
                <w:lang w:eastAsia="en-AU"/>
              </w:rPr>
            </w:pPr>
            <w:r w:rsidRPr="008760E9">
              <w:rPr>
                <w:rFonts w:cs="Arial"/>
                <w:b/>
                <w:bCs/>
                <w:color w:val="FFFFFF"/>
                <w:szCs w:val="18"/>
                <w:lang w:eastAsia="en-AU"/>
              </w:rPr>
              <w:t>Total (number)</w:t>
            </w:r>
          </w:p>
        </w:tc>
      </w:tr>
      <w:tr w:rsidR="008760E9" w:rsidRPr="008760E9" w:rsidTr="00150EE2">
        <w:trPr>
          <w:trHeight w:val="300"/>
        </w:trPr>
        <w:tc>
          <w:tcPr>
            <w:tcW w:w="2709" w:type="dxa"/>
            <w:gridSpan w:val="2"/>
            <w:tcBorders>
              <w:top w:val="nil"/>
              <w:left w:val="nil"/>
              <w:bottom w:val="nil"/>
              <w:right w:val="nil"/>
            </w:tcBorders>
            <w:shd w:val="clear" w:color="auto" w:fill="auto"/>
            <w:vAlign w:val="center"/>
            <w:hideMark/>
          </w:tcPr>
          <w:p w:rsidR="008760E9" w:rsidRPr="008760E9" w:rsidRDefault="008760E9" w:rsidP="008760E9">
            <w:pPr>
              <w:rPr>
                <w:rFonts w:cs="Arial"/>
                <w:color w:val="7F7F7F"/>
                <w:szCs w:val="18"/>
                <w:lang w:eastAsia="en-AU"/>
              </w:rPr>
            </w:pPr>
            <w:r w:rsidRPr="008760E9">
              <w:rPr>
                <w:rFonts w:cs="Arial"/>
                <w:color w:val="7F7F7F"/>
                <w:szCs w:val="18"/>
                <w:lang w:eastAsia="en-AU"/>
              </w:rPr>
              <w:t>Clerical and Administrative Workers</w:t>
            </w:r>
          </w:p>
        </w:tc>
        <w:tc>
          <w:tcPr>
            <w:tcW w:w="992" w:type="dxa"/>
            <w:tcBorders>
              <w:top w:val="nil"/>
              <w:left w:val="nil"/>
              <w:bottom w:val="nil"/>
              <w:right w:val="nil"/>
            </w:tcBorders>
            <w:shd w:val="clear" w:color="auto" w:fill="auto"/>
            <w:noWrap/>
            <w:vAlign w:val="center"/>
            <w:hideMark/>
          </w:tcPr>
          <w:p w:rsidR="008760E9" w:rsidRPr="008760E9" w:rsidRDefault="008760E9" w:rsidP="008760E9">
            <w:pPr>
              <w:jc w:val="right"/>
              <w:rPr>
                <w:rFonts w:cs="Arial"/>
                <w:color w:val="7F7F7F"/>
                <w:szCs w:val="18"/>
                <w:lang w:eastAsia="en-AU"/>
              </w:rPr>
            </w:pPr>
            <w:r w:rsidRPr="008760E9">
              <w:rPr>
                <w:rFonts w:cs="Arial"/>
                <w:color w:val="7F7F7F"/>
                <w:szCs w:val="18"/>
                <w:lang w:eastAsia="en-AU"/>
              </w:rPr>
              <w:t>33%</w:t>
            </w:r>
          </w:p>
        </w:tc>
        <w:tc>
          <w:tcPr>
            <w:tcW w:w="1162" w:type="dxa"/>
            <w:tcBorders>
              <w:top w:val="nil"/>
              <w:left w:val="nil"/>
              <w:bottom w:val="nil"/>
              <w:right w:val="nil"/>
            </w:tcBorders>
            <w:shd w:val="clear" w:color="auto" w:fill="auto"/>
            <w:noWrap/>
            <w:vAlign w:val="center"/>
            <w:hideMark/>
          </w:tcPr>
          <w:p w:rsidR="008760E9" w:rsidRPr="008760E9" w:rsidRDefault="008760E9" w:rsidP="008760E9">
            <w:pPr>
              <w:jc w:val="right"/>
              <w:rPr>
                <w:rFonts w:cs="Arial"/>
                <w:color w:val="7F7F7F"/>
                <w:szCs w:val="18"/>
                <w:lang w:eastAsia="en-AU"/>
              </w:rPr>
            </w:pPr>
            <w:r w:rsidRPr="008760E9">
              <w:rPr>
                <w:rFonts w:cs="Arial"/>
                <w:color w:val="7F7F7F"/>
                <w:szCs w:val="18"/>
                <w:lang w:eastAsia="en-AU"/>
              </w:rPr>
              <w:t>11%</w:t>
            </w:r>
          </w:p>
        </w:tc>
        <w:tc>
          <w:tcPr>
            <w:tcW w:w="1077" w:type="dxa"/>
            <w:tcBorders>
              <w:top w:val="nil"/>
              <w:left w:val="nil"/>
              <w:bottom w:val="nil"/>
              <w:right w:val="nil"/>
            </w:tcBorders>
            <w:shd w:val="clear" w:color="auto" w:fill="auto"/>
            <w:noWrap/>
            <w:vAlign w:val="center"/>
            <w:hideMark/>
          </w:tcPr>
          <w:p w:rsidR="008760E9" w:rsidRPr="008760E9" w:rsidRDefault="008760E9" w:rsidP="008760E9">
            <w:pPr>
              <w:jc w:val="right"/>
              <w:rPr>
                <w:rFonts w:cs="Arial"/>
                <w:color w:val="7F7F7F"/>
                <w:szCs w:val="18"/>
                <w:lang w:eastAsia="en-AU"/>
              </w:rPr>
            </w:pPr>
            <w:r w:rsidRPr="008760E9">
              <w:rPr>
                <w:rFonts w:cs="Arial"/>
                <w:color w:val="7F7F7F"/>
                <w:szCs w:val="18"/>
                <w:lang w:eastAsia="en-AU"/>
              </w:rPr>
              <w:t>55%</w:t>
            </w:r>
          </w:p>
        </w:tc>
        <w:tc>
          <w:tcPr>
            <w:tcW w:w="1077" w:type="dxa"/>
            <w:tcBorders>
              <w:top w:val="nil"/>
              <w:left w:val="nil"/>
              <w:bottom w:val="nil"/>
              <w:right w:val="nil"/>
            </w:tcBorders>
            <w:shd w:val="clear" w:color="auto" w:fill="auto"/>
            <w:noWrap/>
            <w:vAlign w:val="center"/>
            <w:hideMark/>
          </w:tcPr>
          <w:p w:rsidR="008760E9" w:rsidRPr="008760E9" w:rsidRDefault="008760E9" w:rsidP="008760E9">
            <w:pPr>
              <w:jc w:val="right"/>
              <w:rPr>
                <w:rFonts w:cs="Arial"/>
                <w:color w:val="7F7F7F"/>
                <w:szCs w:val="18"/>
                <w:lang w:eastAsia="en-AU"/>
              </w:rPr>
            </w:pPr>
            <w:r w:rsidRPr="008760E9">
              <w:rPr>
                <w:rFonts w:cs="Arial"/>
                <w:color w:val="7F7F7F"/>
                <w:szCs w:val="18"/>
                <w:lang w:eastAsia="en-AU"/>
              </w:rPr>
              <w:t>1%</w:t>
            </w:r>
          </w:p>
        </w:tc>
        <w:tc>
          <w:tcPr>
            <w:tcW w:w="1078" w:type="dxa"/>
            <w:tcBorders>
              <w:top w:val="nil"/>
              <w:left w:val="nil"/>
              <w:bottom w:val="nil"/>
              <w:right w:val="nil"/>
            </w:tcBorders>
            <w:shd w:val="clear" w:color="auto" w:fill="auto"/>
            <w:noWrap/>
            <w:vAlign w:val="center"/>
            <w:hideMark/>
          </w:tcPr>
          <w:p w:rsidR="008760E9" w:rsidRPr="008760E9" w:rsidRDefault="008760E9" w:rsidP="008760E9">
            <w:pPr>
              <w:jc w:val="right"/>
              <w:rPr>
                <w:rFonts w:cs="Arial"/>
                <w:color w:val="7F7F7F"/>
                <w:szCs w:val="18"/>
                <w:lang w:eastAsia="en-AU"/>
              </w:rPr>
            </w:pPr>
            <w:r w:rsidRPr="008760E9">
              <w:rPr>
                <w:rFonts w:cs="Arial"/>
                <w:color w:val="7F7F7F"/>
                <w:szCs w:val="18"/>
                <w:lang w:eastAsia="en-AU"/>
              </w:rPr>
              <w:t>18,705</w:t>
            </w:r>
          </w:p>
        </w:tc>
      </w:tr>
      <w:tr w:rsidR="008760E9" w:rsidRPr="008760E9" w:rsidTr="00150EE2">
        <w:trPr>
          <w:trHeight w:val="600"/>
        </w:trPr>
        <w:tc>
          <w:tcPr>
            <w:tcW w:w="2709" w:type="dxa"/>
            <w:gridSpan w:val="2"/>
            <w:tcBorders>
              <w:top w:val="nil"/>
              <w:left w:val="nil"/>
              <w:bottom w:val="nil"/>
              <w:right w:val="nil"/>
            </w:tcBorders>
            <w:shd w:val="clear" w:color="auto" w:fill="auto"/>
            <w:vAlign w:val="center"/>
            <w:hideMark/>
          </w:tcPr>
          <w:p w:rsidR="008760E9" w:rsidRPr="008760E9" w:rsidRDefault="008760E9" w:rsidP="008760E9">
            <w:pPr>
              <w:rPr>
                <w:rFonts w:cs="Arial"/>
                <w:color w:val="7F7F7F"/>
                <w:szCs w:val="18"/>
                <w:lang w:eastAsia="en-AU"/>
              </w:rPr>
            </w:pPr>
            <w:r w:rsidRPr="008760E9">
              <w:rPr>
                <w:rFonts w:cs="Arial"/>
                <w:color w:val="7F7F7F"/>
                <w:szCs w:val="18"/>
                <w:lang w:eastAsia="en-AU"/>
              </w:rPr>
              <w:t>Community and Personal Service Workers</w:t>
            </w:r>
          </w:p>
        </w:tc>
        <w:tc>
          <w:tcPr>
            <w:tcW w:w="992" w:type="dxa"/>
            <w:tcBorders>
              <w:top w:val="nil"/>
              <w:left w:val="nil"/>
              <w:bottom w:val="nil"/>
              <w:right w:val="nil"/>
            </w:tcBorders>
            <w:shd w:val="clear" w:color="auto" w:fill="auto"/>
            <w:noWrap/>
            <w:vAlign w:val="center"/>
            <w:hideMark/>
          </w:tcPr>
          <w:p w:rsidR="008760E9" w:rsidRPr="008760E9" w:rsidRDefault="008760E9" w:rsidP="008760E9">
            <w:pPr>
              <w:jc w:val="right"/>
              <w:rPr>
                <w:rFonts w:cs="Arial"/>
                <w:color w:val="7F7F7F"/>
                <w:szCs w:val="18"/>
                <w:lang w:eastAsia="en-AU"/>
              </w:rPr>
            </w:pPr>
            <w:r w:rsidRPr="008760E9">
              <w:rPr>
                <w:rFonts w:cs="Arial"/>
                <w:color w:val="7F7F7F"/>
                <w:szCs w:val="18"/>
                <w:lang w:eastAsia="en-AU"/>
              </w:rPr>
              <w:t>28%</w:t>
            </w:r>
          </w:p>
        </w:tc>
        <w:tc>
          <w:tcPr>
            <w:tcW w:w="1162" w:type="dxa"/>
            <w:tcBorders>
              <w:top w:val="nil"/>
              <w:left w:val="nil"/>
              <w:bottom w:val="nil"/>
              <w:right w:val="nil"/>
            </w:tcBorders>
            <w:shd w:val="clear" w:color="auto" w:fill="auto"/>
            <w:noWrap/>
            <w:vAlign w:val="center"/>
            <w:hideMark/>
          </w:tcPr>
          <w:p w:rsidR="008760E9" w:rsidRPr="008760E9" w:rsidRDefault="008760E9" w:rsidP="008760E9">
            <w:pPr>
              <w:jc w:val="right"/>
              <w:rPr>
                <w:rFonts w:cs="Arial"/>
                <w:color w:val="7F7F7F"/>
                <w:szCs w:val="18"/>
                <w:lang w:eastAsia="en-AU"/>
              </w:rPr>
            </w:pPr>
            <w:r w:rsidRPr="008760E9">
              <w:rPr>
                <w:rFonts w:cs="Arial"/>
                <w:color w:val="7F7F7F"/>
                <w:szCs w:val="18"/>
                <w:lang w:eastAsia="en-AU"/>
              </w:rPr>
              <w:t>4%</w:t>
            </w:r>
          </w:p>
        </w:tc>
        <w:tc>
          <w:tcPr>
            <w:tcW w:w="1077" w:type="dxa"/>
            <w:tcBorders>
              <w:top w:val="nil"/>
              <w:left w:val="nil"/>
              <w:bottom w:val="nil"/>
              <w:right w:val="nil"/>
            </w:tcBorders>
            <w:shd w:val="clear" w:color="auto" w:fill="auto"/>
            <w:noWrap/>
            <w:vAlign w:val="center"/>
            <w:hideMark/>
          </w:tcPr>
          <w:p w:rsidR="008760E9" w:rsidRPr="008760E9" w:rsidRDefault="008760E9" w:rsidP="008760E9">
            <w:pPr>
              <w:jc w:val="right"/>
              <w:rPr>
                <w:rFonts w:cs="Arial"/>
                <w:color w:val="7F7F7F"/>
                <w:szCs w:val="18"/>
                <w:lang w:eastAsia="en-AU"/>
              </w:rPr>
            </w:pPr>
            <w:r w:rsidRPr="008760E9">
              <w:rPr>
                <w:rFonts w:cs="Arial"/>
                <w:color w:val="7F7F7F"/>
                <w:szCs w:val="18"/>
                <w:lang w:eastAsia="en-AU"/>
              </w:rPr>
              <w:t>58%</w:t>
            </w:r>
          </w:p>
        </w:tc>
        <w:tc>
          <w:tcPr>
            <w:tcW w:w="1077" w:type="dxa"/>
            <w:tcBorders>
              <w:top w:val="nil"/>
              <w:left w:val="nil"/>
              <w:bottom w:val="nil"/>
              <w:right w:val="nil"/>
            </w:tcBorders>
            <w:shd w:val="clear" w:color="auto" w:fill="auto"/>
            <w:noWrap/>
            <w:vAlign w:val="center"/>
            <w:hideMark/>
          </w:tcPr>
          <w:p w:rsidR="008760E9" w:rsidRPr="008760E9" w:rsidRDefault="008760E9" w:rsidP="008760E9">
            <w:pPr>
              <w:jc w:val="right"/>
              <w:rPr>
                <w:rFonts w:cs="Arial"/>
                <w:color w:val="7F7F7F"/>
                <w:szCs w:val="18"/>
                <w:lang w:eastAsia="en-AU"/>
              </w:rPr>
            </w:pPr>
            <w:r w:rsidRPr="008760E9">
              <w:rPr>
                <w:rFonts w:cs="Arial"/>
                <w:color w:val="7F7F7F"/>
                <w:szCs w:val="18"/>
                <w:lang w:eastAsia="en-AU"/>
              </w:rPr>
              <w:t>9%</w:t>
            </w:r>
          </w:p>
        </w:tc>
        <w:tc>
          <w:tcPr>
            <w:tcW w:w="1078" w:type="dxa"/>
            <w:tcBorders>
              <w:top w:val="nil"/>
              <w:left w:val="nil"/>
              <w:bottom w:val="nil"/>
              <w:right w:val="nil"/>
            </w:tcBorders>
            <w:shd w:val="clear" w:color="auto" w:fill="auto"/>
            <w:noWrap/>
            <w:vAlign w:val="center"/>
            <w:hideMark/>
          </w:tcPr>
          <w:p w:rsidR="008760E9" w:rsidRPr="008760E9" w:rsidRDefault="008760E9" w:rsidP="008760E9">
            <w:pPr>
              <w:jc w:val="right"/>
              <w:rPr>
                <w:rFonts w:cs="Arial"/>
                <w:color w:val="7F7F7F"/>
                <w:szCs w:val="18"/>
                <w:lang w:eastAsia="en-AU"/>
              </w:rPr>
            </w:pPr>
            <w:r w:rsidRPr="008760E9">
              <w:rPr>
                <w:rFonts w:cs="Arial"/>
                <w:color w:val="7F7F7F"/>
                <w:szCs w:val="18"/>
                <w:lang w:eastAsia="en-AU"/>
              </w:rPr>
              <w:t>28,269</w:t>
            </w:r>
          </w:p>
        </w:tc>
      </w:tr>
      <w:tr w:rsidR="008760E9" w:rsidRPr="008760E9" w:rsidTr="00150EE2">
        <w:trPr>
          <w:trHeight w:val="300"/>
        </w:trPr>
        <w:tc>
          <w:tcPr>
            <w:tcW w:w="2709" w:type="dxa"/>
            <w:gridSpan w:val="2"/>
            <w:tcBorders>
              <w:top w:val="nil"/>
              <w:left w:val="nil"/>
              <w:bottom w:val="nil"/>
              <w:right w:val="nil"/>
            </w:tcBorders>
            <w:shd w:val="clear" w:color="auto" w:fill="auto"/>
            <w:vAlign w:val="center"/>
            <w:hideMark/>
          </w:tcPr>
          <w:p w:rsidR="008760E9" w:rsidRPr="008760E9" w:rsidRDefault="008760E9" w:rsidP="008760E9">
            <w:pPr>
              <w:rPr>
                <w:rFonts w:cs="Arial"/>
                <w:color w:val="7F7F7F"/>
                <w:szCs w:val="18"/>
                <w:lang w:eastAsia="en-AU"/>
              </w:rPr>
            </w:pPr>
            <w:r w:rsidRPr="008760E9">
              <w:rPr>
                <w:rFonts w:cs="Arial"/>
                <w:color w:val="7F7F7F"/>
                <w:szCs w:val="18"/>
                <w:lang w:eastAsia="en-AU"/>
              </w:rPr>
              <w:t>Labourers</w:t>
            </w:r>
          </w:p>
        </w:tc>
        <w:tc>
          <w:tcPr>
            <w:tcW w:w="992" w:type="dxa"/>
            <w:tcBorders>
              <w:top w:val="nil"/>
              <w:left w:val="nil"/>
              <w:bottom w:val="nil"/>
              <w:right w:val="nil"/>
            </w:tcBorders>
            <w:shd w:val="clear" w:color="auto" w:fill="auto"/>
            <w:noWrap/>
            <w:vAlign w:val="center"/>
            <w:hideMark/>
          </w:tcPr>
          <w:p w:rsidR="008760E9" w:rsidRPr="008760E9" w:rsidRDefault="008760E9" w:rsidP="008760E9">
            <w:pPr>
              <w:jc w:val="right"/>
              <w:rPr>
                <w:rFonts w:cs="Arial"/>
                <w:color w:val="7F7F7F"/>
                <w:szCs w:val="18"/>
                <w:lang w:eastAsia="en-AU"/>
              </w:rPr>
            </w:pPr>
            <w:r w:rsidRPr="008760E9">
              <w:rPr>
                <w:rFonts w:cs="Arial"/>
                <w:color w:val="7F7F7F"/>
                <w:szCs w:val="18"/>
                <w:lang w:eastAsia="en-AU"/>
              </w:rPr>
              <w:t>64%</w:t>
            </w:r>
          </w:p>
        </w:tc>
        <w:tc>
          <w:tcPr>
            <w:tcW w:w="1162" w:type="dxa"/>
            <w:tcBorders>
              <w:top w:val="nil"/>
              <w:left w:val="nil"/>
              <w:bottom w:val="nil"/>
              <w:right w:val="nil"/>
            </w:tcBorders>
            <w:shd w:val="clear" w:color="auto" w:fill="auto"/>
            <w:noWrap/>
            <w:vAlign w:val="center"/>
            <w:hideMark/>
          </w:tcPr>
          <w:p w:rsidR="008760E9" w:rsidRPr="008760E9" w:rsidRDefault="008760E9" w:rsidP="008760E9">
            <w:pPr>
              <w:jc w:val="right"/>
              <w:rPr>
                <w:rFonts w:cs="Arial"/>
                <w:color w:val="7F7F7F"/>
                <w:szCs w:val="18"/>
                <w:lang w:eastAsia="en-AU"/>
              </w:rPr>
            </w:pPr>
            <w:r w:rsidRPr="008760E9">
              <w:rPr>
                <w:rFonts w:cs="Arial"/>
                <w:color w:val="7F7F7F"/>
                <w:szCs w:val="18"/>
                <w:lang w:eastAsia="en-AU"/>
              </w:rPr>
              <w:t>7%</w:t>
            </w:r>
          </w:p>
        </w:tc>
        <w:tc>
          <w:tcPr>
            <w:tcW w:w="1077" w:type="dxa"/>
            <w:tcBorders>
              <w:top w:val="nil"/>
              <w:left w:val="nil"/>
              <w:bottom w:val="nil"/>
              <w:right w:val="nil"/>
            </w:tcBorders>
            <w:shd w:val="clear" w:color="auto" w:fill="auto"/>
            <w:noWrap/>
            <w:vAlign w:val="center"/>
            <w:hideMark/>
          </w:tcPr>
          <w:p w:rsidR="008760E9" w:rsidRPr="008760E9" w:rsidRDefault="008760E9" w:rsidP="008760E9">
            <w:pPr>
              <w:jc w:val="right"/>
              <w:rPr>
                <w:rFonts w:cs="Arial"/>
                <w:color w:val="7F7F7F"/>
                <w:szCs w:val="18"/>
                <w:lang w:eastAsia="en-AU"/>
              </w:rPr>
            </w:pPr>
            <w:r w:rsidRPr="008760E9">
              <w:rPr>
                <w:rFonts w:cs="Arial"/>
                <w:color w:val="7F7F7F"/>
                <w:szCs w:val="18"/>
                <w:lang w:eastAsia="en-AU"/>
              </w:rPr>
              <w:t>26%</w:t>
            </w:r>
          </w:p>
        </w:tc>
        <w:tc>
          <w:tcPr>
            <w:tcW w:w="1077" w:type="dxa"/>
            <w:tcBorders>
              <w:top w:val="nil"/>
              <w:left w:val="nil"/>
              <w:bottom w:val="nil"/>
              <w:right w:val="nil"/>
            </w:tcBorders>
            <w:shd w:val="clear" w:color="auto" w:fill="auto"/>
            <w:noWrap/>
            <w:vAlign w:val="center"/>
            <w:hideMark/>
          </w:tcPr>
          <w:p w:rsidR="008760E9" w:rsidRPr="008760E9" w:rsidRDefault="008760E9" w:rsidP="008760E9">
            <w:pPr>
              <w:jc w:val="right"/>
              <w:rPr>
                <w:rFonts w:cs="Arial"/>
                <w:color w:val="7F7F7F"/>
                <w:szCs w:val="18"/>
                <w:lang w:eastAsia="en-AU"/>
              </w:rPr>
            </w:pPr>
            <w:r w:rsidRPr="008760E9">
              <w:rPr>
                <w:rFonts w:cs="Arial"/>
                <w:color w:val="7F7F7F"/>
                <w:szCs w:val="18"/>
                <w:lang w:eastAsia="en-AU"/>
              </w:rPr>
              <w:t>3%</w:t>
            </w:r>
          </w:p>
        </w:tc>
        <w:tc>
          <w:tcPr>
            <w:tcW w:w="1078" w:type="dxa"/>
            <w:tcBorders>
              <w:top w:val="nil"/>
              <w:left w:val="nil"/>
              <w:bottom w:val="nil"/>
              <w:right w:val="nil"/>
            </w:tcBorders>
            <w:shd w:val="clear" w:color="auto" w:fill="auto"/>
            <w:noWrap/>
            <w:vAlign w:val="center"/>
            <w:hideMark/>
          </w:tcPr>
          <w:p w:rsidR="008760E9" w:rsidRPr="008760E9" w:rsidRDefault="008760E9" w:rsidP="008760E9">
            <w:pPr>
              <w:jc w:val="right"/>
              <w:rPr>
                <w:rFonts w:cs="Arial"/>
                <w:color w:val="7F7F7F"/>
                <w:szCs w:val="18"/>
                <w:lang w:eastAsia="en-AU"/>
              </w:rPr>
            </w:pPr>
            <w:r w:rsidRPr="008760E9">
              <w:rPr>
                <w:rFonts w:cs="Arial"/>
                <w:color w:val="7F7F7F"/>
                <w:szCs w:val="18"/>
                <w:lang w:eastAsia="en-AU"/>
              </w:rPr>
              <w:t>20,054</w:t>
            </w:r>
          </w:p>
        </w:tc>
      </w:tr>
      <w:tr w:rsidR="008760E9" w:rsidRPr="008760E9" w:rsidTr="00150EE2">
        <w:trPr>
          <w:trHeight w:val="300"/>
        </w:trPr>
        <w:tc>
          <w:tcPr>
            <w:tcW w:w="2709" w:type="dxa"/>
            <w:gridSpan w:val="2"/>
            <w:tcBorders>
              <w:top w:val="nil"/>
              <w:left w:val="nil"/>
              <w:bottom w:val="nil"/>
              <w:right w:val="nil"/>
            </w:tcBorders>
            <w:shd w:val="clear" w:color="auto" w:fill="auto"/>
            <w:vAlign w:val="center"/>
            <w:hideMark/>
          </w:tcPr>
          <w:p w:rsidR="008760E9" w:rsidRPr="008760E9" w:rsidRDefault="008760E9" w:rsidP="008760E9">
            <w:pPr>
              <w:rPr>
                <w:rFonts w:cs="Arial"/>
                <w:color w:val="7F7F7F"/>
                <w:szCs w:val="18"/>
                <w:lang w:eastAsia="en-AU"/>
              </w:rPr>
            </w:pPr>
            <w:r w:rsidRPr="008760E9">
              <w:rPr>
                <w:rFonts w:cs="Arial"/>
                <w:color w:val="7F7F7F"/>
                <w:szCs w:val="18"/>
                <w:lang w:eastAsia="en-AU"/>
              </w:rPr>
              <w:t>Machinery Operators and Drivers</w:t>
            </w:r>
          </w:p>
        </w:tc>
        <w:tc>
          <w:tcPr>
            <w:tcW w:w="992" w:type="dxa"/>
            <w:tcBorders>
              <w:top w:val="nil"/>
              <w:left w:val="nil"/>
              <w:bottom w:val="nil"/>
              <w:right w:val="nil"/>
            </w:tcBorders>
            <w:shd w:val="clear" w:color="auto" w:fill="auto"/>
            <w:noWrap/>
            <w:vAlign w:val="center"/>
            <w:hideMark/>
          </w:tcPr>
          <w:p w:rsidR="008760E9" w:rsidRPr="008760E9" w:rsidRDefault="008760E9" w:rsidP="008760E9">
            <w:pPr>
              <w:jc w:val="right"/>
              <w:rPr>
                <w:rFonts w:cs="Arial"/>
                <w:color w:val="7F7F7F"/>
                <w:szCs w:val="18"/>
                <w:lang w:eastAsia="en-AU"/>
              </w:rPr>
            </w:pPr>
            <w:r w:rsidRPr="008760E9">
              <w:rPr>
                <w:rFonts w:cs="Arial"/>
                <w:color w:val="7F7F7F"/>
                <w:szCs w:val="18"/>
                <w:lang w:eastAsia="en-AU"/>
              </w:rPr>
              <w:t>35%</w:t>
            </w:r>
          </w:p>
        </w:tc>
        <w:tc>
          <w:tcPr>
            <w:tcW w:w="1162" w:type="dxa"/>
            <w:tcBorders>
              <w:top w:val="nil"/>
              <w:left w:val="nil"/>
              <w:bottom w:val="nil"/>
              <w:right w:val="nil"/>
            </w:tcBorders>
            <w:shd w:val="clear" w:color="auto" w:fill="auto"/>
            <w:noWrap/>
            <w:vAlign w:val="center"/>
            <w:hideMark/>
          </w:tcPr>
          <w:p w:rsidR="008760E9" w:rsidRPr="008760E9" w:rsidRDefault="008760E9" w:rsidP="008760E9">
            <w:pPr>
              <w:jc w:val="right"/>
              <w:rPr>
                <w:rFonts w:cs="Arial"/>
                <w:color w:val="7F7F7F"/>
                <w:szCs w:val="18"/>
                <w:lang w:eastAsia="en-AU"/>
              </w:rPr>
            </w:pPr>
            <w:r w:rsidRPr="008760E9">
              <w:rPr>
                <w:rFonts w:cs="Arial"/>
                <w:color w:val="7F7F7F"/>
                <w:szCs w:val="18"/>
                <w:lang w:eastAsia="en-AU"/>
              </w:rPr>
              <w:t>1%</w:t>
            </w:r>
          </w:p>
        </w:tc>
        <w:tc>
          <w:tcPr>
            <w:tcW w:w="1077" w:type="dxa"/>
            <w:tcBorders>
              <w:top w:val="nil"/>
              <w:left w:val="nil"/>
              <w:bottom w:val="nil"/>
              <w:right w:val="nil"/>
            </w:tcBorders>
            <w:shd w:val="clear" w:color="auto" w:fill="auto"/>
            <w:noWrap/>
            <w:vAlign w:val="center"/>
            <w:hideMark/>
          </w:tcPr>
          <w:p w:rsidR="008760E9" w:rsidRPr="008760E9" w:rsidRDefault="008760E9" w:rsidP="008760E9">
            <w:pPr>
              <w:jc w:val="right"/>
              <w:rPr>
                <w:rFonts w:cs="Arial"/>
                <w:color w:val="7F7F7F"/>
                <w:szCs w:val="18"/>
                <w:lang w:eastAsia="en-AU"/>
              </w:rPr>
            </w:pPr>
            <w:r w:rsidRPr="008760E9">
              <w:rPr>
                <w:rFonts w:cs="Arial"/>
                <w:color w:val="7F7F7F"/>
                <w:szCs w:val="18"/>
                <w:lang w:eastAsia="en-AU"/>
              </w:rPr>
              <w:t>63%</w:t>
            </w:r>
          </w:p>
        </w:tc>
        <w:tc>
          <w:tcPr>
            <w:tcW w:w="1077" w:type="dxa"/>
            <w:tcBorders>
              <w:top w:val="nil"/>
              <w:left w:val="nil"/>
              <w:bottom w:val="nil"/>
              <w:right w:val="nil"/>
            </w:tcBorders>
            <w:shd w:val="clear" w:color="auto" w:fill="auto"/>
            <w:noWrap/>
            <w:vAlign w:val="center"/>
            <w:hideMark/>
          </w:tcPr>
          <w:p w:rsidR="008760E9" w:rsidRPr="008760E9" w:rsidRDefault="008760E9" w:rsidP="008760E9">
            <w:pPr>
              <w:jc w:val="right"/>
              <w:rPr>
                <w:rFonts w:cs="Arial"/>
                <w:color w:val="7F7F7F"/>
                <w:szCs w:val="18"/>
                <w:lang w:eastAsia="en-AU"/>
              </w:rPr>
            </w:pPr>
            <w:r w:rsidRPr="008760E9">
              <w:rPr>
                <w:rFonts w:cs="Arial"/>
                <w:color w:val="7F7F7F"/>
                <w:szCs w:val="18"/>
                <w:lang w:eastAsia="en-AU"/>
              </w:rPr>
              <w:t>2%</w:t>
            </w:r>
          </w:p>
        </w:tc>
        <w:tc>
          <w:tcPr>
            <w:tcW w:w="1078" w:type="dxa"/>
            <w:tcBorders>
              <w:top w:val="nil"/>
              <w:left w:val="nil"/>
              <w:bottom w:val="nil"/>
              <w:right w:val="nil"/>
            </w:tcBorders>
            <w:shd w:val="clear" w:color="auto" w:fill="auto"/>
            <w:noWrap/>
            <w:vAlign w:val="center"/>
            <w:hideMark/>
          </w:tcPr>
          <w:p w:rsidR="008760E9" w:rsidRPr="008760E9" w:rsidRDefault="008760E9" w:rsidP="008760E9">
            <w:pPr>
              <w:jc w:val="right"/>
              <w:rPr>
                <w:rFonts w:cs="Arial"/>
                <w:color w:val="7F7F7F"/>
                <w:szCs w:val="18"/>
                <w:lang w:eastAsia="en-AU"/>
              </w:rPr>
            </w:pPr>
            <w:r w:rsidRPr="008760E9">
              <w:rPr>
                <w:rFonts w:cs="Arial"/>
                <w:color w:val="7F7F7F"/>
                <w:szCs w:val="18"/>
                <w:lang w:eastAsia="en-AU"/>
              </w:rPr>
              <w:t>9,981</w:t>
            </w:r>
          </w:p>
        </w:tc>
      </w:tr>
      <w:tr w:rsidR="008760E9" w:rsidRPr="008760E9" w:rsidTr="00150EE2">
        <w:trPr>
          <w:trHeight w:val="300"/>
        </w:trPr>
        <w:tc>
          <w:tcPr>
            <w:tcW w:w="2709" w:type="dxa"/>
            <w:gridSpan w:val="2"/>
            <w:tcBorders>
              <w:top w:val="nil"/>
              <w:left w:val="nil"/>
              <w:bottom w:val="nil"/>
              <w:right w:val="nil"/>
            </w:tcBorders>
            <w:shd w:val="clear" w:color="auto" w:fill="auto"/>
            <w:vAlign w:val="center"/>
            <w:hideMark/>
          </w:tcPr>
          <w:p w:rsidR="008760E9" w:rsidRPr="008760E9" w:rsidRDefault="008760E9" w:rsidP="008760E9">
            <w:pPr>
              <w:rPr>
                <w:rFonts w:cs="Arial"/>
                <w:color w:val="7F7F7F"/>
                <w:szCs w:val="18"/>
                <w:lang w:eastAsia="en-AU"/>
              </w:rPr>
            </w:pPr>
            <w:r w:rsidRPr="008760E9">
              <w:rPr>
                <w:rFonts w:cs="Arial"/>
                <w:color w:val="7F7F7F"/>
                <w:szCs w:val="18"/>
                <w:lang w:eastAsia="en-AU"/>
              </w:rPr>
              <w:t>Managers</w:t>
            </w:r>
          </w:p>
        </w:tc>
        <w:tc>
          <w:tcPr>
            <w:tcW w:w="992" w:type="dxa"/>
            <w:tcBorders>
              <w:top w:val="nil"/>
              <w:left w:val="nil"/>
              <w:bottom w:val="nil"/>
              <w:right w:val="nil"/>
            </w:tcBorders>
            <w:shd w:val="clear" w:color="auto" w:fill="auto"/>
            <w:noWrap/>
            <w:vAlign w:val="center"/>
            <w:hideMark/>
          </w:tcPr>
          <w:p w:rsidR="008760E9" w:rsidRPr="008760E9" w:rsidRDefault="008760E9" w:rsidP="008760E9">
            <w:pPr>
              <w:jc w:val="right"/>
              <w:rPr>
                <w:rFonts w:cs="Arial"/>
                <w:color w:val="7F7F7F"/>
                <w:szCs w:val="18"/>
                <w:lang w:eastAsia="en-AU"/>
              </w:rPr>
            </w:pPr>
            <w:r w:rsidRPr="008760E9">
              <w:rPr>
                <w:rFonts w:cs="Arial"/>
                <w:color w:val="7F7F7F"/>
                <w:szCs w:val="18"/>
                <w:lang w:eastAsia="en-AU"/>
              </w:rPr>
              <w:t>28%</w:t>
            </w:r>
          </w:p>
        </w:tc>
        <w:tc>
          <w:tcPr>
            <w:tcW w:w="1162" w:type="dxa"/>
            <w:tcBorders>
              <w:top w:val="nil"/>
              <w:left w:val="nil"/>
              <w:bottom w:val="nil"/>
              <w:right w:val="nil"/>
            </w:tcBorders>
            <w:shd w:val="clear" w:color="auto" w:fill="auto"/>
            <w:noWrap/>
            <w:vAlign w:val="center"/>
            <w:hideMark/>
          </w:tcPr>
          <w:p w:rsidR="008760E9" w:rsidRPr="008760E9" w:rsidRDefault="008760E9" w:rsidP="008760E9">
            <w:pPr>
              <w:jc w:val="right"/>
              <w:rPr>
                <w:rFonts w:cs="Arial"/>
                <w:color w:val="7F7F7F"/>
                <w:szCs w:val="18"/>
                <w:lang w:eastAsia="en-AU"/>
              </w:rPr>
            </w:pPr>
            <w:r w:rsidRPr="008760E9">
              <w:rPr>
                <w:rFonts w:cs="Arial"/>
                <w:color w:val="7F7F7F"/>
                <w:szCs w:val="18"/>
                <w:lang w:eastAsia="en-AU"/>
              </w:rPr>
              <w:t>19%</w:t>
            </w:r>
          </w:p>
        </w:tc>
        <w:tc>
          <w:tcPr>
            <w:tcW w:w="1077" w:type="dxa"/>
            <w:tcBorders>
              <w:top w:val="nil"/>
              <w:left w:val="nil"/>
              <w:bottom w:val="nil"/>
              <w:right w:val="nil"/>
            </w:tcBorders>
            <w:shd w:val="clear" w:color="auto" w:fill="auto"/>
            <w:noWrap/>
            <w:vAlign w:val="center"/>
            <w:hideMark/>
          </w:tcPr>
          <w:p w:rsidR="008760E9" w:rsidRPr="008760E9" w:rsidRDefault="008760E9" w:rsidP="008760E9">
            <w:pPr>
              <w:jc w:val="right"/>
              <w:rPr>
                <w:rFonts w:cs="Arial"/>
                <w:color w:val="7F7F7F"/>
                <w:szCs w:val="18"/>
                <w:lang w:eastAsia="en-AU"/>
              </w:rPr>
            </w:pPr>
            <w:r w:rsidRPr="008760E9">
              <w:rPr>
                <w:rFonts w:cs="Arial"/>
                <w:color w:val="7F7F7F"/>
                <w:szCs w:val="18"/>
                <w:lang w:eastAsia="en-AU"/>
              </w:rPr>
              <w:t>52%</w:t>
            </w:r>
          </w:p>
        </w:tc>
        <w:tc>
          <w:tcPr>
            <w:tcW w:w="1077" w:type="dxa"/>
            <w:tcBorders>
              <w:top w:val="nil"/>
              <w:left w:val="nil"/>
              <w:bottom w:val="nil"/>
              <w:right w:val="nil"/>
            </w:tcBorders>
            <w:shd w:val="clear" w:color="auto" w:fill="auto"/>
            <w:noWrap/>
            <w:vAlign w:val="center"/>
            <w:hideMark/>
          </w:tcPr>
          <w:p w:rsidR="008760E9" w:rsidRPr="008760E9" w:rsidRDefault="008760E9" w:rsidP="008760E9">
            <w:pPr>
              <w:jc w:val="right"/>
              <w:rPr>
                <w:rFonts w:cs="Arial"/>
                <w:color w:val="7F7F7F"/>
                <w:szCs w:val="18"/>
                <w:lang w:eastAsia="en-AU"/>
              </w:rPr>
            </w:pPr>
            <w:r w:rsidRPr="008760E9">
              <w:rPr>
                <w:rFonts w:cs="Arial"/>
                <w:color w:val="7F7F7F"/>
                <w:szCs w:val="18"/>
                <w:lang w:eastAsia="en-AU"/>
              </w:rPr>
              <w:t>1%</w:t>
            </w:r>
          </w:p>
        </w:tc>
        <w:tc>
          <w:tcPr>
            <w:tcW w:w="1078" w:type="dxa"/>
            <w:tcBorders>
              <w:top w:val="nil"/>
              <w:left w:val="nil"/>
              <w:bottom w:val="nil"/>
              <w:right w:val="nil"/>
            </w:tcBorders>
            <w:shd w:val="clear" w:color="auto" w:fill="auto"/>
            <w:noWrap/>
            <w:vAlign w:val="center"/>
            <w:hideMark/>
          </w:tcPr>
          <w:p w:rsidR="008760E9" w:rsidRPr="008760E9" w:rsidRDefault="008760E9" w:rsidP="008760E9">
            <w:pPr>
              <w:jc w:val="right"/>
              <w:rPr>
                <w:rFonts w:cs="Arial"/>
                <w:color w:val="7F7F7F"/>
                <w:szCs w:val="18"/>
                <w:lang w:eastAsia="en-AU"/>
              </w:rPr>
            </w:pPr>
            <w:r w:rsidRPr="008760E9">
              <w:rPr>
                <w:rFonts w:cs="Arial"/>
                <w:color w:val="7F7F7F"/>
                <w:szCs w:val="18"/>
                <w:lang w:eastAsia="en-AU"/>
              </w:rPr>
              <w:t>1,409</w:t>
            </w:r>
          </w:p>
        </w:tc>
      </w:tr>
      <w:tr w:rsidR="008760E9" w:rsidRPr="008760E9" w:rsidTr="00150EE2">
        <w:trPr>
          <w:trHeight w:val="300"/>
        </w:trPr>
        <w:tc>
          <w:tcPr>
            <w:tcW w:w="2709" w:type="dxa"/>
            <w:gridSpan w:val="2"/>
            <w:tcBorders>
              <w:top w:val="nil"/>
              <w:left w:val="nil"/>
              <w:bottom w:val="nil"/>
              <w:right w:val="nil"/>
            </w:tcBorders>
            <w:shd w:val="clear" w:color="auto" w:fill="auto"/>
            <w:vAlign w:val="center"/>
            <w:hideMark/>
          </w:tcPr>
          <w:p w:rsidR="008760E9" w:rsidRPr="008760E9" w:rsidRDefault="008760E9" w:rsidP="008760E9">
            <w:pPr>
              <w:rPr>
                <w:rFonts w:cs="Arial"/>
                <w:color w:val="7F7F7F"/>
                <w:szCs w:val="18"/>
                <w:lang w:eastAsia="en-AU"/>
              </w:rPr>
            </w:pPr>
            <w:r w:rsidRPr="008760E9">
              <w:rPr>
                <w:rFonts w:cs="Arial"/>
                <w:color w:val="7F7F7F"/>
                <w:szCs w:val="18"/>
                <w:lang w:eastAsia="en-AU"/>
              </w:rPr>
              <w:t>Professionals</w:t>
            </w:r>
          </w:p>
        </w:tc>
        <w:tc>
          <w:tcPr>
            <w:tcW w:w="992" w:type="dxa"/>
            <w:tcBorders>
              <w:top w:val="nil"/>
              <w:left w:val="nil"/>
              <w:bottom w:val="nil"/>
              <w:right w:val="nil"/>
            </w:tcBorders>
            <w:shd w:val="clear" w:color="auto" w:fill="auto"/>
            <w:noWrap/>
            <w:vAlign w:val="center"/>
            <w:hideMark/>
          </w:tcPr>
          <w:p w:rsidR="008760E9" w:rsidRPr="008760E9" w:rsidRDefault="008760E9" w:rsidP="008760E9">
            <w:pPr>
              <w:jc w:val="right"/>
              <w:rPr>
                <w:rFonts w:cs="Arial"/>
                <w:color w:val="7F7F7F"/>
                <w:szCs w:val="18"/>
                <w:lang w:eastAsia="en-AU"/>
              </w:rPr>
            </w:pPr>
            <w:r w:rsidRPr="008760E9">
              <w:rPr>
                <w:rFonts w:cs="Arial"/>
                <w:color w:val="7F7F7F"/>
                <w:szCs w:val="18"/>
                <w:lang w:eastAsia="en-AU"/>
              </w:rPr>
              <w:t>34%</w:t>
            </w:r>
          </w:p>
        </w:tc>
        <w:tc>
          <w:tcPr>
            <w:tcW w:w="1162" w:type="dxa"/>
            <w:tcBorders>
              <w:top w:val="nil"/>
              <w:left w:val="nil"/>
              <w:bottom w:val="nil"/>
              <w:right w:val="nil"/>
            </w:tcBorders>
            <w:shd w:val="clear" w:color="auto" w:fill="auto"/>
            <w:noWrap/>
            <w:vAlign w:val="center"/>
            <w:hideMark/>
          </w:tcPr>
          <w:p w:rsidR="008760E9" w:rsidRPr="008760E9" w:rsidRDefault="008760E9" w:rsidP="008760E9">
            <w:pPr>
              <w:jc w:val="right"/>
              <w:rPr>
                <w:rFonts w:cs="Arial"/>
                <w:color w:val="7F7F7F"/>
                <w:szCs w:val="18"/>
                <w:lang w:eastAsia="en-AU"/>
              </w:rPr>
            </w:pPr>
            <w:r w:rsidRPr="008760E9">
              <w:rPr>
                <w:rFonts w:cs="Arial"/>
                <w:color w:val="7F7F7F"/>
                <w:szCs w:val="18"/>
                <w:lang w:eastAsia="en-AU"/>
              </w:rPr>
              <w:t>15%</w:t>
            </w:r>
          </w:p>
        </w:tc>
        <w:tc>
          <w:tcPr>
            <w:tcW w:w="1077" w:type="dxa"/>
            <w:tcBorders>
              <w:top w:val="nil"/>
              <w:left w:val="nil"/>
              <w:bottom w:val="nil"/>
              <w:right w:val="nil"/>
            </w:tcBorders>
            <w:shd w:val="clear" w:color="auto" w:fill="auto"/>
            <w:noWrap/>
            <w:vAlign w:val="center"/>
            <w:hideMark/>
          </w:tcPr>
          <w:p w:rsidR="008760E9" w:rsidRPr="008760E9" w:rsidRDefault="008760E9" w:rsidP="008760E9">
            <w:pPr>
              <w:jc w:val="right"/>
              <w:rPr>
                <w:rFonts w:cs="Arial"/>
                <w:color w:val="7F7F7F"/>
                <w:szCs w:val="18"/>
                <w:lang w:eastAsia="en-AU"/>
              </w:rPr>
            </w:pPr>
            <w:r w:rsidRPr="008760E9">
              <w:rPr>
                <w:rFonts w:cs="Arial"/>
                <w:color w:val="7F7F7F"/>
                <w:szCs w:val="18"/>
                <w:lang w:eastAsia="en-AU"/>
              </w:rPr>
              <w:t>48%</w:t>
            </w:r>
          </w:p>
        </w:tc>
        <w:tc>
          <w:tcPr>
            <w:tcW w:w="1077" w:type="dxa"/>
            <w:tcBorders>
              <w:top w:val="nil"/>
              <w:left w:val="nil"/>
              <w:bottom w:val="nil"/>
              <w:right w:val="nil"/>
            </w:tcBorders>
            <w:shd w:val="clear" w:color="auto" w:fill="auto"/>
            <w:noWrap/>
            <w:vAlign w:val="center"/>
            <w:hideMark/>
          </w:tcPr>
          <w:p w:rsidR="008760E9" w:rsidRPr="008760E9" w:rsidRDefault="008760E9" w:rsidP="008760E9">
            <w:pPr>
              <w:jc w:val="right"/>
              <w:rPr>
                <w:rFonts w:cs="Arial"/>
                <w:color w:val="7F7F7F"/>
                <w:szCs w:val="18"/>
                <w:lang w:eastAsia="en-AU"/>
              </w:rPr>
            </w:pPr>
            <w:r w:rsidRPr="008760E9">
              <w:rPr>
                <w:rFonts w:cs="Arial"/>
                <w:color w:val="7F7F7F"/>
                <w:szCs w:val="18"/>
                <w:lang w:eastAsia="en-AU"/>
              </w:rPr>
              <w:t>3%</w:t>
            </w:r>
          </w:p>
        </w:tc>
        <w:tc>
          <w:tcPr>
            <w:tcW w:w="1078" w:type="dxa"/>
            <w:tcBorders>
              <w:top w:val="nil"/>
              <w:left w:val="nil"/>
              <w:bottom w:val="nil"/>
              <w:right w:val="nil"/>
            </w:tcBorders>
            <w:shd w:val="clear" w:color="auto" w:fill="auto"/>
            <w:noWrap/>
            <w:vAlign w:val="center"/>
            <w:hideMark/>
          </w:tcPr>
          <w:p w:rsidR="008760E9" w:rsidRPr="008760E9" w:rsidRDefault="008760E9" w:rsidP="008760E9">
            <w:pPr>
              <w:jc w:val="right"/>
              <w:rPr>
                <w:rFonts w:cs="Arial"/>
                <w:color w:val="7F7F7F"/>
                <w:szCs w:val="18"/>
                <w:lang w:eastAsia="en-AU"/>
              </w:rPr>
            </w:pPr>
            <w:r w:rsidRPr="008760E9">
              <w:rPr>
                <w:rFonts w:cs="Arial"/>
                <w:color w:val="7F7F7F"/>
                <w:szCs w:val="18"/>
                <w:lang w:eastAsia="en-AU"/>
              </w:rPr>
              <w:t>11,230</w:t>
            </w:r>
          </w:p>
        </w:tc>
      </w:tr>
      <w:tr w:rsidR="008760E9" w:rsidRPr="008760E9" w:rsidTr="00150EE2">
        <w:trPr>
          <w:trHeight w:val="300"/>
        </w:trPr>
        <w:tc>
          <w:tcPr>
            <w:tcW w:w="2709" w:type="dxa"/>
            <w:gridSpan w:val="2"/>
            <w:tcBorders>
              <w:top w:val="nil"/>
              <w:left w:val="nil"/>
              <w:bottom w:val="nil"/>
              <w:right w:val="nil"/>
            </w:tcBorders>
            <w:shd w:val="clear" w:color="auto" w:fill="auto"/>
            <w:vAlign w:val="center"/>
            <w:hideMark/>
          </w:tcPr>
          <w:p w:rsidR="008760E9" w:rsidRPr="008760E9" w:rsidRDefault="008760E9" w:rsidP="008760E9">
            <w:pPr>
              <w:rPr>
                <w:rFonts w:cs="Arial"/>
                <w:color w:val="7F7F7F"/>
                <w:szCs w:val="18"/>
                <w:lang w:eastAsia="en-AU"/>
              </w:rPr>
            </w:pPr>
            <w:r w:rsidRPr="008760E9">
              <w:rPr>
                <w:rFonts w:cs="Arial"/>
                <w:color w:val="7F7F7F"/>
                <w:szCs w:val="18"/>
                <w:lang w:eastAsia="en-AU"/>
              </w:rPr>
              <w:t>Sales Workers</w:t>
            </w:r>
          </w:p>
        </w:tc>
        <w:tc>
          <w:tcPr>
            <w:tcW w:w="992" w:type="dxa"/>
            <w:tcBorders>
              <w:top w:val="nil"/>
              <w:left w:val="nil"/>
              <w:bottom w:val="nil"/>
              <w:right w:val="nil"/>
            </w:tcBorders>
            <w:shd w:val="clear" w:color="auto" w:fill="auto"/>
            <w:noWrap/>
            <w:vAlign w:val="center"/>
            <w:hideMark/>
          </w:tcPr>
          <w:p w:rsidR="008760E9" w:rsidRPr="008760E9" w:rsidRDefault="008760E9" w:rsidP="008760E9">
            <w:pPr>
              <w:jc w:val="right"/>
              <w:rPr>
                <w:rFonts w:cs="Arial"/>
                <w:color w:val="7F7F7F"/>
                <w:szCs w:val="18"/>
                <w:lang w:eastAsia="en-AU"/>
              </w:rPr>
            </w:pPr>
            <w:r w:rsidRPr="008760E9">
              <w:rPr>
                <w:rFonts w:cs="Arial"/>
                <w:color w:val="7F7F7F"/>
                <w:szCs w:val="18"/>
                <w:lang w:eastAsia="en-AU"/>
              </w:rPr>
              <w:t>16%</w:t>
            </w:r>
          </w:p>
        </w:tc>
        <w:tc>
          <w:tcPr>
            <w:tcW w:w="1162" w:type="dxa"/>
            <w:tcBorders>
              <w:top w:val="nil"/>
              <w:left w:val="nil"/>
              <w:bottom w:val="nil"/>
              <w:right w:val="nil"/>
            </w:tcBorders>
            <w:shd w:val="clear" w:color="auto" w:fill="auto"/>
            <w:noWrap/>
            <w:vAlign w:val="center"/>
            <w:hideMark/>
          </w:tcPr>
          <w:p w:rsidR="008760E9" w:rsidRPr="008760E9" w:rsidRDefault="008760E9" w:rsidP="008760E9">
            <w:pPr>
              <w:jc w:val="right"/>
              <w:rPr>
                <w:rFonts w:cs="Arial"/>
                <w:color w:val="7F7F7F"/>
                <w:szCs w:val="18"/>
                <w:lang w:eastAsia="en-AU"/>
              </w:rPr>
            </w:pPr>
            <w:r w:rsidRPr="008760E9">
              <w:rPr>
                <w:rFonts w:cs="Arial"/>
                <w:color w:val="7F7F7F"/>
                <w:szCs w:val="18"/>
                <w:lang w:eastAsia="en-AU"/>
              </w:rPr>
              <w:t>2%</w:t>
            </w:r>
          </w:p>
        </w:tc>
        <w:tc>
          <w:tcPr>
            <w:tcW w:w="1077" w:type="dxa"/>
            <w:tcBorders>
              <w:top w:val="nil"/>
              <w:left w:val="nil"/>
              <w:bottom w:val="nil"/>
              <w:right w:val="nil"/>
            </w:tcBorders>
            <w:shd w:val="clear" w:color="auto" w:fill="auto"/>
            <w:noWrap/>
            <w:vAlign w:val="center"/>
            <w:hideMark/>
          </w:tcPr>
          <w:p w:rsidR="008760E9" w:rsidRPr="008760E9" w:rsidRDefault="008760E9" w:rsidP="008760E9">
            <w:pPr>
              <w:jc w:val="right"/>
              <w:rPr>
                <w:rFonts w:cs="Arial"/>
                <w:color w:val="7F7F7F"/>
                <w:szCs w:val="18"/>
                <w:lang w:eastAsia="en-AU"/>
              </w:rPr>
            </w:pPr>
            <w:r w:rsidRPr="008760E9">
              <w:rPr>
                <w:rFonts w:cs="Arial"/>
                <w:color w:val="7F7F7F"/>
                <w:szCs w:val="18"/>
                <w:lang w:eastAsia="en-AU"/>
              </w:rPr>
              <w:t>81%</w:t>
            </w:r>
          </w:p>
        </w:tc>
        <w:tc>
          <w:tcPr>
            <w:tcW w:w="1077" w:type="dxa"/>
            <w:tcBorders>
              <w:top w:val="nil"/>
              <w:left w:val="nil"/>
              <w:bottom w:val="nil"/>
              <w:right w:val="nil"/>
            </w:tcBorders>
            <w:shd w:val="clear" w:color="auto" w:fill="auto"/>
            <w:noWrap/>
            <w:vAlign w:val="center"/>
            <w:hideMark/>
          </w:tcPr>
          <w:p w:rsidR="008760E9" w:rsidRPr="008760E9" w:rsidRDefault="008760E9" w:rsidP="008760E9">
            <w:pPr>
              <w:jc w:val="right"/>
              <w:rPr>
                <w:rFonts w:cs="Arial"/>
                <w:color w:val="7F7F7F"/>
                <w:szCs w:val="18"/>
                <w:lang w:eastAsia="en-AU"/>
              </w:rPr>
            </w:pPr>
            <w:r w:rsidRPr="008760E9">
              <w:rPr>
                <w:rFonts w:cs="Arial"/>
                <w:color w:val="7F7F7F"/>
                <w:szCs w:val="18"/>
                <w:lang w:eastAsia="en-AU"/>
              </w:rPr>
              <w:t>1%</w:t>
            </w:r>
          </w:p>
        </w:tc>
        <w:tc>
          <w:tcPr>
            <w:tcW w:w="1078" w:type="dxa"/>
            <w:tcBorders>
              <w:top w:val="nil"/>
              <w:left w:val="nil"/>
              <w:bottom w:val="nil"/>
              <w:right w:val="nil"/>
            </w:tcBorders>
            <w:shd w:val="clear" w:color="auto" w:fill="auto"/>
            <w:noWrap/>
            <w:vAlign w:val="center"/>
            <w:hideMark/>
          </w:tcPr>
          <w:p w:rsidR="008760E9" w:rsidRPr="008760E9" w:rsidRDefault="008760E9" w:rsidP="008760E9">
            <w:pPr>
              <w:jc w:val="right"/>
              <w:rPr>
                <w:rFonts w:cs="Arial"/>
                <w:color w:val="7F7F7F"/>
                <w:szCs w:val="18"/>
                <w:lang w:eastAsia="en-AU"/>
              </w:rPr>
            </w:pPr>
            <w:r w:rsidRPr="008760E9">
              <w:rPr>
                <w:rFonts w:cs="Arial"/>
                <w:color w:val="7F7F7F"/>
                <w:szCs w:val="18"/>
                <w:lang w:eastAsia="en-AU"/>
              </w:rPr>
              <w:t>3,788</w:t>
            </w:r>
          </w:p>
        </w:tc>
      </w:tr>
      <w:tr w:rsidR="008760E9" w:rsidRPr="008760E9" w:rsidTr="00150EE2">
        <w:trPr>
          <w:trHeight w:val="300"/>
        </w:trPr>
        <w:tc>
          <w:tcPr>
            <w:tcW w:w="2709" w:type="dxa"/>
            <w:gridSpan w:val="2"/>
            <w:tcBorders>
              <w:top w:val="nil"/>
              <w:left w:val="nil"/>
              <w:bottom w:val="nil"/>
              <w:right w:val="nil"/>
            </w:tcBorders>
            <w:shd w:val="clear" w:color="auto" w:fill="auto"/>
            <w:vAlign w:val="center"/>
            <w:hideMark/>
          </w:tcPr>
          <w:p w:rsidR="008760E9" w:rsidRPr="008760E9" w:rsidRDefault="008760E9" w:rsidP="008760E9">
            <w:pPr>
              <w:rPr>
                <w:rFonts w:cs="Arial"/>
                <w:color w:val="7F7F7F"/>
                <w:szCs w:val="18"/>
                <w:lang w:eastAsia="en-AU"/>
              </w:rPr>
            </w:pPr>
            <w:r w:rsidRPr="008760E9">
              <w:rPr>
                <w:rFonts w:cs="Arial"/>
                <w:color w:val="7F7F7F"/>
                <w:szCs w:val="18"/>
                <w:lang w:eastAsia="en-AU"/>
              </w:rPr>
              <w:t>Technicians and Trades Workers</w:t>
            </w:r>
          </w:p>
        </w:tc>
        <w:tc>
          <w:tcPr>
            <w:tcW w:w="992" w:type="dxa"/>
            <w:tcBorders>
              <w:top w:val="nil"/>
              <w:left w:val="nil"/>
              <w:bottom w:val="nil"/>
              <w:right w:val="nil"/>
            </w:tcBorders>
            <w:shd w:val="clear" w:color="auto" w:fill="auto"/>
            <w:noWrap/>
            <w:vAlign w:val="center"/>
            <w:hideMark/>
          </w:tcPr>
          <w:p w:rsidR="008760E9" w:rsidRPr="008760E9" w:rsidRDefault="008760E9" w:rsidP="008760E9">
            <w:pPr>
              <w:jc w:val="right"/>
              <w:rPr>
                <w:rFonts w:cs="Arial"/>
                <w:color w:val="7F7F7F"/>
                <w:szCs w:val="18"/>
                <w:lang w:eastAsia="en-AU"/>
              </w:rPr>
            </w:pPr>
            <w:r w:rsidRPr="008760E9">
              <w:rPr>
                <w:rFonts w:cs="Arial"/>
                <w:color w:val="7F7F7F"/>
                <w:szCs w:val="18"/>
                <w:lang w:eastAsia="en-AU"/>
              </w:rPr>
              <w:t>59%</w:t>
            </w:r>
          </w:p>
        </w:tc>
        <w:tc>
          <w:tcPr>
            <w:tcW w:w="1162" w:type="dxa"/>
            <w:tcBorders>
              <w:top w:val="nil"/>
              <w:left w:val="nil"/>
              <w:bottom w:val="nil"/>
              <w:right w:val="nil"/>
            </w:tcBorders>
            <w:shd w:val="clear" w:color="auto" w:fill="auto"/>
            <w:noWrap/>
            <w:vAlign w:val="center"/>
            <w:hideMark/>
          </w:tcPr>
          <w:p w:rsidR="008760E9" w:rsidRPr="008760E9" w:rsidRDefault="008760E9" w:rsidP="008760E9">
            <w:pPr>
              <w:jc w:val="right"/>
              <w:rPr>
                <w:rFonts w:cs="Arial"/>
                <w:color w:val="7F7F7F"/>
                <w:szCs w:val="18"/>
                <w:lang w:eastAsia="en-AU"/>
              </w:rPr>
            </w:pPr>
            <w:r w:rsidRPr="008760E9">
              <w:rPr>
                <w:rFonts w:cs="Arial"/>
                <w:color w:val="7F7F7F"/>
                <w:szCs w:val="18"/>
                <w:lang w:eastAsia="en-AU"/>
              </w:rPr>
              <w:t>9%</w:t>
            </w:r>
          </w:p>
        </w:tc>
        <w:tc>
          <w:tcPr>
            <w:tcW w:w="1077" w:type="dxa"/>
            <w:tcBorders>
              <w:top w:val="nil"/>
              <w:left w:val="nil"/>
              <w:bottom w:val="nil"/>
              <w:right w:val="nil"/>
            </w:tcBorders>
            <w:shd w:val="clear" w:color="auto" w:fill="auto"/>
            <w:noWrap/>
            <w:vAlign w:val="center"/>
            <w:hideMark/>
          </w:tcPr>
          <w:p w:rsidR="008760E9" w:rsidRPr="008760E9" w:rsidRDefault="008760E9" w:rsidP="008760E9">
            <w:pPr>
              <w:jc w:val="right"/>
              <w:rPr>
                <w:rFonts w:cs="Arial"/>
                <w:color w:val="7F7F7F"/>
                <w:szCs w:val="18"/>
                <w:lang w:eastAsia="en-AU"/>
              </w:rPr>
            </w:pPr>
            <w:r w:rsidRPr="008760E9">
              <w:rPr>
                <w:rFonts w:cs="Arial"/>
                <w:color w:val="7F7F7F"/>
                <w:szCs w:val="18"/>
                <w:lang w:eastAsia="en-AU"/>
              </w:rPr>
              <w:t>31%</w:t>
            </w:r>
          </w:p>
        </w:tc>
        <w:tc>
          <w:tcPr>
            <w:tcW w:w="1077" w:type="dxa"/>
            <w:tcBorders>
              <w:top w:val="nil"/>
              <w:left w:val="nil"/>
              <w:bottom w:val="nil"/>
              <w:right w:val="nil"/>
            </w:tcBorders>
            <w:shd w:val="clear" w:color="auto" w:fill="auto"/>
            <w:noWrap/>
            <w:vAlign w:val="center"/>
            <w:hideMark/>
          </w:tcPr>
          <w:p w:rsidR="008760E9" w:rsidRPr="008760E9" w:rsidRDefault="008760E9" w:rsidP="008760E9">
            <w:pPr>
              <w:jc w:val="right"/>
              <w:rPr>
                <w:rFonts w:cs="Arial"/>
                <w:color w:val="7F7F7F"/>
                <w:szCs w:val="18"/>
                <w:lang w:eastAsia="en-AU"/>
              </w:rPr>
            </w:pPr>
            <w:r w:rsidRPr="008760E9">
              <w:rPr>
                <w:rFonts w:cs="Arial"/>
                <w:color w:val="7F7F7F"/>
                <w:szCs w:val="18"/>
                <w:lang w:eastAsia="en-AU"/>
              </w:rPr>
              <w:t>1%</w:t>
            </w:r>
          </w:p>
        </w:tc>
        <w:tc>
          <w:tcPr>
            <w:tcW w:w="1078" w:type="dxa"/>
            <w:tcBorders>
              <w:top w:val="nil"/>
              <w:left w:val="nil"/>
              <w:bottom w:val="nil"/>
              <w:right w:val="nil"/>
            </w:tcBorders>
            <w:shd w:val="clear" w:color="auto" w:fill="auto"/>
            <w:noWrap/>
            <w:vAlign w:val="center"/>
            <w:hideMark/>
          </w:tcPr>
          <w:p w:rsidR="008760E9" w:rsidRPr="008760E9" w:rsidRDefault="008760E9" w:rsidP="008760E9">
            <w:pPr>
              <w:jc w:val="right"/>
              <w:rPr>
                <w:rFonts w:cs="Arial"/>
                <w:color w:val="7F7F7F"/>
                <w:szCs w:val="18"/>
                <w:lang w:eastAsia="en-AU"/>
              </w:rPr>
            </w:pPr>
            <w:r w:rsidRPr="008760E9">
              <w:rPr>
                <w:rFonts w:cs="Arial"/>
                <w:color w:val="7F7F7F"/>
                <w:szCs w:val="18"/>
                <w:lang w:eastAsia="en-AU"/>
              </w:rPr>
              <w:t>13,177</w:t>
            </w:r>
          </w:p>
        </w:tc>
      </w:tr>
      <w:tr w:rsidR="008760E9" w:rsidRPr="008760E9" w:rsidTr="00150EE2">
        <w:trPr>
          <w:trHeight w:val="300"/>
        </w:trPr>
        <w:tc>
          <w:tcPr>
            <w:tcW w:w="2709" w:type="dxa"/>
            <w:gridSpan w:val="2"/>
            <w:tcBorders>
              <w:top w:val="nil"/>
              <w:left w:val="nil"/>
              <w:bottom w:val="nil"/>
              <w:right w:val="nil"/>
            </w:tcBorders>
            <w:shd w:val="clear" w:color="auto" w:fill="auto"/>
            <w:vAlign w:val="center"/>
            <w:hideMark/>
          </w:tcPr>
          <w:p w:rsidR="008760E9" w:rsidRPr="008760E9" w:rsidRDefault="008760E9" w:rsidP="008760E9">
            <w:pPr>
              <w:rPr>
                <w:rFonts w:cs="Arial"/>
                <w:color w:val="7F7F7F"/>
                <w:szCs w:val="18"/>
                <w:lang w:eastAsia="en-AU"/>
              </w:rPr>
            </w:pPr>
            <w:r w:rsidRPr="008760E9">
              <w:rPr>
                <w:rFonts w:cs="Arial"/>
                <w:color w:val="7F7F7F"/>
                <w:szCs w:val="18"/>
                <w:lang w:eastAsia="en-AU"/>
              </w:rPr>
              <w:t>Other*</w:t>
            </w:r>
          </w:p>
        </w:tc>
        <w:tc>
          <w:tcPr>
            <w:tcW w:w="992" w:type="dxa"/>
            <w:tcBorders>
              <w:top w:val="nil"/>
              <w:left w:val="nil"/>
              <w:bottom w:val="nil"/>
              <w:right w:val="nil"/>
            </w:tcBorders>
            <w:shd w:val="clear" w:color="auto" w:fill="auto"/>
            <w:noWrap/>
            <w:vAlign w:val="center"/>
            <w:hideMark/>
          </w:tcPr>
          <w:p w:rsidR="008760E9" w:rsidRPr="008760E9" w:rsidRDefault="008760E9" w:rsidP="008760E9">
            <w:pPr>
              <w:jc w:val="right"/>
              <w:rPr>
                <w:rFonts w:cs="Arial"/>
                <w:color w:val="7F7F7F"/>
                <w:szCs w:val="18"/>
                <w:lang w:eastAsia="en-AU"/>
              </w:rPr>
            </w:pPr>
            <w:r w:rsidRPr="008760E9">
              <w:rPr>
                <w:rFonts w:cs="Arial"/>
                <w:color w:val="7F7F7F"/>
                <w:szCs w:val="18"/>
                <w:lang w:eastAsia="en-AU"/>
              </w:rPr>
              <w:t>54%</w:t>
            </w:r>
          </w:p>
        </w:tc>
        <w:tc>
          <w:tcPr>
            <w:tcW w:w="1162" w:type="dxa"/>
            <w:tcBorders>
              <w:top w:val="nil"/>
              <w:left w:val="nil"/>
              <w:bottom w:val="nil"/>
              <w:right w:val="nil"/>
            </w:tcBorders>
            <w:shd w:val="clear" w:color="auto" w:fill="auto"/>
            <w:noWrap/>
            <w:vAlign w:val="center"/>
            <w:hideMark/>
          </w:tcPr>
          <w:p w:rsidR="008760E9" w:rsidRPr="008760E9" w:rsidRDefault="008760E9" w:rsidP="008760E9">
            <w:pPr>
              <w:jc w:val="right"/>
              <w:rPr>
                <w:rFonts w:cs="Arial"/>
                <w:color w:val="7F7F7F"/>
                <w:szCs w:val="18"/>
                <w:lang w:eastAsia="en-AU"/>
              </w:rPr>
            </w:pPr>
            <w:r w:rsidRPr="008760E9">
              <w:rPr>
                <w:rFonts w:cs="Arial"/>
                <w:color w:val="7F7F7F"/>
                <w:szCs w:val="18"/>
                <w:lang w:eastAsia="en-AU"/>
              </w:rPr>
              <w:t>14%</w:t>
            </w:r>
          </w:p>
        </w:tc>
        <w:tc>
          <w:tcPr>
            <w:tcW w:w="1077" w:type="dxa"/>
            <w:tcBorders>
              <w:top w:val="nil"/>
              <w:left w:val="nil"/>
              <w:bottom w:val="nil"/>
              <w:right w:val="nil"/>
            </w:tcBorders>
            <w:shd w:val="clear" w:color="auto" w:fill="auto"/>
            <w:noWrap/>
            <w:vAlign w:val="center"/>
            <w:hideMark/>
          </w:tcPr>
          <w:p w:rsidR="008760E9" w:rsidRPr="008760E9" w:rsidRDefault="008760E9" w:rsidP="008760E9">
            <w:pPr>
              <w:jc w:val="right"/>
              <w:rPr>
                <w:rFonts w:cs="Arial"/>
                <w:color w:val="7F7F7F"/>
                <w:szCs w:val="18"/>
                <w:lang w:eastAsia="en-AU"/>
              </w:rPr>
            </w:pPr>
            <w:r w:rsidRPr="008760E9">
              <w:rPr>
                <w:rFonts w:cs="Arial"/>
                <w:color w:val="7F7F7F"/>
                <w:szCs w:val="18"/>
                <w:lang w:eastAsia="en-AU"/>
              </w:rPr>
              <w:t>15%</w:t>
            </w:r>
          </w:p>
        </w:tc>
        <w:tc>
          <w:tcPr>
            <w:tcW w:w="1077" w:type="dxa"/>
            <w:tcBorders>
              <w:top w:val="nil"/>
              <w:left w:val="nil"/>
              <w:bottom w:val="nil"/>
              <w:right w:val="nil"/>
            </w:tcBorders>
            <w:shd w:val="clear" w:color="auto" w:fill="auto"/>
            <w:noWrap/>
            <w:vAlign w:val="center"/>
            <w:hideMark/>
          </w:tcPr>
          <w:p w:rsidR="008760E9" w:rsidRPr="008760E9" w:rsidRDefault="008760E9" w:rsidP="008760E9">
            <w:pPr>
              <w:jc w:val="right"/>
              <w:rPr>
                <w:rFonts w:cs="Arial"/>
                <w:color w:val="7F7F7F"/>
                <w:szCs w:val="18"/>
                <w:lang w:eastAsia="en-AU"/>
              </w:rPr>
            </w:pPr>
            <w:r w:rsidRPr="008760E9">
              <w:rPr>
                <w:rFonts w:cs="Arial"/>
                <w:color w:val="7F7F7F"/>
                <w:szCs w:val="18"/>
                <w:lang w:eastAsia="en-AU"/>
              </w:rPr>
              <w:t>18%</w:t>
            </w:r>
          </w:p>
        </w:tc>
        <w:tc>
          <w:tcPr>
            <w:tcW w:w="1078" w:type="dxa"/>
            <w:tcBorders>
              <w:top w:val="nil"/>
              <w:left w:val="nil"/>
              <w:bottom w:val="nil"/>
              <w:right w:val="nil"/>
            </w:tcBorders>
            <w:shd w:val="clear" w:color="auto" w:fill="auto"/>
            <w:noWrap/>
            <w:vAlign w:val="center"/>
            <w:hideMark/>
          </w:tcPr>
          <w:p w:rsidR="008760E9" w:rsidRPr="008760E9" w:rsidRDefault="008760E9" w:rsidP="008760E9">
            <w:pPr>
              <w:jc w:val="right"/>
              <w:rPr>
                <w:rFonts w:cs="Arial"/>
                <w:color w:val="7F7F7F"/>
                <w:szCs w:val="18"/>
                <w:lang w:eastAsia="en-AU"/>
              </w:rPr>
            </w:pPr>
            <w:r w:rsidRPr="008760E9">
              <w:rPr>
                <w:rFonts w:cs="Arial"/>
                <w:color w:val="7F7F7F"/>
                <w:szCs w:val="18"/>
                <w:lang w:eastAsia="en-AU"/>
              </w:rPr>
              <w:t>15,493</w:t>
            </w:r>
          </w:p>
        </w:tc>
      </w:tr>
      <w:tr w:rsidR="008760E9" w:rsidRPr="008760E9" w:rsidTr="00150EE2">
        <w:trPr>
          <w:trHeight w:val="300"/>
        </w:trPr>
        <w:tc>
          <w:tcPr>
            <w:tcW w:w="2180" w:type="dxa"/>
            <w:tcBorders>
              <w:top w:val="nil"/>
              <w:left w:val="nil"/>
              <w:bottom w:val="nil"/>
              <w:right w:val="nil"/>
            </w:tcBorders>
            <w:shd w:val="clear" w:color="000000" w:fill="7F7F7F"/>
            <w:noWrap/>
            <w:vAlign w:val="center"/>
            <w:hideMark/>
          </w:tcPr>
          <w:p w:rsidR="008760E9" w:rsidRPr="008760E9" w:rsidRDefault="008760E9" w:rsidP="008760E9">
            <w:pPr>
              <w:rPr>
                <w:rFonts w:cs="Arial"/>
                <w:b/>
                <w:bCs/>
                <w:color w:val="FFFFFF"/>
                <w:szCs w:val="18"/>
                <w:lang w:eastAsia="en-AU"/>
              </w:rPr>
            </w:pPr>
            <w:r w:rsidRPr="008760E9">
              <w:rPr>
                <w:rFonts w:cs="Arial"/>
                <w:b/>
                <w:bCs/>
                <w:color w:val="FFFFFF"/>
                <w:szCs w:val="18"/>
                <w:lang w:eastAsia="en-AU"/>
              </w:rPr>
              <w:t>Total (AQF I+ only)</w:t>
            </w:r>
          </w:p>
        </w:tc>
        <w:tc>
          <w:tcPr>
            <w:tcW w:w="529" w:type="dxa"/>
            <w:tcBorders>
              <w:top w:val="nil"/>
              <w:left w:val="nil"/>
              <w:bottom w:val="nil"/>
              <w:right w:val="nil"/>
            </w:tcBorders>
            <w:shd w:val="clear" w:color="000000" w:fill="7F7F7F"/>
            <w:noWrap/>
            <w:vAlign w:val="center"/>
            <w:hideMark/>
          </w:tcPr>
          <w:p w:rsidR="008760E9" w:rsidRPr="008760E9" w:rsidRDefault="008760E9" w:rsidP="008760E9">
            <w:pPr>
              <w:rPr>
                <w:rFonts w:cs="Arial"/>
                <w:b/>
                <w:bCs/>
                <w:color w:val="FFFFFF"/>
                <w:szCs w:val="18"/>
                <w:lang w:eastAsia="en-AU"/>
              </w:rPr>
            </w:pPr>
            <w:r w:rsidRPr="008760E9">
              <w:rPr>
                <w:rFonts w:cs="Arial"/>
                <w:b/>
                <w:bCs/>
                <w:color w:val="FFFFFF"/>
                <w:szCs w:val="18"/>
                <w:lang w:eastAsia="en-AU"/>
              </w:rPr>
              <w:t> </w:t>
            </w:r>
          </w:p>
        </w:tc>
        <w:tc>
          <w:tcPr>
            <w:tcW w:w="992" w:type="dxa"/>
            <w:tcBorders>
              <w:top w:val="nil"/>
              <w:left w:val="nil"/>
              <w:bottom w:val="nil"/>
              <w:right w:val="nil"/>
            </w:tcBorders>
            <w:shd w:val="clear" w:color="000000" w:fill="7F7F7F"/>
            <w:noWrap/>
            <w:vAlign w:val="center"/>
            <w:hideMark/>
          </w:tcPr>
          <w:p w:rsidR="008760E9" w:rsidRPr="008760E9" w:rsidRDefault="008760E9" w:rsidP="008760E9">
            <w:pPr>
              <w:jc w:val="right"/>
              <w:rPr>
                <w:rFonts w:cs="Arial"/>
                <w:b/>
                <w:bCs/>
                <w:color w:val="FFFFFF"/>
                <w:szCs w:val="18"/>
                <w:lang w:eastAsia="en-AU"/>
              </w:rPr>
            </w:pPr>
            <w:r w:rsidRPr="008760E9">
              <w:rPr>
                <w:rFonts w:cs="Arial"/>
                <w:b/>
                <w:bCs/>
                <w:color w:val="FFFFFF"/>
                <w:szCs w:val="18"/>
                <w:lang w:eastAsia="en-AU"/>
              </w:rPr>
              <w:t>42%</w:t>
            </w:r>
          </w:p>
        </w:tc>
        <w:tc>
          <w:tcPr>
            <w:tcW w:w="1162" w:type="dxa"/>
            <w:tcBorders>
              <w:top w:val="nil"/>
              <w:left w:val="nil"/>
              <w:bottom w:val="nil"/>
              <w:right w:val="nil"/>
            </w:tcBorders>
            <w:shd w:val="clear" w:color="000000" w:fill="7F7F7F"/>
            <w:noWrap/>
            <w:vAlign w:val="center"/>
            <w:hideMark/>
          </w:tcPr>
          <w:p w:rsidR="008760E9" w:rsidRPr="008760E9" w:rsidRDefault="008760E9" w:rsidP="008760E9">
            <w:pPr>
              <w:jc w:val="right"/>
              <w:rPr>
                <w:rFonts w:cs="Arial"/>
                <w:b/>
                <w:bCs/>
                <w:color w:val="FFFFFF"/>
                <w:szCs w:val="18"/>
                <w:lang w:eastAsia="en-AU"/>
              </w:rPr>
            </w:pPr>
            <w:r w:rsidRPr="008760E9">
              <w:rPr>
                <w:rFonts w:cs="Arial"/>
                <w:b/>
                <w:bCs/>
                <w:color w:val="FFFFFF"/>
                <w:szCs w:val="18"/>
                <w:lang w:eastAsia="en-AU"/>
              </w:rPr>
              <w:t>8%</w:t>
            </w:r>
          </w:p>
        </w:tc>
        <w:tc>
          <w:tcPr>
            <w:tcW w:w="1077" w:type="dxa"/>
            <w:tcBorders>
              <w:top w:val="nil"/>
              <w:left w:val="nil"/>
              <w:bottom w:val="nil"/>
              <w:right w:val="nil"/>
            </w:tcBorders>
            <w:shd w:val="clear" w:color="000000" w:fill="7F7F7F"/>
            <w:noWrap/>
            <w:vAlign w:val="center"/>
            <w:hideMark/>
          </w:tcPr>
          <w:p w:rsidR="008760E9" w:rsidRPr="008760E9" w:rsidRDefault="008760E9" w:rsidP="008760E9">
            <w:pPr>
              <w:jc w:val="right"/>
              <w:rPr>
                <w:rFonts w:cs="Arial"/>
                <w:b/>
                <w:bCs/>
                <w:color w:val="FFFFFF"/>
                <w:szCs w:val="18"/>
                <w:lang w:eastAsia="en-AU"/>
              </w:rPr>
            </w:pPr>
            <w:r w:rsidRPr="008760E9">
              <w:rPr>
                <w:rFonts w:cs="Arial"/>
                <w:b/>
                <w:bCs/>
                <w:color w:val="FFFFFF"/>
                <w:szCs w:val="18"/>
                <w:lang w:eastAsia="en-AU"/>
              </w:rPr>
              <w:t>44%</w:t>
            </w:r>
          </w:p>
        </w:tc>
        <w:tc>
          <w:tcPr>
            <w:tcW w:w="1077" w:type="dxa"/>
            <w:tcBorders>
              <w:top w:val="nil"/>
              <w:left w:val="nil"/>
              <w:bottom w:val="nil"/>
              <w:right w:val="nil"/>
            </w:tcBorders>
            <w:shd w:val="clear" w:color="000000" w:fill="7F7F7F"/>
            <w:noWrap/>
            <w:vAlign w:val="center"/>
            <w:hideMark/>
          </w:tcPr>
          <w:p w:rsidR="008760E9" w:rsidRPr="008760E9" w:rsidRDefault="008760E9" w:rsidP="008760E9">
            <w:pPr>
              <w:jc w:val="right"/>
              <w:rPr>
                <w:rFonts w:cs="Arial"/>
                <w:b/>
                <w:bCs/>
                <w:color w:val="FFFFFF"/>
                <w:szCs w:val="18"/>
                <w:lang w:eastAsia="en-AU"/>
              </w:rPr>
            </w:pPr>
            <w:r w:rsidRPr="008760E9">
              <w:rPr>
                <w:rFonts w:cs="Arial"/>
                <w:b/>
                <w:bCs/>
                <w:color w:val="FFFFFF"/>
                <w:szCs w:val="18"/>
                <w:lang w:eastAsia="en-AU"/>
              </w:rPr>
              <w:t>6%</w:t>
            </w:r>
          </w:p>
        </w:tc>
        <w:tc>
          <w:tcPr>
            <w:tcW w:w="1078" w:type="dxa"/>
            <w:tcBorders>
              <w:top w:val="nil"/>
              <w:left w:val="nil"/>
              <w:bottom w:val="nil"/>
              <w:right w:val="nil"/>
            </w:tcBorders>
            <w:shd w:val="clear" w:color="000000" w:fill="7F7F7F"/>
            <w:noWrap/>
            <w:vAlign w:val="center"/>
            <w:hideMark/>
          </w:tcPr>
          <w:p w:rsidR="008760E9" w:rsidRPr="008760E9" w:rsidRDefault="008760E9" w:rsidP="008760E9">
            <w:pPr>
              <w:jc w:val="right"/>
              <w:rPr>
                <w:rFonts w:cs="Arial"/>
                <w:b/>
                <w:bCs/>
                <w:color w:val="FFFFFF"/>
                <w:szCs w:val="18"/>
                <w:lang w:eastAsia="en-AU"/>
              </w:rPr>
            </w:pPr>
            <w:r w:rsidRPr="008760E9">
              <w:rPr>
                <w:rFonts w:cs="Arial"/>
                <w:b/>
                <w:bCs/>
                <w:color w:val="FFFFFF"/>
                <w:szCs w:val="18"/>
                <w:lang w:eastAsia="en-AU"/>
              </w:rPr>
              <w:t>122,106</w:t>
            </w:r>
          </w:p>
        </w:tc>
      </w:tr>
    </w:tbl>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4A0" w:firstRow="1" w:lastRow="0" w:firstColumn="1" w:lastColumn="0" w:noHBand="0" w:noVBand="1"/>
      </w:tblPr>
      <w:tblGrid>
        <w:gridCol w:w="431"/>
        <w:gridCol w:w="7649"/>
      </w:tblGrid>
      <w:tr w:rsidR="00150EE2" w:rsidRPr="00913551" w:rsidTr="00BC1522">
        <w:tc>
          <w:tcPr>
            <w:tcW w:w="431" w:type="dxa"/>
            <w:tcMar>
              <w:left w:w="0" w:type="dxa"/>
              <w:right w:w="28" w:type="dxa"/>
            </w:tcMar>
          </w:tcPr>
          <w:p w:rsidR="00150EE2" w:rsidRPr="00913551" w:rsidRDefault="00150EE2" w:rsidP="00BC1522">
            <w:pPr>
              <w:spacing w:after="0" w:line="240" w:lineRule="auto"/>
              <w:jc w:val="right"/>
              <w:rPr>
                <w:color w:val="7F7F7F" w:themeColor="text2"/>
                <w:sz w:val="16"/>
                <w:szCs w:val="16"/>
              </w:rPr>
            </w:pPr>
            <w:r w:rsidRPr="00913551">
              <w:rPr>
                <w:color w:val="7F7F7F" w:themeColor="text2"/>
                <w:sz w:val="16"/>
                <w:szCs w:val="16"/>
              </w:rPr>
              <w:t xml:space="preserve">* </w:t>
            </w:r>
          </w:p>
        </w:tc>
        <w:tc>
          <w:tcPr>
            <w:tcW w:w="7649" w:type="dxa"/>
            <w:tcMar>
              <w:left w:w="0" w:type="dxa"/>
              <w:right w:w="28" w:type="dxa"/>
            </w:tcMar>
          </w:tcPr>
          <w:p w:rsidR="00150EE2" w:rsidRPr="00913551" w:rsidRDefault="00150EE2" w:rsidP="00BC1522">
            <w:pPr>
              <w:spacing w:after="0" w:line="240" w:lineRule="auto"/>
              <w:rPr>
                <w:i/>
                <w:color w:val="7F7F7F" w:themeColor="text2"/>
                <w:sz w:val="16"/>
                <w:szCs w:val="16"/>
              </w:rPr>
            </w:pPr>
            <w:r w:rsidRPr="00913551">
              <w:rPr>
                <w:i/>
                <w:color w:val="7F7F7F" w:themeColor="text2"/>
                <w:sz w:val="16"/>
                <w:szCs w:val="16"/>
              </w:rPr>
              <w:t xml:space="preserve">'Other' includes courses that </w:t>
            </w:r>
            <w:proofErr w:type="gramStart"/>
            <w:r w:rsidRPr="00913551">
              <w:rPr>
                <w:i/>
                <w:color w:val="7F7F7F" w:themeColor="text2"/>
                <w:sz w:val="16"/>
                <w:szCs w:val="16"/>
              </w:rPr>
              <w:t>were not able to</w:t>
            </w:r>
            <w:proofErr w:type="gramEnd"/>
            <w:r w:rsidRPr="00913551">
              <w:rPr>
                <w:i/>
                <w:color w:val="7F7F7F" w:themeColor="text2"/>
                <w:sz w:val="16"/>
                <w:szCs w:val="16"/>
              </w:rPr>
              <w:t xml:space="preserve"> be coded directly into the Australian and New Zealand Standard Classification of Occupation.</w:t>
            </w:r>
          </w:p>
        </w:tc>
      </w:tr>
    </w:tbl>
    <w:p w:rsidR="00150EE2" w:rsidRDefault="00150EE2">
      <w:pPr>
        <w:rPr>
          <w:color w:val="7F7F7F" w:themeColor="text2"/>
        </w:rPr>
      </w:pPr>
    </w:p>
    <w:p w:rsidR="008760E9" w:rsidRDefault="008760E9">
      <w:pPr>
        <w:rPr>
          <w:color w:val="7F7F7F" w:themeColor="text2"/>
        </w:rPr>
      </w:pPr>
    </w:p>
    <w:p w:rsidR="000515A3" w:rsidRDefault="000515A3">
      <w:pPr>
        <w:rPr>
          <w:rFonts w:cs="Arial"/>
          <w:b/>
          <w:bCs/>
          <w:color w:val="7F7F7F" w:themeColor="text2"/>
          <w:sz w:val="19"/>
          <w:szCs w:val="19"/>
        </w:rPr>
      </w:pPr>
      <w:r>
        <w:rPr>
          <w:color w:val="7F7F7F" w:themeColor="text2"/>
        </w:rPr>
        <w:br w:type="page"/>
      </w:r>
    </w:p>
    <w:p w:rsidR="000046ED" w:rsidRPr="000046ED" w:rsidRDefault="000046ED" w:rsidP="00BC1522">
      <w:pPr>
        <w:pStyle w:val="Heading3"/>
        <w:spacing w:after="120"/>
        <w:rPr>
          <w:color w:val="7F7F7F" w:themeColor="text2"/>
        </w:rPr>
      </w:pPr>
      <w:r w:rsidRPr="000046ED">
        <w:rPr>
          <w:color w:val="7F7F7F" w:themeColor="text2"/>
        </w:rPr>
        <w:lastRenderedPageBreak/>
        <w:t>International Fee-For-Service Enrolments</w:t>
      </w:r>
      <w:r w:rsidR="000F5CCE">
        <w:rPr>
          <w:color w:val="7F7F7F" w:themeColor="text2"/>
        </w:rPr>
        <w:t xml:space="preserve"> by Sector</w:t>
      </w: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BC1522" w:rsidTr="00BC1522">
        <w:tc>
          <w:tcPr>
            <w:tcW w:w="1134" w:type="dxa"/>
            <w:tcMar>
              <w:left w:w="0" w:type="dxa"/>
              <w:right w:w="0" w:type="dxa"/>
            </w:tcMar>
          </w:tcPr>
          <w:p w:rsidR="00BC1522" w:rsidRDefault="00BC1522" w:rsidP="0084117E">
            <w:pPr>
              <w:pStyle w:val="Quote"/>
              <w:tabs>
                <w:tab w:val="left" w:pos="1134"/>
              </w:tabs>
              <w:rPr>
                <w:b w:val="0"/>
                <w:color w:val="B41F22" w:themeColor="accent1"/>
              </w:rPr>
            </w:pPr>
            <w:r>
              <w:rPr>
                <w:b w:val="0"/>
                <w:color w:val="B41F22" w:themeColor="accent1"/>
              </w:rPr>
              <w:t>Table 1.</w:t>
            </w:r>
            <w:r w:rsidR="0084117E">
              <w:rPr>
                <w:b w:val="0"/>
                <w:color w:val="B41F22" w:themeColor="accent1"/>
              </w:rPr>
              <w:t>21</w:t>
            </w:r>
            <w:r>
              <w:rPr>
                <w:b w:val="0"/>
                <w:color w:val="B41F22" w:themeColor="accent1"/>
              </w:rPr>
              <w:t>.1:</w:t>
            </w:r>
          </w:p>
        </w:tc>
        <w:tc>
          <w:tcPr>
            <w:tcW w:w="6946" w:type="dxa"/>
            <w:tcMar>
              <w:left w:w="0" w:type="dxa"/>
              <w:right w:w="0" w:type="dxa"/>
            </w:tcMar>
          </w:tcPr>
          <w:p w:rsidR="00BC1522" w:rsidRPr="00BC1522" w:rsidRDefault="00C170BB" w:rsidP="00BC1522">
            <w:pPr>
              <w:pStyle w:val="Quote"/>
              <w:tabs>
                <w:tab w:val="left" w:pos="1134"/>
              </w:tabs>
              <w:rPr>
                <w:b w:val="0"/>
                <w:color w:val="B41F22" w:themeColor="accent1"/>
              </w:rPr>
            </w:pPr>
            <w:r>
              <w:rPr>
                <w:b w:val="0"/>
                <w:color w:val="B41F22" w:themeColor="accent1"/>
              </w:rPr>
              <w:t>F</w:t>
            </w:r>
            <w:r w:rsidR="00BC1522" w:rsidRPr="00BC1522">
              <w:rPr>
                <w:b w:val="0"/>
                <w:color w:val="B41F22" w:themeColor="accent1"/>
              </w:rPr>
              <w:t>ee-for-service onshore international enrolments by sector, 2014 to 2015 (half year)</w:t>
            </w:r>
          </w:p>
        </w:tc>
      </w:tr>
    </w:tbl>
    <w:tbl>
      <w:tblPr>
        <w:tblW w:w="8095" w:type="dxa"/>
        <w:tblInd w:w="93" w:type="dxa"/>
        <w:tblLayout w:type="fixed"/>
        <w:tblLook w:val="04A0" w:firstRow="1" w:lastRow="0" w:firstColumn="1" w:lastColumn="0" w:noHBand="0" w:noVBand="1"/>
      </w:tblPr>
      <w:tblGrid>
        <w:gridCol w:w="2456"/>
        <w:gridCol w:w="1666"/>
        <w:gridCol w:w="1667"/>
        <w:gridCol w:w="889"/>
        <w:gridCol w:w="1417"/>
      </w:tblGrid>
      <w:tr w:rsidR="00BC1522" w:rsidRPr="00BC1522" w:rsidTr="00BC1522">
        <w:trPr>
          <w:trHeight w:val="454"/>
        </w:trPr>
        <w:tc>
          <w:tcPr>
            <w:tcW w:w="2456" w:type="dxa"/>
            <w:tcBorders>
              <w:top w:val="nil"/>
              <w:left w:val="nil"/>
              <w:bottom w:val="nil"/>
              <w:right w:val="nil"/>
            </w:tcBorders>
            <w:shd w:val="clear" w:color="000000" w:fill="7F7F7F"/>
            <w:noWrap/>
            <w:vAlign w:val="bottom"/>
            <w:hideMark/>
          </w:tcPr>
          <w:p w:rsidR="00BC1522" w:rsidRPr="00BC1522" w:rsidRDefault="00BC1522" w:rsidP="00BC1522">
            <w:pPr>
              <w:rPr>
                <w:rFonts w:cs="Arial"/>
                <w:color w:val="FFFFFF"/>
                <w:szCs w:val="18"/>
                <w:lang w:eastAsia="en-AU"/>
              </w:rPr>
            </w:pPr>
            <w:r w:rsidRPr="00BC1522">
              <w:rPr>
                <w:rFonts w:cs="Arial"/>
                <w:color w:val="FFFFFF"/>
                <w:szCs w:val="18"/>
                <w:lang w:eastAsia="en-AU"/>
              </w:rPr>
              <w:t> </w:t>
            </w:r>
          </w:p>
        </w:tc>
        <w:tc>
          <w:tcPr>
            <w:tcW w:w="1666" w:type="dxa"/>
            <w:tcBorders>
              <w:top w:val="nil"/>
              <w:left w:val="nil"/>
              <w:bottom w:val="nil"/>
              <w:right w:val="nil"/>
            </w:tcBorders>
            <w:shd w:val="clear" w:color="000000" w:fill="7F7F7F"/>
            <w:noWrap/>
            <w:vAlign w:val="bottom"/>
            <w:hideMark/>
          </w:tcPr>
          <w:p w:rsidR="00BC1522" w:rsidRPr="00BC1522" w:rsidRDefault="00BC1522" w:rsidP="00BC1522">
            <w:pPr>
              <w:jc w:val="right"/>
              <w:rPr>
                <w:rFonts w:cs="Arial"/>
                <w:b/>
                <w:bCs/>
                <w:color w:val="FFFFFF"/>
                <w:szCs w:val="18"/>
                <w:lang w:eastAsia="en-AU"/>
              </w:rPr>
            </w:pPr>
            <w:r w:rsidRPr="00BC1522">
              <w:rPr>
                <w:rFonts w:cs="Arial"/>
                <w:b/>
                <w:bCs/>
                <w:color w:val="FFFFFF"/>
                <w:szCs w:val="18"/>
                <w:lang w:eastAsia="en-AU"/>
              </w:rPr>
              <w:t>2014</w:t>
            </w:r>
          </w:p>
        </w:tc>
        <w:tc>
          <w:tcPr>
            <w:tcW w:w="1667" w:type="dxa"/>
            <w:tcBorders>
              <w:top w:val="nil"/>
              <w:left w:val="nil"/>
              <w:bottom w:val="nil"/>
              <w:right w:val="nil"/>
            </w:tcBorders>
            <w:shd w:val="clear" w:color="000000" w:fill="7F7F7F"/>
            <w:noWrap/>
            <w:vAlign w:val="bottom"/>
            <w:hideMark/>
          </w:tcPr>
          <w:p w:rsidR="00BC1522" w:rsidRPr="00BC1522" w:rsidRDefault="00BC1522" w:rsidP="00BC1522">
            <w:pPr>
              <w:jc w:val="right"/>
              <w:rPr>
                <w:rFonts w:cs="Arial"/>
                <w:b/>
                <w:bCs/>
                <w:color w:val="FFFFFF"/>
                <w:szCs w:val="18"/>
                <w:lang w:eastAsia="en-AU"/>
              </w:rPr>
            </w:pPr>
            <w:r w:rsidRPr="00BC1522">
              <w:rPr>
                <w:rFonts w:cs="Arial"/>
                <w:b/>
                <w:bCs/>
                <w:color w:val="FFFFFF"/>
                <w:szCs w:val="18"/>
                <w:lang w:eastAsia="en-AU"/>
              </w:rPr>
              <w:t>2015</w:t>
            </w:r>
          </w:p>
        </w:tc>
        <w:tc>
          <w:tcPr>
            <w:tcW w:w="889" w:type="dxa"/>
            <w:tcBorders>
              <w:top w:val="nil"/>
              <w:left w:val="nil"/>
              <w:bottom w:val="nil"/>
              <w:right w:val="nil"/>
            </w:tcBorders>
            <w:shd w:val="clear" w:color="000000" w:fill="7F7F7F"/>
            <w:noWrap/>
            <w:vAlign w:val="bottom"/>
            <w:hideMark/>
          </w:tcPr>
          <w:p w:rsidR="00BC1522" w:rsidRPr="00BC1522" w:rsidRDefault="00BC1522" w:rsidP="00BC1522">
            <w:pPr>
              <w:jc w:val="right"/>
              <w:rPr>
                <w:rFonts w:cs="Arial"/>
                <w:b/>
                <w:bCs/>
                <w:color w:val="FFFFFF"/>
                <w:szCs w:val="18"/>
                <w:lang w:eastAsia="en-AU"/>
              </w:rPr>
            </w:pPr>
            <w:r w:rsidRPr="00BC1522">
              <w:rPr>
                <w:rFonts w:cs="Arial"/>
                <w:b/>
                <w:bCs/>
                <w:color w:val="FFFFFF"/>
                <w:szCs w:val="18"/>
                <w:lang w:eastAsia="en-AU"/>
              </w:rPr>
              <w:t> </w:t>
            </w:r>
          </w:p>
        </w:tc>
        <w:tc>
          <w:tcPr>
            <w:tcW w:w="1417" w:type="dxa"/>
            <w:tcBorders>
              <w:top w:val="nil"/>
              <w:left w:val="nil"/>
              <w:bottom w:val="nil"/>
              <w:right w:val="nil"/>
            </w:tcBorders>
            <w:shd w:val="clear" w:color="000000" w:fill="7F7F7F"/>
            <w:vAlign w:val="bottom"/>
            <w:hideMark/>
          </w:tcPr>
          <w:p w:rsidR="00BC1522" w:rsidRPr="00BC1522" w:rsidRDefault="00BC1522" w:rsidP="009B7212">
            <w:pPr>
              <w:jc w:val="right"/>
              <w:rPr>
                <w:rFonts w:cs="Arial"/>
                <w:b/>
                <w:bCs/>
                <w:color w:val="FFFFFF"/>
                <w:szCs w:val="18"/>
                <w:lang w:eastAsia="en-AU"/>
              </w:rPr>
            </w:pPr>
            <w:r w:rsidRPr="00BC1522">
              <w:rPr>
                <w:rFonts w:cs="Arial"/>
                <w:b/>
                <w:bCs/>
                <w:color w:val="FFFFFF"/>
                <w:szCs w:val="18"/>
                <w:lang w:eastAsia="en-AU"/>
              </w:rPr>
              <w:t>% change 2014 to 2015</w:t>
            </w:r>
          </w:p>
        </w:tc>
      </w:tr>
      <w:tr w:rsidR="00BC1522" w:rsidRPr="00BC1522" w:rsidTr="00BC1522">
        <w:trPr>
          <w:trHeight w:val="300"/>
        </w:trPr>
        <w:tc>
          <w:tcPr>
            <w:tcW w:w="2456" w:type="dxa"/>
            <w:tcBorders>
              <w:top w:val="nil"/>
              <w:left w:val="nil"/>
              <w:bottom w:val="nil"/>
              <w:right w:val="nil"/>
            </w:tcBorders>
            <w:shd w:val="clear" w:color="auto" w:fill="auto"/>
            <w:noWrap/>
            <w:vAlign w:val="center"/>
            <w:hideMark/>
          </w:tcPr>
          <w:p w:rsidR="00BC1522" w:rsidRPr="00BC1522" w:rsidRDefault="00BC1522" w:rsidP="00BC1522">
            <w:pPr>
              <w:rPr>
                <w:rFonts w:cs="Arial"/>
                <w:color w:val="7F7F7F"/>
                <w:szCs w:val="18"/>
                <w:lang w:eastAsia="en-AU"/>
              </w:rPr>
            </w:pPr>
            <w:r w:rsidRPr="00BC1522">
              <w:rPr>
                <w:rFonts w:cs="Arial"/>
                <w:color w:val="7F7F7F"/>
                <w:szCs w:val="18"/>
                <w:lang w:eastAsia="en-AU"/>
              </w:rPr>
              <w:t>Private RTO</w:t>
            </w:r>
          </w:p>
        </w:tc>
        <w:tc>
          <w:tcPr>
            <w:tcW w:w="1666" w:type="dxa"/>
            <w:tcBorders>
              <w:top w:val="nil"/>
              <w:left w:val="nil"/>
              <w:bottom w:val="nil"/>
              <w:right w:val="nil"/>
            </w:tcBorders>
            <w:shd w:val="clear" w:color="auto" w:fill="auto"/>
            <w:noWrap/>
            <w:vAlign w:val="center"/>
            <w:hideMark/>
          </w:tcPr>
          <w:p w:rsidR="00BC1522" w:rsidRPr="00BC1522" w:rsidRDefault="00BC1522" w:rsidP="00BC1522">
            <w:pPr>
              <w:jc w:val="right"/>
              <w:rPr>
                <w:rFonts w:cs="Arial"/>
                <w:color w:val="7F7F7F"/>
                <w:szCs w:val="18"/>
                <w:lang w:eastAsia="en-AU"/>
              </w:rPr>
            </w:pPr>
            <w:r w:rsidRPr="00BC1522">
              <w:rPr>
                <w:rFonts w:cs="Arial"/>
                <w:color w:val="7F7F7F"/>
                <w:szCs w:val="18"/>
                <w:lang w:eastAsia="en-AU"/>
              </w:rPr>
              <w:t>465</w:t>
            </w:r>
          </w:p>
        </w:tc>
        <w:tc>
          <w:tcPr>
            <w:tcW w:w="1667" w:type="dxa"/>
            <w:tcBorders>
              <w:top w:val="nil"/>
              <w:left w:val="nil"/>
              <w:bottom w:val="nil"/>
              <w:right w:val="nil"/>
            </w:tcBorders>
            <w:shd w:val="clear" w:color="auto" w:fill="auto"/>
            <w:noWrap/>
            <w:vAlign w:val="center"/>
            <w:hideMark/>
          </w:tcPr>
          <w:p w:rsidR="00BC1522" w:rsidRPr="00BC1522" w:rsidRDefault="00BC1522" w:rsidP="00BC1522">
            <w:pPr>
              <w:jc w:val="right"/>
              <w:rPr>
                <w:rFonts w:cs="Arial"/>
                <w:color w:val="7F7F7F"/>
                <w:szCs w:val="18"/>
                <w:lang w:eastAsia="en-AU"/>
              </w:rPr>
            </w:pPr>
            <w:r w:rsidRPr="00BC1522">
              <w:rPr>
                <w:rFonts w:cs="Arial"/>
                <w:color w:val="7F7F7F"/>
                <w:szCs w:val="18"/>
                <w:lang w:eastAsia="en-AU"/>
              </w:rPr>
              <w:t>2,597</w:t>
            </w:r>
          </w:p>
        </w:tc>
        <w:tc>
          <w:tcPr>
            <w:tcW w:w="889" w:type="dxa"/>
            <w:tcBorders>
              <w:top w:val="nil"/>
              <w:left w:val="nil"/>
              <w:bottom w:val="nil"/>
              <w:right w:val="nil"/>
            </w:tcBorders>
            <w:shd w:val="clear" w:color="auto" w:fill="auto"/>
            <w:noWrap/>
            <w:vAlign w:val="center"/>
            <w:hideMark/>
          </w:tcPr>
          <w:p w:rsidR="00BC1522" w:rsidRPr="00BC1522" w:rsidRDefault="00BC1522" w:rsidP="00BC1522">
            <w:pPr>
              <w:rPr>
                <w:rFonts w:cs="Arial"/>
                <w:color w:val="7F7F7F"/>
                <w:szCs w:val="18"/>
                <w:lang w:eastAsia="en-AU"/>
              </w:rPr>
            </w:pPr>
          </w:p>
        </w:tc>
        <w:tc>
          <w:tcPr>
            <w:tcW w:w="1417" w:type="dxa"/>
            <w:tcBorders>
              <w:top w:val="nil"/>
              <w:left w:val="nil"/>
              <w:bottom w:val="nil"/>
              <w:right w:val="nil"/>
            </w:tcBorders>
            <w:shd w:val="clear" w:color="auto" w:fill="auto"/>
            <w:noWrap/>
            <w:vAlign w:val="center"/>
            <w:hideMark/>
          </w:tcPr>
          <w:p w:rsidR="00BC1522" w:rsidRPr="00BC1522" w:rsidRDefault="00BC1522" w:rsidP="00BC1522">
            <w:pPr>
              <w:jc w:val="right"/>
              <w:rPr>
                <w:rFonts w:cs="Arial"/>
                <w:color w:val="7F7F7F"/>
                <w:szCs w:val="18"/>
                <w:lang w:eastAsia="en-AU"/>
              </w:rPr>
            </w:pPr>
            <w:r w:rsidRPr="00BC1522">
              <w:rPr>
                <w:rFonts w:cs="Arial"/>
                <w:color w:val="7F7F7F"/>
                <w:szCs w:val="18"/>
                <w:lang w:eastAsia="en-AU"/>
              </w:rPr>
              <w:t>458%</w:t>
            </w:r>
            <w:r w:rsidR="009B7212">
              <w:rPr>
                <w:rFonts w:cs="Arial"/>
                <w:color w:val="7F7F7F"/>
                <w:szCs w:val="18"/>
                <w:lang w:eastAsia="en-AU"/>
              </w:rPr>
              <w:t>*</w:t>
            </w:r>
          </w:p>
        </w:tc>
      </w:tr>
      <w:tr w:rsidR="00BC1522" w:rsidRPr="00BC1522" w:rsidTr="00BC1522">
        <w:trPr>
          <w:trHeight w:val="300"/>
        </w:trPr>
        <w:tc>
          <w:tcPr>
            <w:tcW w:w="2456" w:type="dxa"/>
            <w:tcBorders>
              <w:top w:val="nil"/>
              <w:left w:val="nil"/>
              <w:bottom w:val="nil"/>
              <w:right w:val="nil"/>
            </w:tcBorders>
            <w:shd w:val="clear" w:color="auto" w:fill="auto"/>
            <w:noWrap/>
            <w:vAlign w:val="center"/>
            <w:hideMark/>
          </w:tcPr>
          <w:p w:rsidR="00BC1522" w:rsidRPr="00BC1522" w:rsidRDefault="00BC1522" w:rsidP="00BC1522">
            <w:pPr>
              <w:rPr>
                <w:rFonts w:cs="Arial"/>
                <w:color w:val="7F7F7F"/>
                <w:szCs w:val="18"/>
                <w:lang w:eastAsia="en-AU"/>
              </w:rPr>
            </w:pPr>
            <w:r w:rsidRPr="00BC1522">
              <w:rPr>
                <w:rFonts w:cs="Arial"/>
                <w:color w:val="7F7F7F"/>
                <w:szCs w:val="18"/>
                <w:lang w:eastAsia="en-AU"/>
              </w:rPr>
              <w:t>Learn Local</w:t>
            </w:r>
          </w:p>
        </w:tc>
        <w:tc>
          <w:tcPr>
            <w:tcW w:w="1666" w:type="dxa"/>
            <w:tcBorders>
              <w:top w:val="nil"/>
              <w:left w:val="nil"/>
              <w:bottom w:val="nil"/>
              <w:right w:val="nil"/>
            </w:tcBorders>
            <w:shd w:val="clear" w:color="auto" w:fill="auto"/>
            <w:noWrap/>
            <w:vAlign w:val="center"/>
            <w:hideMark/>
          </w:tcPr>
          <w:p w:rsidR="00BC1522" w:rsidRPr="00BC1522" w:rsidRDefault="00BC1522" w:rsidP="00BC1522">
            <w:pPr>
              <w:jc w:val="right"/>
              <w:rPr>
                <w:rFonts w:cs="Arial"/>
                <w:color w:val="7F7F7F"/>
                <w:szCs w:val="18"/>
                <w:lang w:eastAsia="en-AU"/>
              </w:rPr>
            </w:pPr>
            <w:r w:rsidRPr="00BC1522">
              <w:rPr>
                <w:rFonts w:cs="Arial"/>
                <w:color w:val="7F7F7F"/>
                <w:szCs w:val="18"/>
                <w:lang w:eastAsia="en-AU"/>
              </w:rPr>
              <w:t>23</w:t>
            </w:r>
          </w:p>
        </w:tc>
        <w:tc>
          <w:tcPr>
            <w:tcW w:w="1667" w:type="dxa"/>
            <w:tcBorders>
              <w:top w:val="nil"/>
              <w:left w:val="nil"/>
              <w:bottom w:val="nil"/>
              <w:right w:val="nil"/>
            </w:tcBorders>
            <w:shd w:val="clear" w:color="auto" w:fill="auto"/>
            <w:noWrap/>
            <w:vAlign w:val="center"/>
            <w:hideMark/>
          </w:tcPr>
          <w:p w:rsidR="00BC1522" w:rsidRPr="00BC1522" w:rsidRDefault="00BC1522" w:rsidP="00BC1522">
            <w:pPr>
              <w:jc w:val="right"/>
              <w:rPr>
                <w:rFonts w:cs="Arial"/>
                <w:color w:val="7F7F7F"/>
                <w:szCs w:val="18"/>
                <w:lang w:eastAsia="en-AU"/>
              </w:rPr>
            </w:pPr>
            <w:r w:rsidRPr="00BC1522">
              <w:rPr>
                <w:rFonts w:cs="Arial"/>
                <w:color w:val="7F7F7F"/>
                <w:szCs w:val="18"/>
                <w:lang w:eastAsia="en-AU"/>
              </w:rPr>
              <w:t>12</w:t>
            </w:r>
          </w:p>
        </w:tc>
        <w:tc>
          <w:tcPr>
            <w:tcW w:w="889" w:type="dxa"/>
            <w:tcBorders>
              <w:top w:val="nil"/>
              <w:left w:val="nil"/>
              <w:bottom w:val="nil"/>
              <w:right w:val="nil"/>
            </w:tcBorders>
            <w:shd w:val="clear" w:color="auto" w:fill="auto"/>
            <w:noWrap/>
            <w:vAlign w:val="center"/>
            <w:hideMark/>
          </w:tcPr>
          <w:p w:rsidR="00BC1522" w:rsidRPr="00BC1522" w:rsidRDefault="00BC1522" w:rsidP="00BC1522">
            <w:pPr>
              <w:rPr>
                <w:rFonts w:cs="Arial"/>
                <w:color w:val="7F7F7F"/>
                <w:szCs w:val="18"/>
                <w:lang w:eastAsia="en-AU"/>
              </w:rPr>
            </w:pPr>
          </w:p>
        </w:tc>
        <w:tc>
          <w:tcPr>
            <w:tcW w:w="1417" w:type="dxa"/>
            <w:tcBorders>
              <w:top w:val="nil"/>
              <w:left w:val="nil"/>
              <w:bottom w:val="nil"/>
              <w:right w:val="nil"/>
            </w:tcBorders>
            <w:shd w:val="clear" w:color="auto" w:fill="auto"/>
            <w:noWrap/>
            <w:vAlign w:val="center"/>
            <w:hideMark/>
          </w:tcPr>
          <w:p w:rsidR="00BC1522" w:rsidRPr="00BC1522" w:rsidRDefault="00BC1522" w:rsidP="00BC1522">
            <w:pPr>
              <w:jc w:val="right"/>
              <w:rPr>
                <w:rFonts w:cs="Arial"/>
                <w:color w:val="7F7F7F"/>
                <w:szCs w:val="18"/>
                <w:lang w:eastAsia="en-AU"/>
              </w:rPr>
            </w:pPr>
            <w:r w:rsidRPr="00BC1522">
              <w:rPr>
                <w:rFonts w:cs="Arial"/>
                <w:color w:val="7F7F7F"/>
                <w:szCs w:val="18"/>
                <w:lang w:eastAsia="en-AU"/>
              </w:rPr>
              <w:t>-48%</w:t>
            </w:r>
          </w:p>
        </w:tc>
      </w:tr>
      <w:tr w:rsidR="00BC1522" w:rsidRPr="00BC1522" w:rsidTr="00BC1522">
        <w:trPr>
          <w:trHeight w:val="300"/>
        </w:trPr>
        <w:tc>
          <w:tcPr>
            <w:tcW w:w="2456" w:type="dxa"/>
            <w:tcBorders>
              <w:top w:val="nil"/>
              <w:left w:val="nil"/>
              <w:bottom w:val="nil"/>
              <w:right w:val="nil"/>
            </w:tcBorders>
            <w:shd w:val="clear" w:color="auto" w:fill="auto"/>
            <w:noWrap/>
            <w:vAlign w:val="center"/>
            <w:hideMark/>
          </w:tcPr>
          <w:p w:rsidR="00BC1522" w:rsidRPr="00BC1522" w:rsidRDefault="00BC1522" w:rsidP="00BC1522">
            <w:pPr>
              <w:rPr>
                <w:rFonts w:cs="Arial"/>
                <w:b/>
                <w:bCs/>
                <w:color w:val="7F7F7F"/>
                <w:szCs w:val="18"/>
                <w:lang w:eastAsia="en-AU"/>
              </w:rPr>
            </w:pPr>
            <w:r w:rsidRPr="00BC1522">
              <w:rPr>
                <w:rFonts w:cs="Arial"/>
                <w:b/>
                <w:bCs/>
                <w:color w:val="7F7F7F"/>
                <w:szCs w:val="18"/>
                <w:lang w:eastAsia="en-AU"/>
              </w:rPr>
              <w:t>TAFE and University</w:t>
            </w:r>
          </w:p>
        </w:tc>
        <w:tc>
          <w:tcPr>
            <w:tcW w:w="1666" w:type="dxa"/>
            <w:tcBorders>
              <w:top w:val="nil"/>
              <w:left w:val="nil"/>
              <w:bottom w:val="nil"/>
              <w:right w:val="nil"/>
            </w:tcBorders>
            <w:shd w:val="clear" w:color="auto" w:fill="auto"/>
            <w:noWrap/>
            <w:vAlign w:val="center"/>
            <w:hideMark/>
          </w:tcPr>
          <w:p w:rsidR="00BC1522" w:rsidRPr="00BC1522" w:rsidRDefault="00BC1522" w:rsidP="00BC1522">
            <w:pPr>
              <w:rPr>
                <w:rFonts w:cs="Arial"/>
                <w:color w:val="7F7F7F"/>
                <w:szCs w:val="18"/>
                <w:lang w:eastAsia="en-AU"/>
              </w:rPr>
            </w:pPr>
          </w:p>
        </w:tc>
        <w:tc>
          <w:tcPr>
            <w:tcW w:w="1667" w:type="dxa"/>
            <w:tcBorders>
              <w:top w:val="nil"/>
              <w:left w:val="nil"/>
              <w:bottom w:val="nil"/>
              <w:right w:val="nil"/>
            </w:tcBorders>
            <w:shd w:val="clear" w:color="auto" w:fill="auto"/>
            <w:noWrap/>
            <w:vAlign w:val="center"/>
            <w:hideMark/>
          </w:tcPr>
          <w:p w:rsidR="00BC1522" w:rsidRPr="00BC1522" w:rsidRDefault="00BC1522" w:rsidP="00BC1522">
            <w:pPr>
              <w:rPr>
                <w:rFonts w:cs="Arial"/>
                <w:color w:val="7F7F7F"/>
                <w:szCs w:val="18"/>
                <w:lang w:eastAsia="en-AU"/>
              </w:rPr>
            </w:pPr>
          </w:p>
        </w:tc>
        <w:tc>
          <w:tcPr>
            <w:tcW w:w="889" w:type="dxa"/>
            <w:tcBorders>
              <w:top w:val="nil"/>
              <w:left w:val="nil"/>
              <w:bottom w:val="nil"/>
              <w:right w:val="nil"/>
            </w:tcBorders>
            <w:shd w:val="clear" w:color="auto" w:fill="auto"/>
            <w:noWrap/>
            <w:vAlign w:val="center"/>
            <w:hideMark/>
          </w:tcPr>
          <w:p w:rsidR="00BC1522" w:rsidRPr="00BC1522" w:rsidRDefault="00BC1522" w:rsidP="00BC1522">
            <w:pPr>
              <w:rPr>
                <w:rFonts w:cs="Arial"/>
                <w:color w:val="7F7F7F"/>
                <w:szCs w:val="18"/>
                <w:lang w:eastAsia="en-AU"/>
              </w:rPr>
            </w:pPr>
          </w:p>
        </w:tc>
        <w:tc>
          <w:tcPr>
            <w:tcW w:w="1417" w:type="dxa"/>
            <w:tcBorders>
              <w:top w:val="nil"/>
              <w:left w:val="nil"/>
              <w:bottom w:val="nil"/>
              <w:right w:val="nil"/>
            </w:tcBorders>
            <w:shd w:val="clear" w:color="auto" w:fill="auto"/>
            <w:noWrap/>
            <w:vAlign w:val="center"/>
            <w:hideMark/>
          </w:tcPr>
          <w:p w:rsidR="00BC1522" w:rsidRPr="00BC1522" w:rsidRDefault="00BC1522" w:rsidP="00BC1522">
            <w:pPr>
              <w:rPr>
                <w:rFonts w:cs="Arial"/>
                <w:color w:val="7F7F7F"/>
                <w:szCs w:val="18"/>
                <w:lang w:eastAsia="en-AU"/>
              </w:rPr>
            </w:pPr>
          </w:p>
        </w:tc>
      </w:tr>
      <w:tr w:rsidR="00BC1522" w:rsidRPr="00BC1522" w:rsidTr="00BC1522">
        <w:trPr>
          <w:trHeight w:val="300"/>
        </w:trPr>
        <w:tc>
          <w:tcPr>
            <w:tcW w:w="2456" w:type="dxa"/>
            <w:tcBorders>
              <w:top w:val="nil"/>
              <w:left w:val="nil"/>
              <w:bottom w:val="nil"/>
              <w:right w:val="nil"/>
            </w:tcBorders>
            <w:shd w:val="clear" w:color="auto" w:fill="auto"/>
            <w:noWrap/>
            <w:vAlign w:val="center"/>
            <w:hideMark/>
          </w:tcPr>
          <w:p w:rsidR="00BC1522" w:rsidRPr="00BC1522" w:rsidRDefault="00BC1522" w:rsidP="00BC1522">
            <w:pPr>
              <w:ind w:firstLineChars="200" w:firstLine="360"/>
              <w:rPr>
                <w:rFonts w:cs="Arial"/>
                <w:color w:val="7F7F7F"/>
                <w:szCs w:val="18"/>
                <w:lang w:eastAsia="en-AU"/>
              </w:rPr>
            </w:pPr>
            <w:r w:rsidRPr="00BC1522">
              <w:rPr>
                <w:rFonts w:cs="Arial"/>
                <w:color w:val="7F7F7F"/>
                <w:szCs w:val="18"/>
                <w:lang w:eastAsia="en-AU"/>
              </w:rPr>
              <w:t>TAFE</w:t>
            </w:r>
          </w:p>
        </w:tc>
        <w:tc>
          <w:tcPr>
            <w:tcW w:w="1666" w:type="dxa"/>
            <w:tcBorders>
              <w:top w:val="nil"/>
              <w:left w:val="nil"/>
              <w:bottom w:val="nil"/>
              <w:right w:val="nil"/>
            </w:tcBorders>
            <w:shd w:val="clear" w:color="auto" w:fill="auto"/>
            <w:noWrap/>
            <w:vAlign w:val="center"/>
            <w:hideMark/>
          </w:tcPr>
          <w:p w:rsidR="00BC1522" w:rsidRPr="00BC1522" w:rsidRDefault="00BC1522" w:rsidP="00BC1522">
            <w:pPr>
              <w:jc w:val="right"/>
              <w:rPr>
                <w:rFonts w:cs="Arial"/>
                <w:color w:val="7F7F7F"/>
                <w:szCs w:val="18"/>
                <w:lang w:eastAsia="en-AU"/>
              </w:rPr>
            </w:pPr>
            <w:r w:rsidRPr="00BC1522">
              <w:rPr>
                <w:rFonts w:cs="Arial"/>
                <w:color w:val="7F7F7F"/>
                <w:szCs w:val="18"/>
                <w:lang w:eastAsia="en-AU"/>
              </w:rPr>
              <w:t>8,409</w:t>
            </w:r>
          </w:p>
        </w:tc>
        <w:tc>
          <w:tcPr>
            <w:tcW w:w="1667" w:type="dxa"/>
            <w:tcBorders>
              <w:top w:val="nil"/>
              <w:left w:val="nil"/>
              <w:bottom w:val="nil"/>
              <w:right w:val="nil"/>
            </w:tcBorders>
            <w:shd w:val="clear" w:color="auto" w:fill="auto"/>
            <w:noWrap/>
            <w:vAlign w:val="center"/>
            <w:hideMark/>
          </w:tcPr>
          <w:p w:rsidR="00BC1522" w:rsidRPr="00BC1522" w:rsidRDefault="00BC1522" w:rsidP="00BC1522">
            <w:pPr>
              <w:jc w:val="right"/>
              <w:rPr>
                <w:rFonts w:cs="Arial"/>
                <w:color w:val="7F7F7F"/>
                <w:szCs w:val="18"/>
                <w:lang w:eastAsia="en-AU"/>
              </w:rPr>
            </w:pPr>
            <w:r w:rsidRPr="00BC1522">
              <w:rPr>
                <w:rFonts w:cs="Arial"/>
                <w:color w:val="7F7F7F"/>
                <w:szCs w:val="18"/>
                <w:lang w:eastAsia="en-AU"/>
              </w:rPr>
              <w:t>9,115</w:t>
            </w:r>
          </w:p>
        </w:tc>
        <w:tc>
          <w:tcPr>
            <w:tcW w:w="889" w:type="dxa"/>
            <w:tcBorders>
              <w:top w:val="nil"/>
              <w:left w:val="nil"/>
              <w:bottom w:val="nil"/>
              <w:right w:val="nil"/>
            </w:tcBorders>
            <w:shd w:val="clear" w:color="auto" w:fill="auto"/>
            <w:noWrap/>
            <w:vAlign w:val="center"/>
            <w:hideMark/>
          </w:tcPr>
          <w:p w:rsidR="00BC1522" w:rsidRPr="00BC1522" w:rsidRDefault="00BC1522" w:rsidP="00BC1522">
            <w:pPr>
              <w:rPr>
                <w:rFonts w:cs="Arial"/>
                <w:color w:val="7F7F7F"/>
                <w:szCs w:val="18"/>
                <w:lang w:eastAsia="en-AU"/>
              </w:rPr>
            </w:pPr>
          </w:p>
        </w:tc>
        <w:tc>
          <w:tcPr>
            <w:tcW w:w="1417" w:type="dxa"/>
            <w:tcBorders>
              <w:top w:val="nil"/>
              <w:left w:val="nil"/>
              <w:bottom w:val="nil"/>
              <w:right w:val="nil"/>
            </w:tcBorders>
            <w:shd w:val="clear" w:color="auto" w:fill="auto"/>
            <w:noWrap/>
            <w:vAlign w:val="center"/>
            <w:hideMark/>
          </w:tcPr>
          <w:p w:rsidR="00BC1522" w:rsidRPr="00BC1522" w:rsidRDefault="00BC1522" w:rsidP="00BC1522">
            <w:pPr>
              <w:jc w:val="right"/>
              <w:rPr>
                <w:rFonts w:cs="Arial"/>
                <w:color w:val="7F7F7F"/>
                <w:szCs w:val="18"/>
                <w:lang w:eastAsia="en-AU"/>
              </w:rPr>
            </w:pPr>
            <w:r w:rsidRPr="00BC1522">
              <w:rPr>
                <w:rFonts w:cs="Arial"/>
                <w:color w:val="7F7F7F"/>
                <w:szCs w:val="18"/>
                <w:lang w:eastAsia="en-AU"/>
              </w:rPr>
              <w:t>8%</w:t>
            </w:r>
          </w:p>
        </w:tc>
      </w:tr>
      <w:tr w:rsidR="00BC1522" w:rsidRPr="00BC1522" w:rsidTr="00BC1522">
        <w:trPr>
          <w:trHeight w:val="300"/>
        </w:trPr>
        <w:tc>
          <w:tcPr>
            <w:tcW w:w="2456" w:type="dxa"/>
            <w:tcBorders>
              <w:top w:val="nil"/>
              <w:left w:val="nil"/>
              <w:bottom w:val="nil"/>
              <w:right w:val="nil"/>
            </w:tcBorders>
            <w:shd w:val="clear" w:color="auto" w:fill="auto"/>
            <w:noWrap/>
            <w:vAlign w:val="center"/>
            <w:hideMark/>
          </w:tcPr>
          <w:p w:rsidR="00BC1522" w:rsidRPr="00BC1522" w:rsidRDefault="00BC1522" w:rsidP="00BC1522">
            <w:pPr>
              <w:ind w:firstLineChars="200" w:firstLine="360"/>
              <w:rPr>
                <w:rFonts w:cs="Arial"/>
                <w:color w:val="7F7F7F"/>
                <w:szCs w:val="18"/>
                <w:lang w:eastAsia="en-AU"/>
              </w:rPr>
            </w:pPr>
            <w:r w:rsidRPr="00BC1522">
              <w:rPr>
                <w:rFonts w:cs="Arial"/>
                <w:color w:val="7F7F7F"/>
                <w:szCs w:val="18"/>
                <w:lang w:eastAsia="en-AU"/>
              </w:rPr>
              <w:t>University</w:t>
            </w:r>
          </w:p>
        </w:tc>
        <w:tc>
          <w:tcPr>
            <w:tcW w:w="1666" w:type="dxa"/>
            <w:tcBorders>
              <w:top w:val="nil"/>
              <w:left w:val="nil"/>
              <w:bottom w:val="nil"/>
              <w:right w:val="nil"/>
            </w:tcBorders>
            <w:shd w:val="clear" w:color="auto" w:fill="auto"/>
            <w:noWrap/>
            <w:vAlign w:val="center"/>
            <w:hideMark/>
          </w:tcPr>
          <w:p w:rsidR="00BC1522" w:rsidRPr="00BC1522" w:rsidRDefault="00BC1522" w:rsidP="00BC1522">
            <w:pPr>
              <w:jc w:val="right"/>
              <w:rPr>
                <w:rFonts w:cs="Arial"/>
                <w:color w:val="7F7F7F"/>
                <w:szCs w:val="18"/>
                <w:lang w:eastAsia="en-AU"/>
              </w:rPr>
            </w:pPr>
            <w:r w:rsidRPr="00BC1522">
              <w:rPr>
                <w:rFonts w:cs="Arial"/>
                <w:color w:val="7F7F7F"/>
                <w:szCs w:val="18"/>
                <w:lang w:eastAsia="en-AU"/>
              </w:rPr>
              <w:t>2,594</w:t>
            </w:r>
          </w:p>
        </w:tc>
        <w:tc>
          <w:tcPr>
            <w:tcW w:w="1667" w:type="dxa"/>
            <w:tcBorders>
              <w:top w:val="nil"/>
              <w:left w:val="nil"/>
              <w:bottom w:val="nil"/>
              <w:right w:val="nil"/>
            </w:tcBorders>
            <w:shd w:val="clear" w:color="auto" w:fill="auto"/>
            <w:noWrap/>
            <w:vAlign w:val="center"/>
            <w:hideMark/>
          </w:tcPr>
          <w:p w:rsidR="00BC1522" w:rsidRPr="00BC1522" w:rsidRDefault="00BC1522" w:rsidP="00BC1522">
            <w:pPr>
              <w:jc w:val="right"/>
              <w:rPr>
                <w:rFonts w:cs="Arial"/>
                <w:color w:val="7F7F7F"/>
                <w:szCs w:val="18"/>
                <w:lang w:eastAsia="en-AU"/>
              </w:rPr>
            </w:pPr>
            <w:r w:rsidRPr="00BC1522">
              <w:rPr>
                <w:rFonts w:cs="Arial"/>
                <w:color w:val="7F7F7F"/>
                <w:szCs w:val="18"/>
                <w:lang w:eastAsia="en-AU"/>
              </w:rPr>
              <w:t>2,805</w:t>
            </w:r>
          </w:p>
        </w:tc>
        <w:tc>
          <w:tcPr>
            <w:tcW w:w="889" w:type="dxa"/>
            <w:tcBorders>
              <w:top w:val="nil"/>
              <w:left w:val="nil"/>
              <w:bottom w:val="nil"/>
              <w:right w:val="nil"/>
            </w:tcBorders>
            <w:shd w:val="clear" w:color="auto" w:fill="auto"/>
            <w:noWrap/>
            <w:vAlign w:val="center"/>
            <w:hideMark/>
          </w:tcPr>
          <w:p w:rsidR="00BC1522" w:rsidRPr="00BC1522" w:rsidRDefault="00BC1522" w:rsidP="00BC1522">
            <w:pPr>
              <w:rPr>
                <w:rFonts w:cs="Arial"/>
                <w:color w:val="7F7F7F"/>
                <w:szCs w:val="18"/>
                <w:lang w:eastAsia="en-AU"/>
              </w:rPr>
            </w:pPr>
          </w:p>
        </w:tc>
        <w:tc>
          <w:tcPr>
            <w:tcW w:w="1417" w:type="dxa"/>
            <w:tcBorders>
              <w:top w:val="nil"/>
              <w:left w:val="nil"/>
              <w:bottom w:val="nil"/>
              <w:right w:val="nil"/>
            </w:tcBorders>
            <w:shd w:val="clear" w:color="auto" w:fill="auto"/>
            <w:noWrap/>
            <w:vAlign w:val="center"/>
            <w:hideMark/>
          </w:tcPr>
          <w:p w:rsidR="00BC1522" w:rsidRPr="00BC1522" w:rsidRDefault="00BC1522" w:rsidP="00BC1522">
            <w:pPr>
              <w:jc w:val="right"/>
              <w:rPr>
                <w:rFonts w:cs="Arial"/>
                <w:color w:val="7F7F7F"/>
                <w:szCs w:val="18"/>
                <w:lang w:eastAsia="en-AU"/>
              </w:rPr>
            </w:pPr>
            <w:r w:rsidRPr="00BC1522">
              <w:rPr>
                <w:rFonts w:cs="Arial"/>
                <w:color w:val="7F7F7F"/>
                <w:szCs w:val="18"/>
                <w:lang w:eastAsia="en-AU"/>
              </w:rPr>
              <w:t>8%</w:t>
            </w:r>
          </w:p>
        </w:tc>
      </w:tr>
      <w:tr w:rsidR="00BC1522" w:rsidRPr="00BC1522" w:rsidTr="00BC1522">
        <w:trPr>
          <w:trHeight w:val="300"/>
        </w:trPr>
        <w:tc>
          <w:tcPr>
            <w:tcW w:w="2456" w:type="dxa"/>
            <w:tcBorders>
              <w:top w:val="nil"/>
              <w:left w:val="nil"/>
              <w:bottom w:val="nil"/>
              <w:right w:val="nil"/>
            </w:tcBorders>
            <w:shd w:val="clear" w:color="000000" w:fill="7F7F7F"/>
            <w:noWrap/>
            <w:vAlign w:val="center"/>
            <w:hideMark/>
          </w:tcPr>
          <w:p w:rsidR="00BC1522" w:rsidRPr="00BC1522" w:rsidRDefault="00BC1522" w:rsidP="00BC1522">
            <w:pPr>
              <w:rPr>
                <w:rFonts w:cs="Arial"/>
                <w:b/>
                <w:bCs/>
                <w:color w:val="FFFFFF"/>
                <w:szCs w:val="18"/>
                <w:lang w:eastAsia="en-AU"/>
              </w:rPr>
            </w:pPr>
            <w:r w:rsidRPr="00BC1522">
              <w:rPr>
                <w:rFonts w:cs="Arial"/>
                <w:b/>
                <w:bCs/>
                <w:color w:val="FFFFFF"/>
                <w:szCs w:val="18"/>
                <w:lang w:eastAsia="en-AU"/>
              </w:rPr>
              <w:t>Total</w:t>
            </w:r>
          </w:p>
        </w:tc>
        <w:tc>
          <w:tcPr>
            <w:tcW w:w="1666" w:type="dxa"/>
            <w:tcBorders>
              <w:top w:val="nil"/>
              <w:left w:val="nil"/>
              <w:bottom w:val="nil"/>
              <w:right w:val="nil"/>
            </w:tcBorders>
            <w:shd w:val="clear" w:color="000000" w:fill="7F7F7F"/>
            <w:noWrap/>
            <w:vAlign w:val="center"/>
            <w:hideMark/>
          </w:tcPr>
          <w:p w:rsidR="00BC1522" w:rsidRPr="00BC1522" w:rsidRDefault="00BC1522" w:rsidP="00BC1522">
            <w:pPr>
              <w:jc w:val="right"/>
              <w:rPr>
                <w:rFonts w:cs="Arial"/>
                <w:b/>
                <w:bCs/>
                <w:color w:val="FFFFFF"/>
                <w:szCs w:val="18"/>
                <w:lang w:eastAsia="en-AU"/>
              </w:rPr>
            </w:pPr>
            <w:r w:rsidRPr="00BC1522">
              <w:rPr>
                <w:rFonts w:cs="Arial"/>
                <w:b/>
                <w:bCs/>
                <w:color w:val="FFFFFF"/>
                <w:szCs w:val="18"/>
                <w:lang w:eastAsia="en-AU"/>
              </w:rPr>
              <w:t>11,491</w:t>
            </w:r>
          </w:p>
        </w:tc>
        <w:tc>
          <w:tcPr>
            <w:tcW w:w="1667" w:type="dxa"/>
            <w:tcBorders>
              <w:top w:val="nil"/>
              <w:left w:val="nil"/>
              <w:bottom w:val="nil"/>
              <w:right w:val="nil"/>
            </w:tcBorders>
            <w:shd w:val="clear" w:color="000000" w:fill="7F7F7F"/>
            <w:noWrap/>
            <w:vAlign w:val="center"/>
            <w:hideMark/>
          </w:tcPr>
          <w:p w:rsidR="00BC1522" w:rsidRPr="00BC1522" w:rsidRDefault="00BC1522" w:rsidP="00BC1522">
            <w:pPr>
              <w:jc w:val="right"/>
              <w:rPr>
                <w:rFonts w:cs="Arial"/>
                <w:b/>
                <w:bCs/>
                <w:color w:val="FFFFFF"/>
                <w:szCs w:val="18"/>
                <w:lang w:eastAsia="en-AU"/>
              </w:rPr>
            </w:pPr>
            <w:r w:rsidRPr="00BC1522">
              <w:rPr>
                <w:rFonts w:cs="Arial"/>
                <w:b/>
                <w:bCs/>
                <w:color w:val="FFFFFF"/>
                <w:szCs w:val="18"/>
                <w:lang w:eastAsia="en-AU"/>
              </w:rPr>
              <w:t>14,529</w:t>
            </w:r>
          </w:p>
        </w:tc>
        <w:tc>
          <w:tcPr>
            <w:tcW w:w="889" w:type="dxa"/>
            <w:tcBorders>
              <w:top w:val="nil"/>
              <w:left w:val="nil"/>
              <w:bottom w:val="nil"/>
              <w:right w:val="nil"/>
            </w:tcBorders>
            <w:shd w:val="clear" w:color="000000" w:fill="7F7F7F"/>
            <w:noWrap/>
            <w:vAlign w:val="center"/>
            <w:hideMark/>
          </w:tcPr>
          <w:p w:rsidR="00BC1522" w:rsidRPr="00BC1522" w:rsidRDefault="00BC1522" w:rsidP="00BC1522">
            <w:pPr>
              <w:rPr>
                <w:rFonts w:cs="Arial"/>
                <w:b/>
                <w:bCs/>
                <w:color w:val="FFFFFF"/>
                <w:szCs w:val="18"/>
                <w:lang w:eastAsia="en-AU"/>
              </w:rPr>
            </w:pPr>
            <w:r w:rsidRPr="00BC1522">
              <w:rPr>
                <w:rFonts w:cs="Arial"/>
                <w:b/>
                <w:bCs/>
                <w:color w:val="FFFFFF"/>
                <w:szCs w:val="18"/>
                <w:lang w:eastAsia="en-AU"/>
              </w:rPr>
              <w:t> </w:t>
            </w:r>
          </w:p>
        </w:tc>
        <w:tc>
          <w:tcPr>
            <w:tcW w:w="1417" w:type="dxa"/>
            <w:tcBorders>
              <w:top w:val="nil"/>
              <w:left w:val="nil"/>
              <w:bottom w:val="nil"/>
              <w:right w:val="nil"/>
            </w:tcBorders>
            <w:shd w:val="clear" w:color="000000" w:fill="7F7F7F"/>
            <w:noWrap/>
            <w:vAlign w:val="center"/>
            <w:hideMark/>
          </w:tcPr>
          <w:p w:rsidR="00BC1522" w:rsidRPr="00BC1522" w:rsidRDefault="00BC1522" w:rsidP="00BC1522">
            <w:pPr>
              <w:jc w:val="right"/>
              <w:rPr>
                <w:rFonts w:cs="Arial"/>
                <w:b/>
                <w:bCs/>
                <w:color w:val="FFFFFF"/>
                <w:szCs w:val="18"/>
                <w:lang w:eastAsia="en-AU"/>
              </w:rPr>
            </w:pPr>
            <w:r w:rsidRPr="00BC1522">
              <w:rPr>
                <w:rFonts w:cs="Arial"/>
                <w:b/>
                <w:bCs/>
                <w:color w:val="FFFFFF"/>
                <w:szCs w:val="18"/>
                <w:lang w:eastAsia="en-AU"/>
              </w:rPr>
              <w:t>26%</w:t>
            </w:r>
          </w:p>
        </w:tc>
      </w:tr>
    </w:tbl>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4A0" w:firstRow="1" w:lastRow="0" w:firstColumn="1" w:lastColumn="0" w:noHBand="0" w:noVBand="1"/>
      </w:tblPr>
      <w:tblGrid>
        <w:gridCol w:w="431"/>
        <w:gridCol w:w="7649"/>
      </w:tblGrid>
      <w:tr w:rsidR="00337C81" w:rsidRPr="00913551" w:rsidTr="00C05E0A">
        <w:tc>
          <w:tcPr>
            <w:tcW w:w="431" w:type="dxa"/>
            <w:tcMar>
              <w:left w:w="0" w:type="dxa"/>
              <w:right w:w="28" w:type="dxa"/>
            </w:tcMar>
          </w:tcPr>
          <w:p w:rsidR="00337C81" w:rsidRPr="00913551" w:rsidRDefault="00337C81" w:rsidP="00C05E0A">
            <w:pPr>
              <w:spacing w:after="0" w:line="240" w:lineRule="auto"/>
              <w:jc w:val="right"/>
              <w:rPr>
                <w:color w:val="7F7F7F" w:themeColor="text2"/>
                <w:sz w:val="16"/>
                <w:szCs w:val="16"/>
              </w:rPr>
            </w:pPr>
            <w:r w:rsidRPr="00913551">
              <w:rPr>
                <w:color w:val="7F7F7F" w:themeColor="text2"/>
                <w:sz w:val="16"/>
                <w:szCs w:val="16"/>
              </w:rPr>
              <w:t xml:space="preserve">* </w:t>
            </w:r>
          </w:p>
        </w:tc>
        <w:tc>
          <w:tcPr>
            <w:tcW w:w="7649" w:type="dxa"/>
            <w:tcMar>
              <w:left w:w="0" w:type="dxa"/>
              <w:right w:w="28" w:type="dxa"/>
            </w:tcMar>
          </w:tcPr>
          <w:p w:rsidR="00337C81" w:rsidRPr="00913551" w:rsidRDefault="00337C81" w:rsidP="00337C81">
            <w:pPr>
              <w:spacing w:after="0" w:line="240" w:lineRule="auto"/>
              <w:rPr>
                <w:i/>
                <w:color w:val="7F7F7F" w:themeColor="text2"/>
                <w:sz w:val="16"/>
                <w:szCs w:val="16"/>
              </w:rPr>
            </w:pPr>
            <w:r w:rsidRPr="00337C81">
              <w:rPr>
                <w:i/>
                <w:color w:val="7F7F7F" w:themeColor="text2"/>
                <w:sz w:val="16"/>
              </w:rPr>
              <w:t xml:space="preserve">In 2014 there were 15 </w:t>
            </w:r>
            <w:r>
              <w:rPr>
                <w:i/>
                <w:color w:val="7F7F7F" w:themeColor="text2"/>
                <w:sz w:val="16"/>
              </w:rPr>
              <w:t>P</w:t>
            </w:r>
            <w:r w:rsidRPr="00337C81">
              <w:rPr>
                <w:i/>
                <w:color w:val="7F7F7F" w:themeColor="text2"/>
                <w:sz w:val="16"/>
              </w:rPr>
              <w:t>rivate RTOs that reported that they provided training, this increased to 21 in 2015 (half year)</w:t>
            </w:r>
            <w:r>
              <w:rPr>
                <w:i/>
                <w:color w:val="7F7F7F" w:themeColor="text2"/>
                <w:sz w:val="16"/>
              </w:rPr>
              <w:t>.</w:t>
            </w:r>
          </w:p>
        </w:tc>
      </w:tr>
    </w:tbl>
    <w:p w:rsidR="00F24ED7" w:rsidRPr="00B245ED" w:rsidRDefault="00F24ED7" w:rsidP="00F24ED7">
      <w:pPr>
        <w:rPr>
          <w:color w:val="7F7F7F" w:themeColor="text2"/>
        </w:rPr>
      </w:pPr>
    </w:p>
    <w:p w:rsidR="00F24ED7" w:rsidRDefault="00F24ED7" w:rsidP="00F24ED7">
      <w:pPr>
        <w:rPr>
          <w:color w:val="7F7F7F" w:themeColor="text2"/>
        </w:rPr>
      </w:pP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8115B3" w:rsidTr="008115B3">
        <w:tc>
          <w:tcPr>
            <w:tcW w:w="1134" w:type="dxa"/>
            <w:tcMar>
              <w:left w:w="0" w:type="dxa"/>
              <w:right w:w="0" w:type="dxa"/>
            </w:tcMar>
          </w:tcPr>
          <w:p w:rsidR="008115B3" w:rsidRDefault="008115B3" w:rsidP="00C33510">
            <w:pPr>
              <w:pStyle w:val="Quote"/>
              <w:tabs>
                <w:tab w:val="left" w:pos="1134"/>
              </w:tabs>
              <w:rPr>
                <w:b w:val="0"/>
                <w:color w:val="B41F22" w:themeColor="accent1"/>
              </w:rPr>
            </w:pPr>
            <w:r>
              <w:rPr>
                <w:b w:val="0"/>
                <w:color w:val="B41F22" w:themeColor="accent1"/>
              </w:rPr>
              <w:t>Table 1.</w:t>
            </w:r>
            <w:r w:rsidR="0084117E">
              <w:rPr>
                <w:b w:val="0"/>
                <w:color w:val="B41F22" w:themeColor="accent1"/>
              </w:rPr>
              <w:t>21</w:t>
            </w:r>
            <w:r>
              <w:rPr>
                <w:b w:val="0"/>
                <w:color w:val="B41F22" w:themeColor="accent1"/>
              </w:rPr>
              <w:t>.2:</w:t>
            </w:r>
          </w:p>
        </w:tc>
        <w:tc>
          <w:tcPr>
            <w:tcW w:w="6946" w:type="dxa"/>
            <w:tcMar>
              <w:left w:w="0" w:type="dxa"/>
              <w:right w:w="0" w:type="dxa"/>
            </w:tcMar>
          </w:tcPr>
          <w:p w:rsidR="008115B3" w:rsidRPr="00BC1522" w:rsidRDefault="008115B3" w:rsidP="008115B3">
            <w:pPr>
              <w:pStyle w:val="Quote"/>
              <w:tabs>
                <w:tab w:val="left" w:pos="1134"/>
              </w:tabs>
              <w:rPr>
                <w:b w:val="0"/>
                <w:color w:val="B41F22" w:themeColor="accent1"/>
              </w:rPr>
            </w:pPr>
            <w:r w:rsidRPr="008115B3">
              <w:rPr>
                <w:b w:val="0"/>
                <w:color w:val="B41F22" w:themeColor="accent1"/>
              </w:rPr>
              <w:t>Percentage share of fee-for-service onshore international enrolments for each year by sector, 2014 to 2015 (half year)</w:t>
            </w:r>
          </w:p>
        </w:tc>
      </w:tr>
    </w:tbl>
    <w:tbl>
      <w:tblPr>
        <w:tblW w:w="5827" w:type="dxa"/>
        <w:tblInd w:w="93" w:type="dxa"/>
        <w:tblLayout w:type="fixed"/>
        <w:tblLook w:val="04A0" w:firstRow="1" w:lastRow="0" w:firstColumn="1" w:lastColumn="0" w:noHBand="0" w:noVBand="1"/>
      </w:tblPr>
      <w:tblGrid>
        <w:gridCol w:w="2180"/>
        <w:gridCol w:w="1946"/>
        <w:gridCol w:w="1701"/>
      </w:tblGrid>
      <w:tr w:rsidR="00BD0B98" w:rsidRPr="00BD0B98" w:rsidTr="008115B3">
        <w:trPr>
          <w:trHeight w:val="300"/>
        </w:trPr>
        <w:tc>
          <w:tcPr>
            <w:tcW w:w="2180" w:type="dxa"/>
            <w:tcBorders>
              <w:top w:val="nil"/>
              <w:left w:val="nil"/>
              <w:bottom w:val="nil"/>
              <w:right w:val="nil"/>
            </w:tcBorders>
            <w:shd w:val="clear" w:color="000000" w:fill="7F7F7F"/>
            <w:noWrap/>
            <w:vAlign w:val="center"/>
            <w:hideMark/>
          </w:tcPr>
          <w:p w:rsidR="00BD0B98" w:rsidRPr="00BD0B98" w:rsidRDefault="00BD0B98" w:rsidP="00BD0B98">
            <w:pPr>
              <w:rPr>
                <w:rFonts w:cs="Arial"/>
                <w:color w:val="FFFFFF"/>
                <w:szCs w:val="18"/>
                <w:lang w:eastAsia="en-AU"/>
              </w:rPr>
            </w:pPr>
            <w:r w:rsidRPr="00BD0B98">
              <w:rPr>
                <w:rFonts w:cs="Arial"/>
                <w:color w:val="FFFFFF"/>
                <w:szCs w:val="18"/>
                <w:lang w:eastAsia="en-AU"/>
              </w:rPr>
              <w:t> </w:t>
            </w:r>
          </w:p>
        </w:tc>
        <w:tc>
          <w:tcPr>
            <w:tcW w:w="1946" w:type="dxa"/>
            <w:tcBorders>
              <w:top w:val="nil"/>
              <w:left w:val="nil"/>
              <w:bottom w:val="nil"/>
              <w:right w:val="nil"/>
            </w:tcBorders>
            <w:shd w:val="clear" w:color="000000" w:fill="7F7F7F"/>
            <w:vAlign w:val="center"/>
            <w:hideMark/>
          </w:tcPr>
          <w:p w:rsidR="00BD0B98" w:rsidRPr="00BD0B98" w:rsidRDefault="00BD0B98" w:rsidP="00BD0B98">
            <w:pPr>
              <w:jc w:val="right"/>
              <w:rPr>
                <w:rFonts w:cs="Arial"/>
                <w:b/>
                <w:bCs/>
                <w:color w:val="FFFFFF"/>
                <w:szCs w:val="18"/>
                <w:lang w:eastAsia="en-AU"/>
              </w:rPr>
            </w:pPr>
            <w:r w:rsidRPr="00BD0B98">
              <w:rPr>
                <w:rFonts w:cs="Arial"/>
                <w:b/>
                <w:bCs/>
                <w:color w:val="FFFFFF"/>
                <w:szCs w:val="18"/>
                <w:lang w:eastAsia="en-AU"/>
              </w:rPr>
              <w:t>2014</w:t>
            </w:r>
          </w:p>
        </w:tc>
        <w:tc>
          <w:tcPr>
            <w:tcW w:w="1701" w:type="dxa"/>
            <w:tcBorders>
              <w:top w:val="nil"/>
              <w:left w:val="nil"/>
              <w:bottom w:val="nil"/>
              <w:right w:val="nil"/>
            </w:tcBorders>
            <w:shd w:val="clear" w:color="000000" w:fill="7F7F7F"/>
            <w:vAlign w:val="center"/>
            <w:hideMark/>
          </w:tcPr>
          <w:p w:rsidR="00BD0B98" w:rsidRPr="00BD0B98" w:rsidRDefault="00BD0B98" w:rsidP="00BD0B98">
            <w:pPr>
              <w:jc w:val="right"/>
              <w:rPr>
                <w:rFonts w:cs="Arial"/>
                <w:b/>
                <w:bCs/>
                <w:color w:val="FFFFFF"/>
                <w:szCs w:val="18"/>
                <w:lang w:eastAsia="en-AU"/>
              </w:rPr>
            </w:pPr>
            <w:r w:rsidRPr="00BD0B98">
              <w:rPr>
                <w:rFonts w:cs="Arial"/>
                <w:b/>
                <w:bCs/>
                <w:color w:val="FFFFFF"/>
                <w:szCs w:val="18"/>
                <w:lang w:eastAsia="en-AU"/>
              </w:rPr>
              <w:t>2015</w:t>
            </w:r>
          </w:p>
        </w:tc>
      </w:tr>
      <w:tr w:rsidR="00BD0B98" w:rsidRPr="00BD0B98" w:rsidTr="008115B3">
        <w:trPr>
          <w:trHeight w:val="300"/>
        </w:trPr>
        <w:tc>
          <w:tcPr>
            <w:tcW w:w="2180" w:type="dxa"/>
            <w:tcBorders>
              <w:top w:val="nil"/>
              <w:left w:val="nil"/>
              <w:bottom w:val="nil"/>
              <w:right w:val="nil"/>
            </w:tcBorders>
            <w:shd w:val="clear" w:color="auto" w:fill="auto"/>
            <w:noWrap/>
            <w:vAlign w:val="center"/>
            <w:hideMark/>
          </w:tcPr>
          <w:p w:rsidR="00BD0B98" w:rsidRPr="00BD0B98" w:rsidRDefault="00BD0B98" w:rsidP="00BD0B98">
            <w:pPr>
              <w:rPr>
                <w:rFonts w:cs="Arial"/>
                <w:color w:val="7F7F7F"/>
                <w:szCs w:val="18"/>
                <w:lang w:eastAsia="en-AU"/>
              </w:rPr>
            </w:pPr>
            <w:r w:rsidRPr="00BD0B98">
              <w:rPr>
                <w:rFonts w:cs="Arial"/>
                <w:color w:val="7F7F7F"/>
                <w:szCs w:val="18"/>
                <w:lang w:eastAsia="en-AU"/>
              </w:rPr>
              <w:t>Private RTO</w:t>
            </w:r>
          </w:p>
        </w:tc>
        <w:tc>
          <w:tcPr>
            <w:tcW w:w="1946" w:type="dxa"/>
            <w:tcBorders>
              <w:top w:val="nil"/>
              <w:left w:val="nil"/>
              <w:bottom w:val="nil"/>
              <w:right w:val="nil"/>
            </w:tcBorders>
            <w:shd w:val="clear" w:color="auto" w:fill="auto"/>
            <w:noWrap/>
            <w:vAlign w:val="center"/>
            <w:hideMark/>
          </w:tcPr>
          <w:p w:rsidR="00BD0B98" w:rsidRPr="00BD0B98" w:rsidRDefault="00BD0B98" w:rsidP="00BD0B98">
            <w:pPr>
              <w:jc w:val="right"/>
              <w:rPr>
                <w:rFonts w:cs="Arial"/>
                <w:color w:val="7F7F7F"/>
                <w:szCs w:val="18"/>
                <w:lang w:eastAsia="en-AU"/>
              </w:rPr>
            </w:pPr>
            <w:r w:rsidRPr="00BD0B98">
              <w:rPr>
                <w:rFonts w:cs="Arial"/>
                <w:color w:val="7F7F7F"/>
                <w:szCs w:val="18"/>
                <w:lang w:eastAsia="en-AU"/>
              </w:rPr>
              <w:t>4%</w:t>
            </w:r>
          </w:p>
        </w:tc>
        <w:tc>
          <w:tcPr>
            <w:tcW w:w="1701" w:type="dxa"/>
            <w:tcBorders>
              <w:top w:val="nil"/>
              <w:left w:val="nil"/>
              <w:bottom w:val="nil"/>
              <w:right w:val="nil"/>
            </w:tcBorders>
            <w:shd w:val="clear" w:color="auto" w:fill="auto"/>
            <w:noWrap/>
            <w:vAlign w:val="center"/>
            <w:hideMark/>
          </w:tcPr>
          <w:p w:rsidR="00BD0B98" w:rsidRPr="00BD0B98" w:rsidRDefault="00BD0B98" w:rsidP="00BD0B98">
            <w:pPr>
              <w:jc w:val="right"/>
              <w:rPr>
                <w:rFonts w:cs="Arial"/>
                <w:color w:val="7F7F7F"/>
                <w:szCs w:val="18"/>
                <w:lang w:eastAsia="en-AU"/>
              </w:rPr>
            </w:pPr>
            <w:r w:rsidRPr="00BD0B98">
              <w:rPr>
                <w:rFonts w:cs="Arial"/>
                <w:color w:val="7F7F7F"/>
                <w:szCs w:val="18"/>
                <w:lang w:eastAsia="en-AU"/>
              </w:rPr>
              <w:t>18%</w:t>
            </w:r>
          </w:p>
        </w:tc>
      </w:tr>
      <w:tr w:rsidR="00BD0B98" w:rsidRPr="00BD0B98" w:rsidTr="008115B3">
        <w:trPr>
          <w:trHeight w:val="300"/>
        </w:trPr>
        <w:tc>
          <w:tcPr>
            <w:tcW w:w="2180" w:type="dxa"/>
            <w:tcBorders>
              <w:top w:val="nil"/>
              <w:left w:val="nil"/>
              <w:bottom w:val="nil"/>
              <w:right w:val="nil"/>
            </w:tcBorders>
            <w:shd w:val="clear" w:color="auto" w:fill="auto"/>
            <w:noWrap/>
            <w:vAlign w:val="center"/>
            <w:hideMark/>
          </w:tcPr>
          <w:p w:rsidR="00BD0B98" w:rsidRPr="00BD0B98" w:rsidRDefault="00BD0B98" w:rsidP="00BD0B98">
            <w:pPr>
              <w:rPr>
                <w:rFonts w:cs="Arial"/>
                <w:color w:val="7F7F7F"/>
                <w:szCs w:val="18"/>
                <w:lang w:eastAsia="en-AU"/>
              </w:rPr>
            </w:pPr>
            <w:r w:rsidRPr="00BD0B98">
              <w:rPr>
                <w:rFonts w:cs="Arial"/>
                <w:color w:val="7F7F7F"/>
                <w:szCs w:val="18"/>
                <w:lang w:eastAsia="en-AU"/>
              </w:rPr>
              <w:t>Learn Local</w:t>
            </w:r>
          </w:p>
        </w:tc>
        <w:tc>
          <w:tcPr>
            <w:tcW w:w="1946" w:type="dxa"/>
            <w:tcBorders>
              <w:top w:val="nil"/>
              <w:left w:val="nil"/>
              <w:bottom w:val="nil"/>
              <w:right w:val="nil"/>
            </w:tcBorders>
            <w:shd w:val="clear" w:color="auto" w:fill="auto"/>
            <w:noWrap/>
            <w:vAlign w:val="center"/>
            <w:hideMark/>
          </w:tcPr>
          <w:p w:rsidR="00BD0B98" w:rsidRPr="00BD0B98" w:rsidRDefault="00BD0B98" w:rsidP="00BD0B98">
            <w:pPr>
              <w:jc w:val="right"/>
              <w:rPr>
                <w:rFonts w:cs="Arial"/>
                <w:color w:val="7F7F7F"/>
                <w:szCs w:val="18"/>
                <w:lang w:eastAsia="en-AU"/>
              </w:rPr>
            </w:pPr>
            <w:r w:rsidRPr="00BD0B98">
              <w:rPr>
                <w:rFonts w:cs="Arial"/>
                <w:color w:val="7F7F7F"/>
                <w:szCs w:val="18"/>
                <w:lang w:eastAsia="en-AU"/>
              </w:rPr>
              <w:t>0%</w:t>
            </w:r>
          </w:p>
        </w:tc>
        <w:tc>
          <w:tcPr>
            <w:tcW w:w="1701" w:type="dxa"/>
            <w:tcBorders>
              <w:top w:val="nil"/>
              <w:left w:val="nil"/>
              <w:bottom w:val="nil"/>
              <w:right w:val="nil"/>
            </w:tcBorders>
            <w:shd w:val="clear" w:color="auto" w:fill="auto"/>
            <w:noWrap/>
            <w:vAlign w:val="center"/>
            <w:hideMark/>
          </w:tcPr>
          <w:p w:rsidR="00BD0B98" w:rsidRPr="00BD0B98" w:rsidRDefault="00BD0B98" w:rsidP="00BD0B98">
            <w:pPr>
              <w:jc w:val="right"/>
              <w:rPr>
                <w:rFonts w:cs="Arial"/>
                <w:color w:val="7F7F7F"/>
                <w:szCs w:val="18"/>
                <w:lang w:eastAsia="en-AU"/>
              </w:rPr>
            </w:pPr>
            <w:r w:rsidRPr="00BD0B98">
              <w:rPr>
                <w:rFonts w:cs="Arial"/>
                <w:color w:val="7F7F7F"/>
                <w:szCs w:val="18"/>
                <w:lang w:eastAsia="en-AU"/>
              </w:rPr>
              <w:t>0%</w:t>
            </w:r>
          </w:p>
        </w:tc>
      </w:tr>
      <w:tr w:rsidR="003154DB" w:rsidRPr="00BD0B98" w:rsidTr="008115B3">
        <w:trPr>
          <w:trHeight w:val="300"/>
        </w:trPr>
        <w:tc>
          <w:tcPr>
            <w:tcW w:w="2180" w:type="dxa"/>
            <w:tcBorders>
              <w:top w:val="nil"/>
              <w:left w:val="nil"/>
              <w:bottom w:val="nil"/>
              <w:right w:val="nil"/>
            </w:tcBorders>
            <w:shd w:val="clear" w:color="auto" w:fill="auto"/>
            <w:noWrap/>
            <w:vAlign w:val="center"/>
          </w:tcPr>
          <w:p w:rsidR="003154DB" w:rsidRPr="003154DB" w:rsidRDefault="003154DB" w:rsidP="00BD0B98">
            <w:pPr>
              <w:rPr>
                <w:rFonts w:cs="Arial"/>
                <w:b/>
                <w:color w:val="7F7F7F"/>
                <w:szCs w:val="18"/>
                <w:lang w:eastAsia="en-AU"/>
              </w:rPr>
            </w:pPr>
            <w:r w:rsidRPr="003154DB">
              <w:rPr>
                <w:rFonts w:cs="Arial"/>
                <w:b/>
                <w:color w:val="7F7F7F"/>
                <w:szCs w:val="18"/>
                <w:lang w:eastAsia="en-AU"/>
              </w:rPr>
              <w:t>TAFE and University</w:t>
            </w:r>
          </w:p>
        </w:tc>
        <w:tc>
          <w:tcPr>
            <w:tcW w:w="1946" w:type="dxa"/>
            <w:tcBorders>
              <w:top w:val="nil"/>
              <w:left w:val="nil"/>
              <w:bottom w:val="nil"/>
              <w:right w:val="nil"/>
            </w:tcBorders>
            <w:shd w:val="clear" w:color="auto" w:fill="auto"/>
            <w:noWrap/>
            <w:vAlign w:val="center"/>
          </w:tcPr>
          <w:p w:rsidR="003154DB" w:rsidRPr="003154DB" w:rsidRDefault="003154DB" w:rsidP="00BD0B98">
            <w:pPr>
              <w:jc w:val="right"/>
              <w:rPr>
                <w:rFonts w:cs="Arial"/>
                <w:b/>
                <w:color w:val="7F7F7F"/>
                <w:szCs w:val="18"/>
                <w:lang w:eastAsia="en-AU"/>
              </w:rPr>
            </w:pPr>
          </w:p>
        </w:tc>
        <w:tc>
          <w:tcPr>
            <w:tcW w:w="1701" w:type="dxa"/>
            <w:tcBorders>
              <w:top w:val="nil"/>
              <w:left w:val="nil"/>
              <w:bottom w:val="nil"/>
              <w:right w:val="nil"/>
            </w:tcBorders>
            <w:shd w:val="clear" w:color="auto" w:fill="auto"/>
            <w:noWrap/>
            <w:vAlign w:val="center"/>
          </w:tcPr>
          <w:p w:rsidR="003154DB" w:rsidRPr="003154DB" w:rsidRDefault="003154DB" w:rsidP="00BD0B98">
            <w:pPr>
              <w:jc w:val="right"/>
              <w:rPr>
                <w:rFonts w:cs="Arial"/>
                <w:b/>
                <w:color w:val="7F7F7F"/>
                <w:szCs w:val="18"/>
                <w:lang w:eastAsia="en-AU"/>
              </w:rPr>
            </w:pPr>
          </w:p>
        </w:tc>
      </w:tr>
      <w:tr w:rsidR="00BD0B98" w:rsidRPr="00BD0B98" w:rsidTr="008115B3">
        <w:trPr>
          <w:trHeight w:val="300"/>
        </w:trPr>
        <w:tc>
          <w:tcPr>
            <w:tcW w:w="2180" w:type="dxa"/>
            <w:tcBorders>
              <w:top w:val="nil"/>
              <w:left w:val="nil"/>
              <w:bottom w:val="nil"/>
              <w:right w:val="nil"/>
            </w:tcBorders>
            <w:shd w:val="clear" w:color="auto" w:fill="auto"/>
            <w:noWrap/>
            <w:vAlign w:val="center"/>
            <w:hideMark/>
          </w:tcPr>
          <w:p w:rsidR="00BD0B98" w:rsidRPr="00BD0B98" w:rsidRDefault="003154DB" w:rsidP="003154DB">
            <w:pPr>
              <w:ind w:firstLine="333"/>
              <w:rPr>
                <w:rFonts w:cs="Arial"/>
                <w:color w:val="7F7F7F"/>
                <w:szCs w:val="18"/>
                <w:lang w:eastAsia="en-AU"/>
              </w:rPr>
            </w:pPr>
            <w:r>
              <w:rPr>
                <w:rFonts w:cs="Arial"/>
                <w:color w:val="7F7F7F"/>
                <w:szCs w:val="18"/>
                <w:lang w:eastAsia="en-AU"/>
              </w:rPr>
              <w:t>TAFE</w:t>
            </w:r>
          </w:p>
        </w:tc>
        <w:tc>
          <w:tcPr>
            <w:tcW w:w="1946" w:type="dxa"/>
            <w:tcBorders>
              <w:top w:val="nil"/>
              <w:left w:val="nil"/>
              <w:bottom w:val="nil"/>
              <w:right w:val="nil"/>
            </w:tcBorders>
            <w:shd w:val="clear" w:color="auto" w:fill="auto"/>
            <w:noWrap/>
            <w:vAlign w:val="center"/>
            <w:hideMark/>
          </w:tcPr>
          <w:p w:rsidR="00BD0B98" w:rsidRPr="00BD0B98" w:rsidRDefault="003154DB" w:rsidP="003154DB">
            <w:pPr>
              <w:jc w:val="right"/>
              <w:rPr>
                <w:rFonts w:cs="Arial"/>
                <w:color w:val="7F7F7F"/>
                <w:szCs w:val="18"/>
                <w:lang w:eastAsia="en-AU"/>
              </w:rPr>
            </w:pPr>
            <w:r>
              <w:rPr>
                <w:rFonts w:cs="Arial"/>
                <w:color w:val="7F7F7F"/>
                <w:szCs w:val="18"/>
                <w:lang w:eastAsia="en-AU"/>
              </w:rPr>
              <w:t>7</w:t>
            </w:r>
            <w:r w:rsidR="00BD0B98" w:rsidRPr="00BD0B98">
              <w:rPr>
                <w:rFonts w:cs="Arial"/>
                <w:color w:val="7F7F7F"/>
                <w:szCs w:val="18"/>
                <w:lang w:eastAsia="en-AU"/>
              </w:rPr>
              <w:t>3%</w:t>
            </w:r>
          </w:p>
        </w:tc>
        <w:tc>
          <w:tcPr>
            <w:tcW w:w="1701" w:type="dxa"/>
            <w:tcBorders>
              <w:top w:val="nil"/>
              <w:left w:val="nil"/>
              <w:bottom w:val="nil"/>
              <w:right w:val="nil"/>
            </w:tcBorders>
            <w:shd w:val="clear" w:color="auto" w:fill="auto"/>
            <w:noWrap/>
            <w:vAlign w:val="center"/>
            <w:hideMark/>
          </w:tcPr>
          <w:p w:rsidR="00BD0B98" w:rsidRPr="00BD0B98" w:rsidRDefault="003154DB" w:rsidP="003154DB">
            <w:pPr>
              <w:jc w:val="right"/>
              <w:rPr>
                <w:rFonts w:cs="Arial"/>
                <w:color w:val="7F7F7F"/>
                <w:szCs w:val="18"/>
                <w:lang w:eastAsia="en-AU"/>
              </w:rPr>
            </w:pPr>
            <w:r>
              <w:rPr>
                <w:rFonts w:cs="Arial"/>
                <w:color w:val="7F7F7F"/>
                <w:szCs w:val="18"/>
                <w:lang w:eastAsia="en-AU"/>
              </w:rPr>
              <w:t>63</w:t>
            </w:r>
            <w:r w:rsidR="00BD0B98" w:rsidRPr="00BD0B98">
              <w:rPr>
                <w:rFonts w:cs="Arial"/>
                <w:color w:val="7F7F7F"/>
                <w:szCs w:val="18"/>
                <w:lang w:eastAsia="en-AU"/>
              </w:rPr>
              <w:t>%</w:t>
            </w:r>
          </w:p>
        </w:tc>
      </w:tr>
      <w:tr w:rsidR="00BD0B98" w:rsidRPr="00BD0B98" w:rsidTr="008115B3">
        <w:trPr>
          <w:trHeight w:val="300"/>
        </w:trPr>
        <w:tc>
          <w:tcPr>
            <w:tcW w:w="2180" w:type="dxa"/>
            <w:tcBorders>
              <w:top w:val="nil"/>
              <w:left w:val="nil"/>
              <w:bottom w:val="nil"/>
              <w:right w:val="nil"/>
            </w:tcBorders>
            <w:shd w:val="clear" w:color="auto" w:fill="auto"/>
            <w:noWrap/>
            <w:vAlign w:val="center"/>
            <w:hideMark/>
          </w:tcPr>
          <w:p w:rsidR="00BD0B98" w:rsidRPr="00BD0B98" w:rsidRDefault="003154DB" w:rsidP="003154DB">
            <w:pPr>
              <w:ind w:firstLine="333"/>
              <w:rPr>
                <w:rFonts w:cs="Arial"/>
                <w:color w:val="7F7F7F"/>
                <w:szCs w:val="18"/>
                <w:lang w:eastAsia="en-AU"/>
              </w:rPr>
            </w:pPr>
            <w:r>
              <w:rPr>
                <w:rFonts w:cs="Arial"/>
                <w:color w:val="7F7F7F"/>
                <w:szCs w:val="18"/>
                <w:lang w:eastAsia="en-AU"/>
              </w:rPr>
              <w:t>University</w:t>
            </w:r>
          </w:p>
        </w:tc>
        <w:tc>
          <w:tcPr>
            <w:tcW w:w="1946" w:type="dxa"/>
            <w:tcBorders>
              <w:top w:val="nil"/>
              <w:left w:val="nil"/>
              <w:bottom w:val="nil"/>
              <w:right w:val="nil"/>
            </w:tcBorders>
            <w:shd w:val="clear" w:color="auto" w:fill="auto"/>
            <w:noWrap/>
            <w:vAlign w:val="center"/>
            <w:hideMark/>
          </w:tcPr>
          <w:p w:rsidR="00BD0B98" w:rsidRPr="00BD0B98" w:rsidRDefault="003154DB" w:rsidP="003154DB">
            <w:pPr>
              <w:jc w:val="right"/>
              <w:rPr>
                <w:rFonts w:cs="Arial"/>
                <w:color w:val="7F7F7F"/>
                <w:szCs w:val="18"/>
                <w:lang w:eastAsia="en-AU"/>
              </w:rPr>
            </w:pPr>
            <w:r>
              <w:rPr>
                <w:rFonts w:cs="Arial"/>
                <w:color w:val="7F7F7F"/>
                <w:szCs w:val="18"/>
                <w:lang w:eastAsia="en-AU"/>
              </w:rPr>
              <w:t>2</w:t>
            </w:r>
            <w:r w:rsidR="00BD0B98" w:rsidRPr="00BD0B98">
              <w:rPr>
                <w:rFonts w:cs="Arial"/>
                <w:color w:val="7F7F7F"/>
                <w:szCs w:val="18"/>
                <w:lang w:eastAsia="en-AU"/>
              </w:rPr>
              <w:t>3%</w:t>
            </w:r>
          </w:p>
        </w:tc>
        <w:tc>
          <w:tcPr>
            <w:tcW w:w="1701" w:type="dxa"/>
            <w:tcBorders>
              <w:top w:val="nil"/>
              <w:left w:val="nil"/>
              <w:bottom w:val="nil"/>
              <w:right w:val="nil"/>
            </w:tcBorders>
            <w:shd w:val="clear" w:color="auto" w:fill="auto"/>
            <w:noWrap/>
            <w:vAlign w:val="center"/>
            <w:hideMark/>
          </w:tcPr>
          <w:p w:rsidR="00BD0B98" w:rsidRPr="00BD0B98" w:rsidRDefault="003154DB" w:rsidP="003154DB">
            <w:pPr>
              <w:jc w:val="right"/>
              <w:rPr>
                <w:rFonts w:cs="Arial"/>
                <w:color w:val="7F7F7F"/>
                <w:szCs w:val="18"/>
                <w:lang w:eastAsia="en-AU"/>
              </w:rPr>
            </w:pPr>
            <w:r>
              <w:rPr>
                <w:rFonts w:cs="Arial"/>
                <w:color w:val="7F7F7F"/>
                <w:szCs w:val="18"/>
                <w:lang w:eastAsia="en-AU"/>
              </w:rPr>
              <w:t>19</w:t>
            </w:r>
            <w:r w:rsidR="00BD0B98" w:rsidRPr="00BD0B98">
              <w:rPr>
                <w:rFonts w:cs="Arial"/>
                <w:color w:val="7F7F7F"/>
                <w:szCs w:val="18"/>
                <w:lang w:eastAsia="en-AU"/>
              </w:rPr>
              <w:t>%</w:t>
            </w:r>
          </w:p>
        </w:tc>
      </w:tr>
      <w:tr w:rsidR="00BD0B98" w:rsidRPr="00BD0B98" w:rsidTr="008115B3">
        <w:trPr>
          <w:trHeight w:val="300"/>
        </w:trPr>
        <w:tc>
          <w:tcPr>
            <w:tcW w:w="2180" w:type="dxa"/>
            <w:tcBorders>
              <w:top w:val="nil"/>
              <w:left w:val="nil"/>
              <w:bottom w:val="nil"/>
              <w:right w:val="nil"/>
            </w:tcBorders>
            <w:shd w:val="clear" w:color="000000" w:fill="7F7F7F"/>
            <w:noWrap/>
            <w:vAlign w:val="center"/>
            <w:hideMark/>
          </w:tcPr>
          <w:p w:rsidR="00BD0B98" w:rsidRPr="00BD0B98" w:rsidRDefault="00BD0B98" w:rsidP="00BD0B98">
            <w:pPr>
              <w:rPr>
                <w:rFonts w:cs="Arial"/>
                <w:b/>
                <w:bCs/>
                <w:color w:val="FFFFFF"/>
                <w:szCs w:val="18"/>
                <w:lang w:eastAsia="en-AU"/>
              </w:rPr>
            </w:pPr>
            <w:r w:rsidRPr="00BD0B98">
              <w:rPr>
                <w:rFonts w:cs="Arial"/>
                <w:b/>
                <w:bCs/>
                <w:color w:val="FFFFFF"/>
                <w:szCs w:val="18"/>
                <w:lang w:eastAsia="en-AU"/>
              </w:rPr>
              <w:t>Total</w:t>
            </w:r>
          </w:p>
        </w:tc>
        <w:tc>
          <w:tcPr>
            <w:tcW w:w="1946" w:type="dxa"/>
            <w:tcBorders>
              <w:top w:val="nil"/>
              <w:left w:val="nil"/>
              <w:bottom w:val="nil"/>
              <w:right w:val="nil"/>
            </w:tcBorders>
            <w:shd w:val="clear" w:color="000000" w:fill="7F7F7F"/>
            <w:noWrap/>
            <w:vAlign w:val="center"/>
            <w:hideMark/>
          </w:tcPr>
          <w:p w:rsidR="00BD0B98" w:rsidRPr="00BD0B98" w:rsidRDefault="00BD0B98" w:rsidP="00BD0B98">
            <w:pPr>
              <w:jc w:val="right"/>
              <w:rPr>
                <w:rFonts w:cs="Arial"/>
                <w:b/>
                <w:bCs/>
                <w:color w:val="FFFFFF"/>
                <w:szCs w:val="18"/>
                <w:lang w:eastAsia="en-AU"/>
              </w:rPr>
            </w:pPr>
            <w:r w:rsidRPr="00BD0B98">
              <w:rPr>
                <w:rFonts w:cs="Arial"/>
                <w:b/>
                <w:bCs/>
                <w:color w:val="FFFFFF"/>
                <w:szCs w:val="18"/>
                <w:lang w:eastAsia="en-AU"/>
              </w:rPr>
              <w:t>100%</w:t>
            </w:r>
          </w:p>
        </w:tc>
        <w:tc>
          <w:tcPr>
            <w:tcW w:w="1701" w:type="dxa"/>
            <w:tcBorders>
              <w:top w:val="nil"/>
              <w:left w:val="nil"/>
              <w:bottom w:val="nil"/>
              <w:right w:val="nil"/>
            </w:tcBorders>
            <w:shd w:val="clear" w:color="000000" w:fill="7F7F7F"/>
            <w:noWrap/>
            <w:vAlign w:val="center"/>
            <w:hideMark/>
          </w:tcPr>
          <w:p w:rsidR="00BD0B98" w:rsidRPr="00BD0B98" w:rsidRDefault="00BD0B98" w:rsidP="00BD0B98">
            <w:pPr>
              <w:jc w:val="right"/>
              <w:rPr>
                <w:rFonts w:cs="Arial"/>
                <w:b/>
                <w:bCs/>
                <w:color w:val="FFFFFF"/>
                <w:szCs w:val="18"/>
                <w:lang w:eastAsia="en-AU"/>
              </w:rPr>
            </w:pPr>
            <w:r w:rsidRPr="00BD0B98">
              <w:rPr>
                <w:rFonts w:cs="Arial"/>
                <w:b/>
                <w:bCs/>
                <w:color w:val="FFFFFF"/>
                <w:szCs w:val="18"/>
                <w:lang w:eastAsia="en-AU"/>
              </w:rPr>
              <w:t>100%</w:t>
            </w:r>
          </w:p>
        </w:tc>
      </w:tr>
    </w:tbl>
    <w:p w:rsidR="00F24ED7" w:rsidRDefault="00F24ED7" w:rsidP="00F24ED7">
      <w:pPr>
        <w:rPr>
          <w:color w:val="7F7F7F" w:themeColor="text2"/>
        </w:rPr>
      </w:pPr>
    </w:p>
    <w:p w:rsidR="00F24ED7" w:rsidRDefault="00F24ED7" w:rsidP="00F24ED7">
      <w:pPr>
        <w:rPr>
          <w:color w:val="7F7F7F" w:themeColor="text2"/>
        </w:rPr>
      </w:pP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8115B3" w:rsidTr="008115B3">
        <w:tc>
          <w:tcPr>
            <w:tcW w:w="1134" w:type="dxa"/>
            <w:tcMar>
              <w:left w:w="0" w:type="dxa"/>
              <w:right w:w="0" w:type="dxa"/>
            </w:tcMar>
          </w:tcPr>
          <w:p w:rsidR="008115B3" w:rsidRDefault="008115B3" w:rsidP="00AB1331">
            <w:pPr>
              <w:pStyle w:val="Quote"/>
              <w:tabs>
                <w:tab w:val="left" w:pos="1134"/>
              </w:tabs>
              <w:rPr>
                <w:b w:val="0"/>
                <w:color w:val="B41F22" w:themeColor="accent1"/>
              </w:rPr>
            </w:pPr>
            <w:r>
              <w:rPr>
                <w:b w:val="0"/>
                <w:color w:val="B41F22" w:themeColor="accent1"/>
              </w:rPr>
              <w:t>Figure 1.</w:t>
            </w:r>
            <w:r w:rsidR="00AB1331">
              <w:rPr>
                <w:b w:val="0"/>
                <w:color w:val="B41F22" w:themeColor="accent1"/>
              </w:rPr>
              <w:t>8</w:t>
            </w:r>
            <w:r>
              <w:rPr>
                <w:b w:val="0"/>
                <w:color w:val="B41F22" w:themeColor="accent1"/>
              </w:rPr>
              <w:t>:</w:t>
            </w:r>
          </w:p>
        </w:tc>
        <w:tc>
          <w:tcPr>
            <w:tcW w:w="6946" w:type="dxa"/>
            <w:tcMar>
              <w:left w:w="0" w:type="dxa"/>
              <w:right w:w="0" w:type="dxa"/>
            </w:tcMar>
          </w:tcPr>
          <w:p w:rsidR="008115B3" w:rsidRPr="00BC1522" w:rsidRDefault="008115B3" w:rsidP="008115B3">
            <w:pPr>
              <w:pStyle w:val="Quote"/>
              <w:tabs>
                <w:tab w:val="left" w:pos="1134"/>
              </w:tabs>
              <w:rPr>
                <w:b w:val="0"/>
                <w:color w:val="B41F22" w:themeColor="accent1"/>
              </w:rPr>
            </w:pPr>
            <w:r w:rsidRPr="008115B3">
              <w:rPr>
                <w:b w:val="0"/>
                <w:color w:val="B41F22" w:themeColor="accent1"/>
              </w:rPr>
              <w:t>Percentage share of fee-for-service onshore international enrolments by sector, 2014 to 2015 (half year)</w:t>
            </w:r>
          </w:p>
        </w:tc>
      </w:tr>
    </w:tbl>
    <w:p w:rsidR="008115B3" w:rsidRDefault="00472F62" w:rsidP="00F24ED7">
      <w:pPr>
        <w:rPr>
          <w:color w:val="7F7F7F" w:themeColor="text2"/>
        </w:rPr>
      </w:pPr>
      <w:r>
        <w:rPr>
          <w:noProof/>
          <w:color w:val="7F7F7F" w:themeColor="text2"/>
          <w:lang w:eastAsia="en-AU"/>
        </w:rPr>
        <w:drawing>
          <wp:inline distT="0" distB="0" distL="0" distR="0" wp14:anchorId="6A00D423" wp14:editId="3CD73402">
            <wp:extent cx="4320000" cy="2586241"/>
            <wp:effectExtent l="0" t="0" r="4445"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320000" cy="2586241"/>
                    </a:xfrm>
                    <a:prstGeom prst="rect">
                      <a:avLst/>
                    </a:prstGeom>
                    <a:noFill/>
                  </pic:spPr>
                </pic:pic>
              </a:graphicData>
            </a:graphic>
          </wp:inline>
        </w:drawing>
      </w:r>
    </w:p>
    <w:p w:rsidR="00F24ED7" w:rsidRDefault="00F24ED7" w:rsidP="00F24ED7">
      <w:pPr>
        <w:rPr>
          <w:noProof/>
          <w:color w:val="7F7F7F" w:themeColor="text2"/>
          <w:lang w:eastAsia="en-AU"/>
        </w:rPr>
      </w:pPr>
    </w:p>
    <w:p w:rsidR="008115B3" w:rsidRDefault="008115B3" w:rsidP="00F24ED7">
      <w:pPr>
        <w:rPr>
          <w:color w:val="7F7F7F" w:themeColor="text2"/>
        </w:rPr>
      </w:pPr>
    </w:p>
    <w:p w:rsidR="00A03E2D" w:rsidRPr="00ED5A4A" w:rsidRDefault="00A03E2D">
      <w:pPr>
        <w:rPr>
          <w:rFonts w:cs="Arial"/>
          <w:bCs/>
          <w:iCs/>
          <w:color w:val="7F7F7F" w:themeColor="text2"/>
          <w:sz w:val="20"/>
          <w:szCs w:val="20"/>
        </w:rPr>
      </w:pPr>
      <w:r>
        <w:rPr>
          <w:color w:val="B41F22" w:themeColor="accent1"/>
        </w:rPr>
        <w:br w:type="page"/>
      </w:r>
    </w:p>
    <w:p w:rsidR="008038B4" w:rsidRPr="00F14D3F" w:rsidRDefault="00C85325" w:rsidP="003D6D4F">
      <w:pPr>
        <w:pStyle w:val="Heading2"/>
        <w:spacing w:after="120"/>
        <w:rPr>
          <w:color w:val="B41F22" w:themeColor="accent1"/>
        </w:rPr>
      </w:pPr>
      <w:bookmarkStart w:id="15" w:name="_Toc432758325"/>
      <w:r>
        <w:rPr>
          <w:color w:val="B41F22" w:themeColor="accent1"/>
        </w:rPr>
        <w:lastRenderedPageBreak/>
        <w:t>TAFE Activity</w:t>
      </w:r>
      <w:bookmarkEnd w:id="15"/>
    </w:p>
    <w:p w:rsidR="00993E2A" w:rsidRDefault="0070410F" w:rsidP="00993E2A">
      <w:pPr>
        <w:pStyle w:val="Quote"/>
        <w:spacing w:before="120" w:after="120"/>
        <w:rPr>
          <w:b w:val="0"/>
          <w:sz w:val="18"/>
          <w:szCs w:val="24"/>
        </w:rPr>
      </w:pPr>
      <w:r w:rsidRPr="002F6569">
        <w:rPr>
          <w:b w:val="0"/>
          <w:sz w:val="18"/>
          <w:szCs w:val="24"/>
        </w:rPr>
        <w:t>TAFEs are valued public institutions that play a significant role in meeting the needs of the economy while also strengthening their communities.</w:t>
      </w:r>
      <w:r w:rsidR="007F2599" w:rsidRPr="002F6569">
        <w:rPr>
          <w:b w:val="0"/>
          <w:sz w:val="18"/>
          <w:szCs w:val="24"/>
        </w:rPr>
        <w:t xml:space="preserve"> </w:t>
      </w:r>
      <w:r w:rsidRPr="002F6569">
        <w:rPr>
          <w:b w:val="0"/>
          <w:sz w:val="18"/>
          <w:szCs w:val="24"/>
        </w:rPr>
        <w:t>TAFEs work to address skills needs, support the development of work-ready training graduates and lower barriers to participation for disadvantaged and high needs learners across the state.</w:t>
      </w:r>
    </w:p>
    <w:p w:rsidR="00662929" w:rsidRPr="002F6569" w:rsidRDefault="0070410F" w:rsidP="00993E2A">
      <w:pPr>
        <w:pStyle w:val="Quote"/>
        <w:spacing w:before="120" w:after="120"/>
        <w:rPr>
          <w:b w:val="0"/>
          <w:sz w:val="18"/>
          <w:szCs w:val="24"/>
        </w:rPr>
      </w:pPr>
      <w:r w:rsidRPr="002F6569">
        <w:rPr>
          <w:b w:val="0"/>
          <w:sz w:val="18"/>
          <w:szCs w:val="24"/>
        </w:rPr>
        <w:t xml:space="preserve">This section provides an overview of the training activity of TAFEs. It includes information </w:t>
      </w:r>
      <w:r w:rsidR="00764C31" w:rsidRPr="002F6569">
        <w:rPr>
          <w:b w:val="0"/>
          <w:sz w:val="18"/>
          <w:szCs w:val="24"/>
        </w:rPr>
        <w:t xml:space="preserve">on </w:t>
      </w:r>
      <w:r w:rsidRPr="002F6569">
        <w:rPr>
          <w:b w:val="0"/>
          <w:sz w:val="18"/>
          <w:szCs w:val="24"/>
        </w:rPr>
        <w:t>both government subsidised training and fee-for-service training activity.</w:t>
      </w:r>
    </w:p>
    <w:p w:rsidR="0070410F" w:rsidRPr="002F6569" w:rsidRDefault="0070410F" w:rsidP="00151889">
      <w:pPr>
        <w:pStyle w:val="Quote"/>
        <w:rPr>
          <w:b w:val="0"/>
          <w:sz w:val="18"/>
          <w:szCs w:val="24"/>
        </w:rPr>
      </w:pPr>
    </w:p>
    <w:p w:rsidR="00600AB8" w:rsidRPr="002F6569" w:rsidRDefault="00600AB8" w:rsidP="00662929">
      <w:pPr>
        <w:pStyle w:val="Heading3"/>
        <w:rPr>
          <w:color w:val="7F7F7F" w:themeColor="text2"/>
        </w:rPr>
      </w:pPr>
      <w:r w:rsidRPr="002F6569">
        <w:rPr>
          <w:color w:val="7F7F7F" w:themeColor="text2"/>
        </w:rPr>
        <w:t xml:space="preserve">TAFE </w:t>
      </w:r>
      <w:r w:rsidR="001940C1" w:rsidRPr="002F6569">
        <w:rPr>
          <w:color w:val="7F7F7F" w:themeColor="text2"/>
        </w:rPr>
        <w:t>-</w:t>
      </w:r>
      <w:r w:rsidRPr="002F6569">
        <w:rPr>
          <w:color w:val="7F7F7F" w:themeColor="text2"/>
        </w:rPr>
        <w:t xml:space="preserve"> Overall delivery</w:t>
      </w:r>
    </w:p>
    <w:p w:rsidR="00600AB8" w:rsidRPr="002F6569" w:rsidRDefault="00600AB8" w:rsidP="00A03E2D">
      <w:pPr>
        <w:pStyle w:val="Quote"/>
        <w:pBdr>
          <w:top w:val="single" w:sz="4" w:space="1" w:color="7F7F7F" w:themeColor="text2"/>
          <w:left w:val="single" w:sz="4" w:space="4" w:color="7F7F7F" w:themeColor="text2"/>
          <w:bottom w:val="single" w:sz="4" w:space="1" w:color="7F7F7F" w:themeColor="text2"/>
          <w:right w:val="single" w:sz="4" w:space="4" w:color="7F7F7F" w:themeColor="text2"/>
        </w:pBdr>
        <w:spacing w:before="120" w:after="120"/>
      </w:pPr>
      <w:r w:rsidRPr="002F6569">
        <w:t>Key points</w:t>
      </w:r>
    </w:p>
    <w:p w:rsidR="007F2599" w:rsidRPr="002F6569" w:rsidRDefault="007F2599" w:rsidP="00A03E2D">
      <w:pPr>
        <w:pStyle w:val="ListParagraph"/>
        <w:numPr>
          <w:ilvl w:val="0"/>
          <w:numId w:val="18"/>
        </w:numPr>
        <w:pBdr>
          <w:top w:val="single" w:sz="4" w:space="1" w:color="7F7F7F" w:themeColor="text2"/>
          <w:left w:val="single" w:sz="4" w:space="4" w:color="7F7F7F" w:themeColor="text2"/>
          <w:bottom w:val="single" w:sz="4" w:space="1" w:color="7F7F7F" w:themeColor="text2"/>
          <w:right w:val="single" w:sz="4" w:space="4" w:color="7F7F7F" w:themeColor="text2"/>
        </w:pBdr>
        <w:spacing w:before="120" w:after="120"/>
        <w:ind w:left="426" w:hanging="426"/>
        <w:contextualSpacing w:val="0"/>
        <w:rPr>
          <w:color w:val="7F7F7F" w:themeColor="text2"/>
        </w:rPr>
      </w:pPr>
      <w:r w:rsidRPr="002F6569">
        <w:rPr>
          <w:color w:val="7F7F7F" w:themeColor="text2"/>
        </w:rPr>
        <w:t>In 201</w:t>
      </w:r>
      <w:r w:rsidR="000129C4" w:rsidRPr="002F6569">
        <w:rPr>
          <w:color w:val="7F7F7F" w:themeColor="text2"/>
        </w:rPr>
        <w:t>5 (half year)</w:t>
      </w:r>
      <w:r w:rsidRPr="002F6569">
        <w:rPr>
          <w:color w:val="7F7F7F" w:themeColor="text2"/>
        </w:rPr>
        <w:t xml:space="preserve"> there were </w:t>
      </w:r>
      <w:r w:rsidR="009434FC" w:rsidRPr="002F6569">
        <w:rPr>
          <w:color w:val="7F7F7F" w:themeColor="text2"/>
        </w:rPr>
        <w:t>129,131</w:t>
      </w:r>
      <w:r w:rsidRPr="002F6569">
        <w:rPr>
          <w:color w:val="7F7F7F" w:themeColor="text2"/>
        </w:rPr>
        <w:t xml:space="preserve"> students studying at TAFE in government subsidised and fee-for-service</w:t>
      </w:r>
      <w:r w:rsidR="009434FC">
        <w:rPr>
          <w:color w:val="7F7F7F" w:themeColor="text2"/>
        </w:rPr>
        <w:t xml:space="preserve"> (including </w:t>
      </w:r>
      <w:r w:rsidR="009434FC" w:rsidRPr="002F6569">
        <w:rPr>
          <w:color w:val="7F7F7F" w:themeColor="text2"/>
        </w:rPr>
        <w:t>domestic and international</w:t>
      </w:r>
      <w:r w:rsidR="009434FC">
        <w:rPr>
          <w:color w:val="7F7F7F" w:themeColor="text2"/>
        </w:rPr>
        <w:t>)</w:t>
      </w:r>
      <w:r w:rsidR="00B063D5">
        <w:rPr>
          <w:color w:val="7F7F7F" w:themeColor="text2"/>
        </w:rPr>
        <w:t xml:space="preserve"> training</w:t>
      </w:r>
      <w:r w:rsidRPr="002F6569">
        <w:rPr>
          <w:color w:val="7F7F7F" w:themeColor="text2"/>
        </w:rPr>
        <w:t>. This was the lowest over 20</w:t>
      </w:r>
      <w:r w:rsidR="000129C4" w:rsidRPr="002F6569">
        <w:rPr>
          <w:color w:val="7F7F7F" w:themeColor="text2"/>
        </w:rPr>
        <w:t>10</w:t>
      </w:r>
      <w:r w:rsidRPr="002F6569">
        <w:rPr>
          <w:color w:val="7F7F7F" w:themeColor="text2"/>
        </w:rPr>
        <w:t xml:space="preserve"> to 201</w:t>
      </w:r>
      <w:r w:rsidR="000129C4" w:rsidRPr="002F6569">
        <w:rPr>
          <w:color w:val="7F7F7F" w:themeColor="text2"/>
        </w:rPr>
        <w:t>5 (half year)</w:t>
      </w:r>
      <w:r w:rsidRPr="002F6569">
        <w:rPr>
          <w:color w:val="7F7F7F" w:themeColor="text2"/>
        </w:rPr>
        <w:t xml:space="preserve"> and </w:t>
      </w:r>
      <w:r w:rsidR="000129C4" w:rsidRPr="002F6569">
        <w:rPr>
          <w:color w:val="7F7F7F" w:themeColor="text2"/>
        </w:rPr>
        <w:t>11</w:t>
      </w:r>
      <w:r w:rsidRPr="002F6569">
        <w:rPr>
          <w:color w:val="7F7F7F" w:themeColor="text2"/>
        </w:rPr>
        <w:t xml:space="preserve"> per cent lower than 201</w:t>
      </w:r>
      <w:r w:rsidR="000129C4" w:rsidRPr="002F6569">
        <w:rPr>
          <w:color w:val="7F7F7F" w:themeColor="text2"/>
        </w:rPr>
        <w:t>4 (half year)</w:t>
      </w:r>
      <w:r w:rsidRPr="002F6569">
        <w:rPr>
          <w:color w:val="7F7F7F" w:themeColor="text2"/>
        </w:rPr>
        <w:t>.</w:t>
      </w:r>
    </w:p>
    <w:p w:rsidR="00986C8E" w:rsidRPr="002F6569" w:rsidRDefault="00396659" w:rsidP="00151889">
      <w:pPr>
        <w:pStyle w:val="ListParagraph"/>
        <w:numPr>
          <w:ilvl w:val="0"/>
          <w:numId w:val="18"/>
        </w:numPr>
        <w:pBdr>
          <w:top w:val="single" w:sz="4" w:space="1" w:color="7F7F7F" w:themeColor="text2"/>
          <w:left w:val="single" w:sz="4" w:space="4" w:color="7F7F7F" w:themeColor="text2"/>
          <w:bottom w:val="single" w:sz="4" w:space="1" w:color="7F7F7F" w:themeColor="text2"/>
          <w:right w:val="single" w:sz="4" w:space="4" w:color="7F7F7F" w:themeColor="text2"/>
        </w:pBdr>
        <w:spacing w:before="120"/>
        <w:ind w:left="425" w:hanging="425"/>
        <w:contextualSpacing w:val="0"/>
        <w:rPr>
          <w:color w:val="7F7F7F" w:themeColor="text2"/>
        </w:rPr>
      </w:pPr>
      <w:r w:rsidRPr="002F6569">
        <w:rPr>
          <w:color w:val="7F7F7F" w:themeColor="text2"/>
        </w:rPr>
        <w:t>Both government subsidised and fee-for-service TAFE enrolments (for domestic and international students) declined to their lowest point in 2015 (half year) to 156,304 enrolments</w:t>
      </w:r>
      <w:r w:rsidR="00FE2A45">
        <w:rPr>
          <w:color w:val="7F7F7F" w:themeColor="text2"/>
        </w:rPr>
        <w:t xml:space="preserve">, </w:t>
      </w:r>
      <w:r w:rsidR="00B063D5">
        <w:rPr>
          <w:color w:val="7F7F7F" w:themeColor="text2"/>
        </w:rPr>
        <w:t>within</w:t>
      </w:r>
      <w:r w:rsidR="00FE2A45">
        <w:rPr>
          <w:color w:val="7F7F7F" w:themeColor="text2"/>
        </w:rPr>
        <w:t xml:space="preserve"> the period 2010 to 2015</w:t>
      </w:r>
      <w:r w:rsidRPr="002F6569">
        <w:rPr>
          <w:color w:val="7F7F7F" w:themeColor="text2"/>
        </w:rPr>
        <w:t>. The 2015 (half year) result was down by 14 per cent compared to 2014 (half year).</w:t>
      </w:r>
    </w:p>
    <w:p w:rsidR="00A03E2D" w:rsidRPr="00365EB2" w:rsidRDefault="00A03E2D" w:rsidP="00151889">
      <w:pPr>
        <w:pBdr>
          <w:top w:val="single" w:sz="4" w:space="1" w:color="7F7F7F" w:themeColor="text2"/>
          <w:left w:val="single" w:sz="4" w:space="4" w:color="7F7F7F" w:themeColor="text2"/>
          <w:bottom w:val="single" w:sz="4" w:space="1" w:color="7F7F7F" w:themeColor="text2"/>
          <w:right w:val="single" w:sz="4" w:space="4" w:color="7F7F7F" w:themeColor="text2"/>
        </w:pBdr>
      </w:pPr>
    </w:p>
    <w:p w:rsidR="007F2599" w:rsidRPr="00993E2A" w:rsidRDefault="007F2599" w:rsidP="00151889">
      <w:pPr>
        <w:rPr>
          <w:sz w:val="16"/>
        </w:rPr>
      </w:pPr>
    </w:p>
    <w:p w:rsidR="00151889" w:rsidRPr="00993E2A" w:rsidRDefault="00151889" w:rsidP="00151889">
      <w:pPr>
        <w:rPr>
          <w:sz w:val="16"/>
        </w:rPr>
      </w:pP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CF2549" w:rsidTr="00CF2549">
        <w:tc>
          <w:tcPr>
            <w:tcW w:w="1134" w:type="dxa"/>
            <w:tcMar>
              <w:left w:w="0" w:type="dxa"/>
              <w:right w:w="0" w:type="dxa"/>
            </w:tcMar>
          </w:tcPr>
          <w:p w:rsidR="00CF2549" w:rsidRDefault="00CF2549" w:rsidP="0084117E">
            <w:pPr>
              <w:pStyle w:val="Quote"/>
              <w:tabs>
                <w:tab w:val="left" w:pos="1134"/>
              </w:tabs>
              <w:rPr>
                <w:b w:val="0"/>
                <w:color w:val="B41F22" w:themeColor="accent1"/>
              </w:rPr>
            </w:pPr>
            <w:r>
              <w:rPr>
                <w:b w:val="0"/>
                <w:color w:val="B41F22" w:themeColor="accent1"/>
              </w:rPr>
              <w:t>Table 1.2</w:t>
            </w:r>
            <w:r w:rsidR="0084117E">
              <w:rPr>
                <w:b w:val="0"/>
                <w:color w:val="B41F22" w:themeColor="accent1"/>
              </w:rPr>
              <w:t>2</w:t>
            </w:r>
            <w:r>
              <w:rPr>
                <w:b w:val="0"/>
                <w:color w:val="B41F22" w:themeColor="accent1"/>
              </w:rPr>
              <w:t>.1:</w:t>
            </w:r>
          </w:p>
        </w:tc>
        <w:tc>
          <w:tcPr>
            <w:tcW w:w="6946" w:type="dxa"/>
            <w:tcMar>
              <w:left w:w="0" w:type="dxa"/>
              <w:right w:w="0" w:type="dxa"/>
            </w:tcMar>
          </w:tcPr>
          <w:p w:rsidR="00CF2549" w:rsidRDefault="002618A4" w:rsidP="007E03F8">
            <w:pPr>
              <w:pStyle w:val="Quote"/>
              <w:tabs>
                <w:tab w:val="left" w:pos="1134"/>
              </w:tabs>
              <w:rPr>
                <w:b w:val="0"/>
                <w:color w:val="B41F22" w:themeColor="accent1"/>
              </w:rPr>
            </w:pPr>
            <w:r>
              <w:rPr>
                <w:b w:val="0"/>
                <w:color w:val="B41F22" w:themeColor="accent1"/>
              </w:rPr>
              <w:t>S</w:t>
            </w:r>
            <w:r w:rsidR="00CF2549" w:rsidRPr="001940C1">
              <w:rPr>
                <w:b w:val="0"/>
                <w:color w:val="B41F22" w:themeColor="accent1"/>
              </w:rPr>
              <w:t xml:space="preserve">tudents in government subsidised and fee-for-service training </w:t>
            </w:r>
            <w:r w:rsidR="007E03F8">
              <w:rPr>
                <w:b w:val="0"/>
                <w:color w:val="B41F22" w:themeColor="accent1"/>
              </w:rPr>
              <w:t>at</w:t>
            </w:r>
            <w:r w:rsidR="00CF2549" w:rsidRPr="001940C1">
              <w:rPr>
                <w:b w:val="0"/>
                <w:color w:val="B41F22" w:themeColor="accent1"/>
              </w:rPr>
              <w:t xml:space="preserve"> TAFE, 2010 to 2015 (half year)</w:t>
            </w:r>
          </w:p>
        </w:tc>
      </w:tr>
    </w:tbl>
    <w:tbl>
      <w:tblPr>
        <w:tblW w:w="8095" w:type="dxa"/>
        <w:tblInd w:w="93" w:type="dxa"/>
        <w:tblLayout w:type="fixed"/>
        <w:tblLook w:val="04A0" w:firstRow="1" w:lastRow="0" w:firstColumn="1" w:lastColumn="0" w:noHBand="0" w:noVBand="1"/>
      </w:tblPr>
      <w:tblGrid>
        <w:gridCol w:w="2180"/>
        <w:gridCol w:w="985"/>
        <w:gridCol w:w="986"/>
        <w:gridCol w:w="986"/>
        <w:gridCol w:w="986"/>
        <w:gridCol w:w="986"/>
        <w:gridCol w:w="986"/>
      </w:tblGrid>
      <w:tr w:rsidR="001940C1" w:rsidRPr="001940C1" w:rsidTr="00993E2A">
        <w:trPr>
          <w:trHeight w:val="315"/>
        </w:trPr>
        <w:tc>
          <w:tcPr>
            <w:tcW w:w="2180" w:type="dxa"/>
            <w:tcBorders>
              <w:top w:val="nil"/>
              <w:left w:val="nil"/>
              <w:right w:val="nil"/>
            </w:tcBorders>
            <w:shd w:val="clear" w:color="000000" w:fill="7F7F7F"/>
            <w:noWrap/>
            <w:vAlign w:val="center"/>
            <w:hideMark/>
          </w:tcPr>
          <w:p w:rsidR="001940C1" w:rsidRPr="001940C1" w:rsidRDefault="001940C1" w:rsidP="001940C1">
            <w:pPr>
              <w:rPr>
                <w:rFonts w:cs="Arial"/>
                <w:color w:val="FFFFFF"/>
                <w:szCs w:val="18"/>
                <w:lang w:eastAsia="en-AU"/>
              </w:rPr>
            </w:pPr>
            <w:r w:rsidRPr="001940C1">
              <w:rPr>
                <w:rFonts w:cs="Arial"/>
                <w:color w:val="FFFFFF"/>
                <w:szCs w:val="18"/>
                <w:lang w:eastAsia="en-AU"/>
              </w:rPr>
              <w:t> </w:t>
            </w:r>
          </w:p>
        </w:tc>
        <w:tc>
          <w:tcPr>
            <w:tcW w:w="985" w:type="dxa"/>
            <w:tcBorders>
              <w:top w:val="nil"/>
              <w:left w:val="nil"/>
              <w:right w:val="nil"/>
            </w:tcBorders>
            <w:shd w:val="clear" w:color="000000" w:fill="7F7F7F"/>
            <w:noWrap/>
            <w:vAlign w:val="center"/>
            <w:hideMark/>
          </w:tcPr>
          <w:p w:rsidR="001940C1" w:rsidRPr="001940C1" w:rsidRDefault="001940C1" w:rsidP="001940C1">
            <w:pPr>
              <w:jc w:val="right"/>
              <w:rPr>
                <w:rFonts w:cs="Arial"/>
                <w:b/>
                <w:bCs/>
                <w:color w:val="FFFFFF"/>
                <w:szCs w:val="18"/>
                <w:lang w:eastAsia="en-AU"/>
              </w:rPr>
            </w:pPr>
            <w:r w:rsidRPr="001940C1">
              <w:rPr>
                <w:rFonts w:cs="Arial"/>
                <w:b/>
                <w:bCs/>
                <w:color w:val="FFFFFF"/>
                <w:szCs w:val="18"/>
                <w:lang w:eastAsia="en-AU"/>
              </w:rPr>
              <w:t>2010</w:t>
            </w:r>
          </w:p>
        </w:tc>
        <w:tc>
          <w:tcPr>
            <w:tcW w:w="986" w:type="dxa"/>
            <w:tcBorders>
              <w:top w:val="nil"/>
              <w:left w:val="nil"/>
              <w:right w:val="nil"/>
            </w:tcBorders>
            <w:shd w:val="clear" w:color="000000" w:fill="7F7F7F"/>
            <w:noWrap/>
            <w:vAlign w:val="center"/>
            <w:hideMark/>
          </w:tcPr>
          <w:p w:rsidR="001940C1" w:rsidRPr="001940C1" w:rsidRDefault="001940C1" w:rsidP="001940C1">
            <w:pPr>
              <w:jc w:val="right"/>
              <w:rPr>
                <w:rFonts w:cs="Arial"/>
                <w:b/>
                <w:bCs/>
                <w:color w:val="FFFFFF"/>
                <w:szCs w:val="18"/>
                <w:lang w:eastAsia="en-AU"/>
              </w:rPr>
            </w:pPr>
            <w:r w:rsidRPr="001940C1">
              <w:rPr>
                <w:rFonts w:cs="Arial"/>
                <w:b/>
                <w:bCs/>
                <w:color w:val="FFFFFF"/>
                <w:szCs w:val="18"/>
                <w:lang w:eastAsia="en-AU"/>
              </w:rPr>
              <w:t>2011</w:t>
            </w:r>
          </w:p>
        </w:tc>
        <w:tc>
          <w:tcPr>
            <w:tcW w:w="986" w:type="dxa"/>
            <w:tcBorders>
              <w:top w:val="nil"/>
              <w:left w:val="nil"/>
              <w:right w:val="nil"/>
            </w:tcBorders>
            <w:shd w:val="clear" w:color="000000" w:fill="7F7F7F"/>
            <w:noWrap/>
            <w:vAlign w:val="center"/>
            <w:hideMark/>
          </w:tcPr>
          <w:p w:rsidR="001940C1" w:rsidRPr="001940C1" w:rsidRDefault="001940C1" w:rsidP="001940C1">
            <w:pPr>
              <w:jc w:val="right"/>
              <w:rPr>
                <w:rFonts w:cs="Arial"/>
                <w:b/>
                <w:bCs/>
                <w:color w:val="FFFFFF"/>
                <w:szCs w:val="18"/>
                <w:lang w:eastAsia="en-AU"/>
              </w:rPr>
            </w:pPr>
            <w:r w:rsidRPr="001940C1">
              <w:rPr>
                <w:rFonts w:cs="Arial"/>
                <w:b/>
                <w:bCs/>
                <w:color w:val="FFFFFF"/>
                <w:szCs w:val="18"/>
                <w:lang w:eastAsia="en-AU"/>
              </w:rPr>
              <w:t>2012</w:t>
            </w:r>
          </w:p>
        </w:tc>
        <w:tc>
          <w:tcPr>
            <w:tcW w:w="986" w:type="dxa"/>
            <w:tcBorders>
              <w:top w:val="nil"/>
              <w:left w:val="nil"/>
              <w:right w:val="nil"/>
            </w:tcBorders>
            <w:shd w:val="clear" w:color="000000" w:fill="7F7F7F"/>
            <w:noWrap/>
            <w:vAlign w:val="center"/>
            <w:hideMark/>
          </w:tcPr>
          <w:p w:rsidR="001940C1" w:rsidRPr="001940C1" w:rsidRDefault="001940C1" w:rsidP="001940C1">
            <w:pPr>
              <w:jc w:val="right"/>
              <w:rPr>
                <w:rFonts w:cs="Arial"/>
                <w:b/>
                <w:bCs/>
                <w:color w:val="FFFFFF"/>
                <w:szCs w:val="18"/>
                <w:lang w:eastAsia="en-AU"/>
              </w:rPr>
            </w:pPr>
            <w:r w:rsidRPr="001940C1">
              <w:rPr>
                <w:rFonts w:cs="Arial"/>
                <w:b/>
                <w:bCs/>
                <w:color w:val="FFFFFF"/>
                <w:szCs w:val="18"/>
                <w:lang w:eastAsia="en-AU"/>
              </w:rPr>
              <w:t>2013</w:t>
            </w:r>
          </w:p>
        </w:tc>
        <w:tc>
          <w:tcPr>
            <w:tcW w:w="986" w:type="dxa"/>
            <w:tcBorders>
              <w:top w:val="nil"/>
              <w:left w:val="nil"/>
              <w:right w:val="nil"/>
            </w:tcBorders>
            <w:shd w:val="clear" w:color="000000" w:fill="7F7F7F"/>
            <w:noWrap/>
            <w:vAlign w:val="center"/>
            <w:hideMark/>
          </w:tcPr>
          <w:p w:rsidR="001940C1" w:rsidRPr="001940C1" w:rsidRDefault="001940C1" w:rsidP="001940C1">
            <w:pPr>
              <w:jc w:val="right"/>
              <w:rPr>
                <w:rFonts w:cs="Arial"/>
                <w:b/>
                <w:bCs/>
                <w:color w:val="FFFFFF"/>
                <w:szCs w:val="18"/>
                <w:lang w:eastAsia="en-AU"/>
              </w:rPr>
            </w:pPr>
            <w:r w:rsidRPr="001940C1">
              <w:rPr>
                <w:rFonts w:cs="Arial"/>
                <w:b/>
                <w:bCs/>
                <w:color w:val="FFFFFF"/>
                <w:szCs w:val="18"/>
                <w:lang w:eastAsia="en-AU"/>
              </w:rPr>
              <w:t>2014</w:t>
            </w:r>
          </w:p>
        </w:tc>
        <w:tc>
          <w:tcPr>
            <w:tcW w:w="986" w:type="dxa"/>
            <w:tcBorders>
              <w:top w:val="nil"/>
              <w:left w:val="nil"/>
              <w:right w:val="nil"/>
            </w:tcBorders>
            <w:shd w:val="clear" w:color="000000" w:fill="7F7F7F"/>
            <w:noWrap/>
            <w:vAlign w:val="center"/>
            <w:hideMark/>
          </w:tcPr>
          <w:p w:rsidR="001940C1" w:rsidRPr="001940C1" w:rsidRDefault="001940C1" w:rsidP="001940C1">
            <w:pPr>
              <w:jc w:val="right"/>
              <w:rPr>
                <w:rFonts w:cs="Arial"/>
                <w:b/>
                <w:bCs/>
                <w:color w:val="FFFFFF"/>
                <w:szCs w:val="18"/>
                <w:lang w:eastAsia="en-AU"/>
              </w:rPr>
            </w:pPr>
            <w:r w:rsidRPr="001940C1">
              <w:rPr>
                <w:rFonts w:cs="Arial"/>
                <w:b/>
                <w:bCs/>
                <w:color w:val="FFFFFF"/>
                <w:szCs w:val="18"/>
                <w:lang w:eastAsia="en-AU"/>
              </w:rPr>
              <w:t>2015</w:t>
            </w:r>
          </w:p>
        </w:tc>
      </w:tr>
      <w:tr w:rsidR="001940C1" w:rsidRPr="001940C1" w:rsidTr="001940C1">
        <w:trPr>
          <w:trHeight w:val="300"/>
        </w:trPr>
        <w:tc>
          <w:tcPr>
            <w:tcW w:w="2180" w:type="dxa"/>
            <w:tcBorders>
              <w:top w:val="nil"/>
              <w:left w:val="nil"/>
              <w:bottom w:val="nil"/>
              <w:right w:val="nil"/>
            </w:tcBorders>
            <w:shd w:val="clear" w:color="auto" w:fill="auto"/>
            <w:noWrap/>
            <w:vAlign w:val="center"/>
            <w:hideMark/>
          </w:tcPr>
          <w:p w:rsidR="001940C1" w:rsidRPr="001940C1" w:rsidRDefault="001940C1" w:rsidP="001940C1">
            <w:pPr>
              <w:rPr>
                <w:rFonts w:cs="Arial"/>
                <w:color w:val="7F7F7F"/>
                <w:szCs w:val="18"/>
                <w:lang w:eastAsia="en-AU"/>
              </w:rPr>
            </w:pPr>
            <w:r w:rsidRPr="001940C1">
              <w:rPr>
                <w:rFonts w:cs="Arial"/>
                <w:color w:val="7F7F7F"/>
                <w:szCs w:val="18"/>
                <w:lang w:eastAsia="en-AU"/>
              </w:rPr>
              <w:t>Government subsidised</w:t>
            </w:r>
          </w:p>
        </w:tc>
        <w:tc>
          <w:tcPr>
            <w:tcW w:w="985" w:type="dxa"/>
            <w:tcBorders>
              <w:top w:val="nil"/>
              <w:left w:val="nil"/>
              <w:bottom w:val="nil"/>
              <w:right w:val="nil"/>
            </w:tcBorders>
            <w:shd w:val="clear" w:color="auto" w:fill="auto"/>
            <w:noWrap/>
            <w:vAlign w:val="center"/>
            <w:hideMark/>
          </w:tcPr>
          <w:p w:rsidR="001940C1" w:rsidRPr="001940C1" w:rsidRDefault="001940C1" w:rsidP="001940C1">
            <w:pPr>
              <w:jc w:val="right"/>
              <w:rPr>
                <w:rFonts w:cs="Arial"/>
                <w:color w:val="7F7F7F"/>
                <w:szCs w:val="18"/>
                <w:lang w:eastAsia="en-AU"/>
              </w:rPr>
            </w:pPr>
            <w:r w:rsidRPr="001940C1">
              <w:rPr>
                <w:rFonts w:cs="Arial"/>
                <w:color w:val="7F7F7F"/>
                <w:szCs w:val="18"/>
                <w:lang w:eastAsia="en-AU"/>
              </w:rPr>
              <w:t>103,223</w:t>
            </w:r>
          </w:p>
        </w:tc>
        <w:tc>
          <w:tcPr>
            <w:tcW w:w="986" w:type="dxa"/>
            <w:tcBorders>
              <w:top w:val="nil"/>
              <w:left w:val="nil"/>
              <w:bottom w:val="nil"/>
              <w:right w:val="nil"/>
            </w:tcBorders>
            <w:shd w:val="clear" w:color="auto" w:fill="auto"/>
            <w:noWrap/>
            <w:vAlign w:val="center"/>
            <w:hideMark/>
          </w:tcPr>
          <w:p w:rsidR="001940C1" w:rsidRPr="001940C1" w:rsidRDefault="001940C1" w:rsidP="001940C1">
            <w:pPr>
              <w:jc w:val="right"/>
              <w:rPr>
                <w:rFonts w:cs="Arial"/>
                <w:color w:val="7F7F7F"/>
                <w:szCs w:val="18"/>
                <w:lang w:eastAsia="en-AU"/>
              </w:rPr>
            </w:pPr>
            <w:r w:rsidRPr="001940C1">
              <w:rPr>
                <w:rFonts w:cs="Arial"/>
                <w:color w:val="7F7F7F"/>
                <w:szCs w:val="18"/>
                <w:lang w:eastAsia="en-AU"/>
              </w:rPr>
              <w:t>101,213</w:t>
            </w:r>
          </w:p>
        </w:tc>
        <w:tc>
          <w:tcPr>
            <w:tcW w:w="986" w:type="dxa"/>
            <w:tcBorders>
              <w:top w:val="nil"/>
              <w:left w:val="nil"/>
              <w:bottom w:val="nil"/>
              <w:right w:val="nil"/>
            </w:tcBorders>
            <w:shd w:val="clear" w:color="auto" w:fill="auto"/>
            <w:noWrap/>
            <w:vAlign w:val="center"/>
            <w:hideMark/>
          </w:tcPr>
          <w:p w:rsidR="001940C1" w:rsidRPr="001940C1" w:rsidRDefault="001940C1" w:rsidP="001940C1">
            <w:pPr>
              <w:jc w:val="right"/>
              <w:rPr>
                <w:rFonts w:cs="Arial"/>
                <w:color w:val="7F7F7F"/>
                <w:szCs w:val="18"/>
                <w:lang w:eastAsia="en-AU"/>
              </w:rPr>
            </w:pPr>
            <w:r w:rsidRPr="001940C1">
              <w:rPr>
                <w:rFonts w:cs="Arial"/>
                <w:color w:val="7F7F7F"/>
                <w:szCs w:val="18"/>
                <w:lang w:eastAsia="en-AU"/>
              </w:rPr>
              <w:t>109,183</w:t>
            </w:r>
          </w:p>
        </w:tc>
        <w:tc>
          <w:tcPr>
            <w:tcW w:w="986" w:type="dxa"/>
            <w:tcBorders>
              <w:top w:val="nil"/>
              <w:left w:val="nil"/>
              <w:bottom w:val="nil"/>
              <w:right w:val="nil"/>
            </w:tcBorders>
            <w:shd w:val="clear" w:color="auto" w:fill="auto"/>
            <w:noWrap/>
            <w:vAlign w:val="center"/>
            <w:hideMark/>
          </w:tcPr>
          <w:p w:rsidR="001940C1" w:rsidRPr="001940C1" w:rsidRDefault="001940C1" w:rsidP="001940C1">
            <w:pPr>
              <w:jc w:val="right"/>
              <w:rPr>
                <w:rFonts w:cs="Arial"/>
                <w:color w:val="7F7F7F"/>
                <w:szCs w:val="18"/>
                <w:lang w:eastAsia="en-AU"/>
              </w:rPr>
            </w:pPr>
            <w:r w:rsidRPr="001940C1">
              <w:rPr>
                <w:rFonts w:cs="Arial"/>
                <w:color w:val="7F7F7F"/>
                <w:szCs w:val="18"/>
                <w:lang w:eastAsia="en-AU"/>
              </w:rPr>
              <w:t>94,195</w:t>
            </w:r>
          </w:p>
        </w:tc>
        <w:tc>
          <w:tcPr>
            <w:tcW w:w="986" w:type="dxa"/>
            <w:tcBorders>
              <w:top w:val="nil"/>
              <w:left w:val="nil"/>
              <w:bottom w:val="nil"/>
              <w:right w:val="nil"/>
            </w:tcBorders>
            <w:shd w:val="clear" w:color="auto" w:fill="auto"/>
            <w:noWrap/>
            <w:vAlign w:val="center"/>
            <w:hideMark/>
          </w:tcPr>
          <w:p w:rsidR="001940C1" w:rsidRPr="001940C1" w:rsidRDefault="001940C1" w:rsidP="001940C1">
            <w:pPr>
              <w:jc w:val="right"/>
              <w:rPr>
                <w:rFonts w:cs="Arial"/>
                <w:color w:val="7F7F7F"/>
                <w:szCs w:val="18"/>
                <w:lang w:eastAsia="en-AU"/>
              </w:rPr>
            </w:pPr>
            <w:r w:rsidRPr="001940C1">
              <w:rPr>
                <w:rFonts w:cs="Arial"/>
                <w:color w:val="7F7F7F"/>
                <w:szCs w:val="18"/>
                <w:lang w:eastAsia="en-AU"/>
              </w:rPr>
              <w:t>82,449</w:t>
            </w:r>
          </w:p>
        </w:tc>
        <w:tc>
          <w:tcPr>
            <w:tcW w:w="986" w:type="dxa"/>
            <w:tcBorders>
              <w:top w:val="nil"/>
              <w:left w:val="nil"/>
              <w:bottom w:val="nil"/>
              <w:right w:val="nil"/>
            </w:tcBorders>
            <w:shd w:val="clear" w:color="auto" w:fill="auto"/>
            <w:noWrap/>
            <w:vAlign w:val="center"/>
            <w:hideMark/>
          </w:tcPr>
          <w:p w:rsidR="001940C1" w:rsidRPr="001940C1" w:rsidRDefault="001940C1" w:rsidP="001940C1">
            <w:pPr>
              <w:jc w:val="right"/>
              <w:rPr>
                <w:rFonts w:cs="Arial"/>
                <w:color w:val="7F7F7F"/>
                <w:szCs w:val="18"/>
                <w:lang w:eastAsia="en-AU"/>
              </w:rPr>
            </w:pPr>
            <w:r w:rsidRPr="001940C1">
              <w:rPr>
                <w:rFonts w:cs="Arial"/>
                <w:color w:val="7F7F7F"/>
                <w:szCs w:val="18"/>
                <w:lang w:eastAsia="en-AU"/>
              </w:rPr>
              <w:t>71,591</w:t>
            </w:r>
          </w:p>
        </w:tc>
      </w:tr>
      <w:tr w:rsidR="001940C1" w:rsidRPr="001940C1" w:rsidTr="001940C1">
        <w:trPr>
          <w:trHeight w:val="300"/>
        </w:trPr>
        <w:tc>
          <w:tcPr>
            <w:tcW w:w="2180" w:type="dxa"/>
            <w:tcBorders>
              <w:top w:val="nil"/>
              <w:left w:val="nil"/>
              <w:bottom w:val="nil"/>
              <w:right w:val="nil"/>
            </w:tcBorders>
            <w:shd w:val="clear" w:color="auto" w:fill="auto"/>
            <w:noWrap/>
            <w:vAlign w:val="center"/>
            <w:hideMark/>
          </w:tcPr>
          <w:p w:rsidR="001940C1" w:rsidRPr="001940C1" w:rsidRDefault="001940C1" w:rsidP="001940C1">
            <w:pPr>
              <w:rPr>
                <w:rFonts w:cs="Arial"/>
                <w:color w:val="7F7F7F"/>
                <w:szCs w:val="18"/>
                <w:lang w:eastAsia="en-AU"/>
              </w:rPr>
            </w:pPr>
            <w:r w:rsidRPr="001940C1">
              <w:rPr>
                <w:rFonts w:cs="Arial"/>
                <w:color w:val="7F7F7F"/>
                <w:szCs w:val="18"/>
                <w:lang w:eastAsia="en-AU"/>
              </w:rPr>
              <w:t>Fee-for-service*</w:t>
            </w:r>
          </w:p>
        </w:tc>
        <w:tc>
          <w:tcPr>
            <w:tcW w:w="985" w:type="dxa"/>
            <w:tcBorders>
              <w:top w:val="nil"/>
              <w:left w:val="nil"/>
              <w:bottom w:val="nil"/>
              <w:right w:val="nil"/>
            </w:tcBorders>
            <w:shd w:val="clear" w:color="auto" w:fill="auto"/>
            <w:noWrap/>
            <w:vAlign w:val="center"/>
            <w:hideMark/>
          </w:tcPr>
          <w:p w:rsidR="001940C1" w:rsidRPr="001940C1" w:rsidRDefault="001940C1" w:rsidP="001940C1">
            <w:pPr>
              <w:jc w:val="right"/>
              <w:rPr>
                <w:rFonts w:cs="Arial"/>
                <w:color w:val="7F7F7F"/>
                <w:szCs w:val="18"/>
                <w:lang w:eastAsia="en-AU"/>
              </w:rPr>
            </w:pPr>
            <w:r w:rsidRPr="001940C1">
              <w:rPr>
                <w:rFonts w:cs="Arial"/>
                <w:color w:val="7F7F7F"/>
                <w:szCs w:val="18"/>
                <w:lang w:eastAsia="en-AU"/>
              </w:rPr>
              <w:t>82,321</w:t>
            </w:r>
          </w:p>
        </w:tc>
        <w:tc>
          <w:tcPr>
            <w:tcW w:w="986" w:type="dxa"/>
            <w:tcBorders>
              <w:top w:val="nil"/>
              <w:left w:val="nil"/>
              <w:bottom w:val="nil"/>
              <w:right w:val="nil"/>
            </w:tcBorders>
            <w:shd w:val="clear" w:color="auto" w:fill="auto"/>
            <w:noWrap/>
            <w:vAlign w:val="center"/>
            <w:hideMark/>
          </w:tcPr>
          <w:p w:rsidR="001940C1" w:rsidRPr="001940C1" w:rsidRDefault="001940C1" w:rsidP="001940C1">
            <w:pPr>
              <w:jc w:val="right"/>
              <w:rPr>
                <w:rFonts w:cs="Arial"/>
                <w:color w:val="7F7F7F"/>
                <w:szCs w:val="18"/>
                <w:lang w:eastAsia="en-AU"/>
              </w:rPr>
            </w:pPr>
            <w:r w:rsidRPr="001940C1">
              <w:rPr>
                <w:rFonts w:cs="Arial"/>
                <w:color w:val="7F7F7F"/>
                <w:szCs w:val="18"/>
                <w:lang w:eastAsia="en-AU"/>
              </w:rPr>
              <w:t>74,934</w:t>
            </w:r>
          </w:p>
        </w:tc>
        <w:tc>
          <w:tcPr>
            <w:tcW w:w="986" w:type="dxa"/>
            <w:tcBorders>
              <w:top w:val="nil"/>
              <w:left w:val="nil"/>
              <w:bottom w:val="nil"/>
              <w:right w:val="nil"/>
            </w:tcBorders>
            <w:shd w:val="clear" w:color="auto" w:fill="auto"/>
            <w:noWrap/>
            <w:vAlign w:val="center"/>
            <w:hideMark/>
          </w:tcPr>
          <w:p w:rsidR="001940C1" w:rsidRPr="001940C1" w:rsidRDefault="001940C1" w:rsidP="001940C1">
            <w:pPr>
              <w:jc w:val="right"/>
              <w:rPr>
                <w:rFonts w:cs="Arial"/>
                <w:color w:val="7F7F7F"/>
                <w:szCs w:val="18"/>
                <w:lang w:eastAsia="en-AU"/>
              </w:rPr>
            </w:pPr>
            <w:r w:rsidRPr="001940C1">
              <w:rPr>
                <w:rFonts w:cs="Arial"/>
                <w:color w:val="7F7F7F"/>
                <w:szCs w:val="18"/>
                <w:lang w:eastAsia="en-AU"/>
              </w:rPr>
              <w:t>77,660</w:t>
            </w:r>
          </w:p>
        </w:tc>
        <w:tc>
          <w:tcPr>
            <w:tcW w:w="986" w:type="dxa"/>
            <w:tcBorders>
              <w:top w:val="nil"/>
              <w:left w:val="nil"/>
              <w:bottom w:val="nil"/>
              <w:right w:val="nil"/>
            </w:tcBorders>
            <w:shd w:val="clear" w:color="auto" w:fill="auto"/>
            <w:noWrap/>
            <w:vAlign w:val="center"/>
            <w:hideMark/>
          </w:tcPr>
          <w:p w:rsidR="001940C1" w:rsidRPr="001940C1" w:rsidRDefault="001940C1" w:rsidP="001940C1">
            <w:pPr>
              <w:jc w:val="right"/>
              <w:rPr>
                <w:rFonts w:cs="Arial"/>
                <w:color w:val="7F7F7F"/>
                <w:szCs w:val="18"/>
                <w:lang w:eastAsia="en-AU"/>
              </w:rPr>
            </w:pPr>
            <w:r w:rsidRPr="001940C1">
              <w:rPr>
                <w:rFonts w:cs="Arial"/>
                <w:color w:val="7F7F7F"/>
                <w:szCs w:val="18"/>
                <w:lang w:eastAsia="en-AU"/>
              </w:rPr>
              <w:t>64,152</w:t>
            </w:r>
          </w:p>
        </w:tc>
        <w:tc>
          <w:tcPr>
            <w:tcW w:w="986" w:type="dxa"/>
            <w:tcBorders>
              <w:top w:val="nil"/>
              <w:left w:val="nil"/>
              <w:bottom w:val="nil"/>
              <w:right w:val="nil"/>
            </w:tcBorders>
            <w:shd w:val="clear" w:color="auto" w:fill="auto"/>
            <w:noWrap/>
            <w:vAlign w:val="center"/>
            <w:hideMark/>
          </w:tcPr>
          <w:p w:rsidR="001940C1" w:rsidRPr="001940C1" w:rsidRDefault="001940C1" w:rsidP="001940C1">
            <w:pPr>
              <w:jc w:val="right"/>
              <w:rPr>
                <w:rFonts w:cs="Arial"/>
                <w:color w:val="7F7F7F"/>
                <w:szCs w:val="18"/>
                <w:lang w:eastAsia="en-AU"/>
              </w:rPr>
            </w:pPr>
            <w:r w:rsidRPr="001940C1">
              <w:rPr>
                <w:rFonts w:cs="Arial"/>
                <w:color w:val="7F7F7F"/>
                <w:szCs w:val="18"/>
                <w:lang w:eastAsia="en-AU"/>
              </w:rPr>
              <w:t>68,708</w:t>
            </w:r>
          </w:p>
        </w:tc>
        <w:tc>
          <w:tcPr>
            <w:tcW w:w="986" w:type="dxa"/>
            <w:tcBorders>
              <w:top w:val="nil"/>
              <w:left w:val="nil"/>
              <w:bottom w:val="nil"/>
              <w:right w:val="nil"/>
            </w:tcBorders>
            <w:shd w:val="clear" w:color="auto" w:fill="auto"/>
            <w:noWrap/>
            <w:vAlign w:val="center"/>
            <w:hideMark/>
          </w:tcPr>
          <w:p w:rsidR="001940C1" w:rsidRPr="001940C1" w:rsidRDefault="001940C1" w:rsidP="001940C1">
            <w:pPr>
              <w:jc w:val="right"/>
              <w:rPr>
                <w:rFonts w:cs="Arial"/>
                <w:color w:val="7F7F7F"/>
                <w:szCs w:val="18"/>
                <w:lang w:eastAsia="en-AU"/>
              </w:rPr>
            </w:pPr>
            <w:r w:rsidRPr="001940C1">
              <w:rPr>
                <w:rFonts w:cs="Arial"/>
                <w:color w:val="7F7F7F"/>
                <w:szCs w:val="18"/>
                <w:lang w:eastAsia="en-AU"/>
              </w:rPr>
              <w:t>60,534</w:t>
            </w:r>
          </w:p>
        </w:tc>
      </w:tr>
      <w:tr w:rsidR="001940C1" w:rsidRPr="001940C1" w:rsidTr="001940C1">
        <w:trPr>
          <w:trHeight w:val="300"/>
        </w:trPr>
        <w:tc>
          <w:tcPr>
            <w:tcW w:w="2180" w:type="dxa"/>
            <w:tcBorders>
              <w:top w:val="nil"/>
              <w:left w:val="nil"/>
              <w:bottom w:val="nil"/>
              <w:right w:val="nil"/>
            </w:tcBorders>
            <w:shd w:val="clear" w:color="auto" w:fill="auto"/>
            <w:noWrap/>
            <w:vAlign w:val="center"/>
            <w:hideMark/>
          </w:tcPr>
          <w:p w:rsidR="001940C1" w:rsidRPr="001940C1" w:rsidRDefault="001940C1" w:rsidP="001940C1">
            <w:pPr>
              <w:rPr>
                <w:rFonts w:cs="Arial"/>
                <w:i/>
                <w:iCs/>
                <w:color w:val="7F7F7F"/>
                <w:szCs w:val="18"/>
                <w:lang w:eastAsia="en-AU"/>
              </w:rPr>
            </w:pPr>
            <w:r w:rsidRPr="001940C1">
              <w:rPr>
                <w:rFonts w:cs="Arial"/>
                <w:i/>
                <w:iCs/>
                <w:color w:val="7F7F7F"/>
                <w:szCs w:val="18"/>
                <w:lang w:eastAsia="en-AU"/>
              </w:rPr>
              <w:t xml:space="preserve">   Domestic</w:t>
            </w:r>
          </w:p>
        </w:tc>
        <w:tc>
          <w:tcPr>
            <w:tcW w:w="985" w:type="dxa"/>
            <w:tcBorders>
              <w:top w:val="nil"/>
              <w:left w:val="nil"/>
              <w:bottom w:val="nil"/>
              <w:right w:val="nil"/>
            </w:tcBorders>
            <w:shd w:val="clear" w:color="auto" w:fill="auto"/>
            <w:noWrap/>
            <w:vAlign w:val="center"/>
            <w:hideMark/>
          </w:tcPr>
          <w:p w:rsidR="001940C1" w:rsidRPr="001940C1" w:rsidRDefault="001940C1" w:rsidP="001940C1">
            <w:pPr>
              <w:jc w:val="right"/>
              <w:rPr>
                <w:rFonts w:cs="Arial"/>
                <w:i/>
                <w:iCs/>
                <w:color w:val="7F7F7F"/>
                <w:szCs w:val="18"/>
                <w:lang w:eastAsia="en-AU"/>
              </w:rPr>
            </w:pPr>
            <w:r w:rsidRPr="001940C1">
              <w:rPr>
                <w:rFonts w:cs="Arial"/>
                <w:i/>
                <w:iCs/>
                <w:color w:val="7F7F7F"/>
                <w:szCs w:val="18"/>
                <w:lang w:eastAsia="en-AU"/>
              </w:rPr>
              <w:t>71,931</w:t>
            </w:r>
          </w:p>
        </w:tc>
        <w:tc>
          <w:tcPr>
            <w:tcW w:w="986" w:type="dxa"/>
            <w:tcBorders>
              <w:top w:val="nil"/>
              <w:left w:val="nil"/>
              <w:bottom w:val="nil"/>
              <w:right w:val="nil"/>
            </w:tcBorders>
            <w:shd w:val="clear" w:color="auto" w:fill="auto"/>
            <w:noWrap/>
            <w:vAlign w:val="center"/>
            <w:hideMark/>
          </w:tcPr>
          <w:p w:rsidR="001940C1" w:rsidRPr="001940C1" w:rsidRDefault="001940C1" w:rsidP="001940C1">
            <w:pPr>
              <w:jc w:val="right"/>
              <w:rPr>
                <w:rFonts w:cs="Arial"/>
                <w:i/>
                <w:iCs/>
                <w:color w:val="7F7F7F"/>
                <w:szCs w:val="18"/>
                <w:lang w:eastAsia="en-AU"/>
              </w:rPr>
            </w:pPr>
            <w:r w:rsidRPr="001940C1">
              <w:rPr>
                <w:rFonts w:cs="Arial"/>
                <w:i/>
                <w:iCs/>
                <w:color w:val="7F7F7F"/>
                <w:szCs w:val="18"/>
                <w:lang w:eastAsia="en-AU"/>
              </w:rPr>
              <w:t>65,856</w:t>
            </w:r>
          </w:p>
        </w:tc>
        <w:tc>
          <w:tcPr>
            <w:tcW w:w="986" w:type="dxa"/>
            <w:tcBorders>
              <w:top w:val="nil"/>
              <w:left w:val="nil"/>
              <w:bottom w:val="nil"/>
              <w:right w:val="nil"/>
            </w:tcBorders>
            <w:shd w:val="clear" w:color="auto" w:fill="auto"/>
            <w:noWrap/>
            <w:vAlign w:val="center"/>
            <w:hideMark/>
          </w:tcPr>
          <w:p w:rsidR="001940C1" w:rsidRPr="001940C1" w:rsidRDefault="001940C1" w:rsidP="001940C1">
            <w:pPr>
              <w:jc w:val="right"/>
              <w:rPr>
                <w:rFonts w:cs="Arial"/>
                <w:i/>
                <w:iCs/>
                <w:color w:val="7F7F7F"/>
                <w:szCs w:val="18"/>
                <w:lang w:eastAsia="en-AU"/>
              </w:rPr>
            </w:pPr>
            <w:r w:rsidRPr="001940C1">
              <w:rPr>
                <w:rFonts w:cs="Arial"/>
                <w:i/>
                <w:iCs/>
                <w:color w:val="7F7F7F"/>
                <w:szCs w:val="18"/>
                <w:lang w:eastAsia="en-AU"/>
              </w:rPr>
              <w:t>70,511</w:t>
            </w:r>
          </w:p>
        </w:tc>
        <w:tc>
          <w:tcPr>
            <w:tcW w:w="986" w:type="dxa"/>
            <w:tcBorders>
              <w:top w:val="nil"/>
              <w:left w:val="nil"/>
              <w:bottom w:val="nil"/>
              <w:right w:val="nil"/>
            </w:tcBorders>
            <w:shd w:val="clear" w:color="auto" w:fill="auto"/>
            <w:noWrap/>
            <w:vAlign w:val="center"/>
            <w:hideMark/>
          </w:tcPr>
          <w:p w:rsidR="001940C1" w:rsidRPr="001940C1" w:rsidRDefault="001940C1" w:rsidP="001940C1">
            <w:pPr>
              <w:jc w:val="right"/>
              <w:rPr>
                <w:rFonts w:cs="Arial"/>
                <w:i/>
                <w:iCs/>
                <w:color w:val="7F7F7F"/>
                <w:szCs w:val="18"/>
                <w:lang w:eastAsia="en-AU"/>
              </w:rPr>
            </w:pPr>
            <w:r w:rsidRPr="001940C1">
              <w:rPr>
                <w:rFonts w:cs="Arial"/>
                <w:i/>
                <w:iCs/>
                <w:color w:val="7F7F7F"/>
                <w:szCs w:val="18"/>
                <w:lang w:eastAsia="en-AU"/>
              </w:rPr>
              <w:t>58,367</w:t>
            </w:r>
          </w:p>
        </w:tc>
        <w:tc>
          <w:tcPr>
            <w:tcW w:w="986" w:type="dxa"/>
            <w:tcBorders>
              <w:top w:val="nil"/>
              <w:left w:val="nil"/>
              <w:bottom w:val="nil"/>
              <w:right w:val="nil"/>
            </w:tcBorders>
            <w:shd w:val="clear" w:color="auto" w:fill="auto"/>
            <w:noWrap/>
            <w:vAlign w:val="center"/>
            <w:hideMark/>
          </w:tcPr>
          <w:p w:rsidR="001940C1" w:rsidRPr="001940C1" w:rsidRDefault="001940C1" w:rsidP="001940C1">
            <w:pPr>
              <w:jc w:val="right"/>
              <w:rPr>
                <w:rFonts w:cs="Arial"/>
                <w:i/>
                <w:iCs/>
                <w:color w:val="7F7F7F"/>
                <w:szCs w:val="18"/>
                <w:lang w:eastAsia="en-AU"/>
              </w:rPr>
            </w:pPr>
            <w:r w:rsidRPr="001940C1">
              <w:rPr>
                <w:rFonts w:cs="Arial"/>
                <w:i/>
                <w:iCs/>
                <w:color w:val="7F7F7F"/>
                <w:szCs w:val="18"/>
                <w:lang w:eastAsia="en-AU"/>
              </w:rPr>
              <w:t>61,544</w:t>
            </w:r>
          </w:p>
        </w:tc>
        <w:tc>
          <w:tcPr>
            <w:tcW w:w="986" w:type="dxa"/>
            <w:tcBorders>
              <w:top w:val="nil"/>
              <w:left w:val="nil"/>
              <w:bottom w:val="nil"/>
              <w:right w:val="nil"/>
            </w:tcBorders>
            <w:shd w:val="clear" w:color="auto" w:fill="auto"/>
            <w:noWrap/>
            <w:vAlign w:val="center"/>
            <w:hideMark/>
          </w:tcPr>
          <w:p w:rsidR="001940C1" w:rsidRPr="001940C1" w:rsidRDefault="001940C1" w:rsidP="001940C1">
            <w:pPr>
              <w:jc w:val="right"/>
              <w:rPr>
                <w:rFonts w:cs="Arial"/>
                <w:i/>
                <w:iCs/>
                <w:color w:val="7F7F7F"/>
                <w:szCs w:val="18"/>
                <w:lang w:eastAsia="en-AU"/>
              </w:rPr>
            </w:pPr>
            <w:r w:rsidRPr="001940C1">
              <w:rPr>
                <w:rFonts w:cs="Arial"/>
                <w:i/>
                <w:iCs/>
                <w:color w:val="7F7F7F"/>
                <w:szCs w:val="18"/>
                <w:lang w:eastAsia="en-AU"/>
              </w:rPr>
              <w:t>54,257</w:t>
            </w:r>
          </w:p>
        </w:tc>
      </w:tr>
      <w:tr w:rsidR="001940C1" w:rsidRPr="001940C1" w:rsidTr="00993E2A">
        <w:trPr>
          <w:trHeight w:val="300"/>
        </w:trPr>
        <w:tc>
          <w:tcPr>
            <w:tcW w:w="2180" w:type="dxa"/>
            <w:tcBorders>
              <w:top w:val="nil"/>
              <w:left w:val="nil"/>
              <w:right w:val="nil"/>
            </w:tcBorders>
            <w:shd w:val="clear" w:color="auto" w:fill="auto"/>
            <w:noWrap/>
            <w:vAlign w:val="center"/>
            <w:hideMark/>
          </w:tcPr>
          <w:p w:rsidR="001940C1" w:rsidRPr="001940C1" w:rsidRDefault="001940C1" w:rsidP="001940C1">
            <w:pPr>
              <w:rPr>
                <w:rFonts w:cs="Arial"/>
                <w:i/>
                <w:iCs/>
                <w:color w:val="7F7F7F"/>
                <w:szCs w:val="18"/>
                <w:lang w:eastAsia="en-AU"/>
              </w:rPr>
            </w:pPr>
            <w:r w:rsidRPr="001940C1">
              <w:rPr>
                <w:rFonts w:cs="Arial"/>
                <w:i/>
                <w:iCs/>
                <w:color w:val="7F7F7F"/>
                <w:szCs w:val="18"/>
                <w:lang w:eastAsia="en-AU"/>
              </w:rPr>
              <w:t xml:space="preserve">   International</w:t>
            </w:r>
          </w:p>
        </w:tc>
        <w:tc>
          <w:tcPr>
            <w:tcW w:w="985" w:type="dxa"/>
            <w:tcBorders>
              <w:top w:val="nil"/>
              <w:left w:val="nil"/>
              <w:right w:val="nil"/>
            </w:tcBorders>
            <w:shd w:val="clear" w:color="auto" w:fill="auto"/>
            <w:noWrap/>
            <w:vAlign w:val="center"/>
            <w:hideMark/>
          </w:tcPr>
          <w:p w:rsidR="001940C1" w:rsidRPr="001940C1" w:rsidRDefault="001940C1" w:rsidP="001940C1">
            <w:pPr>
              <w:jc w:val="right"/>
              <w:rPr>
                <w:rFonts w:cs="Arial"/>
                <w:i/>
                <w:iCs/>
                <w:color w:val="7F7F7F"/>
                <w:szCs w:val="18"/>
                <w:lang w:eastAsia="en-AU"/>
              </w:rPr>
            </w:pPr>
            <w:r w:rsidRPr="001940C1">
              <w:rPr>
                <w:rFonts w:cs="Arial"/>
                <w:i/>
                <w:iCs/>
                <w:color w:val="7F7F7F"/>
                <w:szCs w:val="18"/>
                <w:lang w:eastAsia="en-AU"/>
              </w:rPr>
              <w:t>10,712</w:t>
            </w:r>
          </w:p>
        </w:tc>
        <w:tc>
          <w:tcPr>
            <w:tcW w:w="986" w:type="dxa"/>
            <w:tcBorders>
              <w:top w:val="nil"/>
              <w:left w:val="nil"/>
              <w:right w:val="nil"/>
            </w:tcBorders>
            <w:shd w:val="clear" w:color="auto" w:fill="auto"/>
            <w:noWrap/>
            <w:vAlign w:val="center"/>
            <w:hideMark/>
          </w:tcPr>
          <w:p w:rsidR="001940C1" w:rsidRPr="001940C1" w:rsidRDefault="001940C1" w:rsidP="001940C1">
            <w:pPr>
              <w:jc w:val="right"/>
              <w:rPr>
                <w:rFonts w:cs="Arial"/>
                <w:i/>
                <w:iCs/>
                <w:color w:val="7F7F7F"/>
                <w:szCs w:val="18"/>
                <w:lang w:eastAsia="en-AU"/>
              </w:rPr>
            </w:pPr>
            <w:r w:rsidRPr="001940C1">
              <w:rPr>
                <w:rFonts w:cs="Arial"/>
                <w:i/>
                <w:iCs/>
                <w:color w:val="7F7F7F"/>
                <w:szCs w:val="18"/>
                <w:lang w:eastAsia="en-AU"/>
              </w:rPr>
              <w:t>9,203</w:t>
            </w:r>
          </w:p>
        </w:tc>
        <w:tc>
          <w:tcPr>
            <w:tcW w:w="986" w:type="dxa"/>
            <w:tcBorders>
              <w:top w:val="nil"/>
              <w:left w:val="nil"/>
              <w:right w:val="nil"/>
            </w:tcBorders>
            <w:shd w:val="clear" w:color="auto" w:fill="auto"/>
            <w:noWrap/>
            <w:vAlign w:val="center"/>
            <w:hideMark/>
          </w:tcPr>
          <w:p w:rsidR="001940C1" w:rsidRPr="001940C1" w:rsidRDefault="001940C1" w:rsidP="001940C1">
            <w:pPr>
              <w:jc w:val="right"/>
              <w:rPr>
                <w:rFonts w:cs="Arial"/>
                <w:i/>
                <w:iCs/>
                <w:color w:val="7F7F7F"/>
                <w:szCs w:val="18"/>
                <w:lang w:eastAsia="en-AU"/>
              </w:rPr>
            </w:pPr>
            <w:r w:rsidRPr="001940C1">
              <w:rPr>
                <w:rFonts w:cs="Arial"/>
                <w:i/>
                <w:iCs/>
                <w:color w:val="7F7F7F"/>
                <w:szCs w:val="18"/>
                <w:lang w:eastAsia="en-AU"/>
              </w:rPr>
              <w:t>7,277</w:t>
            </w:r>
          </w:p>
        </w:tc>
        <w:tc>
          <w:tcPr>
            <w:tcW w:w="986" w:type="dxa"/>
            <w:tcBorders>
              <w:top w:val="nil"/>
              <w:left w:val="nil"/>
              <w:right w:val="nil"/>
            </w:tcBorders>
            <w:shd w:val="clear" w:color="auto" w:fill="auto"/>
            <w:noWrap/>
            <w:vAlign w:val="center"/>
            <w:hideMark/>
          </w:tcPr>
          <w:p w:rsidR="001940C1" w:rsidRPr="001940C1" w:rsidRDefault="001940C1" w:rsidP="001940C1">
            <w:pPr>
              <w:jc w:val="right"/>
              <w:rPr>
                <w:rFonts w:cs="Arial"/>
                <w:i/>
                <w:iCs/>
                <w:color w:val="7F7F7F"/>
                <w:szCs w:val="18"/>
                <w:lang w:eastAsia="en-AU"/>
              </w:rPr>
            </w:pPr>
            <w:r w:rsidRPr="001940C1">
              <w:rPr>
                <w:rFonts w:cs="Arial"/>
                <w:i/>
                <w:iCs/>
                <w:color w:val="7F7F7F"/>
                <w:szCs w:val="18"/>
                <w:lang w:eastAsia="en-AU"/>
              </w:rPr>
              <w:t>5,852</w:t>
            </w:r>
          </w:p>
        </w:tc>
        <w:tc>
          <w:tcPr>
            <w:tcW w:w="986" w:type="dxa"/>
            <w:tcBorders>
              <w:top w:val="nil"/>
              <w:left w:val="nil"/>
              <w:right w:val="nil"/>
            </w:tcBorders>
            <w:shd w:val="clear" w:color="auto" w:fill="auto"/>
            <w:noWrap/>
            <w:vAlign w:val="center"/>
            <w:hideMark/>
          </w:tcPr>
          <w:p w:rsidR="001940C1" w:rsidRPr="001940C1" w:rsidRDefault="001940C1" w:rsidP="001940C1">
            <w:pPr>
              <w:jc w:val="right"/>
              <w:rPr>
                <w:rFonts w:cs="Arial"/>
                <w:i/>
                <w:iCs/>
                <w:color w:val="7F7F7F"/>
                <w:szCs w:val="18"/>
                <w:lang w:eastAsia="en-AU"/>
              </w:rPr>
            </w:pPr>
            <w:r w:rsidRPr="001940C1">
              <w:rPr>
                <w:rFonts w:cs="Arial"/>
                <w:i/>
                <w:iCs/>
                <w:color w:val="7F7F7F"/>
                <w:szCs w:val="18"/>
                <w:lang w:eastAsia="en-AU"/>
              </w:rPr>
              <w:t>7,231</w:t>
            </w:r>
          </w:p>
        </w:tc>
        <w:tc>
          <w:tcPr>
            <w:tcW w:w="986" w:type="dxa"/>
            <w:tcBorders>
              <w:top w:val="nil"/>
              <w:left w:val="nil"/>
              <w:right w:val="nil"/>
            </w:tcBorders>
            <w:shd w:val="clear" w:color="auto" w:fill="auto"/>
            <w:noWrap/>
            <w:vAlign w:val="center"/>
            <w:hideMark/>
          </w:tcPr>
          <w:p w:rsidR="001940C1" w:rsidRPr="001940C1" w:rsidRDefault="001940C1" w:rsidP="001940C1">
            <w:pPr>
              <w:jc w:val="right"/>
              <w:rPr>
                <w:rFonts w:cs="Arial"/>
                <w:i/>
                <w:iCs/>
                <w:color w:val="7F7F7F"/>
                <w:szCs w:val="18"/>
                <w:lang w:eastAsia="en-AU"/>
              </w:rPr>
            </w:pPr>
            <w:r w:rsidRPr="001940C1">
              <w:rPr>
                <w:rFonts w:cs="Arial"/>
                <w:i/>
                <w:iCs/>
                <w:color w:val="7F7F7F"/>
                <w:szCs w:val="18"/>
                <w:lang w:eastAsia="en-AU"/>
              </w:rPr>
              <w:t>6,352</w:t>
            </w:r>
          </w:p>
        </w:tc>
      </w:tr>
      <w:tr w:rsidR="001940C1" w:rsidRPr="001940C1" w:rsidTr="00993E2A">
        <w:trPr>
          <w:trHeight w:val="315"/>
        </w:trPr>
        <w:tc>
          <w:tcPr>
            <w:tcW w:w="2180" w:type="dxa"/>
            <w:tcBorders>
              <w:top w:val="nil"/>
              <w:left w:val="nil"/>
              <w:right w:val="nil"/>
            </w:tcBorders>
            <w:shd w:val="clear" w:color="000000" w:fill="7F7F7F"/>
            <w:noWrap/>
            <w:vAlign w:val="center"/>
            <w:hideMark/>
          </w:tcPr>
          <w:p w:rsidR="001940C1" w:rsidRPr="001940C1" w:rsidRDefault="001940C1" w:rsidP="001940C1">
            <w:pPr>
              <w:rPr>
                <w:rFonts w:cs="Arial"/>
                <w:b/>
                <w:bCs/>
                <w:color w:val="FFFFFF"/>
                <w:szCs w:val="18"/>
                <w:lang w:eastAsia="en-AU"/>
              </w:rPr>
            </w:pPr>
            <w:r w:rsidRPr="001940C1">
              <w:rPr>
                <w:rFonts w:cs="Arial"/>
                <w:b/>
                <w:bCs/>
                <w:color w:val="FFFFFF"/>
                <w:szCs w:val="18"/>
                <w:lang w:eastAsia="en-AU"/>
              </w:rPr>
              <w:t>Total**</w:t>
            </w:r>
          </w:p>
        </w:tc>
        <w:tc>
          <w:tcPr>
            <w:tcW w:w="985" w:type="dxa"/>
            <w:tcBorders>
              <w:top w:val="nil"/>
              <w:left w:val="nil"/>
              <w:right w:val="nil"/>
            </w:tcBorders>
            <w:shd w:val="clear" w:color="000000" w:fill="7F7F7F"/>
            <w:noWrap/>
            <w:vAlign w:val="center"/>
            <w:hideMark/>
          </w:tcPr>
          <w:p w:rsidR="001940C1" w:rsidRPr="001940C1" w:rsidRDefault="001940C1" w:rsidP="001940C1">
            <w:pPr>
              <w:jc w:val="right"/>
              <w:rPr>
                <w:rFonts w:cs="Arial"/>
                <w:b/>
                <w:bCs/>
                <w:color w:val="FFFFFF"/>
                <w:szCs w:val="18"/>
                <w:lang w:eastAsia="en-AU"/>
              </w:rPr>
            </w:pPr>
            <w:r w:rsidRPr="001940C1">
              <w:rPr>
                <w:rFonts w:cs="Arial"/>
                <w:b/>
                <w:bCs/>
                <w:color w:val="FFFFFF"/>
                <w:szCs w:val="18"/>
                <w:lang w:eastAsia="en-AU"/>
              </w:rPr>
              <w:t>177,697</w:t>
            </w:r>
          </w:p>
        </w:tc>
        <w:tc>
          <w:tcPr>
            <w:tcW w:w="986" w:type="dxa"/>
            <w:tcBorders>
              <w:top w:val="nil"/>
              <w:left w:val="nil"/>
              <w:right w:val="nil"/>
            </w:tcBorders>
            <w:shd w:val="clear" w:color="000000" w:fill="7F7F7F"/>
            <w:noWrap/>
            <w:vAlign w:val="center"/>
            <w:hideMark/>
          </w:tcPr>
          <w:p w:rsidR="001940C1" w:rsidRPr="001940C1" w:rsidRDefault="001940C1" w:rsidP="001940C1">
            <w:pPr>
              <w:jc w:val="right"/>
              <w:rPr>
                <w:rFonts w:cs="Arial"/>
                <w:b/>
                <w:bCs/>
                <w:color w:val="FFFFFF"/>
                <w:szCs w:val="18"/>
                <w:lang w:eastAsia="en-AU"/>
              </w:rPr>
            </w:pPr>
            <w:r w:rsidRPr="001940C1">
              <w:rPr>
                <w:rFonts w:cs="Arial"/>
                <w:b/>
                <w:bCs/>
                <w:color w:val="FFFFFF"/>
                <w:szCs w:val="18"/>
                <w:lang w:eastAsia="en-AU"/>
              </w:rPr>
              <w:t>169,449</w:t>
            </w:r>
          </w:p>
        </w:tc>
        <w:tc>
          <w:tcPr>
            <w:tcW w:w="986" w:type="dxa"/>
            <w:tcBorders>
              <w:top w:val="nil"/>
              <w:left w:val="nil"/>
              <w:right w:val="nil"/>
            </w:tcBorders>
            <w:shd w:val="clear" w:color="000000" w:fill="7F7F7F"/>
            <w:noWrap/>
            <w:vAlign w:val="center"/>
            <w:hideMark/>
          </w:tcPr>
          <w:p w:rsidR="001940C1" w:rsidRPr="001940C1" w:rsidRDefault="001940C1" w:rsidP="001940C1">
            <w:pPr>
              <w:jc w:val="right"/>
              <w:rPr>
                <w:rFonts w:cs="Arial"/>
                <w:b/>
                <w:bCs/>
                <w:color w:val="FFFFFF"/>
                <w:szCs w:val="18"/>
                <w:lang w:eastAsia="en-AU"/>
              </w:rPr>
            </w:pPr>
            <w:r w:rsidRPr="001940C1">
              <w:rPr>
                <w:rFonts w:cs="Arial"/>
                <w:b/>
                <w:bCs/>
                <w:color w:val="FFFFFF"/>
                <w:szCs w:val="18"/>
                <w:lang w:eastAsia="en-AU"/>
              </w:rPr>
              <w:t>179,663</w:t>
            </w:r>
          </w:p>
        </w:tc>
        <w:tc>
          <w:tcPr>
            <w:tcW w:w="986" w:type="dxa"/>
            <w:tcBorders>
              <w:top w:val="nil"/>
              <w:left w:val="nil"/>
              <w:right w:val="nil"/>
            </w:tcBorders>
            <w:shd w:val="clear" w:color="000000" w:fill="7F7F7F"/>
            <w:noWrap/>
            <w:vAlign w:val="center"/>
            <w:hideMark/>
          </w:tcPr>
          <w:p w:rsidR="001940C1" w:rsidRPr="001940C1" w:rsidRDefault="001940C1" w:rsidP="001940C1">
            <w:pPr>
              <w:jc w:val="right"/>
              <w:rPr>
                <w:rFonts w:cs="Arial"/>
                <w:b/>
                <w:bCs/>
                <w:color w:val="FFFFFF"/>
                <w:szCs w:val="18"/>
                <w:lang w:eastAsia="en-AU"/>
              </w:rPr>
            </w:pPr>
            <w:r w:rsidRPr="001940C1">
              <w:rPr>
                <w:rFonts w:cs="Arial"/>
                <w:b/>
                <w:bCs/>
                <w:color w:val="FFFFFF"/>
                <w:szCs w:val="18"/>
                <w:lang w:eastAsia="en-AU"/>
              </w:rPr>
              <w:t>151,559</w:t>
            </w:r>
          </w:p>
        </w:tc>
        <w:tc>
          <w:tcPr>
            <w:tcW w:w="986" w:type="dxa"/>
            <w:tcBorders>
              <w:top w:val="nil"/>
              <w:left w:val="nil"/>
              <w:right w:val="nil"/>
            </w:tcBorders>
            <w:shd w:val="clear" w:color="000000" w:fill="7F7F7F"/>
            <w:noWrap/>
            <w:vAlign w:val="center"/>
            <w:hideMark/>
          </w:tcPr>
          <w:p w:rsidR="001940C1" w:rsidRPr="001940C1" w:rsidRDefault="001940C1" w:rsidP="001940C1">
            <w:pPr>
              <w:jc w:val="right"/>
              <w:rPr>
                <w:rFonts w:cs="Arial"/>
                <w:b/>
                <w:bCs/>
                <w:color w:val="FFFFFF"/>
                <w:szCs w:val="18"/>
                <w:lang w:eastAsia="en-AU"/>
              </w:rPr>
            </w:pPr>
            <w:r w:rsidRPr="001940C1">
              <w:rPr>
                <w:rFonts w:cs="Arial"/>
                <w:b/>
                <w:bCs/>
                <w:color w:val="FFFFFF"/>
                <w:szCs w:val="18"/>
                <w:lang w:eastAsia="en-AU"/>
              </w:rPr>
              <w:t>145,761</w:t>
            </w:r>
          </w:p>
        </w:tc>
        <w:tc>
          <w:tcPr>
            <w:tcW w:w="986" w:type="dxa"/>
            <w:tcBorders>
              <w:top w:val="nil"/>
              <w:left w:val="nil"/>
              <w:right w:val="nil"/>
            </w:tcBorders>
            <w:shd w:val="clear" w:color="000000" w:fill="7F7F7F"/>
            <w:noWrap/>
            <w:vAlign w:val="center"/>
            <w:hideMark/>
          </w:tcPr>
          <w:p w:rsidR="001940C1" w:rsidRPr="001940C1" w:rsidRDefault="001940C1" w:rsidP="001940C1">
            <w:pPr>
              <w:jc w:val="right"/>
              <w:rPr>
                <w:rFonts w:cs="Arial"/>
                <w:b/>
                <w:bCs/>
                <w:color w:val="FFFFFF"/>
                <w:szCs w:val="18"/>
                <w:lang w:eastAsia="en-AU"/>
              </w:rPr>
            </w:pPr>
            <w:r w:rsidRPr="001940C1">
              <w:rPr>
                <w:rFonts w:cs="Arial"/>
                <w:b/>
                <w:bCs/>
                <w:color w:val="FFFFFF"/>
                <w:szCs w:val="18"/>
                <w:lang w:eastAsia="en-AU"/>
              </w:rPr>
              <w:t>129,131</w:t>
            </w:r>
          </w:p>
        </w:tc>
      </w:tr>
    </w:tbl>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4A0" w:firstRow="1" w:lastRow="0" w:firstColumn="1" w:lastColumn="0" w:noHBand="0" w:noVBand="1"/>
      </w:tblPr>
      <w:tblGrid>
        <w:gridCol w:w="431"/>
        <w:gridCol w:w="7649"/>
      </w:tblGrid>
      <w:tr w:rsidR="00CF2549" w:rsidRPr="00913551" w:rsidTr="00CF2549">
        <w:tc>
          <w:tcPr>
            <w:tcW w:w="431" w:type="dxa"/>
            <w:tcMar>
              <w:left w:w="0" w:type="dxa"/>
              <w:right w:w="28" w:type="dxa"/>
            </w:tcMar>
          </w:tcPr>
          <w:p w:rsidR="00CF2549" w:rsidRPr="00913551" w:rsidRDefault="00CF2549" w:rsidP="00CF2549">
            <w:pPr>
              <w:spacing w:after="0" w:line="240" w:lineRule="auto"/>
              <w:jc w:val="right"/>
              <w:rPr>
                <w:color w:val="7F7F7F" w:themeColor="text2"/>
                <w:sz w:val="16"/>
                <w:szCs w:val="16"/>
              </w:rPr>
            </w:pPr>
            <w:r w:rsidRPr="00913551">
              <w:rPr>
                <w:color w:val="7F7F7F" w:themeColor="text2"/>
                <w:sz w:val="16"/>
                <w:szCs w:val="16"/>
              </w:rPr>
              <w:t xml:space="preserve">* </w:t>
            </w:r>
          </w:p>
        </w:tc>
        <w:tc>
          <w:tcPr>
            <w:tcW w:w="7649" w:type="dxa"/>
            <w:tcMar>
              <w:left w:w="0" w:type="dxa"/>
              <w:right w:w="28" w:type="dxa"/>
            </w:tcMar>
          </w:tcPr>
          <w:p w:rsidR="00CF2549" w:rsidRPr="00913551" w:rsidRDefault="006713A5" w:rsidP="006713A5">
            <w:pPr>
              <w:pStyle w:val="Note"/>
              <w:spacing w:after="0"/>
              <w:rPr>
                <w:i w:val="0"/>
                <w:color w:val="7F7F7F" w:themeColor="text2"/>
              </w:rPr>
            </w:pPr>
            <w:r w:rsidRPr="006713A5">
              <w:t>Domestic and international fee-for-service student numbers do not add to the fee-for-service total as a student may be in multiple categories (e.g. both Domestic and International) in a given year.</w:t>
            </w:r>
          </w:p>
        </w:tc>
      </w:tr>
      <w:tr w:rsidR="006713A5" w:rsidRPr="00913551" w:rsidTr="006713A5">
        <w:trPr>
          <w:trHeight w:val="367"/>
        </w:trPr>
        <w:tc>
          <w:tcPr>
            <w:tcW w:w="431" w:type="dxa"/>
            <w:tcMar>
              <w:left w:w="0" w:type="dxa"/>
              <w:right w:w="28" w:type="dxa"/>
            </w:tcMar>
          </w:tcPr>
          <w:p w:rsidR="006713A5" w:rsidRPr="00913551" w:rsidRDefault="006713A5" w:rsidP="00CF2549">
            <w:pPr>
              <w:jc w:val="right"/>
              <w:rPr>
                <w:color w:val="7F7F7F" w:themeColor="text2"/>
                <w:sz w:val="16"/>
                <w:szCs w:val="16"/>
              </w:rPr>
            </w:pPr>
            <w:r>
              <w:rPr>
                <w:color w:val="7F7F7F" w:themeColor="text2"/>
                <w:sz w:val="16"/>
                <w:szCs w:val="16"/>
              </w:rPr>
              <w:t>**</w:t>
            </w:r>
          </w:p>
        </w:tc>
        <w:tc>
          <w:tcPr>
            <w:tcW w:w="7649" w:type="dxa"/>
            <w:tcMar>
              <w:left w:w="0" w:type="dxa"/>
              <w:right w:w="28" w:type="dxa"/>
            </w:tcMar>
          </w:tcPr>
          <w:p w:rsidR="006713A5" w:rsidRPr="00913551" w:rsidRDefault="006713A5" w:rsidP="007450B5">
            <w:pPr>
              <w:rPr>
                <w:i/>
                <w:sz w:val="16"/>
                <w:szCs w:val="16"/>
              </w:rPr>
            </w:pPr>
            <w:r w:rsidRPr="00913551">
              <w:rPr>
                <w:i/>
                <w:sz w:val="16"/>
                <w:szCs w:val="16"/>
              </w:rPr>
              <w:t xml:space="preserve">Government subsidised and fee-for-service enrolments do not add to the total as a student </w:t>
            </w:r>
            <w:proofErr w:type="gramStart"/>
            <w:r w:rsidRPr="00913551">
              <w:rPr>
                <w:i/>
                <w:sz w:val="16"/>
                <w:szCs w:val="16"/>
              </w:rPr>
              <w:t>may be enrolled</w:t>
            </w:r>
            <w:proofErr w:type="gramEnd"/>
            <w:r w:rsidRPr="00913551">
              <w:rPr>
                <w:i/>
                <w:sz w:val="16"/>
                <w:szCs w:val="16"/>
              </w:rPr>
              <w:t xml:space="preserve"> in both at the same time</w:t>
            </w:r>
            <w:r w:rsidR="00993E2A">
              <w:rPr>
                <w:i/>
                <w:sz w:val="16"/>
                <w:szCs w:val="16"/>
              </w:rPr>
              <w:t>.</w:t>
            </w:r>
          </w:p>
        </w:tc>
      </w:tr>
    </w:tbl>
    <w:p w:rsidR="00151889" w:rsidRPr="00993E2A" w:rsidRDefault="00151889" w:rsidP="00151889">
      <w:pPr>
        <w:rPr>
          <w:color w:val="7F7F7F" w:themeColor="text2"/>
          <w:sz w:val="16"/>
          <w:szCs w:val="18"/>
        </w:rPr>
      </w:pPr>
    </w:p>
    <w:p w:rsidR="007450B5" w:rsidRPr="00993E2A" w:rsidRDefault="007450B5" w:rsidP="00151889">
      <w:pPr>
        <w:rPr>
          <w:color w:val="7F7F7F" w:themeColor="text2"/>
          <w:sz w:val="16"/>
          <w:szCs w:val="18"/>
        </w:rPr>
      </w:pP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993E2A" w:rsidTr="00C17726">
        <w:tc>
          <w:tcPr>
            <w:tcW w:w="1134" w:type="dxa"/>
            <w:tcMar>
              <w:left w:w="0" w:type="dxa"/>
              <w:right w:w="0" w:type="dxa"/>
            </w:tcMar>
          </w:tcPr>
          <w:p w:rsidR="00993E2A" w:rsidRDefault="00993E2A" w:rsidP="0084117E">
            <w:pPr>
              <w:pStyle w:val="Quote"/>
              <w:tabs>
                <w:tab w:val="left" w:pos="1134"/>
              </w:tabs>
              <w:rPr>
                <w:b w:val="0"/>
                <w:color w:val="B41F22" w:themeColor="accent1"/>
              </w:rPr>
            </w:pPr>
            <w:r>
              <w:rPr>
                <w:b w:val="0"/>
                <w:color w:val="B41F22" w:themeColor="accent1"/>
              </w:rPr>
              <w:t>Table 1.2</w:t>
            </w:r>
            <w:r w:rsidR="0084117E">
              <w:rPr>
                <w:b w:val="0"/>
                <w:color w:val="B41F22" w:themeColor="accent1"/>
              </w:rPr>
              <w:t>2</w:t>
            </w:r>
            <w:r>
              <w:rPr>
                <w:b w:val="0"/>
                <w:color w:val="B41F22" w:themeColor="accent1"/>
              </w:rPr>
              <w:t>.2:</w:t>
            </w:r>
          </w:p>
        </w:tc>
        <w:tc>
          <w:tcPr>
            <w:tcW w:w="6946" w:type="dxa"/>
            <w:tcMar>
              <w:left w:w="0" w:type="dxa"/>
              <w:right w:w="0" w:type="dxa"/>
            </w:tcMar>
          </w:tcPr>
          <w:p w:rsidR="00993E2A" w:rsidRDefault="00993E2A" w:rsidP="007E03F8">
            <w:pPr>
              <w:pStyle w:val="Quote"/>
              <w:tabs>
                <w:tab w:val="left" w:pos="1134"/>
              </w:tabs>
              <w:rPr>
                <w:b w:val="0"/>
                <w:color w:val="B41F22" w:themeColor="accent1"/>
              </w:rPr>
            </w:pPr>
            <w:r>
              <w:rPr>
                <w:b w:val="0"/>
                <w:color w:val="B41F22" w:themeColor="accent1"/>
              </w:rPr>
              <w:t>Change in number of s</w:t>
            </w:r>
            <w:r w:rsidRPr="001940C1">
              <w:rPr>
                <w:b w:val="0"/>
                <w:color w:val="B41F22" w:themeColor="accent1"/>
              </w:rPr>
              <w:t xml:space="preserve">tudents in government subsidised and fee-for-service training </w:t>
            </w:r>
            <w:r w:rsidR="007E03F8">
              <w:rPr>
                <w:b w:val="0"/>
                <w:color w:val="B41F22" w:themeColor="accent1"/>
              </w:rPr>
              <w:t>at</w:t>
            </w:r>
            <w:r w:rsidRPr="001940C1">
              <w:rPr>
                <w:b w:val="0"/>
                <w:color w:val="B41F22" w:themeColor="accent1"/>
              </w:rPr>
              <w:t xml:space="preserve"> TAFE (half year)</w:t>
            </w:r>
          </w:p>
        </w:tc>
      </w:tr>
    </w:tbl>
    <w:tbl>
      <w:tblPr>
        <w:tblW w:w="8095" w:type="dxa"/>
        <w:tblInd w:w="93" w:type="dxa"/>
        <w:tblLayout w:type="fixed"/>
        <w:tblLook w:val="04A0" w:firstRow="1" w:lastRow="0" w:firstColumn="1" w:lastColumn="0" w:noHBand="0" w:noVBand="1"/>
      </w:tblPr>
      <w:tblGrid>
        <w:gridCol w:w="2180"/>
        <w:gridCol w:w="1183"/>
        <w:gridCol w:w="1183"/>
        <w:gridCol w:w="1183"/>
        <w:gridCol w:w="1183"/>
        <w:gridCol w:w="1183"/>
      </w:tblGrid>
      <w:tr w:rsidR="00993E2A" w:rsidRPr="001940C1" w:rsidTr="00993E2A">
        <w:trPr>
          <w:trHeight w:val="735"/>
        </w:trPr>
        <w:tc>
          <w:tcPr>
            <w:tcW w:w="2180" w:type="dxa"/>
            <w:tcBorders>
              <w:top w:val="nil"/>
              <w:left w:val="nil"/>
              <w:right w:val="nil"/>
            </w:tcBorders>
            <w:shd w:val="clear" w:color="000000" w:fill="7F7F7F"/>
            <w:noWrap/>
            <w:vAlign w:val="center"/>
            <w:hideMark/>
          </w:tcPr>
          <w:p w:rsidR="00993E2A" w:rsidRPr="001940C1" w:rsidRDefault="00993E2A" w:rsidP="00C17726">
            <w:pPr>
              <w:rPr>
                <w:rFonts w:cs="Arial"/>
                <w:color w:val="FFFFFF"/>
                <w:szCs w:val="18"/>
                <w:lang w:eastAsia="en-AU"/>
              </w:rPr>
            </w:pPr>
            <w:r w:rsidRPr="001940C1">
              <w:rPr>
                <w:rFonts w:cs="Arial"/>
                <w:color w:val="FFFFFF"/>
                <w:szCs w:val="18"/>
                <w:lang w:eastAsia="en-AU"/>
              </w:rPr>
              <w:t> </w:t>
            </w:r>
          </w:p>
        </w:tc>
        <w:tc>
          <w:tcPr>
            <w:tcW w:w="1183" w:type="dxa"/>
            <w:tcBorders>
              <w:top w:val="nil"/>
              <w:left w:val="nil"/>
              <w:right w:val="nil"/>
            </w:tcBorders>
            <w:shd w:val="clear" w:color="000000" w:fill="7F7F7F"/>
            <w:vAlign w:val="center"/>
            <w:hideMark/>
          </w:tcPr>
          <w:p w:rsidR="00993E2A" w:rsidRPr="001940C1" w:rsidRDefault="00993E2A" w:rsidP="00C17726">
            <w:pPr>
              <w:jc w:val="right"/>
              <w:rPr>
                <w:rFonts w:cs="Arial"/>
                <w:b/>
                <w:bCs/>
                <w:color w:val="FFFFFF"/>
                <w:szCs w:val="18"/>
                <w:lang w:eastAsia="en-AU"/>
              </w:rPr>
            </w:pPr>
            <w:r w:rsidRPr="001940C1">
              <w:rPr>
                <w:rFonts w:cs="Arial"/>
                <w:b/>
                <w:bCs/>
                <w:color w:val="FFFFFF"/>
                <w:szCs w:val="18"/>
                <w:lang w:eastAsia="en-AU"/>
              </w:rPr>
              <w:t>% change 2010 to 2015</w:t>
            </w:r>
          </w:p>
        </w:tc>
        <w:tc>
          <w:tcPr>
            <w:tcW w:w="1183" w:type="dxa"/>
            <w:tcBorders>
              <w:top w:val="nil"/>
              <w:left w:val="nil"/>
              <w:right w:val="nil"/>
            </w:tcBorders>
            <w:shd w:val="clear" w:color="000000" w:fill="7F7F7F"/>
            <w:vAlign w:val="center"/>
            <w:hideMark/>
          </w:tcPr>
          <w:p w:rsidR="00993E2A" w:rsidRPr="001940C1" w:rsidRDefault="00993E2A" w:rsidP="00C17726">
            <w:pPr>
              <w:jc w:val="right"/>
              <w:rPr>
                <w:rFonts w:cs="Arial"/>
                <w:b/>
                <w:bCs/>
                <w:color w:val="FFFFFF"/>
                <w:szCs w:val="18"/>
                <w:lang w:eastAsia="en-AU"/>
              </w:rPr>
            </w:pPr>
            <w:r w:rsidRPr="001940C1">
              <w:rPr>
                <w:rFonts w:cs="Arial"/>
                <w:b/>
                <w:bCs/>
                <w:color w:val="FFFFFF"/>
                <w:szCs w:val="18"/>
                <w:lang w:eastAsia="en-AU"/>
              </w:rPr>
              <w:t>% change 2011 to 2015</w:t>
            </w:r>
          </w:p>
        </w:tc>
        <w:tc>
          <w:tcPr>
            <w:tcW w:w="1183" w:type="dxa"/>
            <w:tcBorders>
              <w:top w:val="nil"/>
              <w:left w:val="nil"/>
              <w:right w:val="nil"/>
            </w:tcBorders>
            <w:shd w:val="clear" w:color="000000" w:fill="7F7F7F"/>
            <w:vAlign w:val="center"/>
            <w:hideMark/>
          </w:tcPr>
          <w:p w:rsidR="00993E2A" w:rsidRPr="001940C1" w:rsidRDefault="00993E2A" w:rsidP="00C17726">
            <w:pPr>
              <w:jc w:val="right"/>
              <w:rPr>
                <w:rFonts w:cs="Arial"/>
                <w:b/>
                <w:bCs/>
                <w:color w:val="FFFFFF"/>
                <w:szCs w:val="18"/>
                <w:lang w:eastAsia="en-AU"/>
              </w:rPr>
            </w:pPr>
            <w:r w:rsidRPr="001940C1">
              <w:rPr>
                <w:rFonts w:cs="Arial"/>
                <w:b/>
                <w:bCs/>
                <w:color w:val="FFFFFF"/>
                <w:szCs w:val="18"/>
                <w:lang w:eastAsia="en-AU"/>
              </w:rPr>
              <w:t>% change 2012 to 2015</w:t>
            </w:r>
          </w:p>
        </w:tc>
        <w:tc>
          <w:tcPr>
            <w:tcW w:w="1183" w:type="dxa"/>
            <w:tcBorders>
              <w:top w:val="nil"/>
              <w:left w:val="nil"/>
              <w:right w:val="nil"/>
            </w:tcBorders>
            <w:shd w:val="clear" w:color="000000" w:fill="7F7F7F"/>
            <w:vAlign w:val="center"/>
            <w:hideMark/>
          </w:tcPr>
          <w:p w:rsidR="00993E2A" w:rsidRPr="001940C1" w:rsidRDefault="00993E2A" w:rsidP="00C17726">
            <w:pPr>
              <w:jc w:val="right"/>
              <w:rPr>
                <w:rFonts w:cs="Arial"/>
                <w:b/>
                <w:bCs/>
                <w:color w:val="FFFFFF"/>
                <w:szCs w:val="18"/>
                <w:lang w:eastAsia="en-AU"/>
              </w:rPr>
            </w:pPr>
            <w:r w:rsidRPr="001940C1">
              <w:rPr>
                <w:rFonts w:cs="Arial"/>
                <w:b/>
                <w:bCs/>
                <w:color w:val="FFFFFF"/>
                <w:szCs w:val="18"/>
                <w:lang w:eastAsia="en-AU"/>
              </w:rPr>
              <w:t>% change 2013 to 2015</w:t>
            </w:r>
          </w:p>
        </w:tc>
        <w:tc>
          <w:tcPr>
            <w:tcW w:w="1183" w:type="dxa"/>
            <w:tcBorders>
              <w:top w:val="nil"/>
              <w:left w:val="nil"/>
              <w:right w:val="nil"/>
            </w:tcBorders>
            <w:shd w:val="clear" w:color="000000" w:fill="7F7F7F"/>
            <w:vAlign w:val="center"/>
            <w:hideMark/>
          </w:tcPr>
          <w:p w:rsidR="00993E2A" w:rsidRPr="001940C1" w:rsidRDefault="00993E2A" w:rsidP="00C17726">
            <w:pPr>
              <w:jc w:val="right"/>
              <w:rPr>
                <w:rFonts w:cs="Arial"/>
                <w:b/>
                <w:bCs/>
                <w:color w:val="FFFFFF"/>
                <w:szCs w:val="18"/>
                <w:lang w:eastAsia="en-AU"/>
              </w:rPr>
            </w:pPr>
            <w:r w:rsidRPr="001940C1">
              <w:rPr>
                <w:rFonts w:cs="Arial"/>
                <w:b/>
                <w:bCs/>
                <w:color w:val="FFFFFF"/>
                <w:szCs w:val="18"/>
                <w:lang w:eastAsia="en-AU"/>
              </w:rPr>
              <w:t>% change 2014 to 2015</w:t>
            </w:r>
          </w:p>
        </w:tc>
      </w:tr>
      <w:tr w:rsidR="00993E2A" w:rsidRPr="001940C1" w:rsidTr="00C17726">
        <w:trPr>
          <w:trHeight w:val="300"/>
        </w:trPr>
        <w:tc>
          <w:tcPr>
            <w:tcW w:w="2180" w:type="dxa"/>
            <w:tcBorders>
              <w:top w:val="nil"/>
              <w:left w:val="nil"/>
              <w:bottom w:val="nil"/>
              <w:right w:val="nil"/>
            </w:tcBorders>
            <w:shd w:val="clear" w:color="auto" w:fill="auto"/>
            <w:noWrap/>
            <w:vAlign w:val="center"/>
            <w:hideMark/>
          </w:tcPr>
          <w:p w:rsidR="00993E2A" w:rsidRPr="001940C1" w:rsidRDefault="00993E2A" w:rsidP="00C17726">
            <w:pPr>
              <w:rPr>
                <w:rFonts w:cs="Arial"/>
                <w:color w:val="7F7F7F"/>
                <w:szCs w:val="18"/>
                <w:lang w:eastAsia="en-AU"/>
              </w:rPr>
            </w:pPr>
            <w:r w:rsidRPr="001940C1">
              <w:rPr>
                <w:rFonts w:cs="Arial"/>
                <w:color w:val="7F7F7F"/>
                <w:szCs w:val="18"/>
                <w:lang w:eastAsia="en-AU"/>
              </w:rPr>
              <w:t>Government subsidised</w:t>
            </w:r>
          </w:p>
        </w:tc>
        <w:tc>
          <w:tcPr>
            <w:tcW w:w="1183" w:type="dxa"/>
            <w:tcBorders>
              <w:top w:val="nil"/>
              <w:left w:val="nil"/>
              <w:bottom w:val="nil"/>
              <w:right w:val="nil"/>
            </w:tcBorders>
            <w:shd w:val="clear" w:color="auto" w:fill="auto"/>
            <w:noWrap/>
            <w:vAlign w:val="center"/>
            <w:hideMark/>
          </w:tcPr>
          <w:p w:rsidR="00993E2A" w:rsidRPr="001940C1" w:rsidRDefault="00993E2A" w:rsidP="00C17726">
            <w:pPr>
              <w:jc w:val="right"/>
              <w:rPr>
                <w:rFonts w:cs="Arial"/>
                <w:color w:val="7F7F7F"/>
                <w:szCs w:val="18"/>
                <w:lang w:eastAsia="en-AU"/>
              </w:rPr>
            </w:pPr>
            <w:r w:rsidRPr="001940C1">
              <w:rPr>
                <w:rFonts w:cs="Arial"/>
                <w:color w:val="7F7F7F"/>
                <w:szCs w:val="18"/>
                <w:lang w:eastAsia="en-AU"/>
              </w:rPr>
              <w:t>-31%</w:t>
            </w:r>
          </w:p>
        </w:tc>
        <w:tc>
          <w:tcPr>
            <w:tcW w:w="1183" w:type="dxa"/>
            <w:tcBorders>
              <w:top w:val="nil"/>
              <w:left w:val="nil"/>
              <w:bottom w:val="nil"/>
              <w:right w:val="nil"/>
            </w:tcBorders>
            <w:shd w:val="clear" w:color="auto" w:fill="auto"/>
            <w:noWrap/>
            <w:vAlign w:val="center"/>
            <w:hideMark/>
          </w:tcPr>
          <w:p w:rsidR="00993E2A" w:rsidRPr="001940C1" w:rsidRDefault="00993E2A" w:rsidP="00C17726">
            <w:pPr>
              <w:jc w:val="right"/>
              <w:rPr>
                <w:rFonts w:cs="Arial"/>
                <w:color w:val="7F7F7F"/>
                <w:szCs w:val="18"/>
                <w:lang w:eastAsia="en-AU"/>
              </w:rPr>
            </w:pPr>
            <w:r w:rsidRPr="001940C1">
              <w:rPr>
                <w:rFonts w:cs="Arial"/>
                <w:color w:val="7F7F7F"/>
                <w:szCs w:val="18"/>
                <w:lang w:eastAsia="en-AU"/>
              </w:rPr>
              <w:t>-29%</w:t>
            </w:r>
          </w:p>
        </w:tc>
        <w:tc>
          <w:tcPr>
            <w:tcW w:w="1183" w:type="dxa"/>
            <w:tcBorders>
              <w:top w:val="nil"/>
              <w:left w:val="nil"/>
              <w:bottom w:val="nil"/>
              <w:right w:val="nil"/>
            </w:tcBorders>
            <w:shd w:val="clear" w:color="auto" w:fill="auto"/>
            <w:noWrap/>
            <w:vAlign w:val="center"/>
            <w:hideMark/>
          </w:tcPr>
          <w:p w:rsidR="00993E2A" w:rsidRPr="001940C1" w:rsidRDefault="00993E2A" w:rsidP="00C17726">
            <w:pPr>
              <w:jc w:val="right"/>
              <w:rPr>
                <w:rFonts w:cs="Arial"/>
                <w:color w:val="7F7F7F"/>
                <w:szCs w:val="18"/>
                <w:lang w:eastAsia="en-AU"/>
              </w:rPr>
            </w:pPr>
            <w:r w:rsidRPr="001940C1">
              <w:rPr>
                <w:rFonts w:cs="Arial"/>
                <w:color w:val="7F7F7F"/>
                <w:szCs w:val="18"/>
                <w:lang w:eastAsia="en-AU"/>
              </w:rPr>
              <w:t>-34%</w:t>
            </w:r>
          </w:p>
        </w:tc>
        <w:tc>
          <w:tcPr>
            <w:tcW w:w="1183" w:type="dxa"/>
            <w:tcBorders>
              <w:top w:val="nil"/>
              <w:left w:val="nil"/>
              <w:bottom w:val="nil"/>
              <w:right w:val="nil"/>
            </w:tcBorders>
            <w:shd w:val="clear" w:color="auto" w:fill="auto"/>
            <w:noWrap/>
            <w:vAlign w:val="center"/>
            <w:hideMark/>
          </w:tcPr>
          <w:p w:rsidR="00993E2A" w:rsidRPr="001940C1" w:rsidRDefault="00993E2A" w:rsidP="00C17726">
            <w:pPr>
              <w:jc w:val="right"/>
              <w:rPr>
                <w:rFonts w:cs="Arial"/>
                <w:color w:val="7F7F7F"/>
                <w:szCs w:val="18"/>
                <w:lang w:eastAsia="en-AU"/>
              </w:rPr>
            </w:pPr>
            <w:r w:rsidRPr="001940C1">
              <w:rPr>
                <w:rFonts w:cs="Arial"/>
                <w:color w:val="7F7F7F"/>
                <w:szCs w:val="18"/>
                <w:lang w:eastAsia="en-AU"/>
              </w:rPr>
              <w:t>-24%</w:t>
            </w:r>
          </w:p>
        </w:tc>
        <w:tc>
          <w:tcPr>
            <w:tcW w:w="1183" w:type="dxa"/>
            <w:tcBorders>
              <w:top w:val="nil"/>
              <w:left w:val="nil"/>
              <w:bottom w:val="nil"/>
              <w:right w:val="nil"/>
            </w:tcBorders>
            <w:shd w:val="clear" w:color="auto" w:fill="auto"/>
            <w:noWrap/>
            <w:vAlign w:val="center"/>
            <w:hideMark/>
          </w:tcPr>
          <w:p w:rsidR="00993E2A" w:rsidRPr="001940C1" w:rsidRDefault="00993E2A" w:rsidP="00C17726">
            <w:pPr>
              <w:jc w:val="right"/>
              <w:rPr>
                <w:rFonts w:cs="Arial"/>
                <w:color w:val="7F7F7F"/>
                <w:szCs w:val="18"/>
                <w:lang w:eastAsia="en-AU"/>
              </w:rPr>
            </w:pPr>
            <w:r w:rsidRPr="001940C1">
              <w:rPr>
                <w:rFonts w:cs="Arial"/>
                <w:color w:val="7F7F7F"/>
                <w:szCs w:val="18"/>
                <w:lang w:eastAsia="en-AU"/>
              </w:rPr>
              <w:t>-13%</w:t>
            </w:r>
          </w:p>
        </w:tc>
      </w:tr>
      <w:tr w:rsidR="00993E2A" w:rsidRPr="001940C1" w:rsidTr="00C17726">
        <w:trPr>
          <w:trHeight w:val="300"/>
        </w:trPr>
        <w:tc>
          <w:tcPr>
            <w:tcW w:w="2180" w:type="dxa"/>
            <w:tcBorders>
              <w:top w:val="nil"/>
              <w:left w:val="nil"/>
              <w:bottom w:val="nil"/>
              <w:right w:val="nil"/>
            </w:tcBorders>
            <w:shd w:val="clear" w:color="auto" w:fill="auto"/>
            <w:noWrap/>
            <w:vAlign w:val="center"/>
            <w:hideMark/>
          </w:tcPr>
          <w:p w:rsidR="00993E2A" w:rsidRPr="001940C1" w:rsidRDefault="00993E2A" w:rsidP="00C17726">
            <w:pPr>
              <w:rPr>
                <w:rFonts w:cs="Arial"/>
                <w:color w:val="7F7F7F"/>
                <w:szCs w:val="18"/>
                <w:lang w:eastAsia="en-AU"/>
              </w:rPr>
            </w:pPr>
            <w:r w:rsidRPr="001940C1">
              <w:rPr>
                <w:rFonts w:cs="Arial"/>
                <w:color w:val="7F7F7F"/>
                <w:szCs w:val="18"/>
                <w:lang w:eastAsia="en-AU"/>
              </w:rPr>
              <w:t>Fee-for-service*</w:t>
            </w:r>
          </w:p>
        </w:tc>
        <w:tc>
          <w:tcPr>
            <w:tcW w:w="1183" w:type="dxa"/>
            <w:tcBorders>
              <w:top w:val="nil"/>
              <w:left w:val="nil"/>
              <w:bottom w:val="nil"/>
              <w:right w:val="nil"/>
            </w:tcBorders>
            <w:shd w:val="clear" w:color="auto" w:fill="auto"/>
            <w:noWrap/>
            <w:vAlign w:val="center"/>
            <w:hideMark/>
          </w:tcPr>
          <w:p w:rsidR="00993E2A" w:rsidRPr="001940C1" w:rsidRDefault="00993E2A" w:rsidP="00C17726">
            <w:pPr>
              <w:jc w:val="right"/>
              <w:rPr>
                <w:rFonts w:cs="Arial"/>
                <w:color w:val="7F7F7F"/>
                <w:szCs w:val="18"/>
                <w:lang w:eastAsia="en-AU"/>
              </w:rPr>
            </w:pPr>
            <w:r w:rsidRPr="001940C1">
              <w:rPr>
                <w:rFonts w:cs="Arial"/>
                <w:color w:val="7F7F7F"/>
                <w:szCs w:val="18"/>
                <w:lang w:eastAsia="en-AU"/>
              </w:rPr>
              <w:t>-26%</w:t>
            </w:r>
          </w:p>
        </w:tc>
        <w:tc>
          <w:tcPr>
            <w:tcW w:w="1183" w:type="dxa"/>
            <w:tcBorders>
              <w:top w:val="nil"/>
              <w:left w:val="nil"/>
              <w:bottom w:val="nil"/>
              <w:right w:val="nil"/>
            </w:tcBorders>
            <w:shd w:val="clear" w:color="auto" w:fill="auto"/>
            <w:noWrap/>
            <w:vAlign w:val="center"/>
            <w:hideMark/>
          </w:tcPr>
          <w:p w:rsidR="00993E2A" w:rsidRPr="001940C1" w:rsidRDefault="00993E2A" w:rsidP="00C17726">
            <w:pPr>
              <w:jc w:val="right"/>
              <w:rPr>
                <w:rFonts w:cs="Arial"/>
                <w:color w:val="7F7F7F"/>
                <w:szCs w:val="18"/>
                <w:lang w:eastAsia="en-AU"/>
              </w:rPr>
            </w:pPr>
            <w:r w:rsidRPr="001940C1">
              <w:rPr>
                <w:rFonts w:cs="Arial"/>
                <w:color w:val="7F7F7F"/>
                <w:szCs w:val="18"/>
                <w:lang w:eastAsia="en-AU"/>
              </w:rPr>
              <w:t>-19%</w:t>
            </w:r>
          </w:p>
        </w:tc>
        <w:tc>
          <w:tcPr>
            <w:tcW w:w="1183" w:type="dxa"/>
            <w:tcBorders>
              <w:top w:val="nil"/>
              <w:left w:val="nil"/>
              <w:bottom w:val="nil"/>
              <w:right w:val="nil"/>
            </w:tcBorders>
            <w:shd w:val="clear" w:color="auto" w:fill="auto"/>
            <w:noWrap/>
            <w:vAlign w:val="center"/>
            <w:hideMark/>
          </w:tcPr>
          <w:p w:rsidR="00993E2A" w:rsidRPr="001940C1" w:rsidRDefault="00993E2A" w:rsidP="00C17726">
            <w:pPr>
              <w:jc w:val="right"/>
              <w:rPr>
                <w:rFonts w:cs="Arial"/>
                <w:color w:val="7F7F7F"/>
                <w:szCs w:val="18"/>
                <w:lang w:eastAsia="en-AU"/>
              </w:rPr>
            </w:pPr>
            <w:r w:rsidRPr="001940C1">
              <w:rPr>
                <w:rFonts w:cs="Arial"/>
                <w:color w:val="7F7F7F"/>
                <w:szCs w:val="18"/>
                <w:lang w:eastAsia="en-AU"/>
              </w:rPr>
              <w:t>-22%</w:t>
            </w:r>
          </w:p>
        </w:tc>
        <w:tc>
          <w:tcPr>
            <w:tcW w:w="1183" w:type="dxa"/>
            <w:tcBorders>
              <w:top w:val="nil"/>
              <w:left w:val="nil"/>
              <w:bottom w:val="nil"/>
              <w:right w:val="nil"/>
            </w:tcBorders>
            <w:shd w:val="clear" w:color="auto" w:fill="auto"/>
            <w:noWrap/>
            <w:vAlign w:val="center"/>
            <w:hideMark/>
          </w:tcPr>
          <w:p w:rsidR="00993E2A" w:rsidRPr="001940C1" w:rsidRDefault="00993E2A" w:rsidP="00C17726">
            <w:pPr>
              <w:jc w:val="right"/>
              <w:rPr>
                <w:rFonts w:cs="Arial"/>
                <w:color w:val="7F7F7F"/>
                <w:szCs w:val="18"/>
                <w:lang w:eastAsia="en-AU"/>
              </w:rPr>
            </w:pPr>
            <w:r w:rsidRPr="001940C1">
              <w:rPr>
                <w:rFonts w:cs="Arial"/>
                <w:color w:val="7F7F7F"/>
                <w:szCs w:val="18"/>
                <w:lang w:eastAsia="en-AU"/>
              </w:rPr>
              <w:t>-6%</w:t>
            </w:r>
          </w:p>
        </w:tc>
        <w:tc>
          <w:tcPr>
            <w:tcW w:w="1183" w:type="dxa"/>
            <w:tcBorders>
              <w:top w:val="nil"/>
              <w:left w:val="nil"/>
              <w:bottom w:val="nil"/>
              <w:right w:val="nil"/>
            </w:tcBorders>
            <w:shd w:val="clear" w:color="auto" w:fill="auto"/>
            <w:noWrap/>
            <w:vAlign w:val="center"/>
            <w:hideMark/>
          </w:tcPr>
          <w:p w:rsidR="00993E2A" w:rsidRPr="001940C1" w:rsidRDefault="00993E2A" w:rsidP="00C17726">
            <w:pPr>
              <w:jc w:val="right"/>
              <w:rPr>
                <w:rFonts w:cs="Arial"/>
                <w:color w:val="7F7F7F"/>
                <w:szCs w:val="18"/>
                <w:lang w:eastAsia="en-AU"/>
              </w:rPr>
            </w:pPr>
            <w:r w:rsidRPr="001940C1">
              <w:rPr>
                <w:rFonts w:cs="Arial"/>
                <w:color w:val="7F7F7F"/>
                <w:szCs w:val="18"/>
                <w:lang w:eastAsia="en-AU"/>
              </w:rPr>
              <w:t>-12%</w:t>
            </w:r>
          </w:p>
        </w:tc>
      </w:tr>
      <w:tr w:rsidR="00993E2A" w:rsidRPr="001940C1" w:rsidTr="00C17726">
        <w:trPr>
          <w:trHeight w:val="300"/>
        </w:trPr>
        <w:tc>
          <w:tcPr>
            <w:tcW w:w="2180" w:type="dxa"/>
            <w:tcBorders>
              <w:top w:val="nil"/>
              <w:left w:val="nil"/>
              <w:bottom w:val="nil"/>
              <w:right w:val="nil"/>
            </w:tcBorders>
            <w:shd w:val="clear" w:color="auto" w:fill="auto"/>
            <w:noWrap/>
            <w:vAlign w:val="center"/>
            <w:hideMark/>
          </w:tcPr>
          <w:p w:rsidR="00993E2A" w:rsidRPr="001940C1" w:rsidRDefault="00993E2A" w:rsidP="00C17726">
            <w:pPr>
              <w:rPr>
                <w:rFonts w:cs="Arial"/>
                <w:i/>
                <w:iCs/>
                <w:color w:val="7F7F7F"/>
                <w:szCs w:val="18"/>
                <w:lang w:eastAsia="en-AU"/>
              </w:rPr>
            </w:pPr>
            <w:r w:rsidRPr="001940C1">
              <w:rPr>
                <w:rFonts w:cs="Arial"/>
                <w:i/>
                <w:iCs/>
                <w:color w:val="7F7F7F"/>
                <w:szCs w:val="18"/>
                <w:lang w:eastAsia="en-AU"/>
              </w:rPr>
              <w:t xml:space="preserve">   Domestic</w:t>
            </w:r>
          </w:p>
        </w:tc>
        <w:tc>
          <w:tcPr>
            <w:tcW w:w="1183" w:type="dxa"/>
            <w:tcBorders>
              <w:top w:val="nil"/>
              <w:left w:val="nil"/>
              <w:bottom w:val="nil"/>
              <w:right w:val="nil"/>
            </w:tcBorders>
            <w:shd w:val="clear" w:color="auto" w:fill="auto"/>
            <w:noWrap/>
            <w:vAlign w:val="center"/>
            <w:hideMark/>
          </w:tcPr>
          <w:p w:rsidR="00993E2A" w:rsidRPr="001940C1" w:rsidRDefault="00993E2A" w:rsidP="00C17726">
            <w:pPr>
              <w:jc w:val="right"/>
              <w:rPr>
                <w:rFonts w:cs="Arial"/>
                <w:color w:val="7F7F7F"/>
                <w:szCs w:val="18"/>
                <w:lang w:eastAsia="en-AU"/>
              </w:rPr>
            </w:pPr>
            <w:r w:rsidRPr="001940C1">
              <w:rPr>
                <w:rFonts w:cs="Arial"/>
                <w:color w:val="7F7F7F"/>
                <w:szCs w:val="18"/>
                <w:lang w:eastAsia="en-AU"/>
              </w:rPr>
              <w:t>-25%</w:t>
            </w:r>
          </w:p>
        </w:tc>
        <w:tc>
          <w:tcPr>
            <w:tcW w:w="1183" w:type="dxa"/>
            <w:tcBorders>
              <w:top w:val="nil"/>
              <w:left w:val="nil"/>
              <w:bottom w:val="nil"/>
              <w:right w:val="nil"/>
            </w:tcBorders>
            <w:shd w:val="clear" w:color="auto" w:fill="auto"/>
            <w:noWrap/>
            <w:vAlign w:val="center"/>
            <w:hideMark/>
          </w:tcPr>
          <w:p w:rsidR="00993E2A" w:rsidRPr="001940C1" w:rsidRDefault="00993E2A" w:rsidP="00C17726">
            <w:pPr>
              <w:jc w:val="right"/>
              <w:rPr>
                <w:rFonts w:cs="Arial"/>
                <w:color w:val="7F7F7F"/>
                <w:szCs w:val="18"/>
                <w:lang w:eastAsia="en-AU"/>
              </w:rPr>
            </w:pPr>
            <w:r w:rsidRPr="001940C1">
              <w:rPr>
                <w:rFonts w:cs="Arial"/>
                <w:color w:val="7F7F7F"/>
                <w:szCs w:val="18"/>
                <w:lang w:eastAsia="en-AU"/>
              </w:rPr>
              <w:t>-18%</w:t>
            </w:r>
          </w:p>
        </w:tc>
        <w:tc>
          <w:tcPr>
            <w:tcW w:w="1183" w:type="dxa"/>
            <w:tcBorders>
              <w:top w:val="nil"/>
              <w:left w:val="nil"/>
              <w:bottom w:val="nil"/>
              <w:right w:val="nil"/>
            </w:tcBorders>
            <w:shd w:val="clear" w:color="auto" w:fill="auto"/>
            <w:noWrap/>
            <w:vAlign w:val="center"/>
            <w:hideMark/>
          </w:tcPr>
          <w:p w:rsidR="00993E2A" w:rsidRPr="001940C1" w:rsidRDefault="00993E2A" w:rsidP="00C17726">
            <w:pPr>
              <w:jc w:val="right"/>
              <w:rPr>
                <w:rFonts w:cs="Arial"/>
                <w:color w:val="7F7F7F"/>
                <w:szCs w:val="18"/>
                <w:lang w:eastAsia="en-AU"/>
              </w:rPr>
            </w:pPr>
            <w:r w:rsidRPr="001940C1">
              <w:rPr>
                <w:rFonts w:cs="Arial"/>
                <w:color w:val="7F7F7F"/>
                <w:szCs w:val="18"/>
                <w:lang w:eastAsia="en-AU"/>
              </w:rPr>
              <w:t>-23%</w:t>
            </w:r>
          </w:p>
        </w:tc>
        <w:tc>
          <w:tcPr>
            <w:tcW w:w="1183" w:type="dxa"/>
            <w:tcBorders>
              <w:top w:val="nil"/>
              <w:left w:val="nil"/>
              <w:bottom w:val="nil"/>
              <w:right w:val="nil"/>
            </w:tcBorders>
            <w:shd w:val="clear" w:color="auto" w:fill="auto"/>
            <w:noWrap/>
            <w:vAlign w:val="center"/>
            <w:hideMark/>
          </w:tcPr>
          <w:p w:rsidR="00993E2A" w:rsidRPr="001940C1" w:rsidRDefault="00993E2A" w:rsidP="00C17726">
            <w:pPr>
              <w:jc w:val="right"/>
              <w:rPr>
                <w:rFonts w:cs="Arial"/>
                <w:color w:val="7F7F7F"/>
                <w:szCs w:val="18"/>
                <w:lang w:eastAsia="en-AU"/>
              </w:rPr>
            </w:pPr>
            <w:r w:rsidRPr="001940C1">
              <w:rPr>
                <w:rFonts w:cs="Arial"/>
                <w:color w:val="7F7F7F"/>
                <w:szCs w:val="18"/>
                <w:lang w:eastAsia="en-AU"/>
              </w:rPr>
              <w:t>-7%</w:t>
            </w:r>
          </w:p>
        </w:tc>
        <w:tc>
          <w:tcPr>
            <w:tcW w:w="1183" w:type="dxa"/>
            <w:tcBorders>
              <w:top w:val="nil"/>
              <w:left w:val="nil"/>
              <w:bottom w:val="nil"/>
              <w:right w:val="nil"/>
            </w:tcBorders>
            <w:shd w:val="clear" w:color="auto" w:fill="auto"/>
            <w:noWrap/>
            <w:vAlign w:val="center"/>
            <w:hideMark/>
          </w:tcPr>
          <w:p w:rsidR="00993E2A" w:rsidRPr="001940C1" w:rsidRDefault="00993E2A" w:rsidP="00C17726">
            <w:pPr>
              <w:jc w:val="right"/>
              <w:rPr>
                <w:rFonts w:cs="Arial"/>
                <w:color w:val="7F7F7F"/>
                <w:szCs w:val="18"/>
                <w:lang w:eastAsia="en-AU"/>
              </w:rPr>
            </w:pPr>
            <w:r w:rsidRPr="001940C1">
              <w:rPr>
                <w:rFonts w:cs="Arial"/>
                <w:color w:val="7F7F7F"/>
                <w:szCs w:val="18"/>
                <w:lang w:eastAsia="en-AU"/>
              </w:rPr>
              <w:t>-12%</w:t>
            </w:r>
          </w:p>
        </w:tc>
      </w:tr>
      <w:tr w:rsidR="00993E2A" w:rsidRPr="001940C1" w:rsidTr="00C17726">
        <w:trPr>
          <w:trHeight w:val="300"/>
        </w:trPr>
        <w:tc>
          <w:tcPr>
            <w:tcW w:w="2180" w:type="dxa"/>
            <w:tcBorders>
              <w:top w:val="nil"/>
              <w:left w:val="nil"/>
              <w:bottom w:val="nil"/>
              <w:right w:val="nil"/>
            </w:tcBorders>
            <w:shd w:val="clear" w:color="auto" w:fill="auto"/>
            <w:noWrap/>
            <w:vAlign w:val="center"/>
            <w:hideMark/>
          </w:tcPr>
          <w:p w:rsidR="00993E2A" w:rsidRPr="001940C1" w:rsidRDefault="00993E2A" w:rsidP="00C17726">
            <w:pPr>
              <w:rPr>
                <w:rFonts w:cs="Arial"/>
                <w:i/>
                <w:iCs/>
                <w:color w:val="7F7F7F"/>
                <w:szCs w:val="18"/>
                <w:lang w:eastAsia="en-AU"/>
              </w:rPr>
            </w:pPr>
            <w:r w:rsidRPr="001940C1">
              <w:rPr>
                <w:rFonts w:cs="Arial"/>
                <w:i/>
                <w:iCs/>
                <w:color w:val="7F7F7F"/>
                <w:szCs w:val="18"/>
                <w:lang w:eastAsia="en-AU"/>
              </w:rPr>
              <w:t xml:space="preserve">   International</w:t>
            </w:r>
          </w:p>
        </w:tc>
        <w:tc>
          <w:tcPr>
            <w:tcW w:w="1183" w:type="dxa"/>
            <w:tcBorders>
              <w:top w:val="nil"/>
              <w:left w:val="nil"/>
              <w:bottom w:val="nil"/>
              <w:right w:val="nil"/>
            </w:tcBorders>
            <w:shd w:val="clear" w:color="auto" w:fill="auto"/>
            <w:noWrap/>
            <w:vAlign w:val="center"/>
            <w:hideMark/>
          </w:tcPr>
          <w:p w:rsidR="00993E2A" w:rsidRPr="001940C1" w:rsidRDefault="00993E2A" w:rsidP="00C17726">
            <w:pPr>
              <w:jc w:val="right"/>
              <w:rPr>
                <w:rFonts w:cs="Arial"/>
                <w:color w:val="7F7F7F"/>
                <w:szCs w:val="18"/>
                <w:lang w:eastAsia="en-AU"/>
              </w:rPr>
            </w:pPr>
            <w:r w:rsidRPr="001940C1">
              <w:rPr>
                <w:rFonts w:cs="Arial"/>
                <w:color w:val="7F7F7F"/>
                <w:szCs w:val="18"/>
                <w:lang w:eastAsia="en-AU"/>
              </w:rPr>
              <w:t>-41%</w:t>
            </w:r>
          </w:p>
        </w:tc>
        <w:tc>
          <w:tcPr>
            <w:tcW w:w="1183" w:type="dxa"/>
            <w:tcBorders>
              <w:top w:val="nil"/>
              <w:left w:val="nil"/>
              <w:bottom w:val="nil"/>
              <w:right w:val="nil"/>
            </w:tcBorders>
            <w:shd w:val="clear" w:color="auto" w:fill="auto"/>
            <w:noWrap/>
            <w:vAlign w:val="center"/>
            <w:hideMark/>
          </w:tcPr>
          <w:p w:rsidR="00993E2A" w:rsidRPr="001940C1" w:rsidRDefault="00993E2A" w:rsidP="00C17726">
            <w:pPr>
              <w:jc w:val="right"/>
              <w:rPr>
                <w:rFonts w:cs="Arial"/>
                <w:color w:val="7F7F7F"/>
                <w:szCs w:val="18"/>
                <w:lang w:eastAsia="en-AU"/>
              </w:rPr>
            </w:pPr>
            <w:r w:rsidRPr="001940C1">
              <w:rPr>
                <w:rFonts w:cs="Arial"/>
                <w:color w:val="7F7F7F"/>
                <w:szCs w:val="18"/>
                <w:lang w:eastAsia="en-AU"/>
              </w:rPr>
              <w:t>-31%</w:t>
            </w:r>
          </w:p>
        </w:tc>
        <w:tc>
          <w:tcPr>
            <w:tcW w:w="1183" w:type="dxa"/>
            <w:tcBorders>
              <w:top w:val="nil"/>
              <w:left w:val="nil"/>
              <w:bottom w:val="nil"/>
              <w:right w:val="nil"/>
            </w:tcBorders>
            <w:shd w:val="clear" w:color="auto" w:fill="auto"/>
            <w:noWrap/>
            <w:vAlign w:val="center"/>
            <w:hideMark/>
          </w:tcPr>
          <w:p w:rsidR="00993E2A" w:rsidRPr="001940C1" w:rsidRDefault="00993E2A" w:rsidP="00C17726">
            <w:pPr>
              <w:jc w:val="right"/>
              <w:rPr>
                <w:rFonts w:cs="Arial"/>
                <w:color w:val="7F7F7F"/>
                <w:szCs w:val="18"/>
                <w:lang w:eastAsia="en-AU"/>
              </w:rPr>
            </w:pPr>
            <w:r w:rsidRPr="001940C1">
              <w:rPr>
                <w:rFonts w:cs="Arial"/>
                <w:color w:val="7F7F7F"/>
                <w:szCs w:val="18"/>
                <w:lang w:eastAsia="en-AU"/>
              </w:rPr>
              <w:t>-13%</w:t>
            </w:r>
          </w:p>
        </w:tc>
        <w:tc>
          <w:tcPr>
            <w:tcW w:w="1183" w:type="dxa"/>
            <w:tcBorders>
              <w:top w:val="nil"/>
              <w:left w:val="nil"/>
              <w:bottom w:val="nil"/>
              <w:right w:val="nil"/>
            </w:tcBorders>
            <w:shd w:val="clear" w:color="auto" w:fill="auto"/>
            <w:noWrap/>
            <w:vAlign w:val="center"/>
            <w:hideMark/>
          </w:tcPr>
          <w:p w:rsidR="00993E2A" w:rsidRPr="001940C1" w:rsidRDefault="00993E2A" w:rsidP="00C17726">
            <w:pPr>
              <w:jc w:val="right"/>
              <w:rPr>
                <w:rFonts w:cs="Arial"/>
                <w:color w:val="7F7F7F"/>
                <w:szCs w:val="18"/>
                <w:lang w:eastAsia="en-AU"/>
              </w:rPr>
            </w:pPr>
            <w:r w:rsidRPr="001940C1">
              <w:rPr>
                <w:rFonts w:cs="Arial"/>
                <w:color w:val="7F7F7F"/>
                <w:szCs w:val="18"/>
                <w:lang w:eastAsia="en-AU"/>
              </w:rPr>
              <w:t>9%</w:t>
            </w:r>
          </w:p>
        </w:tc>
        <w:tc>
          <w:tcPr>
            <w:tcW w:w="1183" w:type="dxa"/>
            <w:tcBorders>
              <w:top w:val="nil"/>
              <w:left w:val="nil"/>
              <w:bottom w:val="nil"/>
              <w:right w:val="nil"/>
            </w:tcBorders>
            <w:shd w:val="clear" w:color="auto" w:fill="auto"/>
            <w:noWrap/>
            <w:vAlign w:val="center"/>
            <w:hideMark/>
          </w:tcPr>
          <w:p w:rsidR="00993E2A" w:rsidRPr="001940C1" w:rsidRDefault="00993E2A" w:rsidP="00C17726">
            <w:pPr>
              <w:jc w:val="right"/>
              <w:rPr>
                <w:rFonts w:cs="Arial"/>
                <w:color w:val="7F7F7F"/>
                <w:szCs w:val="18"/>
                <w:lang w:eastAsia="en-AU"/>
              </w:rPr>
            </w:pPr>
            <w:r w:rsidRPr="001940C1">
              <w:rPr>
                <w:rFonts w:cs="Arial"/>
                <w:color w:val="7F7F7F"/>
                <w:szCs w:val="18"/>
                <w:lang w:eastAsia="en-AU"/>
              </w:rPr>
              <w:t>-12%</w:t>
            </w:r>
          </w:p>
        </w:tc>
      </w:tr>
      <w:tr w:rsidR="00993E2A" w:rsidRPr="001940C1" w:rsidTr="00C17726">
        <w:trPr>
          <w:trHeight w:val="315"/>
        </w:trPr>
        <w:tc>
          <w:tcPr>
            <w:tcW w:w="2180" w:type="dxa"/>
            <w:tcBorders>
              <w:top w:val="nil"/>
              <w:left w:val="nil"/>
              <w:bottom w:val="single" w:sz="12" w:space="0" w:color="FFFFFF"/>
              <w:right w:val="nil"/>
            </w:tcBorders>
            <w:shd w:val="clear" w:color="000000" w:fill="7F7F7F"/>
            <w:noWrap/>
            <w:vAlign w:val="center"/>
            <w:hideMark/>
          </w:tcPr>
          <w:p w:rsidR="00993E2A" w:rsidRPr="001940C1" w:rsidRDefault="00993E2A" w:rsidP="00C17726">
            <w:pPr>
              <w:rPr>
                <w:rFonts w:cs="Arial"/>
                <w:b/>
                <w:bCs/>
                <w:color w:val="FFFFFF"/>
                <w:szCs w:val="18"/>
                <w:lang w:eastAsia="en-AU"/>
              </w:rPr>
            </w:pPr>
            <w:r w:rsidRPr="001940C1">
              <w:rPr>
                <w:rFonts w:cs="Arial"/>
                <w:b/>
                <w:bCs/>
                <w:color w:val="FFFFFF"/>
                <w:szCs w:val="18"/>
                <w:lang w:eastAsia="en-AU"/>
              </w:rPr>
              <w:t>Total**</w:t>
            </w:r>
          </w:p>
        </w:tc>
        <w:tc>
          <w:tcPr>
            <w:tcW w:w="1183" w:type="dxa"/>
            <w:tcBorders>
              <w:top w:val="nil"/>
              <w:left w:val="nil"/>
              <w:bottom w:val="single" w:sz="12" w:space="0" w:color="FFFFFF"/>
              <w:right w:val="nil"/>
            </w:tcBorders>
            <w:shd w:val="clear" w:color="000000" w:fill="7F7F7F"/>
            <w:noWrap/>
            <w:vAlign w:val="center"/>
            <w:hideMark/>
          </w:tcPr>
          <w:p w:rsidR="00993E2A" w:rsidRPr="001940C1" w:rsidRDefault="00993E2A" w:rsidP="00C17726">
            <w:pPr>
              <w:jc w:val="right"/>
              <w:rPr>
                <w:rFonts w:cs="Arial"/>
                <w:b/>
                <w:bCs/>
                <w:color w:val="FFFFFF"/>
                <w:szCs w:val="18"/>
                <w:lang w:eastAsia="en-AU"/>
              </w:rPr>
            </w:pPr>
            <w:r w:rsidRPr="001940C1">
              <w:rPr>
                <w:rFonts w:cs="Arial"/>
                <w:b/>
                <w:bCs/>
                <w:color w:val="FFFFFF"/>
                <w:szCs w:val="18"/>
                <w:lang w:eastAsia="en-AU"/>
              </w:rPr>
              <w:t>-27%</w:t>
            </w:r>
          </w:p>
        </w:tc>
        <w:tc>
          <w:tcPr>
            <w:tcW w:w="1183" w:type="dxa"/>
            <w:tcBorders>
              <w:top w:val="nil"/>
              <w:left w:val="nil"/>
              <w:bottom w:val="single" w:sz="12" w:space="0" w:color="FFFFFF"/>
              <w:right w:val="nil"/>
            </w:tcBorders>
            <w:shd w:val="clear" w:color="000000" w:fill="7F7F7F"/>
            <w:noWrap/>
            <w:vAlign w:val="center"/>
            <w:hideMark/>
          </w:tcPr>
          <w:p w:rsidR="00993E2A" w:rsidRPr="001940C1" w:rsidRDefault="00993E2A" w:rsidP="00C17726">
            <w:pPr>
              <w:jc w:val="right"/>
              <w:rPr>
                <w:rFonts w:cs="Arial"/>
                <w:b/>
                <w:bCs/>
                <w:color w:val="FFFFFF"/>
                <w:szCs w:val="18"/>
                <w:lang w:eastAsia="en-AU"/>
              </w:rPr>
            </w:pPr>
            <w:r w:rsidRPr="001940C1">
              <w:rPr>
                <w:rFonts w:cs="Arial"/>
                <w:b/>
                <w:bCs/>
                <w:color w:val="FFFFFF"/>
                <w:szCs w:val="18"/>
                <w:lang w:eastAsia="en-AU"/>
              </w:rPr>
              <w:t>-24%</w:t>
            </w:r>
          </w:p>
        </w:tc>
        <w:tc>
          <w:tcPr>
            <w:tcW w:w="1183" w:type="dxa"/>
            <w:tcBorders>
              <w:top w:val="nil"/>
              <w:left w:val="nil"/>
              <w:bottom w:val="single" w:sz="12" w:space="0" w:color="FFFFFF"/>
              <w:right w:val="nil"/>
            </w:tcBorders>
            <w:shd w:val="clear" w:color="000000" w:fill="7F7F7F"/>
            <w:noWrap/>
            <w:vAlign w:val="center"/>
            <w:hideMark/>
          </w:tcPr>
          <w:p w:rsidR="00993E2A" w:rsidRPr="001940C1" w:rsidRDefault="00993E2A" w:rsidP="00C17726">
            <w:pPr>
              <w:jc w:val="right"/>
              <w:rPr>
                <w:rFonts w:cs="Arial"/>
                <w:b/>
                <w:bCs/>
                <w:color w:val="FFFFFF"/>
                <w:szCs w:val="18"/>
                <w:lang w:eastAsia="en-AU"/>
              </w:rPr>
            </w:pPr>
            <w:r w:rsidRPr="001940C1">
              <w:rPr>
                <w:rFonts w:cs="Arial"/>
                <w:b/>
                <w:bCs/>
                <w:color w:val="FFFFFF"/>
                <w:szCs w:val="18"/>
                <w:lang w:eastAsia="en-AU"/>
              </w:rPr>
              <w:t>-28%</w:t>
            </w:r>
          </w:p>
        </w:tc>
        <w:tc>
          <w:tcPr>
            <w:tcW w:w="1183" w:type="dxa"/>
            <w:tcBorders>
              <w:top w:val="nil"/>
              <w:left w:val="nil"/>
              <w:bottom w:val="single" w:sz="12" w:space="0" w:color="FFFFFF"/>
              <w:right w:val="nil"/>
            </w:tcBorders>
            <w:shd w:val="clear" w:color="000000" w:fill="7F7F7F"/>
            <w:noWrap/>
            <w:vAlign w:val="center"/>
            <w:hideMark/>
          </w:tcPr>
          <w:p w:rsidR="00993E2A" w:rsidRPr="001940C1" w:rsidRDefault="00993E2A" w:rsidP="00C17726">
            <w:pPr>
              <w:jc w:val="right"/>
              <w:rPr>
                <w:rFonts w:cs="Arial"/>
                <w:b/>
                <w:bCs/>
                <w:color w:val="FFFFFF"/>
                <w:szCs w:val="18"/>
                <w:lang w:eastAsia="en-AU"/>
              </w:rPr>
            </w:pPr>
            <w:r w:rsidRPr="001940C1">
              <w:rPr>
                <w:rFonts w:cs="Arial"/>
                <w:b/>
                <w:bCs/>
                <w:color w:val="FFFFFF"/>
                <w:szCs w:val="18"/>
                <w:lang w:eastAsia="en-AU"/>
              </w:rPr>
              <w:t>-15%</w:t>
            </w:r>
          </w:p>
        </w:tc>
        <w:tc>
          <w:tcPr>
            <w:tcW w:w="1183" w:type="dxa"/>
            <w:tcBorders>
              <w:top w:val="nil"/>
              <w:left w:val="nil"/>
              <w:bottom w:val="single" w:sz="12" w:space="0" w:color="FFFFFF"/>
              <w:right w:val="nil"/>
            </w:tcBorders>
            <w:shd w:val="clear" w:color="000000" w:fill="7F7F7F"/>
            <w:noWrap/>
            <w:vAlign w:val="center"/>
            <w:hideMark/>
          </w:tcPr>
          <w:p w:rsidR="00993E2A" w:rsidRPr="001940C1" w:rsidRDefault="00993E2A" w:rsidP="00C17726">
            <w:pPr>
              <w:jc w:val="right"/>
              <w:rPr>
                <w:rFonts w:cs="Arial"/>
                <w:b/>
                <w:bCs/>
                <w:color w:val="FFFFFF"/>
                <w:szCs w:val="18"/>
                <w:lang w:eastAsia="en-AU"/>
              </w:rPr>
            </w:pPr>
            <w:r w:rsidRPr="001940C1">
              <w:rPr>
                <w:rFonts w:cs="Arial"/>
                <w:b/>
                <w:bCs/>
                <w:color w:val="FFFFFF"/>
                <w:szCs w:val="18"/>
                <w:lang w:eastAsia="en-AU"/>
              </w:rPr>
              <w:t>-11%</w:t>
            </w:r>
          </w:p>
        </w:tc>
      </w:tr>
    </w:tbl>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4A0" w:firstRow="1" w:lastRow="0" w:firstColumn="1" w:lastColumn="0" w:noHBand="0" w:noVBand="1"/>
      </w:tblPr>
      <w:tblGrid>
        <w:gridCol w:w="431"/>
        <w:gridCol w:w="7649"/>
      </w:tblGrid>
      <w:tr w:rsidR="00993E2A" w:rsidRPr="00913551" w:rsidTr="00C17726">
        <w:tc>
          <w:tcPr>
            <w:tcW w:w="431" w:type="dxa"/>
            <w:tcMar>
              <w:left w:w="0" w:type="dxa"/>
              <w:right w:w="28" w:type="dxa"/>
            </w:tcMar>
          </w:tcPr>
          <w:p w:rsidR="00993E2A" w:rsidRPr="00913551" w:rsidRDefault="00993E2A" w:rsidP="00C17726">
            <w:pPr>
              <w:spacing w:after="0" w:line="240" w:lineRule="auto"/>
              <w:jc w:val="right"/>
              <w:rPr>
                <w:color w:val="7F7F7F" w:themeColor="text2"/>
                <w:sz w:val="16"/>
                <w:szCs w:val="16"/>
              </w:rPr>
            </w:pPr>
            <w:r w:rsidRPr="00913551">
              <w:rPr>
                <w:color w:val="7F7F7F" w:themeColor="text2"/>
                <w:sz w:val="16"/>
                <w:szCs w:val="16"/>
              </w:rPr>
              <w:t xml:space="preserve">* </w:t>
            </w:r>
          </w:p>
        </w:tc>
        <w:tc>
          <w:tcPr>
            <w:tcW w:w="7649" w:type="dxa"/>
            <w:tcMar>
              <w:left w:w="0" w:type="dxa"/>
              <w:right w:w="28" w:type="dxa"/>
            </w:tcMar>
          </w:tcPr>
          <w:p w:rsidR="00993E2A" w:rsidRPr="00913551" w:rsidRDefault="00993E2A" w:rsidP="00C17726">
            <w:pPr>
              <w:pStyle w:val="Note"/>
              <w:spacing w:after="0"/>
              <w:rPr>
                <w:i w:val="0"/>
                <w:color w:val="7F7F7F" w:themeColor="text2"/>
              </w:rPr>
            </w:pPr>
            <w:r w:rsidRPr="006713A5">
              <w:t>Domestic and international fee-for-service student numbers do not add to the fee-for-service total as a student may be in multiple categories (e.g. both Domestic and International) in a given year.</w:t>
            </w:r>
          </w:p>
        </w:tc>
      </w:tr>
      <w:tr w:rsidR="00993E2A" w:rsidRPr="00913551" w:rsidTr="00C17726">
        <w:trPr>
          <w:trHeight w:val="367"/>
        </w:trPr>
        <w:tc>
          <w:tcPr>
            <w:tcW w:w="431" w:type="dxa"/>
            <w:tcMar>
              <w:left w:w="0" w:type="dxa"/>
              <w:right w:w="28" w:type="dxa"/>
            </w:tcMar>
          </w:tcPr>
          <w:p w:rsidR="00993E2A" w:rsidRPr="00913551" w:rsidRDefault="00993E2A" w:rsidP="00C17726">
            <w:pPr>
              <w:jc w:val="right"/>
              <w:rPr>
                <w:color w:val="7F7F7F" w:themeColor="text2"/>
                <w:sz w:val="16"/>
                <w:szCs w:val="16"/>
              </w:rPr>
            </w:pPr>
            <w:r>
              <w:rPr>
                <w:color w:val="7F7F7F" w:themeColor="text2"/>
                <w:sz w:val="16"/>
                <w:szCs w:val="16"/>
              </w:rPr>
              <w:t>**</w:t>
            </w:r>
          </w:p>
        </w:tc>
        <w:tc>
          <w:tcPr>
            <w:tcW w:w="7649" w:type="dxa"/>
            <w:tcMar>
              <w:left w:w="0" w:type="dxa"/>
              <w:right w:w="28" w:type="dxa"/>
            </w:tcMar>
          </w:tcPr>
          <w:p w:rsidR="00993E2A" w:rsidRPr="00913551" w:rsidRDefault="00993E2A" w:rsidP="00C17726">
            <w:pPr>
              <w:rPr>
                <w:i/>
                <w:sz w:val="16"/>
                <w:szCs w:val="16"/>
              </w:rPr>
            </w:pPr>
            <w:r w:rsidRPr="00913551">
              <w:rPr>
                <w:i/>
                <w:sz w:val="16"/>
                <w:szCs w:val="16"/>
              </w:rPr>
              <w:t xml:space="preserve">Government subsidised and fee-for-service enrolments do not add to the total as a student </w:t>
            </w:r>
            <w:proofErr w:type="gramStart"/>
            <w:r w:rsidRPr="00913551">
              <w:rPr>
                <w:i/>
                <w:sz w:val="16"/>
                <w:szCs w:val="16"/>
              </w:rPr>
              <w:t>may be enrolled</w:t>
            </w:r>
            <w:proofErr w:type="gramEnd"/>
            <w:r w:rsidRPr="00913551">
              <w:rPr>
                <w:i/>
                <w:sz w:val="16"/>
                <w:szCs w:val="16"/>
              </w:rPr>
              <w:t xml:space="preserve"> in both at the same time</w:t>
            </w:r>
            <w:r>
              <w:rPr>
                <w:i/>
                <w:sz w:val="16"/>
                <w:szCs w:val="16"/>
              </w:rPr>
              <w:t>.</w:t>
            </w:r>
          </w:p>
        </w:tc>
      </w:tr>
    </w:tbl>
    <w:p w:rsidR="000129C4" w:rsidRDefault="000129C4" w:rsidP="00151889">
      <w:pPr>
        <w:rPr>
          <w:b/>
          <w:color w:val="7F7F7F" w:themeColor="text2"/>
          <w:szCs w:val="18"/>
        </w:rPr>
      </w:pPr>
      <w:r w:rsidRPr="00151889">
        <w:rPr>
          <w:b/>
          <w:color w:val="7F7F7F" w:themeColor="text2"/>
          <w:szCs w:val="18"/>
        </w:rPr>
        <w:br w:type="page"/>
      </w: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8D6A92" w:rsidTr="00C17726">
        <w:tc>
          <w:tcPr>
            <w:tcW w:w="1134" w:type="dxa"/>
            <w:tcMar>
              <w:left w:w="0" w:type="dxa"/>
              <w:right w:w="0" w:type="dxa"/>
            </w:tcMar>
          </w:tcPr>
          <w:p w:rsidR="008D6A92" w:rsidRDefault="008D6A92" w:rsidP="0084117E">
            <w:pPr>
              <w:pStyle w:val="Quote"/>
              <w:tabs>
                <w:tab w:val="left" w:pos="1134"/>
              </w:tabs>
              <w:rPr>
                <w:b w:val="0"/>
                <w:color w:val="B41F22" w:themeColor="accent1"/>
              </w:rPr>
            </w:pPr>
            <w:r>
              <w:rPr>
                <w:b w:val="0"/>
                <w:color w:val="B41F22" w:themeColor="accent1"/>
              </w:rPr>
              <w:lastRenderedPageBreak/>
              <w:t>Table 1.2</w:t>
            </w:r>
            <w:r w:rsidR="0084117E">
              <w:rPr>
                <w:b w:val="0"/>
                <w:color w:val="B41F22" w:themeColor="accent1"/>
              </w:rPr>
              <w:t>3</w:t>
            </w:r>
            <w:r>
              <w:rPr>
                <w:b w:val="0"/>
                <w:color w:val="B41F22" w:themeColor="accent1"/>
              </w:rPr>
              <w:t>.1:</w:t>
            </w:r>
          </w:p>
        </w:tc>
        <w:tc>
          <w:tcPr>
            <w:tcW w:w="6946" w:type="dxa"/>
            <w:tcMar>
              <w:left w:w="0" w:type="dxa"/>
              <w:right w:w="0" w:type="dxa"/>
            </w:tcMar>
          </w:tcPr>
          <w:p w:rsidR="008D6A92" w:rsidRDefault="008D6A92" w:rsidP="007E03F8">
            <w:pPr>
              <w:pStyle w:val="Quote"/>
              <w:tabs>
                <w:tab w:val="left" w:pos="1134"/>
              </w:tabs>
              <w:rPr>
                <w:b w:val="0"/>
                <w:color w:val="B41F22" w:themeColor="accent1"/>
              </w:rPr>
            </w:pPr>
            <w:r>
              <w:rPr>
                <w:b w:val="0"/>
                <w:color w:val="B41F22" w:themeColor="accent1"/>
              </w:rPr>
              <w:t xml:space="preserve">Course enrolments </w:t>
            </w:r>
            <w:r w:rsidRPr="001940C1">
              <w:rPr>
                <w:b w:val="0"/>
                <w:color w:val="B41F22" w:themeColor="accent1"/>
              </w:rPr>
              <w:t xml:space="preserve">in government subsidised and fee-for-service training </w:t>
            </w:r>
            <w:r w:rsidR="007E03F8">
              <w:rPr>
                <w:b w:val="0"/>
                <w:color w:val="B41F22" w:themeColor="accent1"/>
              </w:rPr>
              <w:t>at</w:t>
            </w:r>
            <w:r w:rsidRPr="001940C1">
              <w:rPr>
                <w:b w:val="0"/>
                <w:color w:val="B41F22" w:themeColor="accent1"/>
              </w:rPr>
              <w:t xml:space="preserve"> TAFE, 2010 to 2015 (half year)</w:t>
            </w:r>
          </w:p>
        </w:tc>
      </w:tr>
    </w:tbl>
    <w:tbl>
      <w:tblPr>
        <w:tblW w:w="8095" w:type="dxa"/>
        <w:tblInd w:w="93" w:type="dxa"/>
        <w:tblLayout w:type="fixed"/>
        <w:tblLook w:val="04A0" w:firstRow="1" w:lastRow="0" w:firstColumn="1" w:lastColumn="0" w:noHBand="0" w:noVBand="1"/>
      </w:tblPr>
      <w:tblGrid>
        <w:gridCol w:w="2180"/>
        <w:gridCol w:w="985"/>
        <w:gridCol w:w="986"/>
        <w:gridCol w:w="986"/>
        <w:gridCol w:w="986"/>
        <w:gridCol w:w="986"/>
        <w:gridCol w:w="986"/>
      </w:tblGrid>
      <w:tr w:rsidR="008D6A92" w:rsidRPr="001940C1" w:rsidTr="00C17726">
        <w:trPr>
          <w:trHeight w:val="315"/>
        </w:trPr>
        <w:tc>
          <w:tcPr>
            <w:tcW w:w="2180" w:type="dxa"/>
            <w:tcBorders>
              <w:top w:val="nil"/>
              <w:left w:val="nil"/>
              <w:right w:val="nil"/>
            </w:tcBorders>
            <w:shd w:val="clear" w:color="000000" w:fill="7F7F7F"/>
            <w:noWrap/>
            <w:vAlign w:val="center"/>
            <w:hideMark/>
          </w:tcPr>
          <w:p w:rsidR="008D6A92" w:rsidRPr="001940C1" w:rsidRDefault="008D6A92" w:rsidP="00C17726">
            <w:pPr>
              <w:rPr>
                <w:rFonts w:cs="Arial"/>
                <w:color w:val="FFFFFF"/>
                <w:szCs w:val="18"/>
                <w:lang w:eastAsia="en-AU"/>
              </w:rPr>
            </w:pPr>
            <w:r w:rsidRPr="001940C1">
              <w:rPr>
                <w:rFonts w:cs="Arial"/>
                <w:color w:val="FFFFFF"/>
                <w:szCs w:val="18"/>
                <w:lang w:eastAsia="en-AU"/>
              </w:rPr>
              <w:t> </w:t>
            </w:r>
          </w:p>
        </w:tc>
        <w:tc>
          <w:tcPr>
            <w:tcW w:w="985" w:type="dxa"/>
            <w:tcBorders>
              <w:top w:val="nil"/>
              <w:left w:val="nil"/>
              <w:right w:val="nil"/>
            </w:tcBorders>
            <w:shd w:val="clear" w:color="000000" w:fill="7F7F7F"/>
            <w:noWrap/>
            <w:vAlign w:val="center"/>
            <w:hideMark/>
          </w:tcPr>
          <w:p w:rsidR="008D6A92" w:rsidRPr="001940C1" w:rsidRDefault="008D6A92" w:rsidP="00C17726">
            <w:pPr>
              <w:jc w:val="right"/>
              <w:rPr>
                <w:rFonts w:cs="Arial"/>
                <w:b/>
                <w:bCs/>
                <w:color w:val="FFFFFF"/>
                <w:szCs w:val="18"/>
                <w:lang w:eastAsia="en-AU"/>
              </w:rPr>
            </w:pPr>
            <w:r w:rsidRPr="001940C1">
              <w:rPr>
                <w:rFonts w:cs="Arial"/>
                <w:b/>
                <w:bCs/>
                <w:color w:val="FFFFFF"/>
                <w:szCs w:val="18"/>
                <w:lang w:eastAsia="en-AU"/>
              </w:rPr>
              <w:t>2010</w:t>
            </w:r>
          </w:p>
        </w:tc>
        <w:tc>
          <w:tcPr>
            <w:tcW w:w="986" w:type="dxa"/>
            <w:tcBorders>
              <w:top w:val="nil"/>
              <w:left w:val="nil"/>
              <w:right w:val="nil"/>
            </w:tcBorders>
            <w:shd w:val="clear" w:color="000000" w:fill="7F7F7F"/>
            <w:noWrap/>
            <w:vAlign w:val="center"/>
            <w:hideMark/>
          </w:tcPr>
          <w:p w:rsidR="008D6A92" w:rsidRPr="001940C1" w:rsidRDefault="008D6A92" w:rsidP="00C17726">
            <w:pPr>
              <w:jc w:val="right"/>
              <w:rPr>
                <w:rFonts w:cs="Arial"/>
                <w:b/>
                <w:bCs/>
                <w:color w:val="FFFFFF"/>
                <w:szCs w:val="18"/>
                <w:lang w:eastAsia="en-AU"/>
              </w:rPr>
            </w:pPr>
            <w:r w:rsidRPr="001940C1">
              <w:rPr>
                <w:rFonts w:cs="Arial"/>
                <w:b/>
                <w:bCs/>
                <w:color w:val="FFFFFF"/>
                <w:szCs w:val="18"/>
                <w:lang w:eastAsia="en-AU"/>
              </w:rPr>
              <w:t>2011</w:t>
            </w:r>
          </w:p>
        </w:tc>
        <w:tc>
          <w:tcPr>
            <w:tcW w:w="986" w:type="dxa"/>
            <w:tcBorders>
              <w:top w:val="nil"/>
              <w:left w:val="nil"/>
              <w:right w:val="nil"/>
            </w:tcBorders>
            <w:shd w:val="clear" w:color="000000" w:fill="7F7F7F"/>
            <w:noWrap/>
            <w:vAlign w:val="center"/>
            <w:hideMark/>
          </w:tcPr>
          <w:p w:rsidR="008D6A92" w:rsidRPr="001940C1" w:rsidRDefault="008D6A92" w:rsidP="00C17726">
            <w:pPr>
              <w:jc w:val="right"/>
              <w:rPr>
                <w:rFonts w:cs="Arial"/>
                <w:b/>
                <w:bCs/>
                <w:color w:val="FFFFFF"/>
                <w:szCs w:val="18"/>
                <w:lang w:eastAsia="en-AU"/>
              </w:rPr>
            </w:pPr>
            <w:r w:rsidRPr="001940C1">
              <w:rPr>
                <w:rFonts w:cs="Arial"/>
                <w:b/>
                <w:bCs/>
                <w:color w:val="FFFFFF"/>
                <w:szCs w:val="18"/>
                <w:lang w:eastAsia="en-AU"/>
              </w:rPr>
              <w:t>2012</w:t>
            </w:r>
          </w:p>
        </w:tc>
        <w:tc>
          <w:tcPr>
            <w:tcW w:w="986" w:type="dxa"/>
            <w:tcBorders>
              <w:top w:val="nil"/>
              <w:left w:val="nil"/>
              <w:right w:val="nil"/>
            </w:tcBorders>
            <w:shd w:val="clear" w:color="000000" w:fill="7F7F7F"/>
            <w:noWrap/>
            <w:vAlign w:val="center"/>
            <w:hideMark/>
          </w:tcPr>
          <w:p w:rsidR="008D6A92" w:rsidRPr="001940C1" w:rsidRDefault="008D6A92" w:rsidP="00C17726">
            <w:pPr>
              <w:jc w:val="right"/>
              <w:rPr>
                <w:rFonts w:cs="Arial"/>
                <w:b/>
                <w:bCs/>
                <w:color w:val="FFFFFF"/>
                <w:szCs w:val="18"/>
                <w:lang w:eastAsia="en-AU"/>
              </w:rPr>
            </w:pPr>
            <w:r w:rsidRPr="001940C1">
              <w:rPr>
                <w:rFonts w:cs="Arial"/>
                <w:b/>
                <w:bCs/>
                <w:color w:val="FFFFFF"/>
                <w:szCs w:val="18"/>
                <w:lang w:eastAsia="en-AU"/>
              </w:rPr>
              <w:t>2013</w:t>
            </w:r>
          </w:p>
        </w:tc>
        <w:tc>
          <w:tcPr>
            <w:tcW w:w="986" w:type="dxa"/>
            <w:tcBorders>
              <w:top w:val="nil"/>
              <w:left w:val="nil"/>
              <w:right w:val="nil"/>
            </w:tcBorders>
            <w:shd w:val="clear" w:color="000000" w:fill="7F7F7F"/>
            <w:noWrap/>
            <w:vAlign w:val="center"/>
            <w:hideMark/>
          </w:tcPr>
          <w:p w:rsidR="008D6A92" w:rsidRPr="001940C1" w:rsidRDefault="008D6A92" w:rsidP="00C17726">
            <w:pPr>
              <w:jc w:val="right"/>
              <w:rPr>
                <w:rFonts w:cs="Arial"/>
                <w:b/>
                <w:bCs/>
                <w:color w:val="FFFFFF"/>
                <w:szCs w:val="18"/>
                <w:lang w:eastAsia="en-AU"/>
              </w:rPr>
            </w:pPr>
            <w:r w:rsidRPr="001940C1">
              <w:rPr>
                <w:rFonts w:cs="Arial"/>
                <w:b/>
                <w:bCs/>
                <w:color w:val="FFFFFF"/>
                <w:szCs w:val="18"/>
                <w:lang w:eastAsia="en-AU"/>
              </w:rPr>
              <w:t>2014</w:t>
            </w:r>
          </w:p>
        </w:tc>
        <w:tc>
          <w:tcPr>
            <w:tcW w:w="986" w:type="dxa"/>
            <w:tcBorders>
              <w:top w:val="nil"/>
              <w:left w:val="nil"/>
              <w:right w:val="nil"/>
            </w:tcBorders>
            <w:shd w:val="clear" w:color="000000" w:fill="7F7F7F"/>
            <w:noWrap/>
            <w:vAlign w:val="center"/>
            <w:hideMark/>
          </w:tcPr>
          <w:p w:rsidR="008D6A92" w:rsidRPr="001940C1" w:rsidRDefault="008D6A92" w:rsidP="00C17726">
            <w:pPr>
              <w:jc w:val="right"/>
              <w:rPr>
                <w:rFonts w:cs="Arial"/>
                <w:b/>
                <w:bCs/>
                <w:color w:val="FFFFFF"/>
                <w:szCs w:val="18"/>
                <w:lang w:eastAsia="en-AU"/>
              </w:rPr>
            </w:pPr>
            <w:r w:rsidRPr="001940C1">
              <w:rPr>
                <w:rFonts w:cs="Arial"/>
                <w:b/>
                <w:bCs/>
                <w:color w:val="FFFFFF"/>
                <w:szCs w:val="18"/>
                <w:lang w:eastAsia="en-AU"/>
              </w:rPr>
              <w:t>2015</w:t>
            </w:r>
          </w:p>
        </w:tc>
      </w:tr>
      <w:tr w:rsidR="008D6A92" w:rsidRPr="001940C1" w:rsidTr="00C17726">
        <w:trPr>
          <w:trHeight w:val="300"/>
        </w:trPr>
        <w:tc>
          <w:tcPr>
            <w:tcW w:w="2180" w:type="dxa"/>
            <w:tcBorders>
              <w:top w:val="nil"/>
              <w:left w:val="nil"/>
              <w:bottom w:val="nil"/>
              <w:right w:val="nil"/>
            </w:tcBorders>
            <w:shd w:val="clear" w:color="auto" w:fill="auto"/>
            <w:noWrap/>
            <w:vAlign w:val="center"/>
            <w:hideMark/>
          </w:tcPr>
          <w:p w:rsidR="008D6A92" w:rsidRPr="001940C1" w:rsidRDefault="008D6A92" w:rsidP="00C17726">
            <w:pPr>
              <w:rPr>
                <w:rFonts w:cs="Arial"/>
                <w:color w:val="7F7F7F"/>
                <w:szCs w:val="18"/>
                <w:lang w:eastAsia="en-AU"/>
              </w:rPr>
            </w:pPr>
            <w:r>
              <w:rPr>
                <w:rFonts w:cs="Arial"/>
                <w:color w:val="7F7F7F"/>
                <w:szCs w:val="18"/>
              </w:rPr>
              <w:t>Government subsidised</w:t>
            </w:r>
          </w:p>
        </w:tc>
        <w:tc>
          <w:tcPr>
            <w:tcW w:w="985" w:type="dxa"/>
            <w:tcBorders>
              <w:top w:val="nil"/>
              <w:left w:val="nil"/>
              <w:bottom w:val="nil"/>
              <w:right w:val="nil"/>
            </w:tcBorders>
            <w:shd w:val="clear" w:color="auto" w:fill="auto"/>
            <w:noWrap/>
            <w:vAlign w:val="center"/>
            <w:hideMark/>
          </w:tcPr>
          <w:p w:rsidR="008D6A92" w:rsidRPr="001940C1" w:rsidRDefault="008D6A92" w:rsidP="00C17726">
            <w:pPr>
              <w:jc w:val="right"/>
              <w:rPr>
                <w:rFonts w:cs="Arial"/>
                <w:color w:val="7F7F7F"/>
                <w:szCs w:val="18"/>
                <w:lang w:eastAsia="en-AU"/>
              </w:rPr>
            </w:pPr>
            <w:r>
              <w:rPr>
                <w:rFonts w:cs="Arial"/>
                <w:color w:val="7F7F7F"/>
                <w:szCs w:val="18"/>
              </w:rPr>
              <w:t>121,795</w:t>
            </w:r>
          </w:p>
        </w:tc>
        <w:tc>
          <w:tcPr>
            <w:tcW w:w="986" w:type="dxa"/>
            <w:tcBorders>
              <w:top w:val="nil"/>
              <w:left w:val="nil"/>
              <w:bottom w:val="nil"/>
              <w:right w:val="nil"/>
            </w:tcBorders>
            <w:shd w:val="clear" w:color="auto" w:fill="auto"/>
            <w:noWrap/>
            <w:vAlign w:val="center"/>
            <w:hideMark/>
          </w:tcPr>
          <w:p w:rsidR="008D6A92" w:rsidRPr="001940C1" w:rsidRDefault="008D6A92" w:rsidP="00C17726">
            <w:pPr>
              <w:jc w:val="right"/>
              <w:rPr>
                <w:rFonts w:cs="Arial"/>
                <w:color w:val="7F7F7F"/>
                <w:szCs w:val="18"/>
                <w:lang w:eastAsia="en-AU"/>
              </w:rPr>
            </w:pPr>
            <w:r>
              <w:rPr>
                <w:rFonts w:cs="Arial"/>
                <w:color w:val="7F7F7F"/>
                <w:szCs w:val="18"/>
              </w:rPr>
              <w:t>127,562</w:t>
            </w:r>
          </w:p>
        </w:tc>
        <w:tc>
          <w:tcPr>
            <w:tcW w:w="986" w:type="dxa"/>
            <w:tcBorders>
              <w:top w:val="nil"/>
              <w:left w:val="nil"/>
              <w:bottom w:val="nil"/>
              <w:right w:val="nil"/>
            </w:tcBorders>
            <w:shd w:val="clear" w:color="auto" w:fill="auto"/>
            <w:noWrap/>
            <w:vAlign w:val="center"/>
            <w:hideMark/>
          </w:tcPr>
          <w:p w:rsidR="008D6A92" w:rsidRPr="001940C1" w:rsidRDefault="008D6A92" w:rsidP="00C17726">
            <w:pPr>
              <w:jc w:val="right"/>
              <w:rPr>
                <w:rFonts w:cs="Arial"/>
                <w:color w:val="7F7F7F"/>
                <w:szCs w:val="18"/>
                <w:lang w:eastAsia="en-AU"/>
              </w:rPr>
            </w:pPr>
            <w:r>
              <w:rPr>
                <w:rFonts w:cs="Arial"/>
                <w:color w:val="7F7F7F"/>
                <w:szCs w:val="18"/>
              </w:rPr>
              <w:t>157,119</w:t>
            </w:r>
          </w:p>
        </w:tc>
        <w:tc>
          <w:tcPr>
            <w:tcW w:w="986" w:type="dxa"/>
            <w:tcBorders>
              <w:top w:val="nil"/>
              <w:left w:val="nil"/>
              <w:bottom w:val="nil"/>
              <w:right w:val="nil"/>
            </w:tcBorders>
            <w:shd w:val="clear" w:color="auto" w:fill="auto"/>
            <w:noWrap/>
            <w:vAlign w:val="center"/>
            <w:hideMark/>
          </w:tcPr>
          <w:p w:rsidR="008D6A92" w:rsidRPr="001940C1" w:rsidRDefault="008D6A92" w:rsidP="00C17726">
            <w:pPr>
              <w:jc w:val="right"/>
              <w:rPr>
                <w:rFonts w:cs="Arial"/>
                <w:color w:val="7F7F7F"/>
                <w:szCs w:val="18"/>
                <w:lang w:eastAsia="en-AU"/>
              </w:rPr>
            </w:pPr>
            <w:r>
              <w:rPr>
                <w:rFonts w:cs="Arial"/>
                <w:color w:val="7F7F7F"/>
                <w:szCs w:val="18"/>
              </w:rPr>
              <w:t>138,260</w:t>
            </w:r>
          </w:p>
        </w:tc>
        <w:tc>
          <w:tcPr>
            <w:tcW w:w="986" w:type="dxa"/>
            <w:tcBorders>
              <w:top w:val="nil"/>
              <w:left w:val="nil"/>
              <w:bottom w:val="nil"/>
              <w:right w:val="nil"/>
            </w:tcBorders>
            <w:shd w:val="clear" w:color="auto" w:fill="auto"/>
            <w:noWrap/>
            <w:vAlign w:val="center"/>
            <w:hideMark/>
          </w:tcPr>
          <w:p w:rsidR="008D6A92" w:rsidRPr="001940C1" w:rsidRDefault="008D6A92" w:rsidP="00C17726">
            <w:pPr>
              <w:jc w:val="right"/>
              <w:rPr>
                <w:rFonts w:cs="Arial"/>
                <w:color w:val="7F7F7F"/>
                <w:szCs w:val="18"/>
                <w:lang w:eastAsia="en-AU"/>
              </w:rPr>
            </w:pPr>
            <w:r>
              <w:rPr>
                <w:rFonts w:cs="Arial"/>
                <w:color w:val="7F7F7F"/>
                <w:szCs w:val="18"/>
              </w:rPr>
              <w:t>100,224</w:t>
            </w:r>
          </w:p>
        </w:tc>
        <w:tc>
          <w:tcPr>
            <w:tcW w:w="986" w:type="dxa"/>
            <w:tcBorders>
              <w:top w:val="nil"/>
              <w:left w:val="nil"/>
              <w:bottom w:val="nil"/>
              <w:right w:val="nil"/>
            </w:tcBorders>
            <w:shd w:val="clear" w:color="auto" w:fill="auto"/>
            <w:noWrap/>
            <w:vAlign w:val="center"/>
            <w:hideMark/>
          </w:tcPr>
          <w:p w:rsidR="008D6A92" w:rsidRPr="001940C1" w:rsidRDefault="008D6A92" w:rsidP="00C17726">
            <w:pPr>
              <w:jc w:val="right"/>
              <w:rPr>
                <w:rFonts w:cs="Arial"/>
                <w:color w:val="7F7F7F"/>
                <w:szCs w:val="18"/>
                <w:lang w:eastAsia="en-AU"/>
              </w:rPr>
            </w:pPr>
            <w:r>
              <w:rPr>
                <w:rFonts w:cs="Arial"/>
                <w:color w:val="7F7F7F"/>
                <w:szCs w:val="18"/>
              </w:rPr>
              <w:t>82,680</w:t>
            </w:r>
          </w:p>
        </w:tc>
      </w:tr>
      <w:tr w:rsidR="008D6A92" w:rsidRPr="001940C1" w:rsidTr="00C17726">
        <w:trPr>
          <w:trHeight w:val="300"/>
        </w:trPr>
        <w:tc>
          <w:tcPr>
            <w:tcW w:w="2180" w:type="dxa"/>
            <w:tcBorders>
              <w:top w:val="nil"/>
              <w:left w:val="nil"/>
              <w:bottom w:val="nil"/>
              <w:right w:val="nil"/>
            </w:tcBorders>
            <w:shd w:val="clear" w:color="auto" w:fill="auto"/>
            <w:noWrap/>
            <w:vAlign w:val="center"/>
            <w:hideMark/>
          </w:tcPr>
          <w:p w:rsidR="008D6A92" w:rsidRPr="001940C1" w:rsidRDefault="008D6A92" w:rsidP="00C17726">
            <w:pPr>
              <w:rPr>
                <w:rFonts w:cs="Arial"/>
                <w:color w:val="7F7F7F"/>
                <w:szCs w:val="18"/>
                <w:lang w:eastAsia="en-AU"/>
              </w:rPr>
            </w:pPr>
            <w:r>
              <w:rPr>
                <w:rFonts w:cs="Arial"/>
                <w:color w:val="7F7F7F"/>
                <w:szCs w:val="18"/>
              </w:rPr>
              <w:t>Fee-for-service*</w:t>
            </w:r>
          </w:p>
        </w:tc>
        <w:tc>
          <w:tcPr>
            <w:tcW w:w="985" w:type="dxa"/>
            <w:tcBorders>
              <w:top w:val="nil"/>
              <w:left w:val="nil"/>
              <w:bottom w:val="nil"/>
              <w:right w:val="nil"/>
            </w:tcBorders>
            <w:shd w:val="clear" w:color="auto" w:fill="auto"/>
            <w:noWrap/>
            <w:vAlign w:val="center"/>
            <w:hideMark/>
          </w:tcPr>
          <w:p w:rsidR="008D6A92" w:rsidRPr="001940C1" w:rsidRDefault="008D6A92" w:rsidP="00C17726">
            <w:pPr>
              <w:jc w:val="right"/>
              <w:rPr>
                <w:rFonts w:cs="Arial"/>
                <w:color w:val="7F7F7F"/>
                <w:szCs w:val="18"/>
                <w:lang w:eastAsia="en-AU"/>
              </w:rPr>
            </w:pPr>
            <w:r>
              <w:rPr>
                <w:rFonts w:cs="Arial"/>
                <w:color w:val="7F7F7F"/>
                <w:szCs w:val="18"/>
              </w:rPr>
              <w:t>94,249</w:t>
            </w:r>
          </w:p>
        </w:tc>
        <w:tc>
          <w:tcPr>
            <w:tcW w:w="986" w:type="dxa"/>
            <w:tcBorders>
              <w:top w:val="nil"/>
              <w:left w:val="nil"/>
              <w:bottom w:val="nil"/>
              <w:right w:val="nil"/>
            </w:tcBorders>
            <w:shd w:val="clear" w:color="auto" w:fill="auto"/>
            <w:noWrap/>
            <w:vAlign w:val="center"/>
            <w:hideMark/>
          </w:tcPr>
          <w:p w:rsidR="008D6A92" w:rsidRPr="001940C1" w:rsidRDefault="008D6A92" w:rsidP="00C17726">
            <w:pPr>
              <w:jc w:val="right"/>
              <w:rPr>
                <w:rFonts w:cs="Arial"/>
                <w:color w:val="7F7F7F"/>
                <w:szCs w:val="18"/>
                <w:lang w:eastAsia="en-AU"/>
              </w:rPr>
            </w:pPr>
            <w:r>
              <w:rPr>
                <w:rFonts w:cs="Arial"/>
                <w:color w:val="7F7F7F"/>
                <w:szCs w:val="18"/>
              </w:rPr>
              <w:t>86,186</w:t>
            </w:r>
          </w:p>
        </w:tc>
        <w:tc>
          <w:tcPr>
            <w:tcW w:w="986" w:type="dxa"/>
            <w:tcBorders>
              <w:top w:val="nil"/>
              <w:left w:val="nil"/>
              <w:bottom w:val="nil"/>
              <w:right w:val="nil"/>
            </w:tcBorders>
            <w:shd w:val="clear" w:color="auto" w:fill="auto"/>
            <w:noWrap/>
            <w:vAlign w:val="center"/>
            <w:hideMark/>
          </w:tcPr>
          <w:p w:rsidR="008D6A92" w:rsidRPr="001940C1" w:rsidRDefault="008D6A92" w:rsidP="00C17726">
            <w:pPr>
              <w:jc w:val="right"/>
              <w:rPr>
                <w:rFonts w:cs="Arial"/>
                <w:color w:val="7F7F7F"/>
                <w:szCs w:val="18"/>
                <w:lang w:eastAsia="en-AU"/>
              </w:rPr>
            </w:pPr>
            <w:r>
              <w:rPr>
                <w:rFonts w:cs="Arial"/>
                <w:color w:val="7F7F7F"/>
                <w:szCs w:val="18"/>
              </w:rPr>
              <w:t>92,762</w:t>
            </w:r>
          </w:p>
        </w:tc>
        <w:tc>
          <w:tcPr>
            <w:tcW w:w="986" w:type="dxa"/>
            <w:tcBorders>
              <w:top w:val="nil"/>
              <w:left w:val="nil"/>
              <w:bottom w:val="nil"/>
              <w:right w:val="nil"/>
            </w:tcBorders>
            <w:shd w:val="clear" w:color="auto" w:fill="auto"/>
            <w:noWrap/>
            <w:vAlign w:val="center"/>
            <w:hideMark/>
          </w:tcPr>
          <w:p w:rsidR="008D6A92" w:rsidRPr="001940C1" w:rsidRDefault="008D6A92" w:rsidP="00C17726">
            <w:pPr>
              <w:jc w:val="right"/>
              <w:rPr>
                <w:rFonts w:cs="Arial"/>
                <w:color w:val="7F7F7F"/>
                <w:szCs w:val="18"/>
                <w:lang w:eastAsia="en-AU"/>
              </w:rPr>
            </w:pPr>
            <w:r>
              <w:rPr>
                <w:rFonts w:cs="Arial"/>
                <w:color w:val="7F7F7F"/>
                <w:szCs w:val="18"/>
              </w:rPr>
              <w:t>76,421</w:t>
            </w:r>
          </w:p>
        </w:tc>
        <w:tc>
          <w:tcPr>
            <w:tcW w:w="986" w:type="dxa"/>
            <w:tcBorders>
              <w:top w:val="nil"/>
              <w:left w:val="nil"/>
              <w:bottom w:val="nil"/>
              <w:right w:val="nil"/>
            </w:tcBorders>
            <w:shd w:val="clear" w:color="auto" w:fill="auto"/>
            <w:noWrap/>
            <w:vAlign w:val="center"/>
            <w:hideMark/>
          </w:tcPr>
          <w:p w:rsidR="008D6A92" w:rsidRPr="001940C1" w:rsidRDefault="008D6A92" w:rsidP="00C17726">
            <w:pPr>
              <w:jc w:val="right"/>
              <w:rPr>
                <w:rFonts w:cs="Arial"/>
                <w:color w:val="7F7F7F"/>
                <w:szCs w:val="18"/>
                <w:lang w:eastAsia="en-AU"/>
              </w:rPr>
            </w:pPr>
            <w:r>
              <w:rPr>
                <w:rFonts w:cs="Arial"/>
                <w:color w:val="7F7F7F"/>
                <w:szCs w:val="18"/>
              </w:rPr>
              <w:t>81,751</w:t>
            </w:r>
          </w:p>
        </w:tc>
        <w:tc>
          <w:tcPr>
            <w:tcW w:w="986" w:type="dxa"/>
            <w:tcBorders>
              <w:top w:val="nil"/>
              <w:left w:val="nil"/>
              <w:bottom w:val="nil"/>
              <w:right w:val="nil"/>
            </w:tcBorders>
            <w:shd w:val="clear" w:color="auto" w:fill="auto"/>
            <w:noWrap/>
            <w:vAlign w:val="center"/>
            <w:hideMark/>
          </w:tcPr>
          <w:p w:rsidR="008D6A92" w:rsidRPr="001940C1" w:rsidRDefault="008D6A92" w:rsidP="00C17726">
            <w:pPr>
              <w:jc w:val="right"/>
              <w:rPr>
                <w:rFonts w:cs="Arial"/>
                <w:color w:val="7F7F7F"/>
                <w:szCs w:val="18"/>
                <w:lang w:eastAsia="en-AU"/>
              </w:rPr>
            </w:pPr>
            <w:r>
              <w:rPr>
                <w:rFonts w:cs="Arial"/>
                <w:color w:val="7F7F7F"/>
                <w:szCs w:val="18"/>
              </w:rPr>
              <w:t>73,624</w:t>
            </w:r>
          </w:p>
        </w:tc>
      </w:tr>
      <w:tr w:rsidR="008D6A92" w:rsidRPr="001940C1" w:rsidTr="00C17726">
        <w:trPr>
          <w:trHeight w:val="300"/>
        </w:trPr>
        <w:tc>
          <w:tcPr>
            <w:tcW w:w="2180" w:type="dxa"/>
            <w:tcBorders>
              <w:top w:val="nil"/>
              <w:left w:val="nil"/>
              <w:bottom w:val="nil"/>
              <w:right w:val="nil"/>
            </w:tcBorders>
            <w:shd w:val="clear" w:color="auto" w:fill="auto"/>
            <w:noWrap/>
            <w:vAlign w:val="center"/>
            <w:hideMark/>
          </w:tcPr>
          <w:p w:rsidR="008D6A92" w:rsidRPr="001940C1" w:rsidRDefault="008D6A92" w:rsidP="00C17726">
            <w:pPr>
              <w:rPr>
                <w:rFonts w:cs="Arial"/>
                <w:i/>
                <w:iCs/>
                <w:color w:val="7F7F7F"/>
                <w:szCs w:val="18"/>
                <w:lang w:eastAsia="en-AU"/>
              </w:rPr>
            </w:pPr>
            <w:r>
              <w:rPr>
                <w:rFonts w:cs="Arial"/>
                <w:i/>
                <w:iCs/>
                <w:color w:val="7F7F7F"/>
                <w:szCs w:val="18"/>
              </w:rPr>
              <w:t xml:space="preserve">   Domestic</w:t>
            </w:r>
          </w:p>
        </w:tc>
        <w:tc>
          <w:tcPr>
            <w:tcW w:w="985" w:type="dxa"/>
            <w:tcBorders>
              <w:top w:val="nil"/>
              <w:left w:val="nil"/>
              <w:bottom w:val="nil"/>
              <w:right w:val="nil"/>
            </w:tcBorders>
            <w:shd w:val="clear" w:color="auto" w:fill="auto"/>
            <w:noWrap/>
            <w:vAlign w:val="center"/>
            <w:hideMark/>
          </w:tcPr>
          <w:p w:rsidR="008D6A92" w:rsidRPr="001940C1" w:rsidRDefault="008D6A92" w:rsidP="00C17726">
            <w:pPr>
              <w:jc w:val="right"/>
              <w:rPr>
                <w:rFonts w:cs="Arial"/>
                <w:i/>
                <w:iCs/>
                <w:color w:val="7F7F7F"/>
                <w:szCs w:val="18"/>
                <w:lang w:eastAsia="en-AU"/>
              </w:rPr>
            </w:pPr>
            <w:r>
              <w:rPr>
                <w:rFonts w:cs="Arial"/>
                <w:i/>
                <w:iCs/>
                <w:color w:val="7F7F7F"/>
                <w:szCs w:val="18"/>
              </w:rPr>
              <w:t>79,378</w:t>
            </w:r>
          </w:p>
        </w:tc>
        <w:tc>
          <w:tcPr>
            <w:tcW w:w="986" w:type="dxa"/>
            <w:tcBorders>
              <w:top w:val="nil"/>
              <w:left w:val="nil"/>
              <w:bottom w:val="nil"/>
              <w:right w:val="nil"/>
            </w:tcBorders>
            <w:shd w:val="clear" w:color="auto" w:fill="auto"/>
            <w:noWrap/>
            <w:vAlign w:val="center"/>
            <w:hideMark/>
          </w:tcPr>
          <w:p w:rsidR="008D6A92" w:rsidRPr="001940C1" w:rsidRDefault="008D6A92" w:rsidP="00C17726">
            <w:pPr>
              <w:jc w:val="right"/>
              <w:rPr>
                <w:rFonts w:cs="Arial"/>
                <w:i/>
                <w:iCs/>
                <w:color w:val="7F7F7F"/>
                <w:szCs w:val="18"/>
                <w:lang w:eastAsia="en-AU"/>
              </w:rPr>
            </w:pPr>
            <w:r>
              <w:rPr>
                <w:rFonts w:cs="Arial"/>
                <w:i/>
                <w:iCs/>
                <w:color w:val="7F7F7F"/>
                <w:szCs w:val="18"/>
              </w:rPr>
              <w:t>74,017</w:t>
            </w:r>
          </w:p>
        </w:tc>
        <w:tc>
          <w:tcPr>
            <w:tcW w:w="986" w:type="dxa"/>
            <w:tcBorders>
              <w:top w:val="nil"/>
              <w:left w:val="nil"/>
              <w:bottom w:val="nil"/>
              <w:right w:val="nil"/>
            </w:tcBorders>
            <w:shd w:val="clear" w:color="auto" w:fill="auto"/>
            <w:noWrap/>
            <w:vAlign w:val="center"/>
            <w:hideMark/>
          </w:tcPr>
          <w:p w:rsidR="008D6A92" w:rsidRPr="001940C1" w:rsidRDefault="008D6A92" w:rsidP="00C17726">
            <w:pPr>
              <w:jc w:val="right"/>
              <w:rPr>
                <w:rFonts w:cs="Arial"/>
                <w:i/>
                <w:iCs/>
                <w:color w:val="7F7F7F"/>
                <w:szCs w:val="18"/>
                <w:lang w:eastAsia="en-AU"/>
              </w:rPr>
            </w:pPr>
            <w:r>
              <w:rPr>
                <w:rFonts w:cs="Arial"/>
                <w:i/>
                <w:iCs/>
                <w:color w:val="7F7F7F"/>
                <w:szCs w:val="18"/>
              </w:rPr>
              <w:t>83,137</w:t>
            </w:r>
          </w:p>
        </w:tc>
        <w:tc>
          <w:tcPr>
            <w:tcW w:w="986" w:type="dxa"/>
            <w:tcBorders>
              <w:top w:val="nil"/>
              <w:left w:val="nil"/>
              <w:bottom w:val="nil"/>
              <w:right w:val="nil"/>
            </w:tcBorders>
            <w:shd w:val="clear" w:color="auto" w:fill="auto"/>
            <w:noWrap/>
            <w:vAlign w:val="center"/>
            <w:hideMark/>
          </w:tcPr>
          <w:p w:rsidR="008D6A92" w:rsidRPr="001940C1" w:rsidRDefault="008D6A92" w:rsidP="00C17726">
            <w:pPr>
              <w:jc w:val="right"/>
              <w:rPr>
                <w:rFonts w:cs="Arial"/>
                <w:i/>
                <w:iCs/>
                <w:color w:val="7F7F7F"/>
                <w:szCs w:val="18"/>
                <w:lang w:eastAsia="en-AU"/>
              </w:rPr>
            </w:pPr>
            <w:r>
              <w:rPr>
                <w:rFonts w:cs="Arial"/>
                <w:i/>
                <w:iCs/>
                <w:color w:val="7F7F7F"/>
                <w:szCs w:val="18"/>
              </w:rPr>
              <w:t>68,622</w:t>
            </w:r>
          </w:p>
        </w:tc>
        <w:tc>
          <w:tcPr>
            <w:tcW w:w="986" w:type="dxa"/>
            <w:tcBorders>
              <w:top w:val="nil"/>
              <w:left w:val="nil"/>
              <w:bottom w:val="nil"/>
              <w:right w:val="nil"/>
            </w:tcBorders>
            <w:shd w:val="clear" w:color="auto" w:fill="auto"/>
            <w:noWrap/>
            <w:vAlign w:val="center"/>
            <w:hideMark/>
          </w:tcPr>
          <w:p w:rsidR="008D6A92" w:rsidRPr="001940C1" w:rsidRDefault="008D6A92" w:rsidP="00C17726">
            <w:pPr>
              <w:jc w:val="right"/>
              <w:rPr>
                <w:rFonts w:cs="Arial"/>
                <w:i/>
                <w:iCs/>
                <w:color w:val="7F7F7F"/>
                <w:szCs w:val="18"/>
                <w:lang w:eastAsia="en-AU"/>
              </w:rPr>
            </w:pPr>
            <w:r>
              <w:rPr>
                <w:rFonts w:cs="Arial"/>
                <w:i/>
                <w:iCs/>
                <w:color w:val="7F7F7F"/>
                <w:szCs w:val="18"/>
              </w:rPr>
              <w:t>73,343</w:t>
            </w:r>
          </w:p>
        </w:tc>
        <w:tc>
          <w:tcPr>
            <w:tcW w:w="986" w:type="dxa"/>
            <w:tcBorders>
              <w:top w:val="nil"/>
              <w:left w:val="nil"/>
              <w:bottom w:val="nil"/>
              <w:right w:val="nil"/>
            </w:tcBorders>
            <w:shd w:val="clear" w:color="auto" w:fill="auto"/>
            <w:noWrap/>
            <w:vAlign w:val="center"/>
            <w:hideMark/>
          </w:tcPr>
          <w:p w:rsidR="008D6A92" w:rsidRPr="001940C1" w:rsidRDefault="008D6A92" w:rsidP="00C17726">
            <w:pPr>
              <w:jc w:val="right"/>
              <w:rPr>
                <w:rFonts w:cs="Arial"/>
                <w:i/>
                <w:iCs/>
                <w:color w:val="7F7F7F"/>
                <w:szCs w:val="18"/>
                <w:lang w:eastAsia="en-AU"/>
              </w:rPr>
            </w:pPr>
            <w:r>
              <w:rPr>
                <w:rFonts w:cs="Arial"/>
                <w:i/>
                <w:iCs/>
                <w:color w:val="7F7F7F"/>
                <w:szCs w:val="18"/>
              </w:rPr>
              <w:t>64,514</w:t>
            </w:r>
          </w:p>
        </w:tc>
      </w:tr>
      <w:tr w:rsidR="008D6A92" w:rsidRPr="001940C1" w:rsidTr="00C17726">
        <w:trPr>
          <w:trHeight w:val="300"/>
        </w:trPr>
        <w:tc>
          <w:tcPr>
            <w:tcW w:w="2180" w:type="dxa"/>
            <w:tcBorders>
              <w:top w:val="nil"/>
              <w:left w:val="nil"/>
              <w:right w:val="nil"/>
            </w:tcBorders>
            <w:shd w:val="clear" w:color="auto" w:fill="auto"/>
            <w:noWrap/>
            <w:vAlign w:val="center"/>
            <w:hideMark/>
          </w:tcPr>
          <w:p w:rsidR="008D6A92" w:rsidRPr="001940C1" w:rsidRDefault="008D6A92" w:rsidP="00C17726">
            <w:pPr>
              <w:rPr>
                <w:rFonts w:cs="Arial"/>
                <w:i/>
                <w:iCs/>
                <w:color w:val="7F7F7F"/>
                <w:szCs w:val="18"/>
                <w:lang w:eastAsia="en-AU"/>
              </w:rPr>
            </w:pPr>
            <w:r>
              <w:rPr>
                <w:rFonts w:cs="Arial"/>
                <w:i/>
                <w:iCs/>
                <w:color w:val="7F7F7F"/>
                <w:szCs w:val="18"/>
              </w:rPr>
              <w:t xml:space="preserve">   International</w:t>
            </w:r>
          </w:p>
        </w:tc>
        <w:tc>
          <w:tcPr>
            <w:tcW w:w="985" w:type="dxa"/>
            <w:tcBorders>
              <w:top w:val="nil"/>
              <w:left w:val="nil"/>
              <w:right w:val="nil"/>
            </w:tcBorders>
            <w:shd w:val="clear" w:color="auto" w:fill="auto"/>
            <w:noWrap/>
            <w:vAlign w:val="center"/>
            <w:hideMark/>
          </w:tcPr>
          <w:p w:rsidR="008D6A92" w:rsidRPr="001940C1" w:rsidRDefault="008D6A92" w:rsidP="00C17726">
            <w:pPr>
              <w:jc w:val="right"/>
              <w:rPr>
                <w:rFonts w:cs="Arial"/>
                <w:i/>
                <w:iCs/>
                <w:color w:val="7F7F7F"/>
                <w:szCs w:val="18"/>
                <w:lang w:eastAsia="en-AU"/>
              </w:rPr>
            </w:pPr>
            <w:r>
              <w:rPr>
                <w:rFonts w:cs="Arial"/>
                <w:i/>
                <w:iCs/>
                <w:color w:val="7F7F7F"/>
                <w:szCs w:val="18"/>
              </w:rPr>
              <w:t>14,886</w:t>
            </w:r>
          </w:p>
        </w:tc>
        <w:tc>
          <w:tcPr>
            <w:tcW w:w="986" w:type="dxa"/>
            <w:tcBorders>
              <w:top w:val="nil"/>
              <w:left w:val="nil"/>
              <w:right w:val="nil"/>
            </w:tcBorders>
            <w:shd w:val="clear" w:color="auto" w:fill="auto"/>
            <w:noWrap/>
            <w:vAlign w:val="center"/>
            <w:hideMark/>
          </w:tcPr>
          <w:p w:rsidR="008D6A92" w:rsidRPr="001940C1" w:rsidRDefault="008D6A92" w:rsidP="00C17726">
            <w:pPr>
              <w:jc w:val="right"/>
              <w:rPr>
                <w:rFonts w:cs="Arial"/>
                <w:i/>
                <w:iCs/>
                <w:color w:val="7F7F7F"/>
                <w:szCs w:val="18"/>
                <w:lang w:eastAsia="en-AU"/>
              </w:rPr>
            </w:pPr>
            <w:r>
              <w:rPr>
                <w:rFonts w:cs="Arial"/>
                <w:i/>
                <w:iCs/>
                <w:color w:val="7F7F7F"/>
                <w:szCs w:val="18"/>
              </w:rPr>
              <w:t>12,170</w:t>
            </w:r>
          </w:p>
        </w:tc>
        <w:tc>
          <w:tcPr>
            <w:tcW w:w="986" w:type="dxa"/>
            <w:tcBorders>
              <w:top w:val="nil"/>
              <w:left w:val="nil"/>
              <w:right w:val="nil"/>
            </w:tcBorders>
            <w:shd w:val="clear" w:color="auto" w:fill="auto"/>
            <w:noWrap/>
            <w:vAlign w:val="center"/>
            <w:hideMark/>
          </w:tcPr>
          <w:p w:rsidR="008D6A92" w:rsidRPr="001940C1" w:rsidRDefault="008D6A92" w:rsidP="00C17726">
            <w:pPr>
              <w:jc w:val="right"/>
              <w:rPr>
                <w:rFonts w:cs="Arial"/>
                <w:i/>
                <w:iCs/>
                <w:color w:val="7F7F7F"/>
                <w:szCs w:val="18"/>
                <w:lang w:eastAsia="en-AU"/>
              </w:rPr>
            </w:pPr>
            <w:r>
              <w:rPr>
                <w:rFonts w:cs="Arial"/>
                <w:i/>
                <w:iCs/>
                <w:color w:val="7F7F7F"/>
                <w:szCs w:val="18"/>
              </w:rPr>
              <w:t>9,637</w:t>
            </w:r>
          </w:p>
        </w:tc>
        <w:tc>
          <w:tcPr>
            <w:tcW w:w="986" w:type="dxa"/>
            <w:tcBorders>
              <w:top w:val="nil"/>
              <w:left w:val="nil"/>
              <w:right w:val="nil"/>
            </w:tcBorders>
            <w:shd w:val="clear" w:color="auto" w:fill="auto"/>
            <w:noWrap/>
            <w:vAlign w:val="center"/>
            <w:hideMark/>
          </w:tcPr>
          <w:p w:rsidR="008D6A92" w:rsidRPr="001940C1" w:rsidRDefault="008D6A92" w:rsidP="00C17726">
            <w:pPr>
              <w:jc w:val="right"/>
              <w:rPr>
                <w:rFonts w:cs="Arial"/>
                <w:i/>
                <w:iCs/>
                <w:color w:val="7F7F7F"/>
                <w:szCs w:val="18"/>
                <w:lang w:eastAsia="en-AU"/>
              </w:rPr>
            </w:pPr>
            <w:r>
              <w:rPr>
                <w:rFonts w:cs="Arial"/>
                <w:i/>
                <w:iCs/>
                <w:color w:val="7F7F7F"/>
                <w:szCs w:val="18"/>
              </w:rPr>
              <w:t>7,800</w:t>
            </w:r>
          </w:p>
        </w:tc>
        <w:tc>
          <w:tcPr>
            <w:tcW w:w="986" w:type="dxa"/>
            <w:tcBorders>
              <w:top w:val="nil"/>
              <w:left w:val="nil"/>
              <w:right w:val="nil"/>
            </w:tcBorders>
            <w:shd w:val="clear" w:color="auto" w:fill="auto"/>
            <w:noWrap/>
            <w:vAlign w:val="center"/>
            <w:hideMark/>
          </w:tcPr>
          <w:p w:rsidR="008D6A92" w:rsidRPr="001940C1" w:rsidRDefault="008D6A92" w:rsidP="00C17726">
            <w:pPr>
              <w:jc w:val="right"/>
              <w:rPr>
                <w:rFonts w:cs="Arial"/>
                <w:i/>
                <w:iCs/>
                <w:color w:val="7F7F7F"/>
                <w:szCs w:val="18"/>
                <w:lang w:eastAsia="en-AU"/>
              </w:rPr>
            </w:pPr>
            <w:r>
              <w:rPr>
                <w:rFonts w:cs="Arial"/>
                <w:i/>
                <w:iCs/>
                <w:color w:val="7F7F7F"/>
                <w:szCs w:val="18"/>
              </w:rPr>
              <w:t>8,409</w:t>
            </w:r>
          </w:p>
        </w:tc>
        <w:tc>
          <w:tcPr>
            <w:tcW w:w="986" w:type="dxa"/>
            <w:tcBorders>
              <w:top w:val="nil"/>
              <w:left w:val="nil"/>
              <w:right w:val="nil"/>
            </w:tcBorders>
            <w:shd w:val="clear" w:color="auto" w:fill="auto"/>
            <w:noWrap/>
            <w:vAlign w:val="center"/>
            <w:hideMark/>
          </w:tcPr>
          <w:p w:rsidR="008D6A92" w:rsidRPr="001940C1" w:rsidRDefault="008D6A92" w:rsidP="00C17726">
            <w:pPr>
              <w:jc w:val="right"/>
              <w:rPr>
                <w:rFonts w:cs="Arial"/>
                <w:i/>
                <w:iCs/>
                <w:color w:val="7F7F7F"/>
                <w:szCs w:val="18"/>
                <w:lang w:eastAsia="en-AU"/>
              </w:rPr>
            </w:pPr>
            <w:r>
              <w:rPr>
                <w:rFonts w:cs="Arial"/>
                <w:i/>
                <w:iCs/>
                <w:color w:val="7F7F7F"/>
                <w:szCs w:val="18"/>
              </w:rPr>
              <w:t>9,115</w:t>
            </w:r>
          </w:p>
        </w:tc>
      </w:tr>
      <w:tr w:rsidR="008D6A92" w:rsidRPr="001940C1" w:rsidTr="00C17726">
        <w:trPr>
          <w:trHeight w:val="315"/>
        </w:trPr>
        <w:tc>
          <w:tcPr>
            <w:tcW w:w="2180" w:type="dxa"/>
            <w:tcBorders>
              <w:top w:val="nil"/>
              <w:left w:val="nil"/>
              <w:right w:val="nil"/>
            </w:tcBorders>
            <w:shd w:val="clear" w:color="000000" w:fill="7F7F7F"/>
            <w:noWrap/>
            <w:vAlign w:val="center"/>
            <w:hideMark/>
          </w:tcPr>
          <w:p w:rsidR="008D6A92" w:rsidRPr="001940C1" w:rsidRDefault="008D6A92" w:rsidP="00B063D5">
            <w:pPr>
              <w:rPr>
                <w:rFonts w:cs="Arial"/>
                <w:b/>
                <w:bCs/>
                <w:color w:val="FFFFFF"/>
                <w:szCs w:val="18"/>
                <w:lang w:eastAsia="en-AU"/>
              </w:rPr>
            </w:pPr>
            <w:r w:rsidRPr="001940C1">
              <w:rPr>
                <w:rFonts w:cs="Arial"/>
                <w:b/>
                <w:bCs/>
                <w:color w:val="FFFFFF"/>
                <w:szCs w:val="18"/>
                <w:lang w:eastAsia="en-AU"/>
              </w:rPr>
              <w:t>Total</w:t>
            </w:r>
          </w:p>
        </w:tc>
        <w:tc>
          <w:tcPr>
            <w:tcW w:w="985" w:type="dxa"/>
            <w:tcBorders>
              <w:top w:val="nil"/>
              <w:left w:val="nil"/>
              <w:right w:val="nil"/>
            </w:tcBorders>
            <w:shd w:val="clear" w:color="000000" w:fill="7F7F7F"/>
            <w:noWrap/>
            <w:vAlign w:val="center"/>
            <w:hideMark/>
          </w:tcPr>
          <w:p w:rsidR="008D6A92" w:rsidRPr="001940C1" w:rsidRDefault="008D6A92" w:rsidP="00C17726">
            <w:pPr>
              <w:jc w:val="right"/>
              <w:rPr>
                <w:rFonts w:cs="Arial"/>
                <w:b/>
                <w:bCs/>
                <w:color w:val="FFFFFF"/>
                <w:szCs w:val="18"/>
                <w:lang w:eastAsia="en-AU"/>
              </w:rPr>
            </w:pPr>
            <w:r>
              <w:rPr>
                <w:rFonts w:cs="Arial"/>
                <w:b/>
                <w:bCs/>
                <w:color w:val="FFFFFF"/>
                <w:szCs w:val="18"/>
              </w:rPr>
              <w:t>216,044</w:t>
            </w:r>
          </w:p>
        </w:tc>
        <w:tc>
          <w:tcPr>
            <w:tcW w:w="986" w:type="dxa"/>
            <w:tcBorders>
              <w:top w:val="nil"/>
              <w:left w:val="nil"/>
              <w:right w:val="nil"/>
            </w:tcBorders>
            <w:shd w:val="clear" w:color="000000" w:fill="7F7F7F"/>
            <w:noWrap/>
            <w:vAlign w:val="center"/>
            <w:hideMark/>
          </w:tcPr>
          <w:p w:rsidR="008D6A92" w:rsidRPr="001940C1" w:rsidRDefault="008D6A92" w:rsidP="00C17726">
            <w:pPr>
              <w:jc w:val="right"/>
              <w:rPr>
                <w:rFonts w:cs="Arial"/>
                <w:b/>
                <w:bCs/>
                <w:color w:val="FFFFFF"/>
                <w:szCs w:val="18"/>
                <w:lang w:eastAsia="en-AU"/>
              </w:rPr>
            </w:pPr>
            <w:r>
              <w:rPr>
                <w:rFonts w:cs="Arial"/>
                <w:b/>
                <w:bCs/>
                <w:color w:val="FFFFFF"/>
                <w:szCs w:val="18"/>
              </w:rPr>
              <w:t>213,748</w:t>
            </w:r>
          </w:p>
        </w:tc>
        <w:tc>
          <w:tcPr>
            <w:tcW w:w="986" w:type="dxa"/>
            <w:tcBorders>
              <w:top w:val="nil"/>
              <w:left w:val="nil"/>
              <w:right w:val="nil"/>
            </w:tcBorders>
            <w:shd w:val="clear" w:color="000000" w:fill="7F7F7F"/>
            <w:noWrap/>
            <w:vAlign w:val="center"/>
            <w:hideMark/>
          </w:tcPr>
          <w:p w:rsidR="008D6A92" w:rsidRPr="001940C1" w:rsidRDefault="008D6A92" w:rsidP="00C17726">
            <w:pPr>
              <w:jc w:val="right"/>
              <w:rPr>
                <w:rFonts w:cs="Arial"/>
                <w:b/>
                <w:bCs/>
                <w:color w:val="FFFFFF"/>
                <w:szCs w:val="18"/>
                <w:lang w:eastAsia="en-AU"/>
              </w:rPr>
            </w:pPr>
            <w:r>
              <w:rPr>
                <w:rFonts w:cs="Arial"/>
                <w:b/>
                <w:bCs/>
                <w:color w:val="FFFFFF"/>
                <w:szCs w:val="18"/>
              </w:rPr>
              <w:t>249,881</w:t>
            </w:r>
          </w:p>
        </w:tc>
        <w:tc>
          <w:tcPr>
            <w:tcW w:w="986" w:type="dxa"/>
            <w:tcBorders>
              <w:top w:val="nil"/>
              <w:left w:val="nil"/>
              <w:right w:val="nil"/>
            </w:tcBorders>
            <w:shd w:val="clear" w:color="000000" w:fill="7F7F7F"/>
            <w:noWrap/>
            <w:vAlign w:val="center"/>
            <w:hideMark/>
          </w:tcPr>
          <w:p w:rsidR="008D6A92" w:rsidRPr="001940C1" w:rsidRDefault="008D6A92" w:rsidP="00C17726">
            <w:pPr>
              <w:jc w:val="right"/>
              <w:rPr>
                <w:rFonts w:cs="Arial"/>
                <w:b/>
                <w:bCs/>
                <w:color w:val="FFFFFF"/>
                <w:szCs w:val="18"/>
                <w:lang w:eastAsia="en-AU"/>
              </w:rPr>
            </w:pPr>
            <w:r>
              <w:rPr>
                <w:rFonts w:cs="Arial"/>
                <w:b/>
                <w:bCs/>
                <w:color w:val="FFFFFF"/>
                <w:szCs w:val="18"/>
              </w:rPr>
              <w:t>214,681</w:t>
            </w:r>
          </w:p>
        </w:tc>
        <w:tc>
          <w:tcPr>
            <w:tcW w:w="986" w:type="dxa"/>
            <w:tcBorders>
              <w:top w:val="nil"/>
              <w:left w:val="nil"/>
              <w:right w:val="nil"/>
            </w:tcBorders>
            <w:shd w:val="clear" w:color="000000" w:fill="7F7F7F"/>
            <w:noWrap/>
            <w:vAlign w:val="center"/>
            <w:hideMark/>
          </w:tcPr>
          <w:p w:rsidR="008D6A92" w:rsidRPr="001940C1" w:rsidRDefault="008D6A92" w:rsidP="00C17726">
            <w:pPr>
              <w:jc w:val="right"/>
              <w:rPr>
                <w:rFonts w:cs="Arial"/>
                <w:b/>
                <w:bCs/>
                <w:color w:val="FFFFFF"/>
                <w:szCs w:val="18"/>
                <w:lang w:eastAsia="en-AU"/>
              </w:rPr>
            </w:pPr>
            <w:r>
              <w:rPr>
                <w:rFonts w:cs="Arial"/>
                <w:b/>
                <w:bCs/>
                <w:color w:val="FFFFFF"/>
                <w:szCs w:val="18"/>
              </w:rPr>
              <w:t>181,975</w:t>
            </w:r>
          </w:p>
        </w:tc>
        <w:tc>
          <w:tcPr>
            <w:tcW w:w="986" w:type="dxa"/>
            <w:tcBorders>
              <w:top w:val="nil"/>
              <w:left w:val="nil"/>
              <w:right w:val="nil"/>
            </w:tcBorders>
            <w:shd w:val="clear" w:color="000000" w:fill="7F7F7F"/>
            <w:noWrap/>
            <w:vAlign w:val="center"/>
            <w:hideMark/>
          </w:tcPr>
          <w:p w:rsidR="008D6A92" w:rsidRPr="001940C1" w:rsidRDefault="008D6A92" w:rsidP="00C17726">
            <w:pPr>
              <w:jc w:val="right"/>
              <w:rPr>
                <w:rFonts w:cs="Arial"/>
                <w:b/>
                <w:bCs/>
                <w:color w:val="FFFFFF"/>
                <w:szCs w:val="18"/>
                <w:lang w:eastAsia="en-AU"/>
              </w:rPr>
            </w:pPr>
            <w:r>
              <w:rPr>
                <w:rFonts w:cs="Arial"/>
                <w:b/>
                <w:bCs/>
                <w:color w:val="FFFFFF"/>
                <w:szCs w:val="18"/>
              </w:rPr>
              <w:t>156,304</w:t>
            </w:r>
          </w:p>
        </w:tc>
      </w:tr>
    </w:tbl>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4A0" w:firstRow="1" w:lastRow="0" w:firstColumn="1" w:lastColumn="0" w:noHBand="0" w:noVBand="1"/>
      </w:tblPr>
      <w:tblGrid>
        <w:gridCol w:w="431"/>
        <w:gridCol w:w="7649"/>
      </w:tblGrid>
      <w:tr w:rsidR="008D6A92" w:rsidRPr="00913551" w:rsidTr="00C17726">
        <w:tc>
          <w:tcPr>
            <w:tcW w:w="431" w:type="dxa"/>
            <w:tcMar>
              <w:left w:w="0" w:type="dxa"/>
              <w:right w:w="28" w:type="dxa"/>
            </w:tcMar>
          </w:tcPr>
          <w:p w:rsidR="008D6A92" w:rsidRPr="00913551" w:rsidRDefault="008D6A92" w:rsidP="00C17726">
            <w:pPr>
              <w:spacing w:after="0" w:line="240" w:lineRule="auto"/>
              <w:jc w:val="right"/>
              <w:rPr>
                <w:color w:val="7F7F7F" w:themeColor="text2"/>
                <w:sz w:val="16"/>
                <w:szCs w:val="16"/>
              </w:rPr>
            </w:pPr>
            <w:r w:rsidRPr="00913551">
              <w:rPr>
                <w:color w:val="7F7F7F" w:themeColor="text2"/>
                <w:sz w:val="16"/>
                <w:szCs w:val="16"/>
              </w:rPr>
              <w:t xml:space="preserve">* </w:t>
            </w:r>
          </w:p>
        </w:tc>
        <w:tc>
          <w:tcPr>
            <w:tcW w:w="7649" w:type="dxa"/>
            <w:tcMar>
              <w:left w:w="0" w:type="dxa"/>
              <w:right w:w="28" w:type="dxa"/>
            </w:tcMar>
          </w:tcPr>
          <w:p w:rsidR="008D6A92" w:rsidRPr="00913551" w:rsidRDefault="008D6A92" w:rsidP="008D6A92">
            <w:pPr>
              <w:pStyle w:val="Note"/>
              <w:spacing w:after="0"/>
              <w:rPr>
                <w:i w:val="0"/>
                <w:color w:val="7F7F7F" w:themeColor="text2"/>
              </w:rPr>
            </w:pPr>
            <w:r w:rsidRPr="008D6A92">
              <w:t>Domestic and international fee-for-service course enrolment numbers do not add to the fee-for-service total as an enrolment may be in multiple categories (e.g. both Domestic and International) in a given year.</w:t>
            </w:r>
          </w:p>
        </w:tc>
      </w:tr>
    </w:tbl>
    <w:p w:rsidR="008D6A92" w:rsidRPr="00993E2A" w:rsidRDefault="008D6A92" w:rsidP="008D6A92">
      <w:pPr>
        <w:rPr>
          <w:color w:val="7F7F7F" w:themeColor="text2"/>
          <w:sz w:val="16"/>
          <w:szCs w:val="18"/>
        </w:rPr>
      </w:pPr>
    </w:p>
    <w:p w:rsidR="008D6A92" w:rsidRPr="00993E2A" w:rsidRDefault="008D6A92" w:rsidP="008D6A92">
      <w:pPr>
        <w:rPr>
          <w:color w:val="7F7F7F" w:themeColor="text2"/>
          <w:sz w:val="16"/>
          <w:szCs w:val="18"/>
        </w:rPr>
      </w:pP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8D6A92" w:rsidTr="00C17726">
        <w:tc>
          <w:tcPr>
            <w:tcW w:w="1134" w:type="dxa"/>
            <w:tcMar>
              <w:left w:w="0" w:type="dxa"/>
              <w:right w:w="0" w:type="dxa"/>
            </w:tcMar>
          </w:tcPr>
          <w:p w:rsidR="008D6A92" w:rsidRDefault="008D6A92" w:rsidP="0084117E">
            <w:pPr>
              <w:pStyle w:val="Quote"/>
              <w:tabs>
                <w:tab w:val="left" w:pos="1134"/>
              </w:tabs>
              <w:rPr>
                <w:b w:val="0"/>
                <w:color w:val="B41F22" w:themeColor="accent1"/>
              </w:rPr>
            </w:pPr>
            <w:r>
              <w:rPr>
                <w:b w:val="0"/>
                <w:color w:val="B41F22" w:themeColor="accent1"/>
              </w:rPr>
              <w:t>Table 1.2</w:t>
            </w:r>
            <w:r w:rsidR="0084117E">
              <w:rPr>
                <w:b w:val="0"/>
                <w:color w:val="B41F22" w:themeColor="accent1"/>
              </w:rPr>
              <w:t>3</w:t>
            </w:r>
            <w:r>
              <w:rPr>
                <w:b w:val="0"/>
                <w:color w:val="B41F22" w:themeColor="accent1"/>
              </w:rPr>
              <w:t>.2:</w:t>
            </w:r>
          </w:p>
        </w:tc>
        <w:tc>
          <w:tcPr>
            <w:tcW w:w="6946" w:type="dxa"/>
            <w:tcMar>
              <w:left w:w="0" w:type="dxa"/>
              <w:right w:w="0" w:type="dxa"/>
            </w:tcMar>
          </w:tcPr>
          <w:p w:rsidR="008D6A92" w:rsidRDefault="008D6A92" w:rsidP="007E03F8">
            <w:pPr>
              <w:pStyle w:val="Quote"/>
              <w:tabs>
                <w:tab w:val="left" w:pos="1134"/>
              </w:tabs>
              <w:rPr>
                <w:b w:val="0"/>
                <w:color w:val="B41F22" w:themeColor="accent1"/>
              </w:rPr>
            </w:pPr>
            <w:r>
              <w:rPr>
                <w:b w:val="0"/>
                <w:color w:val="B41F22" w:themeColor="accent1"/>
              </w:rPr>
              <w:t xml:space="preserve">Change in number of course enrolments </w:t>
            </w:r>
            <w:r w:rsidRPr="001940C1">
              <w:rPr>
                <w:b w:val="0"/>
                <w:color w:val="B41F22" w:themeColor="accent1"/>
              </w:rPr>
              <w:t xml:space="preserve">in government subsidised and fee-for-service training </w:t>
            </w:r>
            <w:r w:rsidR="007E03F8">
              <w:rPr>
                <w:b w:val="0"/>
                <w:color w:val="B41F22" w:themeColor="accent1"/>
              </w:rPr>
              <w:t>at</w:t>
            </w:r>
            <w:r w:rsidRPr="001940C1">
              <w:rPr>
                <w:b w:val="0"/>
                <w:color w:val="B41F22" w:themeColor="accent1"/>
              </w:rPr>
              <w:t xml:space="preserve"> TAFE (half year)</w:t>
            </w:r>
          </w:p>
        </w:tc>
      </w:tr>
    </w:tbl>
    <w:tbl>
      <w:tblPr>
        <w:tblW w:w="8095" w:type="dxa"/>
        <w:tblInd w:w="93" w:type="dxa"/>
        <w:tblLayout w:type="fixed"/>
        <w:tblLook w:val="04A0" w:firstRow="1" w:lastRow="0" w:firstColumn="1" w:lastColumn="0" w:noHBand="0" w:noVBand="1"/>
      </w:tblPr>
      <w:tblGrid>
        <w:gridCol w:w="2180"/>
        <w:gridCol w:w="1183"/>
        <w:gridCol w:w="1183"/>
        <w:gridCol w:w="1183"/>
        <w:gridCol w:w="1183"/>
        <w:gridCol w:w="1183"/>
      </w:tblGrid>
      <w:tr w:rsidR="008D6A92" w:rsidRPr="001940C1" w:rsidTr="00C17726">
        <w:trPr>
          <w:trHeight w:val="735"/>
        </w:trPr>
        <w:tc>
          <w:tcPr>
            <w:tcW w:w="2180" w:type="dxa"/>
            <w:tcBorders>
              <w:top w:val="nil"/>
              <w:left w:val="nil"/>
              <w:right w:val="nil"/>
            </w:tcBorders>
            <w:shd w:val="clear" w:color="000000" w:fill="7F7F7F"/>
            <w:noWrap/>
            <w:vAlign w:val="center"/>
            <w:hideMark/>
          </w:tcPr>
          <w:p w:rsidR="008D6A92" w:rsidRPr="001940C1" w:rsidRDefault="008D6A92" w:rsidP="00C17726">
            <w:pPr>
              <w:rPr>
                <w:rFonts w:cs="Arial"/>
                <w:color w:val="FFFFFF"/>
                <w:szCs w:val="18"/>
                <w:lang w:eastAsia="en-AU"/>
              </w:rPr>
            </w:pPr>
            <w:r w:rsidRPr="001940C1">
              <w:rPr>
                <w:rFonts w:cs="Arial"/>
                <w:color w:val="FFFFFF"/>
                <w:szCs w:val="18"/>
                <w:lang w:eastAsia="en-AU"/>
              </w:rPr>
              <w:t> </w:t>
            </w:r>
          </w:p>
        </w:tc>
        <w:tc>
          <w:tcPr>
            <w:tcW w:w="1183" w:type="dxa"/>
            <w:tcBorders>
              <w:top w:val="nil"/>
              <w:left w:val="nil"/>
              <w:right w:val="nil"/>
            </w:tcBorders>
            <w:shd w:val="clear" w:color="000000" w:fill="7F7F7F"/>
            <w:vAlign w:val="center"/>
            <w:hideMark/>
          </w:tcPr>
          <w:p w:rsidR="008D6A92" w:rsidRPr="001940C1" w:rsidRDefault="008D6A92" w:rsidP="00C17726">
            <w:pPr>
              <w:jc w:val="right"/>
              <w:rPr>
                <w:rFonts w:cs="Arial"/>
                <w:b/>
                <w:bCs/>
                <w:color w:val="FFFFFF"/>
                <w:szCs w:val="18"/>
                <w:lang w:eastAsia="en-AU"/>
              </w:rPr>
            </w:pPr>
            <w:r w:rsidRPr="001940C1">
              <w:rPr>
                <w:rFonts w:cs="Arial"/>
                <w:b/>
                <w:bCs/>
                <w:color w:val="FFFFFF"/>
                <w:szCs w:val="18"/>
                <w:lang w:eastAsia="en-AU"/>
              </w:rPr>
              <w:t>% change 2010 to 2015</w:t>
            </w:r>
          </w:p>
        </w:tc>
        <w:tc>
          <w:tcPr>
            <w:tcW w:w="1183" w:type="dxa"/>
            <w:tcBorders>
              <w:top w:val="nil"/>
              <w:left w:val="nil"/>
              <w:right w:val="nil"/>
            </w:tcBorders>
            <w:shd w:val="clear" w:color="000000" w:fill="7F7F7F"/>
            <w:vAlign w:val="center"/>
            <w:hideMark/>
          </w:tcPr>
          <w:p w:rsidR="008D6A92" w:rsidRPr="001940C1" w:rsidRDefault="008D6A92" w:rsidP="00C17726">
            <w:pPr>
              <w:jc w:val="right"/>
              <w:rPr>
                <w:rFonts w:cs="Arial"/>
                <w:b/>
                <w:bCs/>
                <w:color w:val="FFFFFF"/>
                <w:szCs w:val="18"/>
                <w:lang w:eastAsia="en-AU"/>
              </w:rPr>
            </w:pPr>
            <w:r w:rsidRPr="001940C1">
              <w:rPr>
                <w:rFonts w:cs="Arial"/>
                <w:b/>
                <w:bCs/>
                <w:color w:val="FFFFFF"/>
                <w:szCs w:val="18"/>
                <w:lang w:eastAsia="en-AU"/>
              </w:rPr>
              <w:t>% change 2011 to 2015</w:t>
            </w:r>
          </w:p>
        </w:tc>
        <w:tc>
          <w:tcPr>
            <w:tcW w:w="1183" w:type="dxa"/>
            <w:tcBorders>
              <w:top w:val="nil"/>
              <w:left w:val="nil"/>
              <w:right w:val="nil"/>
            </w:tcBorders>
            <w:shd w:val="clear" w:color="000000" w:fill="7F7F7F"/>
            <w:vAlign w:val="center"/>
            <w:hideMark/>
          </w:tcPr>
          <w:p w:rsidR="008D6A92" w:rsidRPr="001940C1" w:rsidRDefault="008D6A92" w:rsidP="00C17726">
            <w:pPr>
              <w:jc w:val="right"/>
              <w:rPr>
                <w:rFonts w:cs="Arial"/>
                <w:b/>
                <w:bCs/>
                <w:color w:val="FFFFFF"/>
                <w:szCs w:val="18"/>
                <w:lang w:eastAsia="en-AU"/>
              </w:rPr>
            </w:pPr>
            <w:r w:rsidRPr="001940C1">
              <w:rPr>
                <w:rFonts w:cs="Arial"/>
                <w:b/>
                <w:bCs/>
                <w:color w:val="FFFFFF"/>
                <w:szCs w:val="18"/>
                <w:lang w:eastAsia="en-AU"/>
              </w:rPr>
              <w:t>% change 2012 to 2015</w:t>
            </w:r>
          </w:p>
        </w:tc>
        <w:tc>
          <w:tcPr>
            <w:tcW w:w="1183" w:type="dxa"/>
            <w:tcBorders>
              <w:top w:val="nil"/>
              <w:left w:val="nil"/>
              <w:right w:val="nil"/>
            </w:tcBorders>
            <w:shd w:val="clear" w:color="000000" w:fill="7F7F7F"/>
            <w:vAlign w:val="center"/>
            <w:hideMark/>
          </w:tcPr>
          <w:p w:rsidR="008D6A92" w:rsidRPr="001940C1" w:rsidRDefault="008D6A92" w:rsidP="00C17726">
            <w:pPr>
              <w:jc w:val="right"/>
              <w:rPr>
                <w:rFonts w:cs="Arial"/>
                <w:b/>
                <w:bCs/>
                <w:color w:val="FFFFFF"/>
                <w:szCs w:val="18"/>
                <w:lang w:eastAsia="en-AU"/>
              </w:rPr>
            </w:pPr>
            <w:r w:rsidRPr="001940C1">
              <w:rPr>
                <w:rFonts w:cs="Arial"/>
                <w:b/>
                <w:bCs/>
                <w:color w:val="FFFFFF"/>
                <w:szCs w:val="18"/>
                <w:lang w:eastAsia="en-AU"/>
              </w:rPr>
              <w:t>% change 2013 to 2015</w:t>
            </w:r>
          </w:p>
        </w:tc>
        <w:tc>
          <w:tcPr>
            <w:tcW w:w="1183" w:type="dxa"/>
            <w:tcBorders>
              <w:top w:val="nil"/>
              <w:left w:val="nil"/>
              <w:right w:val="nil"/>
            </w:tcBorders>
            <w:shd w:val="clear" w:color="000000" w:fill="7F7F7F"/>
            <w:vAlign w:val="center"/>
            <w:hideMark/>
          </w:tcPr>
          <w:p w:rsidR="008D6A92" w:rsidRPr="001940C1" w:rsidRDefault="008D6A92" w:rsidP="00C17726">
            <w:pPr>
              <w:jc w:val="right"/>
              <w:rPr>
                <w:rFonts w:cs="Arial"/>
                <w:b/>
                <w:bCs/>
                <w:color w:val="FFFFFF"/>
                <w:szCs w:val="18"/>
                <w:lang w:eastAsia="en-AU"/>
              </w:rPr>
            </w:pPr>
            <w:r w:rsidRPr="001940C1">
              <w:rPr>
                <w:rFonts w:cs="Arial"/>
                <w:b/>
                <w:bCs/>
                <w:color w:val="FFFFFF"/>
                <w:szCs w:val="18"/>
                <w:lang w:eastAsia="en-AU"/>
              </w:rPr>
              <w:t>% change 2014 to 2015</w:t>
            </w:r>
          </w:p>
        </w:tc>
      </w:tr>
      <w:tr w:rsidR="008D6A92" w:rsidRPr="001940C1" w:rsidTr="00C17726">
        <w:trPr>
          <w:trHeight w:val="300"/>
        </w:trPr>
        <w:tc>
          <w:tcPr>
            <w:tcW w:w="2180" w:type="dxa"/>
            <w:tcBorders>
              <w:top w:val="nil"/>
              <w:left w:val="nil"/>
              <w:bottom w:val="nil"/>
              <w:right w:val="nil"/>
            </w:tcBorders>
            <w:shd w:val="clear" w:color="auto" w:fill="auto"/>
            <w:noWrap/>
            <w:vAlign w:val="center"/>
            <w:hideMark/>
          </w:tcPr>
          <w:p w:rsidR="008D6A92" w:rsidRPr="001940C1" w:rsidRDefault="008D6A92" w:rsidP="00C17726">
            <w:pPr>
              <w:rPr>
                <w:rFonts w:cs="Arial"/>
                <w:color w:val="7F7F7F"/>
                <w:szCs w:val="18"/>
                <w:lang w:eastAsia="en-AU"/>
              </w:rPr>
            </w:pPr>
            <w:r w:rsidRPr="001940C1">
              <w:rPr>
                <w:rFonts w:cs="Arial"/>
                <w:color w:val="7F7F7F"/>
                <w:szCs w:val="18"/>
                <w:lang w:eastAsia="en-AU"/>
              </w:rPr>
              <w:t>Government subsidised</w:t>
            </w:r>
          </w:p>
        </w:tc>
        <w:tc>
          <w:tcPr>
            <w:tcW w:w="1183" w:type="dxa"/>
            <w:tcBorders>
              <w:top w:val="nil"/>
              <w:left w:val="nil"/>
              <w:bottom w:val="nil"/>
              <w:right w:val="nil"/>
            </w:tcBorders>
            <w:shd w:val="clear" w:color="auto" w:fill="auto"/>
            <w:noWrap/>
            <w:vAlign w:val="center"/>
            <w:hideMark/>
          </w:tcPr>
          <w:p w:rsidR="008D6A92" w:rsidRPr="001940C1" w:rsidRDefault="008D6A92" w:rsidP="00C17726">
            <w:pPr>
              <w:jc w:val="right"/>
              <w:rPr>
                <w:rFonts w:cs="Arial"/>
                <w:color w:val="7F7F7F"/>
                <w:szCs w:val="18"/>
                <w:lang w:eastAsia="en-AU"/>
              </w:rPr>
            </w:pPr>
            <w:r>
              <w:rPr>
                <w:rFonts w:cs="Arial"/>
                <w:color w:val="7F7F7F"/>
                <w:szCs w:val="18"/>
              </w:rPr>
              <w:t>-32%</w:t>
            </w:r>
          </w:p>
        </w:tc>
        <w:tc>
          <w:tcPr>
            <w:tcW w:w="1183" w:type="dxa"/>
            <w:tcBorders>
              <w:top w:val="nil"/>
              <w:left w:val="nil"/>
              <w:bottom w:val="nil"/>
              <w:right w:val="nil"/>
            </w:tcBorders>
            <w:shd w:val="clear" w:color="auto" w:fill="auto"/>
            <w:noWrap/>
            <w:vAlign w:val="center"/>
            <w:hideMark/>
          </w:tcPr>
          <w:p w:rsidR="008D6A92" w:rsidRPr="001940C1" w:rsidRDefault="008D6A92" w:rsidP="00C17726">
            <w:pPr>
              <w:jc w:val="right"/>
              <w:rPr>
                <w:rFonts w:cs="Arial"/>
                <w:color w:val="7F7F7F"/>
                <w:szCs w:val="18"/>
                <w:lang w:eastAsia="en-AU"/>
              </w:rPr>
            </w:pPr>
            <w:r>
              <w:rPr>
                <w:rFonts w:cs="Arial"/>
                <w:color w:val="7F7F7F"/>
                <w:szCs w:val="18"/>
              </w:rPr>
              <w:t>-35%</w:t>
            </w:r>
          </w:p>
        </w:tc>
        <w:tc>
          <w:tcPr>
            <w:tcW w:w="1183" w:type="dxa"/>
            <w:tcBorders>
              <w:top w:val="nil"/>
              <w:left w:val="nil"/>
              <w:bottom w:val="nil"/>
              <w:right w:val="nil"/>
            </w:tcBorders>
            <w:shd w:val="clear" w:color="auto" w:fill="auto"/>
            <w:noWrap/>
            <w:vAlign w:val="center"/>
            <w:hideMark/>
          </w:tcPr>
          <w:p w:rsidR="008D6A92" w:rsidRPr="001940C1" w:rsidRDefault="008D6A92" w:rsidP="00C17726">
            <w:pPr>
              <w:jc w:val="right"/>
              <w:rPr>
                <w:rFonts w:cs="Arial"/>
                <w:color w:val="7F7F7F"/>
                <w:szCs w:val="18"/>
                <w:lang w:eastAsia="en-AU"/>
              </w:rPr>
            </w:pPr>
            <w:r>
              <w:rPr>
                <w:rFonts w:cs="Arial"/>
                <w:color w:val="7F7F7F"/>
                <w:szCs w:val="18"/>
              </w:rPr>
              <w:t>-47%</w:t>
            </w:r>
          </w:p>
        </w:tc>
        <w:tc>
          <w:tcPr>
            <w:tcW w:w="1183" w:type="dxa"/>
            <w:tcBorders>
              <w:top w:val="nil"/>
              <w:left w:val="nil"/>
              <w:bottom w:val="nil"/>
              <w:right w:val="nil"/>
            </w:tcBorders>
            <w:shd w:val="clear" w:color="auto" w:fill="auto"/>
            <w:noWrap/>
            <w:vAlign w:val="center"/>
            <w:hideMark/>
          </w:tcPr>
          <w:p w:rsidR="008D6A92" w:rsidRPr="001940C1" w:rsidRDefault="008D6A92" w:rsidP="00C17726">
            <w:pPr>
              <w:jc w:val="right"/>
              <w:rPr>
                <w:rFonts w:cs="Arial"/>
                <w:color w:val="7F7F7F"/>
                <w:szCs w:val="18"/>
                <w:lang w:eastAsia="en-AU"/>
              </w:rPr>
            </w:pPr>
            <w:r>
              <w:rPr>
                <w:rFonts w:cs="Arial"/>
                <w:color w:val="7F7F7F"/>
                <w:szCs w:val="18"/>
              </w:rPr>
              <w:t>-40%</w:t>
            </w:r>
          </w:p>
        </w:tc>
        <w:tc>
          <w:tcPr>
            <w:tcW w:w="1183" w:type="dxa"/>
            <w:tcBorders>
              <w:top w:val="nil"/>
              <w:left w:val="nil"/>
              <w:bottom w:val="nil"/>
              <w:right w:val="nil"/>
            </w:tcBorders>
            <w:shd w:val="clear" w:color="auto" w:fill="auto"/>
            <w:noWrap/>
            <w:vAlign w:val="center"/>
            <w:hideMark/>
          </w:tcPr>
          <w:p w:rsidR="008D6A92" w:rsidRPr="001940C1" w:rsidRDefault="008D6A92" w:rsidP="00C17726">
            <w:pPr>
              <w:jc w:val="right"/>
              <w:rPr>
                <w:rFonts w:cs="Arial"/>
                <w:color w:val="7F7F7F"/>
                <w:szCs w:val="18"/>
                <w:lang w:eastAsia="en-AU"/>
              </w:rPr>
            </w:pPr>
            <w:r>
              <w:rPr>
                <w:rFonts w:cs="Arial"/>
                <w:color w:val="7F7F7F"/>
                <w:szCs w:val="18"/>
              </w:rPr>
              <w:t>-18%</w:t>
            </w:r>
          </w:p>
        </w:tc>
      </w:tr>
      <w:tr w:rsidR="008D6A92" w:rsidRPr="001940C1" w:rsidTr="00C17726">
        <w:trPr>
          <w:trHeight w:val="300"/>
        </w:trPr>
        <w:tc>
          <w:tcPr>
            <w:tcW w:w="2180" w:type="dxa"/>
            <w:tcBorders>
              <w:top w:val="nil"/>
              <w:left w:val="nil"/>
              <w:bottom w:val="nil"/>
              <w:right w:val="nil"/>
            </w:tcBorders>
            <w:shd w:val="clear" w:color="auto" w:fill="auto"/>
            <w:noWrap/>
            <w:vAlign w:val="center"/>
            <w:hideMark/>
          </w:tcPr>
          <w:p w:rsidR="008D6A92" w:rsidRPr="001940C1" w:rsidRDefault="008D6A92" w:rsidP="00C17726">
            <w:pPr>
              <w:rPr>
                <w:rFonts w:cs="Arial"/>
                <w:color w:val="7F7F7F"/>
                <w:szCs w:val="18"/>
                <w:lang w:eastAsia="en-AU"/>
              </w:rPr>
            </w:pPr>
            <w:r w:rsidRPr="001940C1">
              <w:rPr>
                <w:rFonts w:cs="Arial"/>
                <w:color w:val="7F7F7F"/>
                <w:szCs w:val="18"/>
                <w:lang w:eastAsia="en-AU"/>
              </w:rPr>
              <w:t>Fee-for-service*</w:t>
            </w:r>
          </w:p>
        </w:tc>
        <w:tc>
          <w:tcPr>
            <w:tcW w:w="1183" w:type="dxa"/>
            <w:tcBorders>
              <w:top w:val="nil"/>
              <w:left w:val="nil"/>
              <w:bottom w:val="nil"/>
              <w:right w:val="nil"/>
            </w:tcBorders>
            <w:shd w:val="clear" w:color="auto" w:fill="auto"/>
            <w:noWrap/>
            <w:vAlign w:val="center"/>
            <w:hideMark/>
          </w:tcPr>
          <w:p w:rsidR="008D6A92" w:rsidRPr="001940C1" w:rsidRDefault="008D6A92" w:rsidP="00C17726">
            <w:pPr>
              <w:jc w:val="right"/>
              <w:rPr>
                <w:rFonts w:cs="Arial"/>
                <w:color w:val="7F7F7F"/>
                <w:szCs w:val="18"/>
                <w:lang w:eastAsia="en-AU"/>
              </w:rPr>
            </w:pPr>
            <w:r>
              <w:rPr>
                <w:rFonts w:cs="Arial"/>
                <w:color w:val="7F7F7F"/>
                <w:szCs w:val="18"/>
              </w:rPr>
              <w:t>-22%</w:t>
            </w:r>
          </w:p>
        </w:tc>
        <w:tc>
          <w:tcPr>
            <w:tcW w:w="1183" w:type="dxa"/>
            <w:tcBorders>
              <w:top w:val="nil"/>
              <w:left w:val="nil"/>
              <w:bottom w:val="nil"/>
              <w:right w:val="nil"/>
            </w:tcBorders>
            <w:shd w:val="clear" w:color="auto" w:fill="auto"/>
            <w:noWrap/>
            <w:vAlign w:val="center"/>
            <w:hideMark/>
          </w:tcPr>
          <w:p w:rsidR="008D6A92" w:rsidRPr="001940C1" w:rsidRDefault="008D6A92" w:rsidP="00C17726">
            <w:pPr>
              <w:jc w:val="right"/>
              <w:rPr>
                <w:rFonts w:cs="Arial"/>
                <w:color w:val="7F7F7F"/>
                <w:szCs w:val="18"/>
                <w:lang w:eastAsia="en-AU"/>
              </w:rPr>
            </w:pPr>
            <w:r>
              <w:rPr>
                <w:rFonts w:cs="Arial"/>
                <w:color w:val="7F7F7F"/>
                <w:szCs w:val="18"/>
              </w:rPr>
              <w:t>-15%</w:t>
            </w:r>
          </w:p>
        </w:tc>
        <w:tc>
          <w:tcPr>
            <w:tcW w:w="1183" w:type="dxa"/>
            <w:tcBorders>
              <w:top w:val="nil"/>
              <w:left w:val="nil"/>
              <w:bottom w:val="nil"/>
              <w:right w:val="nil"/>
            </w:tcBorders>
            <w:shd w:val="clear" w:color="auto" w:fill="auto"/>
            <w:noWrap/>
            <w:vAlign w:val="center"/>
            <w:hideMark/>
          </w:tcPr>
          <w:p w:rsidR="008D6A92" w:rsidRPr="001940C1" w:rsidRDefault="008D6A92" w:rsidP="00C17726">
            <w:pPr>
              <w:jc w:val="right"/>
              <w:rPr>
                <w:rFonts w:cs="Arial"/>
                <w:color w:val="7F7F7F"/>
                <w:szCs w:val="18"/>
                <w:lang w:eastAsia="en-AU"/>
              </w:rPr>
            </w:pPr>
            <w:r>
              <w:rPr>
                <w:rFonts w:cs="Arial"/>
                <w:color w:val="7F7F7F"/>
                <w:szCs w:val="18"/>
              </w:rPr>
              <w:t>-21%</w:t>
            </w:r>
          </w:p>
        </w:tc>
        <w:tc>
          <w:tcPr>
            <w:tcW w:w="1183" w:type="dxa"/>
            <w:tcBorders>
              <w:top w:val="nil"/>
              <w:left w:val="nil"/>
              <w:bottom w:val="nil"/>
              <w:right w:val="nil"/>
            </w:tcBorders>
            <w:shd w:val="clear" w:color="auto" w:fill="auto"/>
            <w:noWrap/>
            <w:vAlign w:val="center"/>
            <w:hideMark/>
          </w:tcPr>
          <w:p w:rsidR="008D6A92" w:rsidRPr="001940C1" w:rsidRDefault="008D6A92" w:rsidP="00C17726">
            <w:pPr>
              <w:jc w:val="right"/>
              <w:rPr>
                <w:rFonts w:cs="Arial"/>
                <w:color w:val="7F7F7F"/>
                <w:szCs w:val="18"/>
                <w:lang w:eastAsia="en-AU"/>
              </w:rPr>
            </w:pPr>
            <w:r>
              <w:rPr>
                <w:rFonts w:cs="Arial"/>
                <w:color w:val="7F7F7F"/>
                <w:szCs w:val="18"/>
              </w:rPr>
              <w:t>-4%</w:t>
            </w:r>
          </w:p>
        </w:tc>
        <w:tc>
          <w:tcPr>
            <w:tcW w:w="1183" w:type="dxa"/>
            <w:tcBorders>
              <w:top w:val="nil"/>
              <w:left w:val="nil"/>
              <w:bottom w:val="nil"/>
              <w:right w:val="nil"/>
            </w:tcBorders>
            <w:shd w:val="clear" w:color="auto" w:fill="auto"/>
            <w:noWrap/>
            <w:vAlign w:val="center"/>
            <w:hideMark/>
          </w:tcPr>
          <w:p w:rsidR="008D6A92" w:rsidRPr="001940C1" w:rsidRDefault="008D6A92" w:rsidP="00C17726">
            <w:pPr>
              <w:jc w:val="right"/>
              <w:rPr>
                <w:rFonts w:cs="Arial"/>
                <w:color w:val="7F7F7F"/>
                <w:szCs w:val="18"/>
                <w:lang w:eastAsia="en-AU"/>
              </w:rPr>
            </w:pPr>
            <w:r>
              <w:rPr>
                <w:rFonts w:cs="Arial"/>
                <w:color w:val="7F7F7F"/>
                <w:szCs w:val="18"/>
              </w:rPr>
              <w:t>-10%</w:t>
            </w:r>
          </w:p>
        </w:tc>
      </w:tr>
      <w:tr w:rsidR="008D6A92" w:rsidRPr="001940C1" w:rsidTr="00C17726">
        <w:trPr>
          <w:trHeight w:val="300"/>
        </w:trPr>
        <w:tc>
          <w:tcPr>
            <w:tcW w:w="2180" w:type="dxa"/>
            <w:tcBorders>
              <w:top w:val="nil"/>
              <w:left w:val="nil"/>
              <w:bottom w:val="nil"/>
              <w:right w:val="nil"/>
            </w:tcBorders>
            <w:shd w:val="clear" w:color="auto" w:fill="auto"/>
            <w:noWrap/>
            <w:vAlign w:val="center"/>
            <w:hideMark/>
          </w:tcPr>
          <w:p w:rsidR="008D6A92" w:rsidRPr="001940C1" w:rsidRDefault="008D6A92" w:rsidP="00C17726">
            <w:pPr>
              <w:rPr>
                <w:rFonts w:cs="Arial"/>
                <w:i/>
                <w:iCs/>
                <w:color w:val="7F7F7F"/>
                <w:szCs w:val="18"/>
                <w:lang w:eastAsia="en-AU"/>
              </w:rPr>
            </w:pPr>
            <w:r w:rsidRPr="001940C1">
              <w:rPr>
                <w:rFonts w:cs="Arial"/>
                <w:i/>
                <w:iCs/>
                <w:color w:val="7F7F7F"/>
                <w:szCs w:val="18"/>
                <w:lang w:eastAsia="en-AU"/>
              </w:rPr>
              <w:t xml:space="preserve">   Domestic</w:t>
            </w:r>
          </w:p>
        </w:tc>
        <w:tc>
          <w:tcPr>
            <w:tcW w:w="1183" w:type="dxa"/>
            <w:tcBorders>
              <w:top w:val="nil"/>
              <w:left w:val="nil"/>
              <w:bottom w:val="nil"/>
              <w:right w:val="nil"/>
            </w:tcBorders>
            <w:shd w:val="clear" w:color="auto" w:fill="auto"/>
            <w:noWrap/>
            <w:vAlign w:val="center"/>
            <w:hideMark/>
          </w:tcPr>
          <w:p w:rsidR="008D6A92" w:rsidRPr="001940C1" w:rsidRDefault="008D6A92" w:rsidP="00C17726">
            <w:pPr>
              <w:jc w:val="right"/>
              <w:rPr>
                <w:rFonts w:cs="Arial"/>
                <w:color w:val="7F7F7F"/>
                <w:szCs w:val="18"/>
                <w:lang w:eastAsia="en-AU"/>
              </w:rPr>
            </w:pPr>
            <w:r>
              <w:rPr>
                <w:rFonts w:cs="Arial"/>
                <w:color w:val="7F7F7F"/>
                <w:szCs w:val="18"/>
              </w:rPr>
              <w:t>-19%</w:t>
            </w:r>
          </w:p>
        </w:tc>
        <w:tc>
          <w:tcPr>
            <w:tcW w:w="1183" w:type="dxa"/>
            <w:tcBorders>
              <w:top w:val="nil"/>
              <w:left w:val="nil"/>
              <w:bottom w:val="nil"/>
              <w:right w:val="nil"/>
            </w:tcBorders>
            <w:shd w:val="clear" w:color="auto" w:fill="auto"/>
            <w:noWrap/>
            <w:vAlign w:val="center"/>
            <w:hideMark/>
          </w:tcPr>
          <w:p w:rsidR="008D6A92" w:rsidRPr="001940C1" w:rsidRDefault="008D6A92" w:rsidP="00C17726">
            <w:pPr>
              <w:jc w:val="right"/>
              <w:rPr>
                <w:rFonts w:cs="Arial"/>
                <w:color w:val="7F7F7F"/>
                <w:szCs w:val="18"/>
                <w:lang w:eastAsia="en-AU"/>
              </w:rPr>
            </w:pPr>
            <w:r>
              <w:rPr>
                <w:rFonts w:cs="Arial"/>
                <w:color w:val="7F7F7F"/>
                <w:szCs w:val="18"/>
              </w:rPr>
              <w:t>-13%</w:t>
            </w:r>
          </w:p>
        </w:tc>
        <w:tc>
          <w:tcPr>
            <w:tcW w:w="1183" w:type="dxa"/>
            <w:tcBorders>
              <w:top w:val="nil"/>
              <w:left w:val="nil"/>
              <w:bottom w:val="nil"/>
              <w:right w:val="nil"/>
            </w:tcBorders>
            <w:shd w:val="clear" w:color="auto" w:fill="auto"/>
            <w:noWrap/>
            <w:vAlign w:val="center"/>
            <w:hideMark/>
          </w:tcPr>
          <w:p w:rsidR="008D6A92" w:rsidRPr="001940C1" w:rsidRDefault="008D6A92" w:rsidP="00C17726">
            <w:pPr>
              <w:jc w:val="right"/>
              <w:rPr>
                <w:rFonts w:cs="Arial"/>
                <w:color w:val="7F7F7F"/>
                <w:szCs w:val="18"/>
                <w:lang w:eastAsia="en-AU"/>
              </w:rPr>
            </w:pPr>
            <w:r>
              <w:rPr>
                <w:rFonts w:cs="Arial"/>
                <w:color w:val="7F7F7F"/>
                <w:szCs w:val="18"/>
              </w:rPr>
              <w:t>-22%</w:t>
            </w:r>
          </w:p>
        </w:tc>
        <w:tc>
          <w:tcPr>
            <w:tcW w:w="1183" w:type="dxa"/>
            <w:tcBorders>
              <w:top w:val="nil"/>
              <w:left w:val="nil"/>
              <w:bottom w:val="nil"/>
              <w:right w:val="nil"/>
            </w:tcBorders>
            <w:shd w:val="clear" w:color="auto" w:fill="auto"/>
            <w:noWrap/>
            <w:vAlign w:val="center"/>
            <w:hideMark/>
          </w:tcPr>
          <w:p w:rsidR="008D6A92" w:rsidRPr="001940C1" w:rsidRDefault="008D6A92" w:rsidP="00C17726">
            <w:pPr>
              <w:jc w:val="right"/>
              <w:rPr>
                <w:rFonts w:cs="Arial"/>
                <w:color w:val="7F7F7F"/>
                <w:szCs w:val="18"/>
                <w:lang w:eastAsia="en-AU"/>
              </w:rPr>
            </w:pPr>
            <w:r>
              <w:rPr>
                <w:rFonts w:cs="Arial"/>
                <w:color w:val="7F7F7F"/>
                <w:szCs w:val="18"/>
              </w:rPr>
              <w:t>-6%</w:t>
            </w:r>
          </w:p>
        </w:tc>
        <w:tc>
          <w:tcPr>
            <w:tcW w:w="1183" w:type="dxa"/>
            <w:tcBorders>
              <w:top w:val="nil"/>
              <w:left w:val="nil"/>
              <w:bottom w:val="nil"/>
              <w:right w:val="nil"/>
            </w:tcBorders>
            <w:shd w:val="clear" w:color="auto" w:fill="auto"/>
            <w:noWrap/>
            <w:vAlign w:val="center"/>
            <w:hideMark/>
          </w:tcPr>
          <w:p w:rsidR="008D6A92" w:rsidRPr="001940C1" w:rsidRDefault="008D6A92" w:rsidP="00C17726">
            <w:pPr>
              <w:jc w:val="right"/>
              <w:rPr>
                <w:rFonts w:cs="Arial"/>
                <w:color w:val="7F7F7F"/>
                <w:szCs w:val="18"/>
                <w:lang w:eastAsia="en-AU"/>
              </w:rPr>
            </w:pPr>
            <w:r>
              <w:rPr>
                <w:rFonts w:cs="Arial"/>
                <w:color w:val="7F7F7F"/>
                <w:szCs w:val="18"/>
              </w:rPr>
              <w:t>-12%</w:t>
            </w:r>
          </w:p>
        </w:tc>
      </w:tr>
      <w:tr w:rsidR="008D6A92" w:rsidRPr="001940C1" w:rsidTr="00C17726">
        <w:trPr>
          <w:trHeight w:val="300"/>
        </w:trPr>
        <w:tc>
          <w:tcPr>
            <w:tcW w:w="2180" w:type="dxa"/>
            <w:tcBorders>
              <w:top w:val="nil"/>
              <w:left w:val="nil"/>
              <w:bottom w:val="nil"/>
              <w:right w:val="nil"/>
            </w:tcBorders>
            <w:shd w:val="clear" w:color="auto" w:fill="auto"/>
            <w:noWrap/>
            <w:vAlign w:val="center"/>
            <w:hideMark/>
          </w:tcPr>
          <w:p w:rsidR="008D6A92" w:rsidRPr="001940C1" w:rsidRDefault="008D6A92" w:rsidP="00C17726">
            <w:pPr>
              <w:rPr>
                <w:rFonts w:cs="Arial"/>
                <w:i/>
                <w:iCs/>
                <w:color w:val="7F7F7F"/>
                <w:szCs w:val="18"/>
                <w:lang w:eastAsia="en-AU"/>
              </w:rPr>
            </w:pPr>
            <w:r w:rsidRPr="001940C1">
              <w:rPr>
                <w:rFonts w:cs="Arial"/>
                <w:i/>
                <w:iCs/>
                <w:color w:val="7F7F7F"/>
                <w:szCs w:val="18"/>
                <w:lang w:eastAsia="en-AU"/>
              </w:rPr>
              <w:t xml:space="preserve">   International</w:t>
            </w:r>
          </w:p>
        </w:tc>
        <w:tc>
          <w:tcPr>
            <w:tcW w:w="1183" w:type="dxa"/>
            <w:tcBorders>
              <w:top w:val="nil"/>
              <w:left w:val="nil"/>
              <w:bottom w:val="nil"/>
              <w:right w:val="nil"/>
            </w:tcBorders>
            <w:shd w:val="clear" w:color="auto" w:fill="auto"/>
            <w:noWrap/>
            <w:vAlign w:val="center"/>
            <w:hideMark/>
          </w:tcPr>
          <w:p w:rsidR="008D6A92" w:rsidRPr="001940C1" w:rsidRDefault="008D6A92" w:rsidP="00C17726">
            <w:pPr>
              <w:jc w:val="right"/>
              <w:rPr>
                <w:rFonts w:cs="Arial"/>
                <w:color w:val="7F7F7F"/>
                <w:szCs w:val="18"/>
                <w:lang w:eastAsia="en-AU"/>
              </w:rPr>
            </w:pPr>
            <w:r>
              <w:rPr>
                <w:rFonts w:cs="Arial"/>
                <w:color w:val="7F7F7F"/>
                <w:szCs w:val="18"/>
              </w:rPr>
              <w:t>-39%</w:t>
            </w:r>
          </w:p>
        </w:tc>
        <w:tc>
          <w:tcPr>
            <w:tcW w:w="1183" w:type="dxa"/>
            <w:tcBorders>
              <w:top w:val="nil"/>
              <w:left w:val="nil"/>
              <w:bottom w:val="nil"/>
              <w:right w:val="nil"/>
            </w:tcBorders>
            <w:shd w:val="clear" w:color="auto" w:fill="auto"/>
            <w:noWrap/>
            <w:vAlign w:val="center"/>
            <w:hideMark/>
          </w:tcPr>
          <w:p w:rsidR="008D6A92" w:rsidRPr="001940C1" w:rsidRDefault="008D6A92" w:rsidP="00C17726">
            <w:pPr>
              <w:jc w:val="right"/>
              <w:rPr>
                <w:rFonts w:cs="Arial"/>
                <w:color w:val="7F7F7F"/>
                <w:szCs w:val="18"/>
                <w:lang w:eastAsia="en-AU"/>
              </w:rPr>
            </w:pPr>
            <w:r>
              <w:rPr>
                <w:rFonts w:cs="Arial"/>
                <w:color w:val="7F7F7F"/>
                <w:szCs w:val="18"/>
              </w:rPr>
              <w:t>-25%</w:t>
            </w:r>
          </w:p>
        </w:tc>
        <w:tc>
          <w:tcPr>
            <w:tcW w:w="1183" w:type="dxa"/>
            <w:tcBorders>
              <w:top w:val="nil"/>
              <w:left w:val="nil"/>
              <w:bottom w:val="nil"/>
              <w:right w:val="nil"/>
            </w:tcBorders>
            <w:shd w:val="clear" w:color="auto" w:fill="auto"/>
            <w:noWrap/>
            <w:vAlign w:val="center"/>
            <w:hideMark/>
          </w:tcPr>
          <w:p w:rsidR="008D6A92" w:rsidRPr="001940C1" w:rsidRDefault="008D6A92" w:rsidP="00C17726">
            <w:pPr>
              <w:jc w:val="right"/>
              <w:rPr>
                <w:rFonts w:cs="Arial"/>
                <w:color w:val="7F7F7F"/>
                <w:szCs w:val="18"/>
                <w:lang w:eastAsia="en-AU"/>
              </w:rPr>
            </w:pPr>
            <w:r>
              <w:rPr>
                <w:rFonts w:cs="Arial"/>
                <w:color w:val="7F7F7F"/>
                <w:szCs w:val="18"/>
              </w:rPr>
              <w:t>-5%</w:t>
            </w:r>
          </w:p>
        </w:tc>
        <w:tc>
          <w:tcPr>
            <w:tcW w:w="1183" w:type="dxa"/>
            <w:tcBorders>
              <w:top w:val="nil"/>
              <w:left w:val="nil"/>
              <w:bottom w:val="nil"/>
              <w:right w:val="nil"/>
            </w:tcBorders>
            <w:shd w:val="clear" w:color="auto" w:fill="auto"/>
            <w:noWrap/>
            <w:vAlign w:val="center"/>
            <w:hideMark/>
          </w:tcPr>
          <w:p w:rsidR="008D6A92" w:rsidRPr="001940C1" w:rsidRDefault="008D6A92" w:rsidP="00C17726">
            <w:pPr>
              <w:jc w:val="right"/>
              <w:rPr>
                <w:rFonts w:cs="Arial"/>
                <w:color w:val="7F7F7F"/>
                <w:szCs w:val="18"/>
                <w:lang w:eastAsia="en-AU"/>
              </w:rPr>
            </w:pPr>
            <w:r>
              <w:rPr>
                <w:rFonts w:cs="Arial"/>
                <w:color w:val="7F7F7F"/>
                <w:szCs w:val="18"/>
              </w:rPr>
              <w:t>17%</w:t>
            </w:r>
          </w:p>
        </w:tc>
        <w:tc>
          <w:tcPr>
            <w:tcW w:w="1183" w:type="dxa"/>
            <w:tcBorders>
              <w:top w:val="nil"/>
              <w:left w:val="nil"/>
              <w:bottom w:val="nil"/>
              <w:right w:val="nil"/>
            </w:tcBorders>
            <w:shd w:val="clear" w:color="auto" w:fill="auto"/>
            <w:noWrap/>
            <w:vAlign w:val="center"/>
            <w:hideMark/>
          </w:tcPr>
          <w:p w:rsidR="008D6A92" w:rsidRPr="001940C1" w:rsidRDefault="008D6A92" w:rsidP="00C17726">
            <w:pPr>
              <w:jc w:val="right"/>
              <w:rPr>
                <w:rFonts w:cs="Arial"/>
                <w:color w:val="7F7F7F"/>
                <w:szCs w:val="18"/>
                <w:lang w:eastAsia="en-AU"/>
              </w:rPr>
            </w:pPr>
            <w:r>
              <w:rPr>
                <w:rFonts w:cs="Arial"/>
                <w:color w:val="7F7F7F"/>
                <w:szCs w:val="18"/>
              </w:rPr>
              <w:t>8%</w:t>
            </w:r>
          </w:p>
        </w:tc>
      </w:tr>
      <w:tr w:rsidR="008D6A92" w:rsidRPr="001940C1" w:rsidTr="00C17726">
        <w:trPr>
          <w:trHeight w:val="315"/>
        </w:trPr>
        <w:tc>
          <w:tcPr>
            <w:tcW w:w="2180" w:type="dxa"/>
            <w:tcBorders>
              <w:top w:val="nil"/>
              <w:left w:val="nil"/>
              <w:bottom w:val="single" w:sz="12" w:space="0" w:color="FFFFFF"/>
              <w:right w:val="nil"/>
            </w:tcBorders>
            <w:shd w:val="clear" w:color="000000" w:fill="7F7F7F"/>
            <w:noWrap/>
            <w:vAlign w:val="center"/>
            <w:hideMark/>
          </w:tcPr>
          <w:p w:rsidR="008D6A92" w:rsidRPr="001940C1" w:rsidRDefault="008D6A92" w:rsidP="00B063D5">
            <w:pPr>
              <w:rPr>
                <w:rFonts w:cs="Arial"/>
                <w:b/>
                <w:bCs/>
                <w:color w:val="FFFFFF"/>
                <w:szCs w:val="18"/>
                <w:lang w:eastAsia="en-AU"/>
              </w:rPr>
            </w:pPr>
            <w:r w:rsidRPr="001940C1">
              <w:rPr>
                <w:rFonts w:cs="Arial"/>
                <w:b/>
                <w:bCs/>
                <w:color w:val="FFFFFF"/>
                <w:szCs w:val="18"/>
                <w:lang w:eastAsia="en-AU"/>
              </w:rPr>
              <w:t>Total</w:t>
            </w:r>
          </w:p>
        </w:tc>
        <w:tc>
          <w:tcPr>
            <w:tcW w:w="1183" w:type="dxa"/>
            <w:tcBorders>
              <w:top w:val="nil"/>
              <w:left w:val="nil"/>
              <w:bottom w:val="single" w:sz="12" w:space="0" w:color="FFFFFF"/>
              <w:right w:val="nil"/>
            </w:tcBorders>
            <w:shd w:val="clear" w:color="000000" w:fill="7F7F7F"/>
            <w:noWrap/>
            <w:vAlign w:val="center"/>
            <w:hideMark/>
          </w:tcPr>
          <w:p w:rsidR="008D6A92" w:rsidRPr="001940C1" w:rsidRDefault="008D6A92" w:rsidP="00C17726">
            <w:pPr>
              <w:jc w:val="right"/>
              <w:rPr>
                <w:rFonts w:cs="Arial"/>
                <w:b/>
                <w:bCs/>
                <w:color w:val="FFFFFF"/>
                <w:szCs w:val="18"/>
                <w:lang w:eastAsia="en-AU"/>
              </w:rPr>
            </w:pPr>
            <w:r>
              <w:rPr>
                <w:rFonts w:cs="Arial"/>
                <w:b/>
                <w:bCs/>
                <w:color w:val="FFFFFF"/>
                <w:szCs w:val="18"/>
              </w:rPr>
              <w:t>-28%</w:t>
            </w:r>
          </w:p>
        </w:tc>
        <w:tc>
          <w:tcPr>
            <w:tcW w:w="1183" w:type="dxa"/>
            <w:tcBorders>
              <w:top w:val="nil"/>
              <w:left w:val="nil"/>
              <w:bottom w:val="single" w:sz="12" w:space="0" w:color="FFFFFF"/>
              <w:right w:val="nil"/>
            </w:tcBorders>
            <w:shd w:val="clear" w:color="000000" w:fill="7F7F7F"/>
            <w:noWrap/>
            <w:vAlign w:val="center"/>
            <w:hideMark/>
          </w:tcPr>
          <w:p w:rsidR="008D6A92" w:rsidRPr="001940C1" w:rsidRDefault="008D6A92" w:rsidP="00C17726">
            <w:pPr>
              <w:jc w:val="right"/>
              <w:rPr>
                <w:rFonts w:cs="Arial"/>
                <w:b/>
                <w:bCs/>
                <w:color w:val="FFFFFF"/>
                <w:szCs w:val="18"/>
                <w:lang w:eastAsia="en-AU"/>
              </w:rPr>
            </w:pPr>
            <w:r>
              <w:rPr>
                <w:rFonts w:cs="Arial"/>
                <w:b/>
                <w:bCs/>
                <w:color w:val="FFFFFF"/>
                <w:szCs w:val="18"/>
              </w:rPr>
              <w:t>-27%</w:t>
            </w:r>
          </w:p>
        </w:tc>
        <w:tc>
          <w:tcPr>
            <w:tcW w:w="1183" w:type="dxa"/>
            <w:tcBorders>
              <w:top w:val="nil"/>
              <w:left w:val="nil"/>
              <w:bottom w:val="single" w:sz="12" w:space="0" w:color="FFFFFF"/>
              <w:right w:val="nil"/>
            </w:tcBorders>
            <w:shd w:val="clear" w:color="000000" w:fill="7F7F7F"/>
            <w:noWrap/>
            <w:vAlign w:val="center"/>
            <w:hideMark/>
          </w:tcPr>
          <w:p w:rsidR="008D6A92" w:rsidRPr="001940C1" w:rsidRDefault="008D6A92" w:rsidP="00C17726">
            <w:pPr>
              <w:jc w:val="right"/>
              <w:rPr>
                <w:rFonts w:cs="Arial"/>
                <w:b/>
                <w:bCs/>
                <w:color w:val="FFFFFF"/>
                <w:szCs w:val="18"/>
                <w:lang w:eastAsia="en-AU"/>
              </w:rPr>
            </w:pPr>
            <w:r>
              <w:rPr>
                <w:rFonts w:cs="Arial"/>
                <w:b/>
                <w:bCs/>
                <w:color w:val="FFFFFF"/>
                <w:szCs w:val="18"/>
              </w:rPr>
              <w:t>-37%</w:t>
            </w:r>
          </w:p>
        </w:tc>
        <w:tc>
          <w:tcPr>
            <w:tcW w:w="1183" w:type="dxa"/>
            <w:tcBorders>
              <w:top w:val="nil"/>
              <w:left w:val="nil"/>
              <w:bottom w:val="single" w:sz="12" w:space="0" w:color="FFFFFF"/>
              <w:right w:val="nil"/>
            </w:tcBorders>
            <w:shd w:val="clear" w:color="000000" w:fill="7F7F7F"/>
            <w:noWrap/>
            <w:vAlign w:val="center"/>
            <w:hideMark/>
          </w:tcPr>
          <w:p w:rsidR="008D6A92" w:rsidRPr="001940C1" w:rsidRDefault="008D6A92" w:rsidP="00C17726">
            <w:pPr>
              <w:jc w:val="right"/>
              <w:rPr>
                <w:rFonts w:cs="Arial"/>
                <w:b/>
                <w:bCs/>
                <w:color w:val="FFFFFF"/>
                <w:szCs w:val="18"/>
                <w:lang w:eastAsia="en-AU"/>
              </w:rPr>
            </w:pPr>
            <w:r>
              <w:rPr>
                <w:rFonts w:cs="Arial"/>
                <w:b/>
                <w:bCs/>
                <w:color w:val="FFFFFF"/>
                <w:szCs w:val="18"/>
              </w:rPr>
              <w:t>-27%</w:t>
            </w:r>
          </w:p>
        </w:tc>
        <w:tc>
          <w:tcPr>
            <w:tcW w:w="1183" w:type="dxa"/>
            <w:tcBorders>
              <w:top w:val="nil"/>
              <w:left w:val="nil"/>
              <w:bottom w:val="single" w:sz="12" w:space="0" w:color="FFFFFF"/>
              <w:right w:val="nil"/>
            </w:tcBorders>
            <w:shd w:val="clear" w:color="000000" w:fill="7F7F7F"/>
            <w:noWrap/>
            <w:vAlign w:val="center"/>
            <w:hideMark/>
          </w:tcPr>
          <w:p w:rsidR="008D6A92" w:rsidRPr="001940C1" w:rsidRDefault="008D6A92" w:rsidP="00C17726">
            <w:pPr>
              <w:jc w:val="right"/>
              <w:rPr>
                <w:rFonts w:cs="Arial"/>
                <w:b/>
                <w:bCs/>
                <w:color w:val="FFFFFF"/>
                <w:szCs w:val="18"/>
                <w:lang w:eastAsia="en-AU"/>
              </w:rPr>
            </w:pPr>
            <w:r>
              <w:rPr>
                <w:rFonts w:cs="Arial"/>
                <w:b/>
                <w:bCs/>
                <w:color w:val="FFFFFF"/>
                <w:szCs w:val="18"/>
              </w:rPr>
              <w:t>-14%</w:t>
            </w:r>
          </w:p>
        </w:tc>
      </w:tr>
    </w:tbl>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4A0" w:firstRow="1" w:lastRow="0" w:firstColumn="1" w:lastColumn="0" w:noHBand="0" w:noVBand="1"/>
      </w:tblPr>
      <w:tblGrid>
        <w:gridCol w:w="431"/>
        <w:gridCol w:w="7649"/>
      </w:tblGrid>
      <w:tr w:rsidR="008D6A92" w:rsidRPr="00913551" w:rsidTr="008D6A92">
        <w:tc>
          <w:tcPr>
            <w:tcW w:w="431" w:type="dxa"/>
            <w:tcMar>
              <w:left w:w="0" w:type="dxa"/>
              <w:right w:w="28" w:type="dxa"/>
            </w:tcMar>
          </w:tcPr>
          <w:p w:rsidR="008D6A92" w:rsidRPr="00913551" w:rsidRDefault="008D6A92" w:rsidP="008D6A92">
            <w:pPr>
              <w:spacing w:after="0" w:line="240" w:lineRule="auto"/>
              <w:jc w:val="right"/>
              <w:rPr>
                <w:color w:val="7F7F7F" w:themeColor="text2"/>
                <w:sz w:val="16"/>
                <w:szCs w:val="16"/>
              </w:rPr>
            </w:pPr>
            <w:r w:rsidRPr="00913551">
              <w:rPr>
                <w:color w:val="7F7F7F" w:themeColor="text2"/>
                <w:sz w:val="16"/>
                <w:szCs w:val="16"/>
              </w:rPr>
              <w:t xml:space="preserve">* </w:t>
            </w:r>
          </w:p>
        </w:tc>
        <w:tc>
          <w:tcPr>
            <w:tcW w:w="7649" w:type="dxa"/>
            <w:tcMar>
              <w:left w:w="0" w:type="dxa"/>
              <w:right w:w="28" w:type="dxa"/>
            </w:tcMar>
          </w:tcPr>
          <w:p w:rsidR="008D6A92" w:rsidRPr="00913551" w:rsidRDefault="008D6A92" w:rsidP="008D6A92">
            <w:pPr>
              <w:pStyle w:val="Note"/>
              <w:spacing w:after="0"/>
              <w:rPr>
                <w:i w:val="0"/>
                <w:color w:val="7F7F7F" w:themeColor="text2"/>
              </w:rPr>
            </w:pPr>
            <w:r w:rsidRPr="008D6A92">
              <w:t>Domestic and international fee-for-service course enrolment numbers do not add to the fee-for-service total as an enrolment may be in multiple categories (e.g. both Domestic and International) in a given year.</w:t>
            </w:r>
          </w:p>
        </w:tc>
      </w:tr>
    </w:tbl>
    <w:p w:rsidR="008D6A92" w:rsidRDefault="008D6A92" w:rsidP="00151889">
      <w:pPr>
        <w:rPr>
          <w:b/>
          <w:color w:val="7F7F7F" w:themeColor="text2"/>
          <w:szCs w:val="18"/>
        </w:rPr>
      </w:pPr>
    </w:p>
    <w:p w:rsidR="00151889" w:rsidRPr="00151889" w:rsidRDefault="00151889" w:rsidP="00151889">
      <w:pPr>
        <w:pStyle w:val="Note"/>
        <w:rPr>
          <w:i w:val="0"/>
          <w:color w:val="7F7F7F" w:themeColor="text2"/>
          <w:sz w:val="18"/>
          <w:szCs w:val="18"/>
        </w:rPr>
      </w:pPr>
    </w:p>
    <w:p w:rsidR="001940C1" w:rsidRPr="00151889" w:rsidRDefault="001940C1" w:rsidP="00151889">
      <w:pPr>
        <w:rPr>
          <w:rFonts w:cs="Arial"/>
          <w:b/>
          <w:bCs/>
          <w:color w:val="7F7F7F" w:themeColor="text2"/>
          <w:szCs w:val="18"/>
        </w:rPr>
      </w:pPr>
      <w:r w:rsidRPr="00151889">
        <w:rPr>
          <w:color w:val="7F7F7F" w:themeColor="text2"/>
          <w:szCs w:val="18"/>
        </w:rPr>
        <w:br w:type="page"/>
      </w:r>
    </w:p>
    <w:p w:rsidR="00662929" w:rsidRPr="00DE7971" w:rsidRDefault="00B55785" w:rsidP="00955CAF">
      <w:pPr>
        <w:pStyle w:val="Heading3"/>
        <w:spacing w:before="120" w:after="240"/>
        <w:rPr>
          <w:color w:val="7F7F7F" w:themeColor="text2"/>
        </w:rPr>
      </w:pPr>
      <w:r w:rsidRPr="00DE7971">
        <w:rPr>
          <w:color w:val="7F7F7F" w:themeColor="text2"/>
        </w:rPr>
        <w:lastRenderedPageBreak/>
        <w:t>TAFE Government Subsidised T</w:t>
      </w:r>
      <w:r w:rsidR="00662929" w:rsidRPr="00DE7971">
        <w:rPr>
          <w:color w:val="7F7F7F" w:themeColor="text2"/>
        </w:rPr>
        <w:t>raining</w:t>
      </w:r>
      <w:r w:rsidR="00152B75" w:rsidRPr="00DE7971">
        <w:rPr>
          <w:color w:val="7F7F7F" w:themeColor="text2"/>
        </w:rPr>
        <w:t xml:space="preserve"> </w:t>
      </w:r>
      <w:r w:rsidR="00666016" w:rsidRPr="00DE7971">
        <w:rPr>
          <w:color w:val="7F7F7F" w:themeColor="text2"/>
        </w:rPr>
        <w:t>-</w:t>
      </w:r>
      <w:r w:rsidR="00152B75" w:rsidRPr="00DE7971">
        <w:rPr>
          <w:color w:val="7F7F7F" w:themeColor="text2"/>
        </w:rPr>
        <w:t xml:space="preserve"> Apprentices</w:t>
      </w:r>
      <w:r w:rsidR="00AB1926" w:rsidRPr="00DE7971">
        <w:rPr>
          <w:color w:val="7F7F7F" w:themeColor="text2"/>
        </w:rPr>
        <w:t>hips</w:t>
      </w:r>
      <w:r w:rsidR="00152B75" w:rsidRPr="00DE7971">
        <w:rPr>
          <w:color w:val="7F7F7F" w:themeColor="text2"/>
        </w:rPr>
        <w:t xml:space="preserve"> and Trainees</w:t>
      </w:r>
      <w:r w:rsidR="00AB1926" w:rsidRPr="00DE7971">
        <w:rPr>
          <w:color w:val="7F7F7F" w:themeColor="text2"/>
        </w:rPr>
        <w:t>hips</w:t>
      </w:r>
    </w:p>
    <w:p w:rsidR="00662929" w:rsidRPr="00365EB2" w:rsidRDefault="00662929" w:rsidP="00955CAF">
      <w:pPr>
        <w:pStyle w:val="Quote"/>
        <w:pBdr>
          <w:top w:val="single" w:sz="4" w:space="1" w:color="7F7F7F" w:themeColor="text2"/>
          <w:left w:val="single" w:sz="4" w:space="4" w:color="7F7F7F" w:themeColor="text2"/>
          <w:bottom w:val="single" w:sz="4" w:space="1" w:color="7F7F7F" w:themeColor="text2"/>
          <w:right w:val="single" w:sz="4" w:space="4" w:color="7F7F7F" w:themeColor="text2"/>
        </w:pBdr>
        <w:spacing w:before="120" w:after="120"/>
      </w:pPr>
      <w:r w:rsidRPr="00BB466D">
        <w:t>Key points</w:t>
      </w:r>
    </w:p>
    <w:p w:rsidR="00662929" w:rsidRPr="002F6569" w:rsidRDefault="00662929" w:rsidP="00955CAF">
      <w:pPr>
        <w:pStyle w:val="ListParagraph"/>
        <w:numPr>
          <w:ilvl w:val="0"/>
          <w:numId w:val="18"/>
        </w:numPr>
        <w:pBdr>
          <w:top w:val="single" w:sz="4" w:space="1" w:color="7F7F7F" w:themeColor="text2"/>
          <w:left w:val="single" w:sz="4" w:space="4" w:color="7F7F7F" w:themeColor="text2"/>
          <w:bottom w:val="single" w:sz="4" w:space="1" w:color="7F7F7F" w:themeColor="text2"/>
          <w:right w:val="single" w:sz="4" w:space="4" w:color="7F7F7F" w:themeColor="text2"/>
        </w:pBdr>
        <w:spacing w:before="120" w:after="120"/>
        <w:ind w:left="426" w:hanging="426"/>
        <w:contextualSpacing w:val="0"/>
        <w:rPr>
          <w:color w:val="7F7F7F" w:themeColor="text2"/>
        </w:rPr>
      </w:pPr>
      <w:r w:rsidRPr="002F6569">
        <w:rPr>
          <w:color w:val="7F7F7F" w:themeColor="text2"/>
        </w:rPr>
        <w:t xml:space="preserve">TAFEs are a major </w:t>
      </w:r>
      <w:r w:rsidR="00C26F4E" w:rsidRPr="002F6569">
        <w:rPr>
          <w:color w:val="7F7F7F" w:themeColor="text2"/>
        </w:rPr>
        <w:t>provider</w:t>
      </w:r>
      <w:r w:rsidRPr="002F6569">
        <w:rPr>
          <w:color w:val="7F7F7F" w:themeColor="text2"/>
        </w:rPr>
        <w:t xml:space="preserve"> of </w:t>
      </w:r>
      <w:r w:rsidR="00EE40C8" w:rsidRPr="002F6569">
        <w:rPr>
          <w:color w:val="7F7F7F" w:themeColor="text2"/>
        </w:rPr>
        <w:t>a</w:t>
      </w:r>
      <w:r w:rsidRPr="002F6569">
        <w:rPr>
          <w:color w:val="7F7F7F" w:themeColor="text2"/>
        </w:rPr>
        <w:t>pprentice training, in 201</w:t>
      </w:r>
      <w:r w:rsidR="00955CAF" w:rsidRPr="002F6569">
        <w:rPr>
          <w:color w:val="7F7F7F" w:themeColor="text2"/>
        </w:rPr>
        <w:t>5 (half year)</w:t>
      </w:r>
      <w:r w:rsidRPr="002F6569">
        <w:rPr>
          <w:color w:val="7F7F7F" w:themeColor="text2"/>
        </w:rPr>
        <w:t xml:space="preserve"> there were </w:t>
      </w:r>
      <w:r w:rsidR="00955CAF" w:rsidRPr="002F6569">
        <w:rPr>
          <w:color w:val="7F7F7F" w:themeColor="text2"/>
        </w:rPr>
        <w:t>21</w:t>
      </w:r>
      <w:r w:rsidRPr="002F6569">
        <w:rPr>
          <w:color w:val="7F7F7F" w:themeColor="text2"/>
        </w:rPr>
        <w:t>,</w:t>
      </w:r>
      <w:r w:rsidR="00955CAF" w:rsidRPr="002F6569">
        <w:rPr>
          <w:color w:val="7F7F7F" w:themeColor="text2"/>
        </w:rPr>
        <w:t>436</w:t>
      </w:r>
      <w:r w:rsidRPr="002F6569">
        <w:rPr>
          <w:color w:val="7F7F7F" w:themeColor="text2"/>
        </w:rPr>
        <w:t xml:space="preserve"> government subsidised </w:t>
      </w:r>
      <w:r w:rsidR="00EE40C8" w:rsidRPr="002F6569">
        <w:rPr>
          <w:color w:val="7F7F7F" w:themeColor="text2"/>
        </w:rPr>
        <w:t>a</w:t>
      </w:r>
      <w:r w:rsidRPr="002F6569">
        <w:rPr>
          <w:color w:val="7F7F7F" w:themeColor="text2"/>
        </w:rPr>
        <w:t xml:space="preserve">pprentice enrolments </w:t>
      </w:r>
      <w:r w:rsidR="007E3D92" w:rsidRPr="002F6569">
        <w:rPr>
          <w:color w:val="7F7F7F" w:themeColor="text2"/>
        </w:rPr>
        <w:t xml:space="preserve">delivered </w:t>
      </w:r>
      <w:r w:rsidRPr="002F6569">
        <w:rPr>
          <w:color w:val="7F7F7F" w:themeColor="text2"/>
        </w:rPr>
        <w:t>by TAFE</w:t>
      </w:r>
      <w:r w:rsidR="007E3D92" w:rsidRPr="002F6569">
        <w:rPr>
          <w:color w:val="7F7F7F" w:themeColor="text2"/>
        </w:rPr>
        <w:t>s,</w:t>
      </w:r>
      <w:r w:rsidRPr="002F6569">
        <w:rPr>
          <w:color w:val="7F7F7F" w:themeColor="text2"/>
        </w:rPr>
        <w:t xml:space="preserve"> which represented </w:t>
      </w:r>
      <w:r w:rsidR="003909C0" w:rsidRPr="002F6569">
        <w:rPr>
          <w:color w:val="7F7F7F" w:themeColor="text2"/>
        </w:rPr>
        <w:t xml:space="preserve">a </w:t>
      </w:r>
      <w:r w:rsidRPr="002F6569">
        <w:rPr>
          <w:color w:val="7F7F7F" w:themeColor="text2"/>
        </w:rPr>
        <w:t xml:space="preserve">60 per cent </w:t>
      </w:r>
      <w:r w:rsidR="003909C0" w:rsidRPr="002F6569">
        <w:rPr>
          <w:color w:val="7F7F7F" w:themeColor="text2"/>
        </w:rPr>
        <w:t xml:space="preserve">share </w:t>
      </w:r>
      <w:r w:rsidRPr="002F6569">
        <w:rPr>
          <w:color w:val="7F7F7F" w:themeColor="text2"/>
        </w:rPr>
        <w:t>of all government subsid</w:t>
      </w:r>
      <w:r w:rsidR="007E3D92" w:rsidRPr="002F6569">
        <w:rPr>
          <w:color w:val="7F7F7F" w:themeColor="text2"/>
        </w:rPr>
        <w:t xml:space="preserve">ised </w:t>
      </w:r>
      <w:r w:rsidR="00EE40C8" w:rsidRPr="002F6569">
        <w:rPr>
          <w:color w:val="7F7F7F" w:themeColor="text2"/>
        </w:rPr>
        <w:t>a</w:t>
      </w:r>
      <w:r w:rsidR="007E3D92" w:rsidRPr="002F6569">
        <w:rPr>
          <w:color w:val="7F7F7F" w:themeColor="text2"/>
        </w:rPr>
        <w:t>pprentice enrolments across all sector</w:t>
      </w:r>
      <w:r w:rsidR="00063D4D" w:rsidRPr="002F6569">
        <w:rPr>
          <w:color w:val="7F7F7F" w:themeColor="text2"/>
        </w:rPr>
        <w:t>s</w:t>
      </w:r>
      <w:r w:rsidR="007E3D92" w:rsidRPr="002F6569">
        <w:rPr>
          <w:color w:val="7F7F7F" w:themeColor="text2"/>
        </w:rPr>
        <w:t>.</w:t>
      </w:r>
    </w:p>
    <w:p w:rsidR="00662929" w:rsidRPr="002F6569" w:rsidRDefault="00662929" w:rsidP="002F6569">
      <w:pPr>
        <w:pStyle w:val="ListParagraph"/>
        <w:numPr>
          <w:ilvl w:val="0"/>
          <w:numId w:val="18"/>
        </w:numPr>
        <w:pBdr>
          <w:top w:val="single" w:sz="4" w:space="1" w:color="7F7F7F" w:themeColor="text2"/>
          <w:left w:val="single" w:sz="4" w:space="4" w:color="7F7F7F" w:themeColor="text2"/>
          <w:bottom w:val="single" w:sz="4" w:space="1" w:color="7F7F7F" w:themeColor="text2"/>
          <w:right w:val="single" w:sz="4" w:space="4" w:color="7F7F7F" w:themeColor="text2"/>
        </w:pBdr>
        <w:spacing w:before="120"/>
        <w:ind w:left="425" w:hanging="425"/>
        <w:contextualSpacing w:val="0"/>
        <w:rPr>
          <w:color w:val="7F7F7F" w:themeColor="text2"/>
        </w:rPr>
      </w:pPr>
      <w:r w:rsidRPr="002F6569">
        <w:rPr>
          <w:color w:val="7F7F7F" w:themeColor="text2"/>
        </w:rPr>
        <w:t>In 201</w:t>
      </w:r>
      <w:r w:rsidR="00955CAF" w:rsidRPr="002F6569">
        <w:rPr>
          <w:color w:val="7F7F7F" w:themeColor="text2"/>
        </w:rPr>
        <w:t>5 (half year)</w:t>
      </w:r>
      <w:r w:rsidRPr="002F6569">
        <w:rPr>
          <w:color w:val="7F7F7F" w:themeColor="text2"/>
        </w:rPr>
        <w:t xml:space="preserve"> TAFEs delivered </w:t>
      </w:r>
      <w:r w:rsidR="00955CAF" w:rsidRPr="002F6569">
        <w:rPr>
          <w:color w:val="7F7F7F" w:themeColor="text2"/>
        </w:rPr>
        <w:t>3</w:t>
      </w:r>
      <w:r w:rsidRPr="002F6569">
        <w:rPr>
          <w:color w:val="7F7F7F" w:themeColor="text2"/>
        </w:rPr>
        <w:t>,</w:t>
      </w:r>
      <w:r w:rsidR="00955CAF" w:rsidRPr="002F6569">
        <w:rPr>
          <w:color w:val="7F7F7F" w:themeColor="text2"/>
        </w:rPr>
        <w:t>117</w:t>
      </w:r>
      <w:r w:rsidRPr="002F6569">
        <w:rPr>
          <w:color w:val="7F7F7F" w:themeColor="text2"/>
        </w:rPr>
        <w:t xml:space="preserve"> government subsidised </w:t>
      </w:r>
      <w:r w:rsidR="00EE40C8" w:rsidRPr="002F6569">
        <w:rPr>
          <w:color w:val="7F7F7F" w:themeColor="text2"/>
        </w:rPr>
        <w:t>t</w:t>
      </w:r>
      <w:r w:rsidRPr="002F6569">
        <w:rPr>
          <w:color w:val="7F7F7F" w:themeColor="text2"/>
        </w:rPr>
        <w:t xml:space="preserve">rainee enrolments, which accounted for </w:t>
      </w:r>
      <w:r w:rsidR="003909C0" w:rsidRPr="002F6569">
        <w:rPr>
          <w:color w:val="7F7F7F" w:themeColor="text2"/>
        </w:rPr>
        <w:t xml:space="preserve">a </w:t>
      </w:r>
      <w:r w:rsidRPr="002F6569">
        <w:rPr>
          <w:color w:val="7F7F7F" w:themeColor="text2"/>
        </w:rPr>
        <w:t>1</w:t>
      </w:r>
      <w:r w:rsidR="00955CAF" w:rsidRPr="002F6569">
        <w:rPr>
          <w:color w:val="7F7F7F" w:themeColor="text2"/>
        </w:rPr>
        <w:t>5</w:t>
      </w:r>
      <w:r w:rsidRPr="002F6569">
        <w:rPr>
          <w:color w:val="7F7F7F" w:themeColor="text2"/>
        </w:rPr>
        <w:t xml:space="preserve"> per cent </w:t>
      </w:r>
      <w:r w:rsidR="003909C0" w:rsidRPr="002F6569">
        <w:rPr>
          <w:color w:val="7F7F7F" w:themeColor="text2"/>
        </w:rPr>
        <w:t xml:space="preserve">share </w:t>
      </w:r>
      <w:r w:rsidRPr="002F6569">
        <w:rPr>
          <w:color w:val="7F7F7F" w:themeColor="text2"/>
        </w:rPr>
        <w:t xml:space="preserve">of all government subsidised </w:t>
      </w:r>
      <w:r w:rsidR="00EE40C8" w:rsidRPr="002F6569">
        <w:rPr>
          <w:color w:val="7F7F7F" w:themeColor="text2"/>
        </w:rPr>
        <w:t>t</w:t>
      </w:r>
      <w:r w:rsidRPr="002F6569">
        <w:rPr>
          <w:color w:val="7F7F7F" w:themeColor="text2"/>
        </w:rPr>
        <w:t>rainee enrolments</w:t>
      </w:r>
      <w:r w:rsidR="007E03F8">
        <w:rPr>
          <w:color w:val="7F7F7F" w:themeColor="text2"/>
        </w:rPr>
        <w:t xml:space="preserve"> across all sectors</w:t>
      </w:r>
      <w:r w:rsidRPr="002F6569">
        <w:rPr>
          <w:color w:val="7F7F7F" w:themeColor="text2"/>
        </w:rPr>
        <w:t>.</w:t>
      </w:r>
    </w:p>
    <w:p w:rsidR="00955CAF" w:rsidRPr="00955CAF" w:rsidRDefault="00955CAF" w:rsidP="00955CAF">
      <w:pPr>
        <w:pBdr>
          <w:top w:val="single" w:sz="4" w:space="1" w:color="7F7F7F" w:themeColor="text2"/>
          <w:left w:val="single" w:sz="4" w:space="4" w:color="7F7F7F" w:themeColor="text2"/>
          <w:bottom w:val="single" w:sz="4" w:space="1" w:color="7F7F7F" w:themeColor="text2"/>
          <w:right w:val="single" w:sz="4" w:space="4" w:color="7F7F7F" w:themeColor="text2"/>
        </w:pBdr>
        <w:rPr>
          <w:color w:val="7F7F7F" w:themeColor="text2"/>
        </w:rPr>
      </w:pPr>
    </w:p>
    <w:p w:rsidR="00152B75" w:rsidRPr="00211756" w:rsidRDefault="00152B75" w:rsidP="00151889">
      <w:pPr>
        <w:pStyle w:val="Quote"/>
        <w:rPr>
          <w:b w:val="0"/>
          <w:sz w:val="18"/>
          <w:szCs w:val="18"/>
        </w:rPr>
      </w:pPr>
    </w:p>
    <w:p w:rsidR="00151889" w:rsidRPr="00211756" w:rsidRDefault="00151889" w:rsidP="00151889">
      <w:pPr>
        <w:pStyle w:val="Quote"/>
        <w:rPr>
          <w:b w:val="0"/>
          <w:sz w:val="18"/>
          <w:szCs w:val="18"/>
        </w:rPr>
      </w:pP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DF10D2" w:rsidTr="00286A4F">
        <w:tc>
          <w:tcPr>
            <w:tcW w:w="1134" w:type="dxa"/>
            <w:tcMar>
              <w:left w:w="0" w:type="dxa"/>
              <w:right w:w="0" w:type="dxa"/>
            </w:tcMar>
          </w:tcPr>
          <w:p w:rsidR="00DF10D2" w:rsidRDefault="00DF10D2" w:rsidP="0084117E">
            <w:pPr>
              <w:pStyle w:val="Quote"/>
              <w:tabs>
                <w:tab w:val="left" w:pos="1134"/>
              </w:tabs>
              <w:rPr>
                <w:b w:val="0"/>
                <w:color w:val="B41F22" w:themeColor="accent1"/>
              </w:rPr>
            </w:pPr>
            <w:r>
              <w:rPr>
                <w:b w:val="0"/>
                <w:color w:val="B41F22" w:themeColor="accent1"/>
              </w:rPr>
              <w:t>Table 1.2</w:t>
            </w:r>
            <w:r w:rsidR="0084117E">
              <w:rPr>
                <w:b w:val="0"/>
                <w:color w:val="B41F22" w:themeColor="accent1"/>
              </w:rPr>
              <w:t>4</w:t>
            </w:r>
            <w:r>
              <w:rPr>
                <w:b w:val="0"/>
                <w:color w:val="B41F22" w:themeColor="accent1"/>
              </w:rPr>
              <w:t>:</w:t>
            </w:r>
          </w:p>
        </w:tc>
        <w:tc>
          <w:tcPr>
            <w:tcW w:w="6946" w:type="dxa"/>
            <w:tcMar>
              <w:left w:w="0" w:type="dxa"/>
              <w:right w:w="0" w:type="dxa"/>
            </w:tcMar>
          </w:tcPr>
          <w:p w:rsidR="00DF10D2" w:rsidRDefault="00DF10D2" w:rsidP="007E03F8">
            <w:pPr>
              <w:pStyle w:val="Quote"/>
              <w:tabs>
                <w:tab w:val="left" w:pos="1134"/>
              </w:tabs>
              <w:rPr>
                <w:b w:val="0"/>
                <w:color w:val="B41F22" w:themeColor="accent1"/>
              </w:rPr>
            </w:pPr>
            <w:r w:rsidRPr="00DF10D2">
              <w:rPr>
                <w:b w:val="0"/>
                <w:color w:val="B41F22" w:themeColor="accent1"/>
              </w:rPr>
              <w:t xml:space="preserve">Government subsidised apprentice enrolments </w:t>
            </w:r>
            <w:r w:rsidR="007E03F8">
              <w:rPr>
                <w:b w:val="0"/>
                <w:color w:val="B41F22" w:themeColor="accent1"/>
              </w:rPr>
              <w:t>at</w:t>
            </w:r>
            <w:r w:rsidRPr="00DF10D2">
              <w:rPr>
                <w:b w:val="0"/>
                <w:color w:val="B41F22" w:themeColor="accent1"/>
              </w:rPr>
              <w:t xml:space="preserve"> TAFE, 2010 to 2015 (half year)</w:t>
            </w:r>
          </w:p>
        </w:tc>
      </w:tr>
    </w:tbl>
    <w:tbl>
      <w:tblPr>
        <w:tblW w:w="8095" w:type="dxa"/>
        <w:tblInd w:w="93" w:type="dxa"/>
        <w:tblLayout w:type="fixed"/>
        <w:tblLook w:val="04A0" w:firstRow="1" w:lastRow="0" w:firstColumn="1" w:lastColumn="0" w:noHBand="0" w:noVBand="1"/>
      </w:tblPr>
      <w:tblGrid>
        <w:gridCol w:w="2180"/>
        <w:gridCol w:w="985"/>
        <w:gridCol w:w="986"/>
        <w:gridCol w:w="986"/>
        <w:gridCol w:w="986"/>
        <w:gridCol w:w="986"/>
        <w:gridCol w:w="986"/>
      </w:tblGrid>
      <w:tr w:rsidR="00DF10D2" w:rsidRPr="00DF10D2" w:rsidTr="00DF10D2">
        <w:trPr>
          <w:trHeight w:val="300"/>
        </w:trPr>
        <w:tc>
          <w:tcPr>
            <w:tcW w:w="2180" w:type="dxa"/>
            <w:tcBorders>
              <w:top w:val="nil"/>
              <w:left w:val="nil"/>
              <w:bottom w:val="nil"/>
              <w:right w:val="nil"/>
            </w:tcBorders>
            <w:shd w:val="clear" w:color="000000" w:fill="7F7F7F"/>
            <w:noWrap/>
            <w:vAlign w:val="center"/>
            <w:hideMark/>
          </w:tcPr>
          <w:p w:rsidR="00DF10D2" w:rsidRPr="00DF10D2" w:rsidRDefault="00DF10D2" w:rsidP="00DF10D2">
            <w:pPr>
              <w:rPr>
                <w:rFonts w:cs="Arial"/>
                <w:color w:val="FFFFFF"/>
                <w:szCs w:val="18"/>
                <w:lang w:eastAsia="en-AU"/>
              </w:rPr>
            </w:pPr>
            <w:r w:rsidRPr="00DF10D2">
              <w:rPr>
                <w:rFonts w:cs="Arial"/>
                <w:color w:val="FFFFFF"/>
                <w:szCs w:val="18"/>
                <w:lang w:eastAsia="en-AU"/>
              </w:rPr>
              <w:t> </w:t>
            </w:r>
          </w:p>
        </w:tc>
        <w:tc>
          <w:tcPr>
            <w:tcW w:w="985" w:type="dxa"/>
            <w:tcBorders>
              <w:top w:val="nil"/>
              <w:left w:val="nil"/>
              <w:bottom w:val="nil"/>
              <w:right w:val="nil"/>
            </w:tcBorders>
            <w:shd w:val="clear" w:color="000000" w:fill="7F7F7F"/>
            <w:noWrap/>
            <w:vAlign w:val="center"/>
            <w:hideMark/>
          </w:tcPr>
          <w:p w:rsidR="00DF10D2" w:rsidRPr="00DF10D2" w:rsidRDefault="00DF10D2" w:rsidP="00DF10D2">
            <w:pPr>
              <w:jc w:val="right"/>
              <w:rPr>
                <w:rFonts w:cs="Arial"/>
                <w:b/>
                <w:bCs/>
                <w:color w:val="FFFFFF"/>
                <w:szCs w:val="18"/>
                <w:lang w:eastAsia="en-AU"/>
              </w:rPr>
            </w:pPr>
            <w:r w:rsidRPr="00DF10D2">
              <w:rPr>
                <w:rFonts w:cs="Arial"/>
                <w:b/>
                <w:bCs/>
                <w:color w:val="FFFFFF"/>
                <w:szCs w:val="18"/>
                <w:lang w:eastAsia="en-AU"/>
              </w:rPr>
              <w:t>2010</w:t>
            </w:r>
          </w:p>
        </w:tc>
        <w:tc>
          <w:tcPr>
            <w:tcW w:w="986" w:type="dxa"/>
            <w:tcBorders>
              <w:top w:val="nil"/>
              <w:left w:val="nil"/>
              <w:bottom w:val="nil"/>
              <w:right w:val="nil"/>
            </w:tcBorders>
            <w:shd w:val="clear" w:color="000000" w:fill="7F7F7F"/>
            <w:noWrap/>
            <w:vAlign w:val="center"/>
            <w:hideMark/>
          </w:tcPr>
          <w:p w:rsidR="00DF10D2" w:rsidRPr="00DF10D2" w:rsidRDefault="00DF10D2" w:rsidP="00DF10D2">
            <w:pPr>
              <w:jc w:val="right"/>
              <w:rPr>
                <w:rFonts w:cs="Arial"/>
                <w:b/>
                <w:bCs/>
                <w:color w:val="FFFFFF"/>
                <w:szCs w:val="18"/>
                <w:lang w:eastAsia="en-AU"/>
              </w:rPr>
            </w:pPr>
            <w:r w:rsidRPr="00DF10D2">
              <w:rPr>
                <w:rFonts w:cs="Arial"/>
                <w:b/>
                <w:bCs/>
                <w:color w:val="FFFFFF"/>
                <w:szCs w:val="18"/>
                <w:lang w:eastAsia="en-AU"/>
              </w:rPr>
              <w:t>2011</w:t>
            </w:r>
          </w:p>
        </w:tc>
        <w:tc>
          <w:tcPr>
            <w:tcW w:w="986" w:type="dxa"/>
            <w:tcBorders>
              <w:top w:val="nil"/>
              <w:left w:val="nil"/>
              <w:bottom w:val="nil"/>
              <w:right w:val="nil"/>
            </w:tcBorders>
            <w:shd w:val="clear" w:color="000000" w:fill="7F7F7F"/>
            <w:noWrap/>
            <w:vAlign w:val="center"/>
            <w:hideMark/>
          </w:tcPr>
          <w:p w:rsidR="00DF10D2" w:rsidRPr="00DF10D2" w:rsidRDefault="00DF10D2" w:rsidP="00DF10D2">
            <w:pPr>
              <w:jc w:val="right"/>
              <w:rPr>
                <w:rFonts w:cs="Arial"/>
                <w:b/>
                <w:bCs/>
                <w:color w:val="FFFFFF"/>
                <w:szCs w:val="18"/>
                <w:lang w:eastAsia="en-AU"/>
              </w:rPr>
            </w:pPr>
            <w:r w:rsidRPr="00DF10D2">
              <w:rPr>
                <w:rFonts w:cs="Arial"/>
                <w:b/>
                <w:bCs/>
                <w:color w:val="FFFFFF"/>
                <w:szCs w:val="18"/>
                <w:lang w:eastAsia="en-AU"/>
              </w:rPr>
              <w:t>2012</w:t>
            </w:r>
          </w:p>
        </w:tc>
        <w:tc>
          <w:tcPr>
            <w:tcW w:w="986" w:type="dxa"/>
            <w:tcBorders>
              <w:top w:val="nil"/>
              <w:left w:val="nil"/>
              <w:bottom w:val="nil"/>
              <w:right w:val="nil"/>
            </w:tcBorders>
            <w:shd w:val="clear" w:color="000000" w:fill="7F7F7F"/>
            <w:noWrap/>
            <w:vAlign w:val="center"/>
            <w:hideMark/>
          </w:tcPr>
          <w:p w:rsidR="00DF10D2" w:rsidRPr="00DF10D2" w:rsidRDefault="00DF10D2" w:rsidP="00DF10D2">
            <w:pPr>
              <w:jc w:val="right"/>
              <w:rPr>
                <w:rFonts w:cs="Arial"/>
                <w:b/>
                <w:bCs/>
                <w:color w:val="FFFFFF"/>
                <w:szCs w:val="18"/>
                <w:lang w:eastAsia="en-AU"/>
              </w:rPr>
            </w:pPr>
            <w:r w:rsidRPr="00DF10D2">
              <w:rPr>
                <w:rFonts w:cs="Arial"/>
                <w:b/>
                <w:bCs/>
                <w:color w:val="FFFFFF"/>
                <w:szCs w:val="18"/>
                <w:lang w:eastAsia="en-AU"/>
              </w:rPr>
              <w:t>2013</w:t>
            </w:r>
          </w:p>
        </w:tc>
        <w:tc>
          <w:tcPr>
            <w:tcW w:w="986" w:type="dxa"/>
            <w:tcBorders>
              <w:top w:val="nil"/>
              <w:left w:val="nil"/>
              <w:bottom w:val="nil"/>
              <w:right w:val="nil"/>
            </w:tcBorders>
            <w:shd w:val="clear" w:color="000000" w:fill="7F7F7F"/>
            <w:noWrap/>
            <w:vAlign w:val="center"/>
            <w:hideMark/>
          </w:tcPr>
          <w:p w:rsidR="00DF10D2" w:rsidRPr="00DF10D2" w:rsidRDefault="00DF10D2" w:rsidP="00DF10D2">
            <w:pPr>
              <w:jc w:val="right"/>
              <w:rPr>
                <w:rFonts w:cs="Arial"/>
                <w:b/>
                <w:bCs/>
                <w:color w:val="FFFFFF"/>
                <w:szCs w:val="18"/>
                <w:lang w:eastAsia="en-AU"/>
              </w:rPr>
            </w:pPr>
            <w:r w:rsidRPr="00DF10D2">
              <w:rPr>
                <w:rFonts w:cs="Arial"/>
                <w:b/>
                <w:bCs/>
                <w:color w:val="FFFFFF"/>
                <w:szCs w:val="18"/>
                <w:lang w:eastAsia="en-AU"/>
              </w:rPr>
              <w:t>2014</w:t>
            </w:r>
          </w:p>
        </w:tc>
        <w:tc>
          <w:tcPr>
            <w:tcW w:w="986" w:type="dxa"/>
            <w:tcBorders>
              <w:top w:val="nil"/>
              <w:left w:val="nil"/>
              <w:bottom w:val="nil"/>
              <w:right w:val="nil"/>
            </w:tcBorders>
            <w:shd w:val="clear" w:color="000000" w:fill="7F7F7F"/>
            <w:noWrap/>
            <w:vAlign w:val="center"/>
            <w:hideMark/>
          </w:tcPr>
          <w:p w:rsidR="00DF10D2" w:rsidRPr="00DF10D2" w:rsidRDefault="00DF10D2" w:rsidP="00DF10D2">
            <w:pPr>
              <w:jc w:val="right"/>
              <w:rPr>
                <w:rFonts w:cs="Arial"/>
                <w:b/>
                <w:bCs/>
                <w:color w:val="FFFFFF"/>
                <w:szCs w:val="18"/>
                <w:lang w:eastAsia="en-AU"/>
              </w:rPr>
            </w:pPr>
            <w:r w:rsidRPr="00DF10D2">
              <w:rPr>
                <w:rFonts w:cs="Arial"/>
                <w:b/>
                <w:bCs/>
                <w:color w:val="FFFFFF"/>
                <w:szCs w:val="18"/>
                <w:lang w:eastAsia="en-AU"/>
              </w:rPr>
              <w:t>2015</w:t>
            </w:r>
          </w:p>
        </w:tc>
      </w:tr>
      <w:tr w:rsidR="00DF10D2" w:rsidRPr="00DF10D2" w:rsidTr="00DF10D2">
        <w:trPr>
          <w:trHeight w:val="300"/>
        </w:trPr>
        <w:tc>
          <w:tcPr>
            <w:tcW w:w="2180" w:type="dxa"/>
            <w:tcBorders>
              <w:top w:val="nil"/>
              <w:left w:val="nil"/>
              <w:bottom w:val="nil"/>
              <w:right w:val="nil"/>
            </w:tcBorders>
            <w:shd w:val="clear" w:color="auto" w:fill="auto"/>
            <w:noWrap/>
            <w:vAlign w:val="center"/>
            <w:hideMark/>
          </w:tcPr>
          <w:p w:rsidR="00DF10D2" w:rsidRPr="00DF10D2" w:rsidRDefault="00DF10D2" w:rsidP="00DF10D2">
            <w:pPr>
              <w:rPr>
                <w:rFonts w:cs="Arial"/>
                <w:color w:val="7F7F7F"/>
                <w:szCs w:val="18"/>
                <w:lang w:eastAsia="en-AU"/>
              </w:rPr>
            </w:pPr>
            <w:r w:rsidRPr="00DF10D2">
              <w:rPr>
                <w:rFonts w:cs="Arial"/>
                <w:color w:val="7F7F7F"/>
                <w:szCs w:val="18"/>
                <w:lang w:eastAsia="en-AU"/>
              </w:rPr>
              <w:t>Number</w:t>
            </w:r>
          </w:p>
        </w:tc>
        <w:tc>
          <w:tcPr>
            <w:tcW w:w="985" w:type="dxa"/>
            <w:tcBorders>
              <w:top w:val="nil"/>
              <w:left w:val="nil"/>
              <w:bottom w:val="nil"/>
              <w:right w:val="nil"/>
            </w:tcBorders>
            <w:shd w:val="clear" w:color="auto" w:fill="auto"/>
            <w:noWrap/>
            <w:vAlign w:val="center"/>
            <w:hideMark/>
          </w:tcPr>
          <w:p w:rsidR="00DF10D2" w:rsidRPr="00DF10D2" w:rsidRDefault="00DF10D2" w:rsidP="00DF10D2">
            <w:pPr>
              <w:jc w:val="right"/>
              <w:rPr>
                <w:rFonts w:cs="Arial"/>
                <w:color w:val="7F7F7F"/>
                <w:szCs w:val="18"/>
                <w:lang w:eastAsia="en-AU"/>
              </w:rPr>
            </w:pPr>
            <w:r w:rsidRPr="00DF10D2">
              <w:rPr>
                <w:rFonts w:cs="Arial"/>
                <w:color w:val="7F7F7F"/>
                <w:szCs w:val="18"/>
                <w:lang w:eastAsia="en-AU"/>
              </w:rPr>
              <w:t>23,000</w:t>
            </w:r>
          </w:p>
        </w:tc>
        <w:tc>
          <w:tcPr>
            <w:tcW w:w="986" w:type="dxa"/>
            <w:tcBorders>
              <w:top w:val="nil"/>
              <w:left w:val="nil"/>
              <w:bottom w:val="nil"/>
              <w:right w:val="nil"/>
            </w:tcBorders>
            <w:shd w:val="clear" w:color="auto" w:fill="auto"/>
            <w:noWrap/>
            <w:vAlign w:val="center"/>
            <w:hideMark/>
          </w:tcPr>
          <w:p w:rsidR="00DF10D2" w:rsidRPr="00DF10D2" w:rsidRDefault="00DF10D2" w:rsidP="00DF10D2">
            <w:pPr>
              <w:jc w:val="right"/>
              <w:rPr>
                <w:rFonts w:cs="Arial"/>
                <w:color w:val="7F7F7F"/>
                <w:szCs w:val="18"/>
                <w:lang w:eastAsia="en-AU"/>
              </w:rPr>
            </w:pPr>
            <w:r w:rsidRPr="00DF10D2">
              <w:rPr>
                <w:rFonts w:cs="Arial"/>
                <w:color w:val="7F7F7F"/>
                <w:szCs w:val="18"/>
                <w:lang w:eastAsia="en-AU"/>
              </w:rPr>
              <w:t>23,945</w:t>
            </w:r>
          </w:p>
        </w:tc>
        <w:tc>
          <w:tcPr>
            <w:tcW w:w="986" w:type="dxa"/>
            <w:tcBorders>
              <w:top w:val="nil"/>
              <w:left w:val="nil"/>
              <w:bottom w:val="nil"/>
              <w:right w:val="nil"/>
            </w:tcBorders>
            <w:shd w:val="clear" w:color="auto" w:fill="auto"/>
            <w:noWrap/>
            <w:vAlign w:val="center"/>
            <w:hideMark/>
          </w:tcPr>
          <w:p w:rsidR="00DF10D2" w:rsidRPr="00DF10D2" w:rsidRDefault="00DF10D2" w:rsidP="00DF10D2">
            <w:pPr>
              <w:jc w:val="right"/>
              <w:rPr>
                <w:rFonts w:cs="Arial"/>
                <w:color w:val="7F7F7F"/>
                <w:szCs w:val="18"/>
                <w:lang w:eastAsia="en-AU"/>
              </w:rPr>
            </w:pPr>
            <w:r w:rsidRPr="00DF10D2">
              <w:rPr>
                <w:rFonts w:cs="Arial"/>
                <w:color w:val="7F7F7F"/>
                <w:szCs w:val="18"/>
                <w:lang w:eastAsia="en-AU"/>
              </w:rPr>
              <w:t>23,845</w:t>
            </w:r>
          </w:p>
        </w:tc>
        <w:tc>
          <w:tcPr>
            <w:tcW w:w="986" w:type="dxa"/>
            <w:tcBorders>
              <w:top w:val="nil"/>
              <w:left w:val="nil"/>
              <w:bottom w:val="nil"/>
              <w:right w:val="nil"/>
            </w:tcBorders>
            <w:shd w:val="clear" w:color="auto" w:fill="auto"/>
            <w:noWrap/>
            <w:vAlign w:val="center"/>
            <w:hideMark/>
          </w:tcPr>
          <w:p w:rsidR="00DF10D2" w:rsidRPr="00DF10D2" w:rsidRDefault="00DF10D2" w:rsidP="00DF10D2">
            <w:pPr>
              <w:jc w:val="right"/>
              <w:rPr>
                <w:rFonts w:cs="Arial"/>
                <w:color w:val="7F7F7F"/>
                <w:szCs w:val="18"/>
                <w:lang w:eastAsia="en-AU"/>
              </w:rPr>
            </w:pPr>
            <w:r w:rsidRPr="00DF10D2">
              <w:rPr>
                <w:rFonts w:cs="Arial"/>
                <w:color w:val="7F7F7F"/>
                <w:szCs w:val="18"/>
                <w:lang w:eastAsia="en-AU"/>
              </w:rPr>
              <w:t>21,129</w:t>
            </w:r>
          </w:p>
        </w:tc>
        <w:tc>
          <w:tcPr>
            <w:tcW w:w="986" w:type="dxa"/>
            <w:tcBorders>
              <w:top w:val="nil"/>
              <w:left w:val="nil"/>
              <w:bottom w:val="nil"/>
              <w:right w:val="nil"/>
            </w:tcBorders>
            <w:shd w:val="clear" w:color="auto" w:fill="auto"/>
            <w:noWrap/>
            <w:vAlign w:val="center"/>
            <w:hideMark/>
          </w:tcPr>
          <w:p w:rsidR="00DF10D2" w:rsidRPr="00DF10D2" w:rsidRDefault="00DF10D2" w:rsidP="00DF10D2">
            <w:pPr>
              <w:jc w:val="right"/>
              <w:rPr>
                <w:rFonts w:cs="Arial"/>
                <w:color w:val="7F7F7F"/>
                <w:szCs w:val="18"/>
                <w:lang w:eastAsia="en-AU"/>
              </w:rPr>
            </w:pPr>
            <w:r w:rsidRPr="00DF10D2">
              <w:rPr>
                <w:rFonts w:cs="Arial"/>
                <w:color w:val="7F7F7F"/>
                <w:szCs w:val="18"/>
                <w:lang w:eastAsia="en-AU"/>
              </w:rPr>
              <w:t>21,233</w:t>
            </w:r>
          </w:p>
        </w:tc>
        <w:tc>
          <w:tcPr>
            <w:tcW w:w="986" w:type="dxa"/>
            <w:tcBorders>
              <w:top w:val="nil"/>
              <w:left w:val="nil"/>
              <w:bottom w:val="nil"/>
              <w:right w:val="nil"/>
            </w:tcBorders>
            <w:shd w:val="clear" w:color="auto" w:fill="auto"/>
            <w:noWrap/>
            <w:vAlign w:val="center"/>
            <w:hideMark/>
          </w:tcPr>
          <w:p w:rsidR="00DF10D2" w:rsidRPr="00DF10D2" w:rsidRDefault="00DF10D2" w:rsidP="00DF10D2">
            <w:pPr>
              <w:jc w:val="right"/>
              <w:rPr>
                <w:rFonts w:cs="Arial"/>
                <w:color w:val="7F7F7F"/>
                <w:szCs w:val="18"/>
                <w:lang w:eastAsia="en-AU"/>
              </w:rPr>
            </w:pPr>
            <w:r w:rsidRPr="00DF10D2">
              <w:rPr>
                <w:rFonts w:cs="Arial"/>
                <w:color w:val="7F7F7F"/>
                <w:szCs w:val="18"/>
                <w:lang w:eastAsia="en-AU"/>
              </w:rPr>
              <w:t>21,436</w:t>
            </w:r>
          </w:p>
        </w:tc>
      </w:tr>
      <w:tr w:rsidR="00DF10D2" w:rsidRPr="00DF10D2" w:rsidTr="00DF10D2">
        <w:trPr>
          <w:trHeight w:val="315"/>
        </w:trPr>
        <w:tc>
          <w:tcPr>
            <w:tcW w:w="2180" w:type="dxa"/>
            <w:tcBorders>
              <w:top w:val="nil"/>
              <w:left w:val="nil"/>
              <w:bottom w:val="single" w:sz="12" w:space="0" w:color="7F7F7F"/>
              <w:right w:val="nil"/>
            </w:tcBorders>
            <w:shd w:val="clear" w:color="auto" w:fill="auto"/>
            <w:noWrap/>
            <w:vAlign w:val="center"/>
            <w:hideMark/>
          </w:tcPr>
          <w:p w:rsidR="00DF10D2" w:rsidRPr="00DF10D2" w:rsidRDefault="00DF10D2" w:rsidP="00DF10D2">
            <w:pPr>
              <w:rPr>
                <w:rFonts w:cs="Arial"/>
                <w:color w:val="7F7F7F"/>
                <w:szCs w:val="18"/>
                <w:lang w:eastAsia="en-AU"/>
              </w:rPr>
            </w:pPr>
            <w:r w:rsidRPr="00DF10D2">
              <w:rPr>
                <w:rFonts w:cs="Arial"/>
                <w:color w:val="7F7F7F"/>
                <w:szCs w:val="18"/>
                <w:lang w:eastAsia="en-AU"/>
              </w:rPr>
              <w:t>TAFE share</w:t>
            </w:r>
          </w:p>
        </w:tc>
        <w:tc>
          <w:tcPr>
            <w:tcW w:w="985" w:type="dxa"/>
            <w:tcBorders>
              <w:top w:val="nil"/>
              <w:left w:val="nil"/>
              <w:bottom w:val="single" w:sz="12" w:space="0" w:color="7F7F7F"/>
              <w:right w:val="nil"/>
            </w:tcBorders>
            <w:shd w:val="clear" w:color="auto" w:fill="auto"/>
            <w:noWrap/>
            <w:vAlign w:val="center"/>
            <w:hideMark/>
          </w:tcPr>
          <w:p w:rsidR="00DF10D2" w:rsidRPr="00DF10D2" w:rsidRDefault="00DF10D2" w:rsidP="00DF10D2">
            <w:pPr>
              <w:jc w:val="right"/>
              <w:rPr>
                <w:rFonts w:cs="Arial"/>
                <w:color w:val="7F7F7F"/>
                <w:szCs w:val="18"/>
                <w:lang w:eastAsia="en-AU"/>
              </w:rPr>
            </w:pPr>
            <w:r w:rsidRPr="00DF10D2">
              <w:rPr>
                <w:rFonts w:cs="Arial"/>
                <w:color w:val="7F7F7F"/>
                <w:szCs w:val="18"/>
                <w:lang w:eastAsia="en-AU"/>
              </w:rPr>
              <w:t>65%</w:t>
            </w:r>
          </w:p>
        </w:tc>
        <w:tc>
          <w:tcPr>
            <w:tcW w:w="986" w:type="dxa"/>
            <w:tcBorders>
              <w:top w:val="nil"/>
              <w:left w:val="nil"/>
              <w:bottom w:val="single" w:sz="12" w:space="0" w:color="7F7F7F"/>
              <w:right w:val="nil"/>
            </w:tcBorders>
            <w:shd w:val="clear" w:color="auto" w:fill="auto"/>
            <w:noWrap/>
            <w:vAlign w:val="center"/>
            <w:hideMark/>
          </w:tcPr>
          <w:p w:rsidR="00DF10D2" w:rsidRPr="00DF10D2" w:rsidRDefault="00DF10D2" w:rsidP="00DF10D2">
            <w:pPr>
              <w:jc w:val="right"/>
              <w:rPr>
                <w:rFonts w:cs="Arial"/>
                <w:color w:val="7F7F7F"/>
                <w:szCs w:val="18"/>
                <w:lang w:eastAsia="en-AU"/>
              </w:rPr>
            </w:pPr>
            <w:r w:rsidRPr="00DF10D2">
              <w:rPr>
                <w:rFonts w:cs="Arial"/>
                <w:color w:val="7F7F7F"/>
                <w:szCs w:val="18"/>
                <w:lang w:eastAsia="en-AU"/>
              </w:rPr>
              <w:t>64%</w:t>
            </w:r>
          </w:p>
        </w:tc>
        <w:tc>
          <w:tcPr>
            <w:tcW w:w="986" w:type="dxa"/>
            <w:tcBorders>
              <w:top w:val="nil"/>
              <w:left w:val="nil"/>
              <w:bottom w:val="single" w:sz="12" w:space="0" w:color="7F7F7F"/>
              <w:right w:val="nil"/>
            </w:tcBorders>
            <w:shd w:val="clear" w:color="auto" w:fill="auto"/>
            <w:noWrap/>
            <w:vAlign w:val="center"/>
            <w:hideMark/>
          </w:tcPr>
          <w:p w:rsidR="00DF10D2" w:rsidRPr="00DF10D2" w:rsidRDefault="00DF10D2" w:rsidP="00DF10D2">
            <w:pPr>
              <w:jc w:val="right"/>
              <w:rPr>
                <w:rFonts w:cs="Arial"/>
                <w:color w:val="7F7F7F"/>
                <w:szCs w:val="18"/>
                <w:lang w:eastAsia="en-AU"/>
              </w:rPr>
            </w:pPr>
            <w:r w:rsidRPr="00DF10D2">
              <w:rPr>
                <w:rFonts w:cs="Arial"/>
                <w:color w:val="7F7F7F"/>
                <w:szCs w:val="18"/>
                <w:lang w:eastAsia="en-AU"/>
              </w:rPr>
              <w:t>63%</w:t>
            </w:r>
          </w:p>
        </w:tc>
        <w:tc>
          <w:tcPr>
            <w:tcW w:w="986" w:type="dxa"/>
            <w:tcBorders>
              <w:top w:val="nil"/>
              <w:left w:val="nil"/>
              <w:bottom w:val="single" w:sz="12" w:space="0" w:color="7F7F7F"/>
              <w:right w:val="nil"/>
            </w:tcBorders>
            <w:shd w:val="clear" w:color="auto" w:fill="auto"/>
            <w:noWrap/>
            <w:vAlign w:val="center"/>
            <w:hideMark/>
          </w:tcPr>
          <w:p w:rsidR="00DF10D2" w:rsidRPr="00DF10D2" w:rsidRDefault="00DF10D2" w:rsidP="00DF10D2">
            <w:pPr>
              <w:jc w:val="right"/>
              <w:rPr>
                <w:rFonts w:cs="Arial"/>
                <w:color w:val="7F7F7F"/>
                <w:szCs w:val="18"/>
                <w:lang w:eastAsia="en-AU"/>
              </w:rPr>
            </w:pPr>
            <w:r w:rsidRPr="00DF10D2">
              <w:rPr>
                <w:rFonts w:cs="Arial"/>
                <w:color w:val="7F7F7F"/>
                <w:szCs w:val="18"/>
                <w:lang w:eastAsia="en-AU"/>
              </w:rPr>
              <w:t>61%</w:t>
            </w:r>
          </w:p>
        </w:tc>
        <w:tc>
          <w:tcPr>
            <w:tcW w:w="986" w:type="dxa"/>
            <w:tcBorders>
              <w:top w:val="nil"/>
              <w:left w:val="nil"/>
              <w:bottom w:val="single" w:sz="12" w:space="0" w:color="7F7F7F"/>
              <w:right w:val="nil"/>
            </w:tcBorders>
            <w:shd w:val="clear" w:color="auto" w:fill="auto"/>
            <w:noWrap/>
            <w:vAlign w:val="center"/>
            <w:hideMark/>
          </w:tcPr>
          <w:p w:rsidR="00DF10D2" w:rsidRPr="00DF10D2" w:rsidRDefault="00DF10D2" w:rsidP="00DF10D2">
            <w:pPr>
              <w:jc w:val="right"/>
              <w:rPr>
                <w:rFonts w:cs="Arial"/>
                <w:color w:val="7F7F7F"/>
                <w:szCs w:val="18"/>
                <w:lang w:eastAsia="en-AU"/>
              </w:rPr>
            </w:pPr>
            <w:r w:rsidRPr="00DF10D2">
              <w:rPr>
                <w:rFonts w:cs="Arial"/>
                <w:color w:val="7F7F7F"/>
                <w:szCs w:val="18"/>
                <w:lang w:eastAsia="en-AU"/>
              </w:rPr>
              <w:t>62%</w:t>
            </w:r>
          </w:p>
        </w:tc>
        <w:tc>
          <w:tcPr>
            <w:tcW w:w="986" w:type="dxa"/>
            <w:tcBorders>
              <w:top w:val="nil"/>
              <w:left w:val="nil"/>
              <w:bottom w:val="single" w:sz="12" w:space="0" w:color="7F7F7F"/>
              <w:right w:val="nil"/>
            </w:tcBorders>
            <w:shd w:val="clear" w:color="auto" w:fill="auto"/>
            <w:noWrap/>
            <w:vAlign w:val="center"/>
            <w:hideMark/>
          </w:tcPr>
          <w:p w:rsidR="00DF10D2" w:rsidRPr="00DF10D2" w:rsidRDefault="00DF10D2" w:rsidP="00DF10D2">
            <w:pPr>
              <w:jc w:val="right"/>
              <w:rPr>
                <w:rFonts w:cs="Arial"/>
                <w:color w:val="7F7F7F"/>
                <w:szCs w:val="18"/>
                <w:lang w:eastAsia="en-AU"/>
              </w:rPr>
            </w:pPr>
            <w:r w:rsidRPr="00DF10D2">
              <w:rPr>
                <w:rFonts w:cs="Arial"/>
                <w:color w:val="7F7F7F"/>
                <w:szCs w:val="18"/>
                <w:lang w:eastAsia="en-AU"/>
              </w:rPr>
              <w:t>60%</w:t>
            </w:r>
          </w:p>
        </w:tc>
      </w:tr>
    </w:tbl>
    <w:p w:rsidR="00573F98" w:rsidRPr="00DF10D2" w:rsidRDefault="00573F98" w:rsidP="00573F98">
      <w:pPr>
        <w:pStyle w:val="Quote"/>
        <w:rPr>
          <w:b w:val="0"/>
          <w:sz w:val="18"/>
          <w:szCs w:val="18"/>
        </w:rPr>
      </w:pPr>
    </w:p>
    <w:p w:rsidR="00573F98" w:rsidRPr="00DF10D2" w:rsidRDefault="00573F98" w:rsidP="00573F98">
      <w:pPr>
        <w:pStyle w:val="Quote"/>
        <w:rPr>
          <w:b w:val="0"/>
          <w:sz w:val="18"/>
          <w:szCs w:val="18"/>
        </w:rPr>
      </w:pP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286A4F" w:rsidTr="00286A4F">
        <w:tc>
          <w:tcPr>
            <w:tcW w:w="1134" w:type="dxa"/>
            <w:tcMar>
              <w:left w:w="0" w:type="dxa"/>
              <w:right w:w="0" w:type="dxa"/>
            </w:tcMar>
          </w:tcPr>
          <w:p w:rsidR="00286A4F" w:rsidRDefault="00286A4F" w:rsidP="0084117E">
            <w:pPr>
              <w:pStyle w:val="Quote"/>
              <w:tabs>
                <w:tab w:val="left" w:pos="1134"/>
              </w:tabs>
              <w:rPr>
                <w:b w:val="0"/>
                <w:color w:val="B41F22" w:themeColor="accent1"/>
              </w:rPr>
            </w:pPr>
            <w:r>
              <w:rPr>
                <w:b w:val="0"/>
                <w:color w:val="B41F22" w:themeColor="accent1"/>
              </w:rPr>
              <w:t>Table 1.2</w:t>
            </w:r>
            <w:r w:rsidR="0084117E">
              <w:rPr>
                <w:b w:val="0"/>
                <w:color w:val="B41F22" w:themeColor="accent1"/>
              </w:rPr>
              <w:t>5</w:t>
            </w:r>
            <w:r>
              <w:rPr>
                <w:b w:val="0"/>
                <w:color w:val="B41F22" w:themeColor="accent1"/>
              </w:rPr>
              <w:t>:</w:t>
            </w:r>
          </w:p>
        </w:tc>
        <w:tc>
          <w:tcPr>
            <w:tcW w:w="6946" w:type="dxa"/>
            <w:tcMar>
              <w:left w:w="0" w:type="dxa"/>
              <w:right w:w="0" w:type="dxa"/>
            </w:tcMar>
          </w:tcPr>
          <w:p w:rsidR="00286A4F" w:rsidRDefault="00286A4F" w:rsidP="007E03F8">
            <w:pPr>
              <w:pStyle w:val="Quote"/>
              <w:tabs>
                <w:tab w:val="left" w:pos="1134"/>
              </w:tabs>
              <w:rPr>
                <w:b w:val="0"/>
                <w:color w:val="B41F22" w:themeColor="accent1"/>
              </w:rPr>
            </w:pPr>
            <w:r w:rsidRPr="00286A4F">
              <w:rPr>
                <w:b w:val="0"/>
                <w:color w:val="B41F22" w:themeColor="accent1"/>
              </w:rPr>
              <w:t xml:space="preserve">Government subsidised trainee enrolments </w:t>
            </w:r>
            <w:r w:rsidR="007E03F8">
              <w:rPr>
                <w:b w:val="0"/>
                <w:color w:val="B41F22" w:themeColor="accent1"/>
              </w:rPr>
              <w:t>at</w:t>
            </w:r>
            <w:r w:rsidRPr="00286A4F">
              <w:rPr>
                <w:b w:val="0"/>
                <w:color w:val="B41F22" w:themeColor="accent1"/>
              </w:rPr>
              <w:t xml:space="preserve"> TAFE, 2010 to 2015 (half year)</w:t>
            </w:r>
          </w:p>
        </w:tc>
      </w:tr>
    </w:tbl>
    <w:tbl>
      <w:tblPr>
        <w:tblW w:w="8095" w:type="dxa"/>
        <w:tblInd w:w="93" w:type="dxa"/>
        <w:tblLayout w:type="fixed"/>
        <w:tblLook w:val="04A0" w:firstRow="1" w:lastRow="0" w:firstColumn="1" w:lastColumn="0" w:noHBand="0" w:noVBand="1"/>
      </w:tblPr>
      <w:tblGrid>
        <w:gridCol w:w="2180"/>
        <w:gridCol w:w="985"/>
        <w:gridCol w:w="986"/>
        <w:gridCol w:w="986"/>
        <w:gridCol w:w="986"/>
        <w:gridCol w:w="986"/>
        <w:gridCol w:w="986"/>
      </w:tblGrid>
      <w:tr w:rsidR="00286A4F" w:rsidRPr="00286A4F" w:rsidTr="00286A4F">
        <w:trPr>
          <w:trHeight w:val="300"/>
        </w:trPr>
        <w:tc>
          <w:tcPr>
            <w:tcW w:w="2180" w:type="dxa"/>
            <w:tcBorders>
              <w:top w:val="nil"/>
              <w:left w:val="nil"/>
              <w:bottom w:val="nil"/>
              <w:right w:val="nil"/>
            </w:tcBorders>
            <w:shd w:val="clear" w:color="000000" w:fill="7F7F7F"/>
            <w:noWrap/>
            <w:vAlign w:val="center"/>
            <w:hideMark/>
          </w:tcPr>
          <w:p w:rsidR="00286A4F" w:rsidRPr="00286A4F" w:rsidRDefault="00286A4F" w:rsidP="00286A4F">
            <w:pPr>
              <w:rPr>
                <w:rFonts w:cs="Arial"/>
                <w:color w:val="FFFFFF"/>
                <w:szCs w:val="18"/>
                <w:lang w:eastAsia="en-AU"/>
              </w:rPr>
            </w:pPr>
            <w:r w:rsidRPr="00286A4F">
              <w:rPr>
                <w:rFonts w:cs="Arial"/>
                <w:color w:val="FFFFFF"/>
                <w:szCs w:val="18"/>
                <w:lang w:eastAsia="en-AU"/>
              </w:rPr>
              <w:t> </w:t>
            </w:r>
          </w:p>
        </w:tc>
        <w:tc>
          <w:tcPr>
            <w:tcW w:w="985" w:type="dxa"/>
            <w:tcBorders>
              <w:top w:val="nil"/>
              <w:left w:val="nil"/>
              <w:bottom w:val="nil"/>
              <w:right w:val="nil"/>
            </w:tcBorders>
            <w:shd w:val="clear" w:color="000000" w:fill="7F7F7F"/>
            <w:noWrap/>
            <w:vAlign w:val="center"/>
            <w:hideMark/>
          </w:tcPr>
          <w:p w:rsidR="00286A4F" w:rsidRPr="00286A4F" w:rsidRDefault="00286A4F" w:rsidP="00286A4F">
            <w:pPr>
              <w:jc w:val="right"/>
              <w:rPr>
                <w:rFonts w:cs="Arial"/>
                <w:b/>
                <w:bCs/>
                <w:color w:val="FFFFFF"/>
                <w:szCs w:val="18"/>
                <w:lang w:eastAsia="en-AU"/>
              </w:rPr>
            </w:pPr>
            <w:r w:rsidRPr="00286A4F">
              <w:rPr>
                <w:rFonts w:cs="Arial"/>
                <w:b/>
                <w:bCs/>
                <w:color w:val="FFFFFF"/>
                <w:szCs w:val="18"/>
                <w:lang w:eastAsia="en-AU"/>
              </w:rPr>
              <w:t>2010</w:t>
            </w:r>
          </w:p>
        </w:tc>
        <w:tc>
          <w:tcPr>
            <w:tcW w:w="986" w:type="dxa"/>
            <w:tcBorders>
              <w:top w:val="nil"/>
              <w:left w:val="nil"/>
              <w:bottom w:val="nil"/>
              <w:right w:val="nil"/>
            </w:tcBorders>
            <w:shd w:val="clear" w:color="000000" w:fill="7F7F7F"/>
            <w:noWrap/>
            <w:vAlign w:val="center"/>
            <w:hideMark/>
          </w:tcPr>
          <w:p w:rsidR="00286A4F" w:rsidRPr="00286A4F" w:rsidRDefault="00286A4F" w:rsidP="00286A4F">
            <w:pPr>
              <w:jc w:val="right"/>
              <w:rPr>
                <w:rFonts w:cs="Arial"/>
                <w:b/>
                <w:bCs/>
                <w:color w:val="FFFFFF"/>
                <w:szCs w:val="18"/>
                <w:lang w:eastAsia="en-AU"/>
              </w:rPr>
            </w:pPr>
            <w:r w:rsidRPr="00286A4F">
              <w:rPr>
                <w:rFonts w:cs="Arial"/>
                <w:b/>
                <w:bCs/>
                <w:color w:val="FFFFFF"/>
                <w:szCs w:val="18"/>
                <w:lang w:eastAsia="en-AU"/>
              </w:rPr>
              <w:t>2011</w:t>
            </w:r>
          </w:p>
        </w:tc>
        <w:tc>
          <w:tcPr>
            <w:tcW w:w="986" w:type="dxa"/>
            <w:tcBorders>
              <w:top w:val="nil"/>
              <w:left w:val="nil"/>
              <w:bottom w:val="nil"/>
              <w:right w:val="nil"/>
            </w:tcBorders>
            <w:shd w:val="clear" w:color="000000" w:fill="7F7F7F"/>
            <w:noWrap/>
            <w:vAlign w:val="center"/>
            <w:hideMark/>
          </w:tcPr>
          <w:p w:rsidR="00286A4F" w:rsidRPr="00286A4F" w:rsidRDefault="00286A4F" w:rsidP="00286A4F">
            <w:pPr>
              <w:jc w:val="right"/>
              <w:rPr>
                <w:rFonts w:cs="Arial"/>
                <w:b/>
                <w:bCs/>
                <w:color w:val="FFFFFF"/>
                <w:szCs w:val="18"/>
                <w:lang w:eastAsia="en-AU"/>
              </w:rPr>
            </w:pPr>
            <w:r w:rsidRPr="00286A4F">
              <w:rPr>
                <w:rFonts w:cs="Arial"/>
                <w:b/>
                <w:bCs/>
                <w:color w:val="FFFFFF"/>
                <w:szCs w:val="18"/>
                <w:lang w:eastAsia="en-AU"/>
              </w:rPr>
              <w:t>2012</w:t>
            </w:r>
          </w:p>
        </w:tc>
        <w:tc>
          <w:tcPr>
            <w:tcW w:w="986" w:type="dxa"/>
            <w:tcBorders>
              <w:top w:val="nil"/>
              <w:left w:val="nil"/>
              <w:bottom w:val="nil"/>
              <w:right w:val="nil"/>
            </w:tcBorders>
            <w:shd w:val="clear" w:color="000000" w:fill="7F7F7F"/>
            <w:noWrap/>
            <w:vAlign w:val="center"/>
            <w:hideMark/>
          </w:tcPr>
          <w:p w:rsidR="00286A4F" w:rsidRPr="00286A4F" w:rsidRDefault="00286A4F" w:rsidP="00286A4F">
            <w:pPr>
              <w:jc w:val="right"/>
              <w:rPr>
                <w:rFonts w:cs="Arial"/>
                <w:b/>
                <w:bCs/>
                <w:color w:val="FFFFFF"/>
                <w:szCs w:val="18"/>
                <w:lang w:eastAsia="en-AU"/>
              </w:rPr>
            </w:pPr>
            <w:r w:rsidRPr="00286A4F">
              <w:rPr>
                <w:rFonts w:cs="Arial"/>
                <w:b/>
                <w:bCs/>
                <w:color w:val="FFFFFF"/>
                <w:szCs w:val="18"/>
                <w:lang w:eastAsia="en-AU"/>
              </w:rPr>
              <w:t>2013</w:t>
            </w:r>
          </w:p>
        </w:tc>
        <w:tc>
          <w:tcPr>
            <w:tcW w:w="986" w:type="dxa"/>
            <w:tcBorders>
              <w:top w:val="nil"/>
              <w:left w:val="nil"/>
              <w:bottom w:val="nil"/>
              <w:right w:val="nil"/>
            </w:tcBorders>
            <w:shd w:val="clear" w:color="000000" w:fill="7F7F7F"/>
            <w:noWrap/>
            <w:vAlign w:val="center"/>
            <w:hideMark/>
          </w:tcPr>
          <w:p w:rsidR="00286A4F" w:rsidRPr="00286A4F" w:rsidRDefault="00286A4F" w:rsidP="00286A4F">
            <w:pPr>
              <w:jc w:val="right"/>
              <w:rPr>
                <w:rFonts w:cs="Arial"/>
                <w:b/>
                <w:bCs/>
                <w:color w:val="FFFFFF"/>
                <w:szCs w:val="18"/>
                <w:lang w:eastAsia="en-AU"/>
              </w:rPr>
            </w:pPr>
            <w:r w:rsidRPr="00286A4F">
              <w:rPr>
                <w:rFonts w:cs="Arial"/>
                <w:b/>
                <w:bCs/>
                <w:color w:val="FFFFFF"/>
                <w:szCs w:val="18"/>
                <w:lang w:eastAsia="en-AU"/>
              </w:rPr>
              <w:t>2014</w:t>
            </w:r>
          </w:p>
        </w:tc>
        <w:tc>
          <w:tcPr>
            <w:tcW w:w="986" w:type="dxa"/>
            <w:tcBorders>
              <w:top w:val="nil"/>
              <w:left w:val="nil"/>
              <w:bottom w:val="nil"/>
              <w:right w:val="nil"/>
            </w:tcBorders>
            <w:shd w:val="clear" w:color="000000" w:fill="7F7F7F"/>
            <w:noWrap/>
            <w:vAlign w:val="center"/>
            <w:hideMark/>
          </w:tcPr>
          <w:p w:rsidR="00286A4F" w:rsidRPr="00286A4F" w:rsidRDefault="00286A4F" w:rsidP="00286A4F">
            <w:pPr>
              <w:jc w:val="right"/>
              <w:rPr>
                <w:rFonts w:cs="Arial"/>
                <w:b/>
                <w:bCs/>
                <w:color w:val="FFFFFF"/>
                <w:szCs w:val="18"/>
                <w:lang w:eastAsia="en-AU"/>
              </w:rPr>
            </w:pPr>
            <w:r w:rsidRPr="00286A4F">
              <w:rPr>
                <w:rFonts w:cs="Arial"/>
                <w:b/>
                <w:bCs/>
                <w:color w:val="FFFFFF"/>
                <w:szCs w:val="18"/>
                <w:lang w:eastAsia="en-AU"/>
              </w:rPr>
              <w:t>2015</w:t>
            </w:r>
          </w:p>
        </w:tc>
      </w:tr>
      <w:tr w:rsidR="00286A4F" w:rsidRPr="00286A4F" w:rsidTr="00286A4F">
        <w:trPr>
          <w:trHeight w:val="300"/>
        </w:trPr>
        <w:tc>
          <w:tcPr>
            <w:tcW w:w="2180" w:type="dxa"/>
            <w:tcBorders>
              <w:top w:val="nil"/>
              <w:left w:val="nil"/>
              <w:bottom w:val="nil"/>
              <w:right w:val="nil"/>
            </w:tcBorders>
            <w:shd w:val="clear" w:color="auto" w:fill="auto"/>
            <w:noWrap/>
            <w:vAlign w:val="center"/>
            <w:hideMark/>
          </w:tcPr>
          <w:p w:rsidR="00286A4F" w:rsidRPr="00286A4F" w:rsidRDefault="00286A4F" w:rsidP="00286A4F">
            <w:pPr>
              <w:rPr>
                <w:rFonts w:cs="Arial"/>
                <w:color w:val="7F7F7F"/>
                <w:szCs w:val="18"/>
                <w:lang w:eastAsia="en-AU"/>
              </w:rPr>
            </w:pPr>
            <w:r w:rsidRPr="00286A4F">
              <w:rPr>
                <w:rFonts w:cs="Arial"/>
                <w:color w:val="7F7F7F"/>
                <w:szCs w:val="18"/>
                <w:lang w:eastAsia="en-AU"/>
              </w:rPr>
              <w:t>Number</w:t>
            </w:r>
          </w:p>
        </w:tc>
        <w:tc>
          <w:tcPr>
            <w:tcW w:w="985" w:type="dxa"/>
            <w:tcBorders>
              <w:top w:val="nil"/>
              <w:left w:val="nil"/>
              <w:bottom w:val="nil"/>
              <w:right w:val="nil"/>
            </w:tcBorders>
            <w:shd w:val="clear" w:color="auto" w:fill="auto"/>
            <w:noWrap/>
            <w:vAlign w:val="center"/>
            <w:hideMark/>
          </w:tcPr>
          <w:p w:rsidR="00286A4F" w:rsidRPr="00286A4F" w:rsidRDefault="00286A4F" w:rsidP="00286A4F">
            <w:pPr>
              <w:jc w:val="right"/>
              <w:rPr>
                <w:rFonts w:cs="Arial"/>
                <w:color w:val="7F7F7F"/>
                <w:szCs w:val="18"/>
                <w:lang w:eastAsia="en-AU"/>
              </w:rPr>
            </w:pPr>
            <w:r w:rsidRPr="00286A4F">
              <w:rPr>
                <w:rFonts w:cs="Arial"/>
                <w:color w:val="7F7F7F"/>
                <w:szCs w:val="18"/>
                <w:lang w:eastAsia="en-AU"/>
              </w:rPr>
              <w:t>8,327</w:t>
            </w:r>
          </w:p>
        </w:tc>
        <w:tc>
          <w:tcPr>
            <w:tcW w:w="986" w:type="dxa"/>
            <w:tcBorders>
              <w:top w:val="nil"/>
              <w:left w:val="nil"/>
              <w:bottom w:val="nil"/>
              <w:right w:val="nil"/>
            </w:tcBorders>
            <w:shd w:val="clear" w:color="auto" w:fill="auto"/>
            <w:noWrap/>
            <w:vAlign w:val="center"/>
            <w:hideMark/>
          </w:tcPr>
          <w:p w:rsidR="00286A4F" w:rsidRPr="00286A4F" w:rsidRDefault="00286A4F" w:rsidP="00286A4F">
            <w:pPr>
              <w:jc w:val="right"/>
              <w:rPr>
                <w:rFonts w:cs="Arial"/>
                <w:color w:val="7F7F7F"/>
                <w:szCs w:val="18"/>
                <w:lang w:eastAsia="en-AU"/>
              </w:rPr>
            </w:pPr>
            <w:r w:rsidRPr="00286A4F">
              <w:rPr>
                <w:rFonts w:cs="Arial"/>
                <w:color w:val="7F7F7F"/>
                <w:szCs w:val="18"/>
                <w:lang w:eastAsia="en-AU"/>
              </w:rPr>
              <w:t>7,979</w:t>
            </w:r>
          </w:p>
        </w:tc>
        <w:tc>
          <w:tcPr>
            <w:tcW w:w="986" w:type="dxa"/>
            <w:tcBorders>
              <w:top w:val="nil"/>
              <w:left w:val="nil"/>
              <w:bottom w:val="nil"/>
              <w:right w:val="nil"/>
            </w:tcBorders>
            <w:shd w:val="clear" w:color="auto" w:fill="auto"/>
            <w:noWrap/>
            <w:vAlign w:val="center"/>
            <w:hideMark/>
          </w:tcPr>
          <w:p w:rsidR="00286A4F" w:rsidRPr="00286A4F" w:rsidRDefault="00286A4F" w:rsidP="00286A4F">
            <w:pPr>
              <w:jc w:val="right"/>
              <w:rPr>
                <w:rFonts w:cs="Arial"/>
                <w:color w:val="7F7F7F"/>
                <w:szCs w:val="18"/>
                <w:lang w:eastAsia="en-AU"/>
              </w:rPr>
            </w:pPr>
            <w:r w:rsidRPr="00286A4F">
              <w:rPr>
                <w:rFonts w:cs="Arial"/>
                <w:color w:val="7F7F7F"/>
                <w:szCs w:val="18"/>
                <w:lang w:eastAsia="en-AU"/>
              </w:rPr>
              <w:t>9,200</w:t>
            </w:r>
          </w:p>
        </w:tc>
        <w:tc>
          <w:tcPr>
            <w:tcW w:w="986" w:type="dxa"/>
            <w:tcBorders>
              <w:top w:val="nil"/>
              <w:left w:val="nil"/>
              <w:bottom w:val="nil"/>
              <w:right w:val="nil"/>
            </w:tcBorders>
            <w:shd w:val="clear" w:color="auto" w:fill="auto"/>
            <w:noWrap/>
            <w:vAlign w:val="center"/>
            <w:hideMark/>
          </w:tcPr>
          <w:p w:rsidR="00286A4F" w:rsidRPr="00286A4F" w:rsidRDefault="00286A4F" w:rsidP="00286A4F">
            <w:pPr>
              <w:jc w:val="right"/>
              <w:rPr>
                <w:rFonts w:cs="Arial"/>
                <w:color w:val="7F7F7F"/>
                <w:szCs w:val="18"/>
                <w:lang w:eastAsia="en-AU"/>
              </w:rPr>
            </w:pPr>
            <w:r w:rsidRPr="00286A4F">
              <w:rPr>
                <w:rFonts w:cs="Arial"/>
                <w:color w:val="7F7F7F"/>
                <w:szCs w:val="18"/>
                <w:lang w:eastAsia="en-AU"/>
              </w:rPr>
              <w:t>5,758</w:t>
            </w:r>
          </w:p>
        </w:tc>
        <w:tc>
          <w:tcPr>
            <w:tcW w:w="986" w:type="dxa"/>
            <w:tcBorders>
              <w:top w:val="nil"/>
              <w:left w:val="nil"/>
              <w:bottom w:val="nil"/>
              <w:right w:val="nil"/>
            </w:tcBorders>
            <w:shd w:val="clear" w:color="auto" w:fill="auto"/>
            <w:noWrap/>
            <w:vAlign w:val="center"/>
            <w:hideMark/>
          </w:tcPr>
          <w:p w:rsidR="00286A4F" w:rsidRPr="00286A4F" w:rsidRDefault="00286A4F" w:rsidP="00286A4F">
            <w:pPr>
              <w:jc w:val="right"/>
              <w:rPr>
                <w:rFonts w:cs="Arial"/>
                <w:color w:val="7F7F7F"/>
                <w:szCs w:val="18"/>
                <w:lang w:eastAsia="en-AU"/>
              </w:rPr>
            </w:pPr>
            <w:r w:rsidRPr="00286A4F">
              <w:rPr>
                <w:rFonts w:cs="Arial"/>
                <w:color w:val="7F7F7F"/>
                <w:szCs w:val="18"/>
                <w:lang w:eastAsia="en-AU"/>
              </w:rPr>
              <w:t>4,834</w:t>
            </w:r>
          </w:p>
        </w:tc>
        <w:tc>
          <w:tcPr>
            <w:tcW w:w="986" w:type="dxa"/>
            <w:tcBorders>
              <w:top w:val="nil"/>
              <w:left w:val="nil"/>
              <w:bottom w:val="nil"/>
              <w:right w:val="nil"/>
            </w:tcBorders>
            <w:shd w:val="clear" w:color="auto" w:fill="auto"/>
            <w:noWrap/>
            <w:vAlign w:val="center"/>
            <w:hideMark/>
          </w:tcPr>
          <w:p w:rsidR="00286A4F" w:rsidRPr="00286A4F" w:rsidRDefault="00286A4F" w:rsidP="00286A4F">
            <w:pPr>
              <w:jc w:val="right"/>
              <w:rPr>
                <w:rFonts w:cs="Arial"/>
                <w:color w:val="7F7F7F"/>
                <w:szCs w:val="18"/>
                <w:lang w:eastAsia="en-AU"/>
              </w:rPr>
            </w:pPr>
            <w:r w:rsidRPr="00286A4F">
              <w:rPr>
                <w:rFonts w:cs="Arial"/>
                <w:color w:val="7F7F7F"/>
                <w:szCs w:val="18"/>
                <w:lang w:eastAsia="en-AU"/>
              </w:rPr>
              <w:t>3,117</w:t>
            </w:r>
          </w:p>
        </w:tc>
      </w:tr>
      <w:tr w:rsidR="00286A4F" w:rsidRPr="00286A4F" w:rsidTr="00286A4F">
        <w:trPr>
          <w:trHeight w:val="315"/>
        </w:trPr>
        <w:tc>
          <w:tcPr>
            <w:tcW w:w="2180" w:type="dxa"/>
            <w:tcBorders>
              <w:top w:val="nil"/>
              <w:left w:val="nil"/>
              <w:bottom w:val="single" w:sz="12" w:space="0" w:color="7F7F7F"/>
              <w:right w:val="nil"/>
            </w:tcBorders>
            <w:shd w:val="clear" w:color="auto" w:fill="auto"/>
            <w:noWrap/>
            <w:vAlign w:val="center"/>
            <w:hideMark/>
          </w:tcPr>
          <w:p w:rsidR="00286A4F" w:rsidRPr="00286A4F" w:rsidRDefault="00286A4F" w:rsidP="00286A4F">
            <w:pPr>
              <w:rPr>
                <w:rFonts w:cs="Arial"/>
                <w:color w:val="7F7F7F"/>
                <w:szCs w:val="18"/>
                <w:lang w:eastAsia="en-AU"/>
              </w:rPr>
            </w:pPr>
            <w:r w:rsidRPr="00286A4F">
              <w:rPr>
                <w:rFonts w:cs="Arial"/>
                <w:color w:val="7F7F7F"/>
                <w:szCs w:val="18"/>
                <w:lang w:eastAsia="en-AU"/>
              </w:rPr>
              <w:t>TAFE share</w:t>
            </w:r>
          </w:p>
        </w:tc>
        <w:tc>
          <w:tcPr>
            <w:tcW w:w="985" w:type="dxa"/>
            <w:tcBorders>
              <w:top w:val="nil"/>
              <w:left w:val="nil"/>
              <w:bottom w:val="single" w:sz="12" w:space="0" w:color="7F7F7F"/>
              <w:right w:val="nil"/>
            </w:tcBorders>
            <w:shd w:val="clear" w:color="auto" w:fill="auto"/>
            <w:noWrap/>
            <w:vAlign w:val="center"/>
            <w:hideMark/>
          </w:tcPr>
          <w:p w:rsidR="00286A4F" w:rsidRPr="00286A4F" w:rsidRDefault="00286A4F" w:rsidP="00286A4F">
            <w:pPr>
              <w:jc w:val="right"/>
              <w:rPr>
                <w:rFonts w:cs="Arial"/>
                <w:color w:val="7F7F7F"/>
                <w:szCs w:val="18"/>
                <w:lang w:eastAsia="en-AU"/>
              </w:rPr>
            </w:pPr>
            <w:r w:rsidRPr="00286A4F">
              <w:rPr>
                <w:rFonts w:cs="Arial"/>
                <w:color w:val="7F7F7F"/>
                <w:szCs w:val="18"/>
                <w:lang w:eastAsia="en-AU"/>
              </w:rPr>
              <w:t>24%</w:t>
            </w:r>
          </w:p>
        </w:tc>
        <w:tc>
          <w:tcPr>
            <w:tcW w:w="986" w:type="dxa"/>
            <w:tcBorders>
              <w:top w:val="nil"/>
              <w:left w:val="nil"/>
              <w:bottom w:val="single" w:sz="12" w:space="0" w:color="7F7F7F"/>
              <w:right w:val="nil"/>
            </w:tcBorders>
            <w:shd w:val="clear" w:color="auto" w:fill="auto"/>
            <w:noWrap/>
            <w:vAlign w:val="center"/>
            <w:hideMark/>
          </w:tcPr>
          <w:p w:rsidR="00286A4F" w:rsidRPr="00286A4F" w:rsidRDefault="00286A4F" w:rsidP="00286A4F">
            <w:pPr>
              <w:jc w:val="right"/>
              <w:rPr>
                <w:rFonts w:cs="Arial"/>
                <w:color w:val="7F7F7F"/>
                <w:szCs w:val="18"/>
                <w:lang w:eastAsia="en-AU"/>
              </w:rPr>
            </w:pPr>
            <w:r w:rsidRPr="00286A4F">
              <w:rPr>
                <w:rFonts w:cs="Arial"/>
                <w:color w:val="7F7F7F"/>
                <w:szCs w:val="18"/>
                <w:lang w:eastAsia="en-AU"/>
              </w:rPr>
              <w:t>17%</w:t>
            </w:r>
          </w:p>
        </w:tc>
        <w:tc>
          <w:tcPr>
            <w:tcW w:w="986" w:type="dxa"/>
            <w:tcBorders>
              <w:top w:val="nil"/>
              <w:left w:val="nil"/>
              <w:bottom w:val="single" w:sz="12" w:space="0" w:color="7F7F7F"/>
              <w:right w:val="nil"/>
            </w:tcBorders>
            <w:shd w:val="clear" w:color="auto" w:fill="auto"/>
            <w:noWrap/>
            <w:vAlign w:val="center"/>
            <w:hideMark/>
          </w:tcPr>
          <w:p w:rsidR="00286A4F" w:rsidRPr="00286A4F" w:rsidRDefault="00286A4F" w:rsidP="00286A4F">
            <w:pPr>
              <w:jc w:val="right"/>
              <w:rPr>
                <w:rFonts w:cs="Arial"/>
                <w:color w:val="7F7F7F"/>
                <w:szCs w:val="18"/>
                <w:lang w:eastAsia="en-AU"/>
              </w:rPr>
            </w:pPr>
            <w:r w:rsidRPr="00286A4F">
              <w:rPr>
                <w:rFonts w:cs="Arial"/>
                <w:color w:val="7F7F7F"/>
                <w:szCs w:val="18"/>
                <w:lang w:eastAsia="en-AU"/>
              </w:rPr>
              <w:t>14%</w:t>
            </w:r>
          </w:p>
        </w:tc>
        <w:tc>
          <w:tcPr>
            <w:tcW w:w="986" w:type="dxa"/>
            <w:tcBorders>
              <w:top w:val="nil"/>
              <w:left w:val="nil"/>
              <w:bottom w:val="single" w:sz="12" w:space="0" w:color="7F7F7F"/>
              <w:right w:val="nil"/>
            </w:tcBorders>
            <w:shd w:val="clear" w:color="auto" w:fill="auto"/>
            <w:noWrap/>
            <w:vAlign w:val="center"/>
            <w:hideMark/>
          </w:tcPr>
          <w:p w:rsidR="00286A4F" w:rsidRPr="00286A4F" w:rsidRDefault="00286A4F" w:rsidP="00286A4F">
            <w:pPr>
              <w:jc w:val="right"/>
              <w:rPr>
                <w:rFonts w:cs="Arial"/>
                <w:color w:val="7F7F7F"/>
                <w:szCs w:val="18"/>
                <w:lang w:eastAsia="en-AU"/>
              </w:rPr>
            </w:pPr>
            <w:r w:rsidRPr="00286A4F">
              <w:rPr>
                <w:rFonts w:cs="Arial"/>
                <w:color w:val="7F7F7F"/>
                <w:szCs w:val="18"/>
                <w:lang w:eastAsia="en-AU"/>
              </w:rPr>
              <w:t>14%</w:t>
            </w:r>
          </w:p>
        </w:tc>
        <w:tc>
          <w:tcPr>
            <w:tcW w:w="986" w:type="dxa"/>
            <w:tcBorders>
              <w:top w:val="nil"/>
              <w:left w:val="nil"/>
              <w:bottom w:val="single" w:sz="12" w:space="0" w:color="7F7F7F"/>
              <w:right w:val="nil"/>
            </w:tcBorders>
            <w:shd w:val="clear" w:color="auto" w:fill="auto"/>
            <w:noWrap/>
            <w:vAlign w:val="center"/>
            <w:hideMark/>
          </w:tcPr>
          <w:p w:rsidR="00286A4F" w:rsidRPr="00286A4F" w:rsidRDefault="00286A4F" w:rsidP="00286A4F">
            <w:pPr>
              <w:jc w:val="right"/>
              <w:rPr>
                <w:rFonts w:cs="Arial"/>
                <w:color w:val="7F7F7F"/>
                <w:szCs w:val="18"/>
                <w:lang w:eastAsia="en-AU"/>
              </w:rPr>
            </w:pPr>
            <w:r w:rsidRPr="00286A4F">
              <w:rPr>
                <w:rFonts w:cs="Arial"/>
                <w:color w:val="7F7F7F"/>
                <w:szCs w:val="18"/>
                <w:lang w:eastAsia="en-AU"/>
              </w:rPr>
              <w:t>16%</w:t>
            </w:r>
          </w:p>
        </w:tc>
        <w:tc>
          <w:tcPr>
            <w:tcW w:w="986" w:type="dxa"/>
            <w:tcBorders>
              <w:top w:val="nil"/>
              <w:left w:val="nil"/>
              <w:bottom w:val="single" w:sz="12" w:space="0" w:color="7F7F7F"/>
              <w:right w:val="nil"/>
            </w:tcBorders>
            <w:shd w:val="clear" w:color="auto" w:fill="auto"/>
            <w:noWrap/>
            <w:vAlign w:val="center"/>
            <w:hideMark/>
          </w:tcPr>
          <w:p w:rsidR="00286A4F" w:rsidRPr="00286A4F" w:rsidRDefault="00286A4F" w:rsidP="00286A4F">
            <w:pPr>
              <w:jc w:val="right"/>
              <w:rPr>
                <w:rFonts w:cs="Arial"/>
                <w:color w:val="7F7F7F"/>
                <w:szCs w:val="18"/>
                <w:lang w:eastAsia="en-AU"/>
              </w:rPr>
            </w:pPr>
            <w:r w:rsidRPr="00286A4F">
              <w:rPr>
                <w:rFonts w:cs="Arial"/>
                <w:color w:val="7F7F7F"/>
                <w:szCs w:val="18"/>
                <w:lang w:eastAsia="en-AU"/>
              </w:rPr>
              <w:t>15%</w:t>
            </w:r>
          </w:p>
        </w:tc>
      </w:tr>
    </w:tbl>
    <w:p w:rsidR="007F2599" w:rsidRPr="00DF10D2" w:rsidRDefault="007F2599">
      <w:pPr>
        <w:rPr>
          <w:color w:val="7F7F7F" w:themeColor="text2"/>
          <w:szCs w:val="18"/>
        </w:rPr>
      </w:pPr>
    </w:p>
    <w:p w:rsidR="00662929" w:rsidRPr="00365EB2" w:rsidRDefault="00662929" w:rsidP="008038B4"/>
    <w:p w:rsidR="00152B75" w:rsidRPr="00DE7971" w:rsidRDefault="00B55785" w:rsidP="00286A4F">
      <w:pPr>
        <w:pStyle w:val="Heading3"/>
        <w:spacing w:before="120" w:after="240"/>
        <w:rPr>
          <w:color w:val="7F7F7F" w:themeColor="text2"/>
        </w:rPr>
      </w:pPr>
      <w:r w:rsidRPr="00DE7971">
        <w:rPr>
          <w:color w:val="7F7F7F" w:themeColor="text2"/>
        </w:rPr>
        <w:t>TAFE Government S</w:t>
      </w:r>
      <w:r w:rsidR="00152B75" w:rsidRPr="00DE7971">
        <w:rPr>
          <w:color w:val="7F7F7F" w:themeColor="text2"/>
        </w:rPr>
        <w:t xml:space="preserve">ubsidised </w:t>
      </w:r>
      <w:r w:rsidRPr="00DE7971">
        <w:rPr>
          <w:color w:val="7F7F7F" w:themeColor="text2"/>
        </w:rPr>
        <w:t>T</w:t>
      </w:r>
      <w:r w:rsidR="00152B75" w:rsidRPr="00DE7971">
        <w:rPr>
          <w:color w:val="7F7F7F" w:themeColor="text2"/>
        </w:rPr>
        <w:t>raining</w:t>
      </w:r>
      <w:r w:rsidRPr="00DE7971">
        <w:rPr>
          <w:color w:val="7F7F7F" w:themeColor="text2"/>
        </w:rPr>
        <w:t xml:space="preserve"> – Learners F</w:t>
      </w:r>
      <w:r w:rsidR="00152B75" w:rsidRPr="00DE7971">
        <w:rPr>
          <w:color w:val="7F7F7F" w:themeColor="text2"/>
        </w:rPr>
        <w:t xml:space="preserve">acing </w:t>
      </w:r>
      <w:r w:rsidRPr="00DE7971">
        <w:rPr>
          <w:color w:val="7F7F7F" w:themeColor="text2"/>
        </w:rPr>
        <w:t>B</w:t>
      </w:r>
      <w:r w:rsidR="00152B75" w:rsidRPr="00DE7971">
        <w:rPr>
          <w:color w:val="7F7F7F" w:themeColor="text2"/>
        </w:rPr>
        <w:t>arriers</w:t>
      </w:r>
    </w:p>
    <w:p w:rsidR="00152B75" w:rsidRPr="00365EB2" w:rsidRDefault="00152B75" w:rsidP="00286A4F">
      <w:pPr>
        <w:pStyle w:val="Quote"/>
        <w:pBdr>
          <w:top w:val="single" w:sz="4" w:space="1" w:color="7F7F7F" w:themeColor="text2"/>
          <w:left w:val="single" w:sz="4" w:space="4" w:color="7F7F7F" w:themeColor="text2"/>
          <w:bottom w:val="single" w:sz="4" w:space="1" w:color="7F7F7F" w:themeColor="text2"/>
          <w:right w:val="single" w:sz="4" w:space="4" w:color="7F7F7F" w:themeColor="text2"/>
        </w:pBdr>
        <w:spacing w:before="120" w:after="120"/>
      </w:pPr>
      <w:r w:rsidRPr="00BB466D">
        <w:t>Key points</w:t>
      </w:r>
    </w:p>
    <w:p w:rsidR="00152B75" w:rsidRPr="002F6569" w:rsidRDefault="00CE7C1D" w:rsidP="00F73273">
      <w:pPr>
        <w:pStyle w:val="ListParagraph"/>
        <w:numPr>
          <w:ilvl w:val="0"/>
          <w:numId w:val="18"/>
        </w:numPr>
        <w:pBdr>
          <w:top w:val="single" w:sz="4" w:space="1" w:color="7F7F7F" w:themeColor="text2"/>
          <w:left w:val="single" w:sz="4" w:space="4" w:color="7F7F7F" w:themeColor="text2"/>
          <w:bottom w:val="single" w:sz="4" w:space="1" w:color="7F7F7F" w:themeColor="text2"/>
          <w:right w:val="single" w:sz="4" w:space="4" w:color="7F7F7F" w:themeColor="text2"/>
        </w:pBdr>
        <w:spacing w:before="120" w:after="120"/>
        <w:ind w:left="426" w:hanging="426"/>
        <w:contextualSpacing w:val="0"/>
        <w:rPr>
          <w:color w:val="7F7F7F" w:themeColor="text2"/>
        </w:rPr>
      </w:pPr>
      <w:r w:rsidRPr="002F6569">
        <w:rPr>
          <w:color w:val="7F7F7F" w:themeColor="text2"/>
        </w:rPr>
        <w:t>In 201</w:t>
      </w:r>
      <w:r w:rsidR="00211756" w:rsidRPr="002F6569">
        <w:rPr>
          <w:color w:val="7F7F7F" w:themeColor="text2"/>
        </w:rPr>
        <w:t xml:space="preserve">5 (half year) </w:t>
      </w:r>
      <w:r w:rsidRPr="002F6569">
        <w:rPr>
          <w:color w:val="7F7F7F" w:themeColor="text2"/>
        </w:rPr>
        <w:t xml:space="preserve">there were </w:t>
      </w:r>
      <w:r w:rsidR="00211756" w:rsidRPr="002F6569">
        <w:rPr>
          <w:color w:val="7F7F7F" w:themeColor="text2"/>
        </w:rPr>
        <w:t>1</w:t>
      </w:r>
      <w:r w:rsidRPr="002F6569">
        <w:rPr>
          <w:color w:val="7F7F7F" w:themeColor="text2"/>
        </w:rPr>
        <w:t>,</w:t>
      </w:r>
      <w:r w:rsidR="00211756" w:rsidRPr="002F6569">
        <w:rPr>
          <w:color w:val="7F7F7F" w:themeColor="text2"/>
        </w:rPr>
        <w:t>266</w:t>
      </w:r>
      <w:r w:rsidRPr="002F6569">
        <w:rPr>
          <w:color w:val="7F7F7F" w:themeColor="text2"/>
        </w:rPr>
        <w:t xml:space="preserve"> Indigenous students enrolled in government subsidised training at TAFEs. This represented </w:t>
      </w:r>
      <w:r w:rsidR="003539EE" w:rsidRPr="002F6569">
        <w:rPr>
          <w:color w:val="7F7F7F" w:themeColor="text2"/>
        </w:rPr>
        <w:t xml:space="preserve">a </w:t>
      </w:r>
      <w:r w:rsidRPr="002F6569">
        <w:rPr>
          <w:color w:val="7F7F7F" w:themeColor="text2"/>
        </w:rPr>
        <w:t>3</w:t>
      </w:r>
      <w:r w:rsidR="00211756" w:rsidRPr="002F6569">
        <w:rPr>
          <w:color w:val="7F7F7F" w:themeColor="text2"/>
        </w:rPr>
        <w:t>2</w:t>
      </w:r>
      <w:r w:rsidRPr="002F6569">
        <w:rPr>
          <w:color w:val="7F7F7F" w:themeColor="text2"/>
        </w:rPr>
        <w:t xml:space="preserve"> per cent </w:t>
      </w:r>
      <w:r w:rsidR="003539EE" w:rsidRPr="002F6569">
        <w:rPr>
          <w:color w:val="7F7F7F" w:themeColor="text2"/>
        </w:rPr>
        <w:t xml:space="preserve">share </w:t>
      </w:r>
      <w:r w:rsidRPr="002F6569">
        <w:rPr>
          <w:color w:val="7F7F7F" w:themeColor="text2"/>
        </w:rPr>
        <w:t xml:space="preserve">of all Indigenous students in </w:t>
      </w:r>
      <w:proofErr w:type="gramStart"/>
      <w:r w:rsidRPr="002F6569">
        <w:rPr>
          <w:color w:val="7F7F7F" w:themeColor="text2"/>
        </w:rPr>
        <w:t>government subsidised</w:t>
      </w:r>
      <w:proofErr w:type="gramEnd"/>
      <w:r w:rsidRPr="002F6569">
        <w:rPr>
          <w:color w:val="7F7F7F" w:themeColor="text2"/>
        </w:rPr>
        <w:t xml:space="preserve"> training</w:t>
      </w:r>
      <w:r w:rsidR="001C6009" w:rsidRPr="002F6569">
        <w:rPr>
          <w:color w:val="7F7F7F" w:themeColor="text2"/>
        </w:rPr>
        <w:t xml:space="preserve"> across all sectors</w:t>
      </w:r>
      <w:r w:rsidRPr="002F6569">
        <w:rPr>
          <w:color w:val="7F7F7F" w:themeColor="text2"/>
        </w:rPr>
        <w:t>.</w:t>
      </w:r>
    </w:p>
    <w:p w:rsidR="00CE7C1D" w:rsidRPr="002F6569" w:rsidRDefault="003539EE" w:rsidP="00F73273">
      <w:pPr>
        <w:pStyle w:val="ListParagraph"/>
        <w:numPr>
          <w:ilvl w:val="0"/>
          <w:numId w:val="18"/>
        </w:numPr>
        <w:pBdr>
          <w:top w:val="single" w:sz="4" w:space="1" w:color="7F7F7F" w:themeColor="text2"/>
          <w:left w:val="single" w:sz="4" w:space="4" w:color="7F7F7F" w:themeColor="text2"/>
          <w:bottom w:val="single" w:sz="4" w:space="1" w:color="7F7F7F" w:themeColor="text2"/>
          <w:right w:val="single" w:sz="4" w:space="4" w:color="7F7F7F" w:themeColor="text2"/>
        </w:pBdr>
        <w:spacing w:before="120" w:after="120"/>
        <w:ind w:left="426" w:hanging="426"/>
        <w:contextualSpacing w:val="0"/>
        <w:rPr>
          <w:color w:val="7F7F7F" w:themeColor="text2"/>
        </w:rPr>
      </w:pPr>
      <w:r w:rsidRPr="002F6569">
        <w:rPr>
          <w:color w:val="7F7F7F" w:themeColor="text2"/>
        </w:rPr>
        <w:t>In 201</w:t>
      </w:r>
      <w:r w:rsidR="00211756" w:rsidRPr="002F6569">
        <w:rPr>
          <w:color w:val="7F7F7F" w:themeColor="text2"/>
        </w:rPr>
        <w:t>5 (half year)</w:t>
      </w:r>
      <w:r w:rsidRPr="002F6569">
        <w:rPr>
          <w:color w:val="7F7F7F" w:themeColor="text2"/>
        </w:rPr>
        <w:t xml:space="preserve"> there were </w:t>
      </w:r>
      <w:r w:rsidR="00211756" w:rsidRPr="002F6569">
        <w:rPr>
          <w:color w:val="7F7F7F" w:themeColor="text2"/>
        </w:rPr>
        <w:t>13</w:t>
      </w:r>
      <w:r w:rsidRPr="002F6569">
        <w:rPr>
          <w:color w:val="7F7F7F" w:themeColor="text2"/>
        </w:rPr>
        <w:t>,</w:t>
      </w:r>
      <w:r w:rsidR="00211756" w:rsidRPr="002F6569">
        <w:rPr>
          <w:color w:val="7F7F7F" w:themeColor="text2"/>
        </w:rPr>
        <w:t>771</w:t>
      </w:r>
      <w:r w:rsidRPr="002F6569">
        <w:rPr>
          <w:color w:val="7F7F7F" w:themeColor="text2"/>
        </w:rPr>
        <w:t xml:space="preserve"> unemployed students enrolled in government subsidised training </w:t>
      </w:r>
      <w:r w:rsidR="007E03F8">
        <w:rPr>
          <w:color w:val="7F7F7F" w:themeColor="text2"/>
        </w:rPr>
        <w:t>at</w:t>
      </w:r>
      <w:r w:rsidRPr="002F6569">
        <w:rPr>
          <w:color w:val="7F7F7F" w:themeColor="text2"/>
        </w:rPr>
        <w:t xml:space="preserve"> TAFE. This represented a 1</w:t>
      </w:r>
      <w:r w:rsidR="00211756" w:rsidRPr="002F6569">
        <w:rPr>
          <w:color w:val="7F7F7F" w:themeColor="text2"/>
        </w:rPr>
        <w:t>7</w:t>
      </w:r>
      <w:r w:rsidRPr="002F6569">
        <w:rPr>
          <w:color w:val="7F7F7F" w:themeColor="text2"/>
        </w:rPr>
        <w:t xml:space="preserve"> per cent share of all unemployed students in </w:t>
      </w:r>
      <w:proofErr w:type="gramStart"/>
      <w:r w:rsidRPr="002F6569">
        <w:rPr>
          <w:color w:val="7F7F7F" w:themeColor="text2"/>
        </w:rPr>
        <w:t>government subsidised</w:t>
      </w:r>
      <w:proofErr w:type="gramEnd"/>
      <w:r w:rsidRPr="002F6569">
        <w:rPr>
          <w:color w:val="7F7F7F" w:themeColor="text2"/>
        </w:rPr>
        <w:t xml:space="preserve"> training</w:t>
      </w:r>
      <w:r w:rsidR="00211756" w:rsidRPr="002F6569">
        <w:rPr>
          <w:color w:val="7F7F7F" w:themeColor="text2"/>
        </w:rPr>
        <w:t xml:space="preserve"> across all sectors</w:t>
      </w:r>
      <w:r w:rsidRPr="002F6569">
        <w:rPr>
          <w:color w:val="7F7F7F" w:themeColor="text2"/>
        </w:rPr>
        <w:t>.</w:t>
      </w:r>
    </w:p>
    <w:p w:rsidR="00A921B5" w:rsidRPr="002F6569" w:rsidRDefault="00A921B5" w:rsidP="00F73273">
      <w:pPr>
        <w:pStyle w:val="ListParagraph"/>
        <w:numPr>
          <w:ilvl w:val="0"/>
          <w:numId w:val="18"/>
        </w:numPr>
        <w:pBdr>
          <w:top w:val="single" w:sz="4" w:space="1" w:color="7F7F7F" w:themeColor="text2"/>
          <w:left w:val="single" w:sz="4" w:space="4" w:color="7F7F7F" w:themeColor="text2"/>
          <w:bottom w:val="single" w:sz="4" w:space="1" w:color="7F7F7F" w:themeColor="text2"/>
          <w:right w:val="single" w:sz="4" w:space="4" w:color="7F7F7F" w:themeColor="text2"/>
        </w:pBdr>
        <w:spacing w:before="120" w:after="120"/>
        <w:ind w:left="426" w:hanging="426"/>
        <w:contextualSpacing w:val="0"/>
        <w:rPr>
          <w:color w:val="7F7F7F" w:themeColor="text2"/>
        </w:rPr>
      </w:pPr>
      <w:r w:rsidRPr="002F6569">
        <w:rPr>
          <w:color w:val="7F7F7F" w:themeColor="text2"/>
        </w:rPr>
        <w:t>In 201</w:t>
      </w:r>
      <w:r w:rsidR="00211756" w:rsidRPr="002F6569">
        <w:rPr>
          <w:color w:val="7F7F7F" w:themeColor="text2"/>
        </w:rPr>
        <w:t>5 (half year)</w:t>
      </w:r>
      <w:r w:rsidRPr="002F6569">
        <w:rPr>
          <w:color w:val="7F7F7F" w:themeColor="text2"/>
        </w:rPr>
        <w:t xml:space="preserve"> there were </w:t>
      </w:r>
      <w:r w:rsidR="00211756" w:rsidRPr="002F6569">
        <w:rPr>
          <w:color w:val="7F7F7F" w:themeColor="text2"/>
        </w:rPr>
        <w:t>5</w:t>
      </w:r>
      <w:r w:rsidR="00076819" w:rsidRPr="002F6569">
        <w:rPr>
          <w:color w:val="7F7F7F" w:themeColor="text2"/>
        </w:rPr>
        <w:t>,</w:t>
      </w:r>
      <w:r w:rsidR="00211756" w:rsidRPr="002F6569">
        <w:rPr>
          <w:color w:val="7F7F7F" w:themeColor="text2"/>
        </w:rPr>
        <w:t>880</w:t>
      </w:r>
      <w:r w:rsidR="00076819" w:rsidRPr="002F6569">
        <w:rPr>
          <w:color w:val="7F7F7F" w:themeColor="text2"/>
        </w:rPr>
        <w:t xml:space="preserve"> student with a disability enrolled in government subsidised training at TAFEs. This represented a </w:t>
      </w:r>
      <w:r w:rsidR="00211756" w:rsidRPr="002F6569">
        <w:rPr>
          <w:color w:val="7F7F7F" w:themeColor="text2"/>
        </w:rPr>
        <w:t>22</w:t>
      </w:r>
      <w:r w:rsidR="00076819" w:rsidRPr="002F6569">
        <w:rPr>
          <w:color w:val="7F7F7F" w:themeColor="text2"/>
        </w:rPr>
        <w:t xml:space="preserve"> per cent share of all disabled students in </w:t>
      </w:r>
      <w:proofErr w:type="gramStart"/>
      <w:r w:rsidR="00076819" w:rsidRPr="002F6569">
        <w:rPr>
          <w:color w:val="7F7F7F" w:themeColor="text2"/>
        </w:rPr>
        <w:t>government subsidised</w:t>
      </w:r>
      <w:proofErr w:type="gramEnd"/>
      <w:r w:rsidR="00076819" w:rsidRPr="002F6569">
        <w:rPr>
          <w:color w:val="7F7F7F" w:themeColor="text2"/>
        </w:rPr>
        <w:t xml:space="preserve"> training</w:t>
      </w:r>
      <w:r w:rsidR="00211756" w:rsidRPr="002F6569">
        <w:rPr>
          <w:color w:val="7F7F7F" w:themeColor="text2"/>
        </w:rPr>
        <w:t xml:space="preserve"> across all sectors</w:t>
      </w:r>
      <w:r w:rsidR="00076819" w:rsidRPr="002F6569">
        <w:rPr>
          <w:color w:val="7F7F7F" w:themeColor="text2"/>
        </w:rPr>
        <w:t>.</w:t>
      </w:r>
    </w:p>
    <w:p w:rsidR="00722DE1" w:rsidRPr="002F6569" w:rsidRDefault="00722DE1" w:rsidP="00F73273">
      <w:pPr>
        <w:pStyle w:val="ListParagraph"/>
        <w:numPr>
          <w:ilvl w:val="0"/>
          <w:numId w:val="18"/>
        </w:numPr>
        <w:pBdr>
          <w:top w:val="single" w:sz="4" w:space="1" w:color="7F7F7F" w:themeColor="text2"/>
          <w:left w:val="single" w:sz="4" w:space="4" w:color="7F7F7F" w:themeColor="text2"/>
          <w:bottom w:val="single" w:sz="4" w:space="1" w:color="7F7F7F" w:themeColor="text2"/>
          <w:right w:val="single" w:sz="4" w:space="4" w:color="7F7F7F" w:themeColor="text2"/>
        </w:pBdr>
        <w:spacing w:before="120" w:after="120"/>
        <w:ind w:left="426" w:hanging="426"/>
        <w:contextualSpacing w:val="0"/>
        <w:rPr>
          <w:color w:val="7F7F7F" w:themeColor="text2"/>
        </w:rPr>
      </w:pPr>
      <w:r w:rsidRPr="002F6569">
        <w:rPr>
          <w:color w:val="7F7F7F" w:themeColor="text2"/>
        </w:rPr>
        <w:t>In 201</w:t>
      </w:r>
      <w:r w:rsidR="00211756" w:rsidRPr="002F6569">
        <w:rPr>
          <w:color w:val="7F7F7F" w:themeColor="text2"/>
        </w:rPr>
        <w:t>5 (half year)</w:t>
      </w:r>
      <w:r w:rsidRPr="002F6569">
        <w:rPr>
          <w:color w:val="7F7F7F" w:themeColor="text2"/>
        </w:rPr>
        <w:t xml:space="preserve"> there were </w:t>
      </w:r>
      <w:r w:rsidR="002C0359" w:rsidRPr="002F6569">
        <w:rPr>
          <w:color w:val="7F7F7F" w:themeColor="text2"/>
        </w:rPr>
        <w:t>1</w:t>
      </w:r>
      <w:r w:rsidR="00211756" w:rsidRPr="002F6569">
        <w:rPr>
          <w:color w:val="7F7F7F" w:themeColor="text2"/>
        </w:rPr>
        <w:t>2</w:t>
      </w:r>
      <w:r w:rsidR="002C0359" w:rsidRPr="002F6569">
        <w:rPr>
          <w:color w:val="7F7F7F" w:themeColor="text2"/>
        </w:rPr>
        <w:t>,</w:t>
      </w:r>
      <w:r w:rsidR="00211756" w:rsidRPr="002F6569">
        <w:rPr>
          <w:color w:val="7F7F7F" w:themeColor="text2"/>
        </w:rPr>
        <w:t>689</w:t>
      </w:r>
      <w:r w:rsidRPr="002F6569">
        <w:rPr>
          <w:color w:val="7F7F7F" w:themeColor="text2"/>
        </w:rPr>
        <w:t xml:space="preserve"> students from a culturally and linguistically diverse background (CALD) enrolled in government subsidised training</w:t>
      </w:r>
      <w:r w:rsidR="002C0359" w:rsidRPr="002F6569">
        <w:rPr>
          <w:color w:val="7F7F7F" w:themeColor="text2"/>
        </w:rPr>
        <w:t xml:space="preserve"> at TAFEs. This represented a 14</w:t>
      </w:r>
      <w:r w:rsidRPr="002F6569">
        <w:rPr>
          <w:color w:val="7F7F7F" w:themeColor="text2"/>
        </w:rPr>
        <w:t xml:space="preserve"> per cent share of all CALD students in </w:t>
      </w:r>
      <w:proofErr w:type="gramStart"/>
      <w:r w:rsidRPr="002F6569">
        <w:rPr>
          <w:color w:val="7F7F7F" w:themeColor="text2"/>
        </w:rPr>
        <w:t>government subsidised</w:t>
      </w:r>
      <w:proofErr w:type="gramEnd"/>
      <w:r w:rsidRPr="002F6569">
        <w:rPr>
          <w:color w:val="7F7F7F" w:themeColor="text2"/>
        </w:rPr>
        <w:t xml:space="preserve"> training</w:t>
      </w:r>
      <w:r w:rsidR="00211756" w:rsidRPr="002F6569">
        <w:rPr>
          <w:color w:val="7F7F7F" w:themeColor="text2"/>
        </w:rPr>
        <w:t xml:space="preserve"> across all sectors</w:t>
      </w:r>
      <w:r w:rsidRPr="002F6569">
        <w:rPr>
          <w:color w:val="7F7F7F" w:themeColor="text2"/>
        </w:rPr>
        <w:t>.</w:t>
      </w:r>
    </w:p>
    <w:p w:rsidR="00722DE1" w:rsidRPr="002F6569" w:rsidRDefault="00722DE1" w:rsidP="00F73273">
      <w:pPr>
        <w:pStyle w:val="ListParagraph"/>
        <w:numPr>
          <w:ilvl w:val="0"/>
          <w:numId w:val="18"/>
        </w:numPr>
        <w:pBdr>
          <w:top w:val="single" w:sz="4" w:space="1" w:color="7F7F7F" w:themeColor="text2"/>
          <w:left w:val="single" w:sz="4" w:space="4" w:color="7F7F7F" w:themeColor="text2"/>
          <w:bottom w:val="single" w:sz="4" w:space="1" w:color="7F7F7F" w:themeColor="text2"/>
          <w:right w:val="single" w:sz="4" w:space="4" w:color="7F7F7F" w:themeColor="text2"/>
        </w:pBdr>
        <w:spacing w:before="120" w:after="120"/>
        <w:ind w:left="426" w:hanging="426"/>
        <w:contextualSpacing w:val="0"/>
        <w:rPr>
          <w:color w:val="7F7F7F" w:themeColor="text2"/>
        </w:rPr>
      </w:pPr>
      <w:r w:rsidRPr="002F6569">
        <w:rPr>
          <w:color w:val="7F7F7F" w:themeColor="text2"/>
        </w:rPr>
        <w:t>In 201</w:t>
      </w:r>
      <w:r w:rsidR="00211756" w:rsidRPr="002F6569">
        <w:rPr>
          <w:color w:val="7F7F7F" w:themeColor="text2"/>
        </w:rPr>
        <w:t>5 (half year)</w:t>
      </w:r>
      <w:r w:rsidRPr="002F6569">
        <w:rPr>
          <w:color w:val="7F7F7F" w:themeColor="text2"/>
        </w:rPr>
        <w:t xml:space="preserve"> there were </w:t>
      </w:r>
      <w:r w:rsidR="00211756" w:rsidRPr="002F6569">
        <w:rPr>
          <w:color w:val="7F7F7F" w:themeColor="text2"/>
        </w:rPr>
        <w:t>6</w:t>
      </w:r>
      <w:r w:rsidRPr="002F6569">
        <w:rPr>
          <w:color w:val="7F7F7F" w:themeColor="text2"/>
        </w:rPr>
        <w:t>,</w:t>
      </w:r>
      <w:r w:rsidR="00211756" w:rsidRPr="002F6569">
        <w:rPr>
          <w:color w:val="7F7F7F" w:themeColor="text2"/>
        </w:rPr>
        <w:t>329</w:t>
      </w:r>
      <w:r w:rsidRPr="002F6569">
        <w:rPr>
          <w:color w:val="7F7F7F" w:themeColor="text2"/>
        </w:rPr>
        <w:t xml:space="preserve"> young people without at least Year 12 or a Certificate II, not at school and enrolled in government subsidised training in a Certificate II or above </w:t>
      </w:r>
      <w:r w:rsidR="007E03F8">
        <w:rPr>
          <w:color w:val="7F7F7F" w:themeColor="text2"/>
        </w:rPr>
        <w:t>at</w:t>
      </w:r>
      <w:r w:rsidRPr="002F6569">
        <w:rPr>
          <w:color w:val="7F7F7F" w:themeColor="text2"/>
        </w:rPr>
        <w:t xml:space="preserve"> TAFE. This represented a 4</w:t>
      </w:r>
      <w:r w:rsidR="00211756" w:rsidRPr="002F6569">
        <w:rPr>
          <w:color w:val="7F7F7F" w:themeColor="text2"/>
        </w:rPr>
        <w:t>8</w:t>
      </w:r>
      <w:r w:rsidRPr="002F6569">
        <w:rPr>
          <w:color w:val="7F7F7F" w:themeColor="text2"/>
        </w:rPr>
        <w:t xml:space="preserve"> per cent </w:t>
      </w:r>
      <w:r w:rsidR="00211756" w:rsidRPr="002F6569">
        <w:rPr>
          <w:color w:val="7F7F7F" w:themeColor="text2"/>
        </w:rPr>
        <w:t xml:space="preserve">share </w:t>
      </w:r>
      <w:r w:rsidRPr="002F6569">
        <w:rPr>
          <w:color w:val="7F7F7F" w:themeColor="text2"/>
        </w:rPr>
        <w:t xml:space="preserve">of all these students in </w:t>
      </w:r>
      <w:proofErr w:type="gramStart"/>
      <w:r w:rsidRPr="002F6569">
        <w:rPr>
          <w:color w:val="7F7F7F" w:themeColor="text2"/>
        </w:rPr>
        <w:t>government subsidised</w:t>
      </w:r>
      <w:proofErr w:type="gramEnd"/>
      <w:r w:rsidRPr="002F6569">
        <w:rPr>
          <w:color w:val="7F7F7F" w:themeColor="text2"/>
        </w:rPr>
        <w:t xml:space="preserve"> training</w:t>
      </w:r>
      <w:r w:rsidR="001C6009" w:rsidRPr="002F6569">
        <w:rPr>
          <w:color w:val="7F7F7F" w:themeColor="text2"/>
        </w:rPr>
        <w:t xml:space="preserve"> </w:t>
      </w:r>
      <w:r w:rsidR="00211756" w:rsidRPr="002F6569">
        <w:rPr>
          <w:color w:val="7F7F7F" w:themeColor="text2"/>
        </w:rPr>
        <w:t>across all sectors</w:t>
      </w:r>
      <w:r w:rsidRPr="002F6569">
        <w:rPr>
          <w:color w:val="7F7F7F" w:themeColor="text2"/>
        </w:rPr>
        <w:t>.</w:t>
      </w:r>
    </w:p>
    <w:p w:rsidR="00722DE1" w:rsidRPr="002F6569" w:rsidRDefault="00722DE1" w:rsidP="00F73273">
      <w:pPr>
        <w:pStyle w:val="ListParagraph"/>
        <w:numPr>
          <w:ilvl w:val="0"/>
          <w:numId w:val="18"/>
        </w:numPr>
        <w:pBdr>
          <w:top w:val="single" w:sz="4" w:space="1" w:color="7F7F7F" w:themeColor="text2"/>
          <w:left w:val="single" w:sz="4" w:space="4" w:color="7F7F7F" w:themeColor="text2"/>
          <w:bottom w:val="single" w:sz="4" w:space="1" w:color="7F7F7F" w:themeColor="text2"/>
          <w:right w:val="single" w:sz="4" w:space="4" w:color="7F7F7F" w:themeColor="text2"/>
        </w:pBdr>
        <w:spacing w:before="120"/>
        <w:ind w:left="425" w:hanging="425"/>
        <w:contextualSpacing w:val="0"/>
        <w:rPr>
          <w:color w:val="7F7F7F" w:themeColor="text2"/>
        </w:rPr>
      </w:pPr>
      <w:proofErr w:type="gramStart"/>
      <w:r w:rsidRPr="002F6569">
        <w:rPr>
          <w:color w:val="7F7F7F" w:themeColor="text2"/>
        </w:rPr>
        <w:t>In 201</w:t>
      </w:r>
      <w:r w:rsidR="00211756" w:rsidRPr="002F6569">
        <w:rPr>
          <w:color w:val="7F7F7F" w:themeColor="text2"/>
        </w:rPr>
        <w:t xml:space="preserve">5 (half year) </w:t>
      </w:r>
      <w:r w:rsidRPr="002F6569">
        <w:rPr>
          <w:color w:val="7F7F7F" w:themeColor="text2"/>
        </w:rPr>
        <w:t xml:space="preserve">there were </w:t>
      </w:r>
      <w:r w:rsidR="00211756" w:rsidRPr="002F6569">
        <w:rPr>
          <w:color w:val="7F7F7F" w:themeColor="text2"/>
        </w:rPr>
        <w:t>34</w:t>
      </w:r>
      <w:r w:rsidRPr="002F6569">
        <w:rPr>
          <w:color w:val="7F7F7F" w:themeColor="text2"/>
        </w:rPr>
        <w:t>,</w:t>
      </w:r>
      <w:r w:rsidR="00211756" w:rsidRPr="002F6569">
        <w:rPr>
          <w:color w:val="7F7F7F" w:themeColor="text2"/>
        </w:rPr>
        <w:t>764</w:t>
      </w:r>
      <w:r w:rsidRPr="002F6569">
        <w:rPr>
          <w:color w:val="7F7F7F" w:themeColor="text2"/>
        </w:rPr>
        <w:t xml:space="preserve"> older students not holding a Certificate III or above and enrolled in government subsidised training </w:t>
      </w:r>
      <w:r w:rsidR="007E03F8">
        <w:rPr>
          <w:color w:val="7F7F7F" w:themeColor="text2"/>
        </w:rPr>
        <w:t>at</w:t>
      </w:r>
      <w:r w:rsidRPr="002F6569">
        <w:rPr>
          <w:color w:val="7F7F7F" w:themeColor="text2"/>
        </w:rPr>
        <w:t xml:space="preserve"> TAFE.</w:t>
      </w:r>
      <w:proofErr w:type="gramEnd"/>
      <w:r w:rsidRPr="002F6569">
        <w:rPr>
          <w:color w:val="7F7F7F" w:themeColor="text2"/>
        </w:rPr>
        <w:t xml:space="preserve"> This represented a 2</w:t>
      </w:r>
      <w:r w:rsidR="00211756" w:rsidRPr="002F6569">
        <w:rPr>
          <w:color w:val="7F7F7F" w:themeColor="text2"/>
        </w:rPr>
        <w:t>3</w:t>
      </w:r>
      <w:r w:rsidRPr="002F6569">
        <w:rPr>
          <w:color w:val="7F7F7F" w:themeColor="text2"/>
        </w:rPr>
        <w:t xml:space="preserve"> per </w:t>
      </w:r>
      <w:r w:rsidR="001C6009" w:rsidRPr="002F6569">
        <w:rPr>
          <w:color w:val="7F7F7F" w:themeColor="text2"/>
        </w:rPr>
        <w:t>cent</w:t>
      </w:r>
      <w:r w:rsidRPr="002F6569">
        <w:rPr>
          <w:color w:val="7F7F7F" w:themeColor="text2"/>
        </w:rPr>
        <w:t xml:space="preserve"> share of all these students in </w:t>
      </w:r>
      <w:proofErr w:type="gramStart"/>
      <w:r w:rsidRPr="002F6569">
        <w:rPr>
          <w:color w:val="7F7F7F" w:themeColor="text2"/>
        </w:rPr>
        <w:t>government subsidised</w:t>
      </w:r>
      <w:proofErr w:type="gramEnd"/>
      <w:r w:rsidRPr="002F6569">
        <w:rPr>
          <w:color w:val="7F7F7F" w:themeColor="text2"/>
        </w:rPr>
        <w:t xml:space="preserve"> training</w:t>
      </w:r>
      <w:r w:rsidR="001C6009" w:rsidRPr="002F6569">
        <w:rPr>
          <w:color w:val="7F7F7F" w:themeColor="text2"/>
        </w:rPr>
        <w:t xml:space="preserve"> </w:t>
      </w:r>
      <w:r w:rsidR="00211756" w:rsidRPr="002F6569">
        <w:rPr>
          <w:color w:val="7F7F7F" w:themeColor="text2"/>
        </w:rPr>
        <w:t>across all sectors</w:t>
      </w:r>
      <w:r w:rsidRPr="002F6569">
        <w:rPr>
          <w:color w:val="7F7F7F" w:themeColor="text2"/>
        </w:rPr>
        <w:t>.</w:t>
      </w:r>
    </w:p>
    <w:p w:rsidR="00F73273" w:rsidRPr="002F6569" w:rsidRDefault="00F73273" w:rsidP="00F73273">
      <w:pPr>
        <w:pBdr>
          <w:top w:val="single" w:sz="4" w:space="1" w:color="7F7F7F" w:themeColor="text2"/>
          <w:left w:val="single" w:sz="4" w:space="4" w:color="7F7F7F" w:themeColor="text2"/>
          <w:bottom w:val="single" w:sz="4" w:space="1" w:color="7F7F7F" w:themeColor="text2"/>
          <w:right w:val="single" w:sz="4" w:space="4" w:color="7F7F7F" w:themeColor="text2"/>
        </w:pBdr>
        <w:rPr>
          <w:color w:val="7F7F7F" w:themeColor="text2"/>
        </w:rPr>
      </w:pPr>
    </w:p>
    <w:p w:rsidR="00152B75" w:rsidRDefault="00152B75" w:rsidP="00F73273">
      <w:pPr>
        <w:pStyle w:val="Quote"/>
        <w:rPr>
          <w:b w:val="0"/>
          <w:sz w:val="18"/>
          <w:szCs w:val="18"/>
        </w:rPr>
      </w:pPr>
    </w:p>
    <w:p w:rsidR="00F73273" w:rsidRPr="00F73273" w:rsidRDefault="00F73273" w:rsidP="00F73273">
      <w:pPr>
        <w:pStyle w:val="Quote"/>
        <w:rPr>
          <w:b w:val="0"/>
          <w:sz w:val="18"/>
          <w:szCs w:val="18"/>
        </w:rPr>
      </w:pPr>
    </w:p>
    <w:p w:rsidR="00AA093E" w:rsidRDefault="00AA093E">
      <w:r>
        <w:rPr>
          <w:b/>
        </w:rPr>
        <w:br w:type="page"/>
      </w: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211756" w:rsidTr="00211756">
        <w:tc>
          <w:tcPr>
            <w:tcW w:w="1134" w:type="dxa"/>
            <w:tcMar>
              <w:left w:w="0" w:type="dxa"/>
              <w:right w:w="0" w:type="dxa"/>
            </w:tcMar>
          </w:tcPr>
          <w:p w:rsidR="00211756" w:rsidRDefault="00211756" w:rsidP="0084117E">
            <w:pPr>
              <w:pStyle w:val="Quote"/>
              <w:tabs>
                <w:tab w:val="left" w:pos="1134"/>
              </w:tabs>
              <w:rPr>
                <w:b w:val="0"/>
                <w:color w:val="B41F22" w:themeColor="accent1"/>
              </w:rPr>
            </w:pPr>
            <w:r>
              <w:rPr>
                <w:b w:val="0"/>
                <w:color w:val="B41F22" w:themeColor="accent1"/>
              </w:rPr>
              <w:lastRenderedPageBreak/>
              <w:t>Table 1.2</w:t>
            </w:r>
            <w:r w:rsidR="0084117E">
              <w:rPr>
                <w:b w:val="0"/>
                <w:color w:val="B41F22" w:themeColor="accent1"/>
              </w:rPr>
              <w:t>6</w:t>
            </w:r>
            <w:r>
              <w:rPr>
                <w:b w:val="0"/>
                <w:color w:val="B41F22" w:themeColor="accent1"/>
              </w:rPr>
              <w:t>:</w:t>
            </w:r>
          </w:p>
        </w:tc>
        <w:tc>
          <w:tcPr>
            <w:tcW w:w="6946" w:type="dxa"/>
            <w:tcMar>
              <w:left w:w="0" w:type="dxa"/>
              <w:right w:w="0" w:type="dxa"/>
            </w:tcMar>
          </w:tcPr>
          <w:p w:rsidR="00211756" w:rsidRDefault="00211756" w:rsidP="007E03F8">
            <w:pPr>
              <w:pStyle w:val="Quote"/>
              <w:tabs>
                <w:tab w:val="left" w:pos="1134"/>
              </w:tabs>
              <w:rPr>
                <w:b w:val="0"/>
                <w:color w:val="B41F22" w:themeColor="accent1"/>
              </w:rPr>
            </w:pPr>
            <w:r w:rsidRPr="00211756">
              <w:rPr>
                <w:b w:val="0"/>
                <w:color w:val="B41F22" w:themeColor="accent1"/>
              </w:rPr>
              <w:t xml:space="preserve">Indigenous students enrolled in government subsidised training </w:t>
            </w:r>
            <w:r w:rsidR="007E03F8">
              <w:rPr>
                <w:b w:val="0"/>
                <w:color w:val="B41F22" w:themeColor="accent1"/>
              </w:rPr>
              <w:t>at</w:t>
            </w:r>
            <w:r w:rsidRPr="00211756">
              <w:rPr>
                <w:b w:val="0"/>
                <w:color w:val="B41F22" w:themeColor="accent1"/>
              </w:rPr>
              <w:t xml:space="preserve"> TAFE, 2010 to 2015 (half year)</w:t>
            </w:r>
          </w:p>
        </w:tc>
      </w:tr>
    </w:tbl>
    <w:tbl>
      <w:tblPr>
        <w:tblW w:w="8095" w:type="dxa"/>
        <w:tblInd w:w="93" w:type="dxa"/>
        <w:tblLayout w:type="fixed"/>
        <w:tblLook w:val="04A0" w:firstRow="1" w:lastRow="0" w:firstColumn="1" w:lastColumn="0" w:noHBand="0" w:noVBand="1"/>
      </w:tblPr>
      <w:tblGrid>
        <w:gridCol w:w="2180"/>
        <w:gridCol w:w="985"/>
        <w:gridCol w:w="986"/>
        <w:gridCol w:w="986"/>
        <w:gridCol w:w="986"/>
        <w:gridCol w:w="986"/>
        <w:gridCol w:w="986"/>
      </w:tblGrid>
      <w:tr w:rsidR="00211756" w:rsidRPr="00211756" w:rsidTr="00642F89">
        <w:trPr>
          <w:trHeight w:val="300"/>
        </w:trPr>
        <w:tc>
          <w:tcPr>
            <w:tcW w:w="2180" w:type="dxa"/>
            <w:tcBorders>
              <w:top w:val="nil"/>
              <w:left w:val="nil"/>
              <w:bottom w:val="nil"/>
              <w:right w:val="nil"/>
            </w:tcBorders>
            <w:shd w:val="clear" w:color="000000" w:fill="7F7F7F"/>
            <w:noWrap/>
            <w:vAlign w:val="center"/>
            <w:hideMark/>
          </w:tcPr>
          <w:p w:rsidR="00211756" w:rsidRPr="00211756" w:rsidRDefault="00211756" w:rsidP="00211756">
            <w:pPr>
              <w:rPr>
                <w:rFonts w:cs="Arial"/>
                <w:color w:val="FFFFFF"/>
                <w:szCs w:val="18"/>
                <w:lang w:eastAsia="en-AU"/>
              </w:rPr>
            </w:pPr>
            <w:r w:rsidRPr="00211756">
              <w:rPr>
                <w:rFonts w:cs="Arial"/>
                <w:color w:val="FFFFFF"/>
                <w:szCs w:val="18"/>
                <w:lang w:eastAsia="en-AU"/>
              </w:rPr>
              <w:t> </w:t>
            </w:r>
          </w:p>
        </w:tc>
        <w:tc>
          <w:tcPr>
            <w:tcW w:w="985" w:type="dxa"/>
            <w:tcBorders>
              <w:top w:val="nil"/>
              <w:left w:val="nil"/>
              <w:bottom w:val="nil"/>
              <w:right w:val="nil"/>
            </w:tcBorders>
            <w:shd w:val="clear" w:color="000000" w:fill="7F7F7F"/>
            <w:noWrap/>
            <w:vAlign w:val="center"/>
            <w:hideMark/>
          </w:tcPr>
          <w:p w:rsidR="00211756" w:rsidRPr="00211756" w:rsidRDefault="00211756" w:rsidP="00211756">
            <w:pPr>
              <w:jc w:val="right"/>
              <w:rPr>
                <w:rFonts w:cs="Arial"/>
                <w:b/>
                <w:bCs/>
                <w:color w:val="FFFFFF"/>
                <w:szCs w:val="18"/>
                <w:lang w:eastAsia="en-AU"/>
              </w:rPr>
            </w:pPr>
            <w:r w:rsidRPr="00211756">
              <w:rPr>
                <w:rFonts w:cs="Arial"/>
                <w:b/>
                <w:bCs/>
                <w:color w:val="FFFFFF"/>
                <w:szCs w:val="18"/>
                <w:lang w:eastAsia="en-AU"/>
              </w:rPr>
              <w:t>2010</w:t>
            </w:r>
          </w:p>
        </w:tc>
        <w:tc>
          <w:tcPr>
            <w:tcW w:w="986" w:type="dxa"/>
            <w:tcBorders>
              <w:top w:val="nil"/>
              <w:left w:val="nil"/>
              <w:bottom w:val="nil"/>
              <w:right w:val="nil"/>
            </w:tcBorders>
            <w:shd w:val="clear" w:color="000000" w:fill="7F7F7F"/>
            <w:noWrap/>
            <w:vAlign w:val="center"/>
            <w:hideMark/>
          </w:tcPr>
          <w:p w:rsidR="00211756" w:rsidRPr="00211756" w:rsidRDefault="00211756" w:rsidP="00211756">
            <w:pPr>
              <w:jc w:val="right"/>
              <w:rPr>
                <w:rFonts w:cs="Arial"/>
                <w:b/>
                <w:bCs/>
                <w:color w:val="FFFFFF"/>
                <w:szCs w:val="18"/>
                <w:lang w:eastAsia="en-AU"/>
              </w:rPr>
            </w:pPr>
            <w:r w:rsidRPr="00211756">
              <w:rPr>
                <w:rFonts w:cs="Arial"/>
                <w:b/>
                <w:bCs/>
                <w:color w:val="FFFFFF"/>
                <w:szCs w:val="18"/>
                <w:lang w:eastAsia="en-AU"/>
              </w:rPr>
              <w:t>2011</w:t>
            </w:r>
          </w:p>
        </w:tc>
        <w:tc>
          <w:tcPr>
            <w:tcW w:w="986" w:type="dxa"/>
            <w:tcBorders>
              <w:top w:val="nil"/>
              <w:left w:val="nil"/>
              <w:bottom w:val="nil"/>
              <w:right w:val="nil"/>
            </w:tcBorders>
            <w:shd w:val="clear" w:color="000000" w:fill="7F7F7F"/>
            <w:noWrap/>
            <w:vAlign w:val="center"/>
            <w:hideMark/>
          </w:tcPr>
          <w:p w:rsidR="00211756" w:rsidRPr="00211756" w:rsidRDefault="00211756" w:rsidP="00211756">
            <w:pPr>
              <w:jc w:val="right"/>
              <w:rPr>
                <w:rFonts w:cs="Arial"/>
                <w:b/>
                <w:bCs/>
                <w:color w:val="FFFFFF"/>
                <w:szCs w:val="18"/>
                <w:lang w:eastAsia="en-AU"/>
              </w:rPr>
            </w:pPr>
            <w:r w:rsidRPr="00211756">
              <w:rPr>
                <w:rFonts w:cs="Arial"/>
                <w:b/>
                <w:bCs/>
                <w:color w:val="FFFFFF"/>
                <w:szCs w:val="18"/>
                <w:lang w:eastAsia="en-AU"/>
              </w:rPr>
              <w:t>2012</w:t>
            </w:r>
          </w:p>
        </w:tc>
        <w:tc>
          <w:tcPr>
            <w:tcW w:w="986" w:type="dxa"/>
            <w:tcBorders>
              <w:top w:val="nil"/>
              <w:left w:val="nil"/>
              <w:bottom w:val="nil"/>
              <w:right w:val="nil"/>
            </w:tcBorders>
            <w:shd w:val="clear" w:color="000000" w:fill="7F7F7F"/>
            <w:noWrap/>
            <w:vAlign w:val="center"/>
            <w:hideMark/>
          </w:tcPr>
          <w:p w:rsidR="00211756" w:rsidRPr="00211756" w:rsidRDefault="00211756" w:rsidP="00211756">
            <w:pPr>
              <w:jc w:val="right"/>
              <w:rPr>
                <w:rFonts w:cs="Arial"/>
                <w:b/>
                <w:bCs/>
                <w:color w:val="FFFFFF"/>
                <w:szCs w:val="18"/>
                <w:lang w:eastAsia="en-AU"/>
              </w:rPr>
            </w:pPr>
            <w:r w:rsidRPr="00211756">
              <w:rPr>
                <w:rFonts w:cs="Arial"/>
                <w:b/>
                <w:bCs/>
                <w:color w:val="FFFFFF"/>
                <w:szCs w:val="18"/>
                <w:lang w:eastAsia="en-AU"/>
              </w:rPr>
              <w:t>2013</w:t>
            </w:r>
          </w:p>
        </w:tc>
        <w:tc>
          <w:tcPr>
            <w:tcW w:w="986" w:type="dxa"/>
            <w:tcBorders>
              <w:top w:val="nil"/>
              <w:left w:val="nil"/>
              <w:bottom w:val="nil"/>
              <w:right w:val="nil"/>
            </w:tcBorders>
            <w:shd w:val="clear" w:color="000000" w:fill="7F7F7F"/>
            <w:noWrap/>
            <w:vAlign w:val="center"/>
            <w:hideMark/>
          </w:tcPr>
          <w:p w:rsidR="00211756" w:rsidRPr="00211756" w:rsidRDefault="00211756" w:rsidP="00211756">
            <w:pPr>
              <w:jc w:val="right"/>
              <w:rPr>
                <w:rFonts w:cs="Arial"/>
                <w:b/>
                <w:bCs/>
                <w:color w:val="FFFFFF"/>
                <w:szCs w:val="18"/>
                <w:lang w:eastAsia="en-AU"/>
              </w:rPr>
            </w:pPr>
            <w:r w:rsidRPr="00211756">
              <w:rPr>
                <w:rFonts w:cs="Arial"/>
                <w:b/>
                <w:bCs/>
                <w:color w:val="FFFFFF"/>
                <w:szCs w:val="18"/>
                <w:lang w:eastAsia="en-AU"/>
              </w:rPr>
              <w:t>2014</w:t>
            </w:r>
          </w:p>
        </w:tc>
        <w:tc>
          <w:tcPr>
            <w:tcW w:w="986" w:type="dxa"/>
            <w:tcBorders>
              <w:top w:val="nil"/>
              <w:left w:val="nil"/>
              <w:bottom w:val="nil"/>
              <w:right w:val="nil"/>
            </w:tcBorders>
            <w:shd w:val="clear" w:color="000000" w:fill="7F7F7F"/>
            <w:noWrap/>
            <w:vAlign w:val="center"/>
            <w:hideMark/>
          </w:tcPr>
          <w:p w:rsidR="00211756" w:rsidRPr="00211756" w:rsidRDefault="00211756" w:rsidP="00211756">
            <w:pPr>
              <w:jc w:val="right"/>
              <w:rPr>
                <w:rFonts w:cs="Arial"/>
                <w:b/>
                <w:bCs/>
                <w:color w:val="FFFFFF"/>
                <w:szCs w:val="18"/>
                <w:lang w:eastAsia="en-AU"/>
              </w:rPr>
            </w:pPr>
            <w:r w:rsidRPr="00211756">
              <w:rPr>
                <w:rFonts w:cs="Arial"/>
                <w:b/>
                <w:bCs/>
                <w:color w:val="FFFFFF"/>
                <w:szCs w:val="18"/>
                <w:lang w:eastAsia="en-AU"/>
              </w:rPr>
              <w:t>2015</w:t>
            </w:r>
          </w:p>
        </w:tc>
      </w:tr>
      <w:tr w:rsidR="00211756" w:rsidRPr="00211756" w:rsidTr="00642F89">
        <w:trPr>
          <w:trHeight w:val="300"/>
        </w:trPr>
        <w:tc>
          <w:tcPr>
            <w:tcW w:w="2180" w:type="dxa"/>
            <w:tcBorders>
              <w:top w:val="nil"/>
              <w:left w:val="nil"/>
              <w:bottom w:val="nil"/>
              <w:right w:val="nil"/>
            </w:tcBorders>
            <w:shd w:val="clear" w:color="auto" w:fill="auto"/>
            <w:noWrap/>
            <w:vAlign w:val="center"/>
            <w:hideMark/>
          </w:tcPr>
          <w:p w:rsidR="00211756" w:rsidRPr="00211756" w:rsidRDefault="00211756" w:rsidP="00211756">
            <w:pPr>
              <w:rPr>
                <w:rFonts w:cs="Arial"/>
                <w:color w:val="7F7F7F"/>
                <w:szCs w:val="18"/>
                <w:lang w:eastAsia="en-AU"/>
              </w:rPr>
            </w:pPr>
            <w:r w:rsidRPr="00211756">
              <w:rPr>
                <w:rFonts w:cs="Arial"/>
                <w:color w:val="7F7F7F"/>
                <w:szCs w:val="18"/>
                <w:lang w:eastAsia="en-AU"/>
              </w:rPr>
              <w:t>Number</w:t>
            </w:r>
          </w:p>
        </w:tc>
        <w:tc>
          <w:tcPr>
            <w:tcW w:w="985" w:type="dxa"/>
            <w:tcBorders>
              <w:top w:val="nil"/>
              <w:left w:val="nil"/>
              <w:bottom w:val="nil"/>
              <w:right w:val="nil"/>
            </w:tcBorders>
            <w:shd w:val="clear" w:color="auto" w:fill="auto"/>
            <w:noWrap/>
            <w:vAlign w:val="center"/>
            <w:hideMark/>
          </w:tcPr>
          <w:p w:rsidR="00211756" w:rsidRPr="00211756" w:rsidRDefault="00211756" w:rsidP="00211756">
            <w:pPr>
              <w:jc w:val="right"/>
              <w:rPr>
                <w:rFonts w:cs="Arial"/>
                <w:color w:val="7F7F7F"/>
                <w:szCs w:val="18"/>
                <w:lang w:eastAsia="en-AU"/>
              </w:rPr>
            </w:pPr>
            <w:r w:rsidRPr="00211756">
              <w:rPr>
                <w:rFonts w:cs="Arial"/>
                <w:color w:val="7F7F7F"/>
                <w:szCs w:val="18"/>
                <w:lang w:eastAsia="en-AU"/>
              </w:rPr>
              <w:t>1,742</w:t>
            </w:r>
          </w:p>
        </w:tc>
        <w:tc>
          <w:tcPr>
            <w:tcW w:w="986" w:type="dxa"/>
            <w:tcBorders>
              <w:top w:val="nil"/>
              <w:left w:val="nil"/>
              <w:bottom w:val="nil"/>
              <w:right w:val="nil"/>
            </w:tcBorders>
            <w:shd w:val="clear" w:color="auto" w:fill="auto"/>
            <w:noWrap/>
            <w:vAlign w:val="center"/>
            <w:hideMark/>
          </w:tcPr>
          <w:p w:rsidR="00211756" w:rsidRPr="00211756" w:rsidRDefault="00211756" w:rsidP="00211756">
            <w:pPr>
              <w:jc w:val="right"/>
              <w:rPr>
                <w:rFonts w:cs="Arial"/>
                <w:color w:val="7F7F7F"/>
                <w:szCs w:val="18"/>
                <w:lang w:eastAsia="en-AU"/>
              </w:rPr>
            </w:pPr>
            <w:r w:rsidRPr="00211756">
              <w:rPr>
                <w:rFonts w:cs="Arial"/>
                <w:color w:val="7F7F7F"/>
                <w:szCs w:val="18"/>
                <w:lang w:eastAsia="en-AU"/>
              </w:rPr>
              <w:t>1,706</w:t>
            </w:r>
          </w:p>
        </w:tc>
        <w:tc>
          <w:tcPr>
            <w:tcW w:w="986" w:type="dxa"/>
            <w:tcBorders>
              <w:top w:val="nil"/>
              <w:left w:val="nil"/>
              <w:bottom w:val="nil"/>
              <w:right w:val="nil"/>
            </w:tcBorders>
            <w:shd w:val="clear" w:color="auto" w:fill="auto"/>
            <w:noWrap/>
            <w:vAlign w:val="center"/>
            <w:hideMark/>
          </w:tcPr>
          <w:p w:rsidR="00211756" w:rsidRPr="00211756" w:rsidRDefault="00211756" w:rsidP="00211756">
            <w:pPr>
              <w:jc w:val="right"/>
              <w:rPr>
                <w:rFonts w:cs="Arial"/>
                <w:color w:val="7F7F7F"/>
                <w:szCs w:val="18"/>
                <w:lang w:eastAsia="en-AU"/>
              </w:rPr>
            </w:pPr>
            <w:r w:rsidRPr="00211756">
              <w:rPr>
                <w:rFonts w:cs="Arial"/>
                <w:color w:val="7F7F7F"/>
                <w:szCs w:val="18"/>
                <w:lang w:eastAsia="en-AU"/>
              </w:rPr>
              <w:t>1,702</w:t>
            </w:r>
          </w:p>
        </w:tc>
        <w:tc>
          <w:tcPr>
            <w:tcW w:w="986" w:type="dxa"/>
            <w:tcBorders>
              <w:top w:val="nil"/>
              <w:left w:val="nil"/>
              <w:bottom w:val="nil"/>
              <w:right w:val="nil"/>
            </w:tcBorders>
            <w:shd w:val="clear" w:color="auto" w:fill="auto"/>
            <w:noWrap/>
            <w:vAlign w:val="center"/>
            <w:hideMark/>
          </w:tcPr>
          <w:p w:rsidR="00211756" w:rsidRPr="00211756" w:rsidRDefault="00211756" w:rsidP="00211756">
            <w:pPr>
              <w:jc w:val="right"/>
              <w:rPr>
                <w:rFonts w:cs="Arial"/>
                <w:color w:val="7F7F7F"/>
                <w:szCs w:val="18"/>
                <w:lang w:eastAsia="en-AU"/>
              </w:rPr>
            </w:pPr>
            <w:r w:rsidRPr="00211756">
              <w:rPr>
                <w:rFonts w:cs="Arial"/>
                <w:color w:val="7F7F7F"/>
                <w:szCs w:val="18"/>
                <w:lang w:eastAsia="en-AU"/>
              </w:rPr>
              <w:t>1,496</w:t>
            </w:r>
          </w:p>
        </w:tc>
        <w:tc>
          <w:tcPr>
            <w:tcW w:w="986" w:type="dxa"/>
            <w:tcBorders>
              <w:top w:val="nil"/>
              <w:left w:val="nil"/>
              <w:bottom w:val="nil"/>
              <w:right w:val="nil"/>
            </w:tcBorders>
            <w:shd w:val="clear" w:color="auto" w:fill="auto"/>
            <w:noWrap/>
            <w:vAlign w:val="center"/>
            <w:hideMark/>
          </w:tcPr>
          <w:p w:rsidR="00211756" w:rsidRPr="00211756" w:rsidRDefault="00211756" w:rsidP="00211756">
            <w:pPr>
              <w:jc w:val="right"/>
              <w:rPr>
                <w:rFonts w:cs="Arial"/>
                <w:color w:val="7F7F7F"/>
                <w:szCs w:val="18"/>
                <w:lang w:eastAsia="en-AU"/>
              </w:rPr>
            </w:pPr>
            <w:r w:rsidRPr="00211756">
              <w:rPr>
                <w:rFonts w:cs="Arial"/>
                <w:color w:val="7F7F7F"/>
                <w:szCs w:val="18"/>
                <w:lang w:eastAsia="en-AU"/>
              </w:rPr>
              <w:t>1,511</w:t>
            </w:r>
          </w:p>
        </w:tc>
        <w:tc>
          <w:tcPr>
            <w:tcW w:w="986" w:type="dxa"/>
            <w:tcBorders>
              <w:top w:val="nil"/>
              <w:left w:val="nil"/>
              <w:bottom w:val="nil"/>
              <w:right w:val="nil"/>
            </w:tcBorders>
            <w:shd w:val="clear" w:color="auto" w:fill="auto"/>
            <w:noWrap/>
            <w:vAlign w:val="center"/>
            <w:hideMark/>
          </w:tcPr>
          <w:p w:rsidR="00211756" w:rsidRPr="00211756" w:rsidRDefault="00211756" w:rsidP="00211756">
            <w:pPr>
              <w:jc w:val="right"/>
              <w:rPr>
                <w:rFonts w:cs="Arial"/>
                <w:color w:val="7F7F7F"/>
                <w:szCs w:val="18"/>
                <w:lang w:eastAsia="en-AU"/>
              </w:rPr>
            </w:pPr>
            <w:r w:rsidRPr="00211756">
              <w:rPr>
                <w:rFonts w:cs="Arial"/>
                <w:color w:val="7F7F7F"/>
                <w:szCs w:val="18"/>
                <w:lang w:eastAsia="en-AU"/>
              </w:rPr>
              <w:t>1,266</w:t>
            </w:r>
          </w:p>
        </w:tc>
      </w:tr>
      <w:tr w:rsidR="00211756" w:rsidRPr="00211756" w:rsidTr="00642F89">
        <w:trPr>
          <w:trHeight w:val="315"/>
        </w:trPr>
        <w:tc>
          <w:tcPr>
            <w:tcW w:w="2180" w:type="dxa"/>
            <w:tcBorders>
              <w:top w:val="nil"/>
              <w:left w:val="nil"/>
              <w:bottom w:val="single" w:sz="12" w:space="0" w:color="7F7F7F"/>
              <w:right w:val="nil"/>
            </w:tcBorders>
            <w:shd w:val="clear" w:color="auto" w:fill="auto"/>
            <w:noWrap/>
            <w:vAlign w:val="center"/>
            <w:hideMark/>
          </w:tcPr>
          <w:p w:rsidR="00211756" w:rsidRPr="00211756" w:rsidRDefault="00211756" w:rsidP="00211756">
            <w:pPr>
              <w:rPr>
                <w:rFonts w:cs="Arial"/>
                <w:color w:val="7F7F7F"/>
                <w:szCs w:val="18"/>
                <w:lang w:eastAsia="en-AU"/>
              </w:rPr>
            </w:pPr>
            <w:r w:rsidRPr="00211756">
              <w:rPr>
                <w:rFonts w:cs="Arial"/>
                <w:color w:val="7F7F7F"/>
                <w:szCs w:val="18"/>
                <w:lang w:eastAsia="en-AU"/>
              </w:rPr>
              <w:t>TAFE share</w:t>
            </w:r>
          </w:p>
        </w:tc>
        <w:tc>
          <w:tcPr>
            <w:tcW w:w="985" w:type="dxa"/>
            <w:tcBorders>
              <w:top w:val="nil"/>
              <w:left w:val="nil"/>
              <w:bottom w:val="single" w:sz="12" w:space="0" w:color="7F7F7F"/>
              <w:right w:val="nil"/>
            </w:tcBorders>
            <w:shd w:val="clear" w:color="auto" w:fill="auto"/>
            <w:noWrap/>
            <w:vAlign w:val="center"/>
            <w:hideMark/>
          </w:tcPr>
          <w:p w:rsidR="00211756" w:rsidRPr="00211756" w:rsidRDefault="00211756" w:rsidP="00211756">
            <w:pPr>
              <w:jc w:val="right"/>
              <w:rPr>
                <w:rFonts w:cs="Arial"/>
                <w:color w:val="7F7F7F"/>
                <w:szCs w:val="18"/>
                <w:lang w:eastAsia="en-AU"/>
              </w:rPr>
            </w:pPr>
            <w:r w:rsidRPr="00211756">
              <w:rPr>
                <w:rFonts w:cs="Arial"/>
                <w:color w:val="7F7F7F"/>
                <w:szCs w:val="18"/>
                <w:lang w:eastAsia="en-AU"/>
              </w:rPr>
              <w:t>60%</w:t>
            </w:r>
          </w:p>
        </w:tc>
        <w:tc>
          <w:tcPr>
            <w:tcW w:w="986" w:type="dxa"/>
            <w:tcBorders>
              <w:top w:val="nil"/>
              <w:left w:val="nil"/>
              <w:bottom w:val="single" w:sz="12" w:space="0" w:color="7F7F7F"/>
              <w:right w:val="nil"/>
            </w:tcBorders>
            <w:shd w:val="clear" w:color="auto" w:fill="auto"/>
            <w:noWrap/>
            <w:vAlign w:val="center"/>
            <w:hideMark/>
          </w:tcPr>
          <w:p w:rsidR="00211756" w:rsidRPr="00211756" w:rsidRDefault="00211756" w:rsidP="00211756">
            <w:pPr>
              <w:jc w:val="right"/>
              <w:rPr>
                <w:rFonts w:cs="Arial"/>
                <w:color w:val="7F7F7F"/>
                <w:szCs w:val="18"/>
                <w:lang w:eastAsia="en-AU"/>
              </w:rPr>
            </w:pPr>
            <w:r w:rsidRPr="00211756">
              <w:rPr>
                <w:rFonts w:cs="Arial"/>
                <w:color w:val="7F7F7F"/>
                <w:szCs w:val="18"/>
                <w:lang w:eastAsia="en-AU"/>
              </w:rPr>
              <w:t>49%</w:t>
            </w:r>
          </w:p>
        </w:tc>
        <w:tc>
          <w:tcPr>
            <w:tcW w:w="986" w:type="dxa"/>
            <w:tcBorders>
              <w:top w:val="nil"/>
              <w:left w:val="nil"/>
              <w:bottom w:val="single" w:sz="12" w:space="0" w:color="7F7F7F"/>
              <w:right w:val="nil"/>
            </w:tcBorders>
            <w:shd w:val="clear" w:color="auto" w:fill="auto"/>
            <w:noWrap/>
            <w:vAlign w:val="center"/>
            <w:hideMark/>
          </w:tcPr>
          <w:p w:rsidR="00211756" w:rsidRPr="00211756" w:rsidRDefault="00211756" w:rsidP="00211756">
            <w:pPr>
              <w:jc w:val="right"/>
              <w:rPr>
                <w:rFonts w:cs="Arial"/>
                <w:color w:val="7F7F7F"/>
                <w:szCs w:val="18"/>
                <w:lang w:eastAsia="en-AU"/>
              </w:rPr>
            </w:pPr>
            <w:r w:rsidRPr="00211756">
              <w:rPr>
                <w:rFonts w:cs="Arial"/>
                <w:color w:val="7F7F7F"/>
                <w:szCs w:val="18"/>
                <w:lang w:eastAsia="en-AU"/>
              </w:rPr>
              <w:t>41%</w:t>
            </w:r>
          </w:p>
        </w:tc>
        <w:tc>
          <w:tcPr>
            <w:tcW w:w="986" w:type="dxa"/>
            <w:tcBorders>
              <w:top w:val="nil"/>
              <w:left w:val="nil"/>
              <w:bottom w:val="single" w:sz="12" w:space="0" w:color="7F7F7F"/>
              <w:right w:val="nil"/>
            </w:tcBorders>
            <w:shd w:val="clear" w:color="auto" w:fill="auto"/>
            <w:noWrap/>
            <w:vAlign w:val="center"/>
            <w:hideMark/>
          </w:tcPr>
          <w:p w:rsidR="00211756" w:rsidRPr="00211756" w:rsidRDefault="00211756" w:rsidP="00211756">
            <w:pPr>
              <w:jc w:val="right"/>
              <w:rPr>
                <w:rFonts w:cs="Arial"/>
                <w:color w:val="7F7F7F"/>
                <w:szCs w:val="18"/>
                <w:lang w:eastAsia="en-AU"/>
              </w:rPr>
            </w:pPr>
            <w:r w:rsidRPr="00211756">
              <w:rPr>
                <w:rFonts w:cs="Arial"/>
                <w:color w:val="7F7F7F"/>
                <w:szCs w:val="18"/>
                <w:lang w:eastAsia="en-AU"/>
              </w:rPr>
              <w:t>38%</w:t>
            </w:r>
          </w:p>
        </w:tc>
        <w:tc>
          <w:tcPr>
            <w:tcW w:w="986" w:type="dxa"/>
            <w:tcBorders>
              <w:top w:val="nil"/>
              <w:left w:val="nil"/>
              <w:bottom w:val="single" w:sz="12" w:space="0" w:color="7F7F7F"/>
              <w:right w:val="nil"/>
            </w:tcBorders>
            <w:shd w:val="clear" w:color="auto" w:fill="auto"/>
            <w:noWrap/>
            <w:vAlign w:val="center"/>
            <w:hideMark/>
          </w:tcPr>
          <w:p w:rsidR="00211756" w:rsidRPr="00211756" w:rsidRDefault="00211756" w:rsidP="00211756">
            <w:pPr>
              <w:jc w:val="right"/>
              <w:rPr>
                <w:rFonts w:cs="Arial"/>
                <w:color w:val="7F7F7F"/>
                <w:szCs w:val="18"/>
                <w:lang w:eastAsia="en-AU"/>
              </w:rPr>
            </w:pPr>
            <w:r w:rsidRPr="00211756">
              <w:rPr>
                <w:rFonts w:cs="Arial"/>
                <w:color w:val="7F7F7F"/>
                <w:szCs w:val="18"/>
                <w:lang w:eastAsia="en-AU"/>
              </w:rPr>
              <w:t>36%</w:t>
            </w:r>
          </w:p>
        </w:tc>
        <w:tc>
          <w:tcPr>
            <w:tcW w:w="986" w:type="dxa"/>
            <w:tcBorders>
              <w:top w:val="nil"/>
              <w:left w:val="nil"/>
              <w:bottom w:val="single" w:sz="12" w:space="0" w:color="7F7F7F"/>
              <w:right w:val="nil"/>
            </w:tcBorders>
            <w:shd w:val="clear" w:color="auto" w:fill="auto"/>
            <w:noWrap/>
            <w:vAlign w:val="center"/>
            <w:hideMark/>
          </w:tcPr>
          <w:p w:rsidR="00211756" w:rsidRPr="00211756" w:rsidRDefault="00211756" w:rsidP="00211756">
            <w:pPr>
              <w:jc w:val="right"/>
              <w:rPr>
                <w:rFonts w:cs="Arial"/>
                <w:color w:val="7F7F7F"/>
                <w:szCs w:val="18"/>
                <w:lang w:eastAsia="en-AU"/>
              </w:rPr>
            </w:pPr>
            <w:r w:rsidRPr="00211756">
              <w:rPr>
                <w:rFonts w:cs="Arial"/>
                <w:color w:val="7F7F7F"/>
                <w:szCs w:val="18"/>
                <w:lang w:eastAsia="en-AU"/>
              </w:rPr>
              <w:t>32%</w:t>
            </w:r>
          </w:p>
        </w:tc>
      </w:tr>
    </w:tbl>
    <w:p w:rsidR="007A5B5F" w:rsidRPr="00365EB2" w:rsidRDefault="007A5B5F" w:rsidP="008038B4"/>
    <w:p w:rsidR="007A5B5F" w:rsidRPr="00365EB2" w:rsidRDefault="007A5B5F" w:rsidP="008038B4"/>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642F89" w:rsidTr="00007BAC">
        <w:tc>
          <w:tcPr>
            <w:tcW w:w="1134" w:type="dxa"/>
            <w:tcMar>
              <w:left w:w="0" w:type="dxa"/>
              <w:right w:w="0" w:type="dxa"/>
            </w:tcMar>
          </w:tcPr>
          <w:p w:rsidR="00642F89" w:rsidRDefault="00642F89" w:rsidP="0084117E">
            <w:pPr>
              <w:pStyle w:val="Quote"/>
              <w:tabs>
                <w:tab w:val="left" w:pos="1134"/>
              </w:tabs>
              <w:rPr>
                <w:b w:val="0"/>
                <w:color w:val="B41F22" w:themeColor="accent1"/>
              </w:rPr>
            </w:pPr>
            <w:r>
              <w:rPr>
                <w:b w:val="0"/>
                <w:color w:val="B41F22" w:themeColor="accent1"/>
              </w:rPr>
              <w:t>Table 1.2</w:t>
            </w:r>
            <w:r w:rsidR="0084117E">
              <w:rPr>
                <w:b w:val="0"/>
                <w:color w:val="B41F22" w:themeColor="accent1"/>
              </w:rPr>
              <w:t>7</w:t>
            </w:r>
            <w:r>
              <w:rPr>
                <w:b w:val="0"/>
                <w:color w:val="B41F22" w:themeColor="accent1"/>
              </w:rPr>
              <w:t>:</w:t>
            </w:r>
          </w:p>
        </w:tc>
        <w:tc>
          <w:tcPr>
            <w:tcW w:w="6946" w:type="dxa"/>
            <w:tcMar>
              <w:left w:w="0" w:type="dxa"/>
              <w:right w:w="0" w:type="dxa"/>
            </w:tcMar>
          </w:tcPr>
          <w:p w:rsidR="00642F89" w:rsidRDefault="00642F89" w:rsidP="007E03F8">
            <w:pPr>
              <w:pStyle w:val="Quote"/>
              <w:tabs>
                <w:tab w:val="left" w:pos="1134"/>
              </w:tabs>
              <w:rPr>
                <w:b w:val="0"/>
                <w:color w:val="B41F22" w:themeColor="accent1"/>
              </w:rPr>
            </w:pPr>
            <w:r w:rsidRPr="00642F89">
              <w:rPr>
                <w:b w:val="0"/>
                <w:color w:val="B41F22" w:themeColor="accent1"/>
              </w:rPr>
              <w:t xml:space="preserve">Unemployed students enrolled in government subsidised training </w:t>
            </w:r>
            <w:r w:rsidR="007E03F8">
              <w:rPr>
                <w:b w:val="0"/>
                <w:color w:val="B41F22" w:themeColor="accent1"/>
              </w:rPr>
              <w:t>at</w:t>
            </w:r>
            <w:r w:rsidRPr="00642F89">
              <w:rPr>
                <w:b w:val="0"/>
                <w:color w:val="B41F22" w:themeColor="accent1"/>
              </w:rPr>
              <w:t xml:space="preserve"> TAFE, 2010 to 2015 (half year)</w:t>
            </w:r>
          </w:p>
        </w:tc>
      </w:tr>
    </w:tbl>
    <w:tbl>
      <w:tblPr>
        <w:tblW w:w="8095" w:type="dxa"/>
        <w:tblInd w:w="93" w:type="dxa"/>
        <w:tblLayout w:type="fixed"/>
        <w:tblLook w:val="04A0" w:firstRow="1" w:lastRow="0" w:firstColumn="1" w:lastColumn="0" w:noHBand="0" w:noVBand="1"/>
      </w:tblPr>
      <w:tblGrid>
        <w:gridCol w:w="2180"/>
        <w:gridCol w:w="985"/>
        <w:gridCol w:w="986"/>
        <w:gridCol w:w="986"/>
        <w:gridCol w:w="986"/>
        <w:gridCol w:w="986"/>
        <w:gridCol w:w="986"/>
      </w:tblGrid>
      <w:tr w:rsidR="00642F89" w:rsidRPr="00642F89" w:rsidTr="00642F89">
        <w:trPr>
          <w:trHeight w:val="300"/>
        </w:trPr>
        <w:tc>
          <w:tcPr>
            <w:tcW w:w="2180" w:type="dxa"/>
            <w:tcBorders>
              <w:top w:val="nil"/>
              <w:left w:val="nil"/>
              <w:bottom w:val="nil"/>
              <w:right w:val="nil"/>
            </w:tcBorders>
            <w:shd w:val="clear" w:color="000000" w:fill="7F7F7F"/>
            <w:noWrap/>
            <w:vAlign w:val="center"/>
            <w:hideMark/>
          </w:tcPr>
          <w:p w:rsidR="00642F89" w:rsidRPr="00642F89" w:rsidRDefault="00642F89" w:rsidP="00642F89">
            <w:pPr>
              <w:rPr>
                <w:rFonts w:cs="Arial"/>
                <w:color w:val="FFFFFF"/>
                <w:szCs w:val="18"/>
                <w:lang w:eastAsia="en-AU"/>
              </w:rPr>
            </w:pPr>
            <w:r w:rsidRPr="00642F89">
              <w:rPr>
                <w:rFonts w:cs="Arial"/>
                <w:color w:val="FFFFFF"/>
                <w:szCs w:val="18"/>
                <w:lang w:eastAsia="en-AU"/>
              </w:rPr>
              <w:t> </w:t>
            </w:r>
          </w:p>
        </w:tc>
        <w:tc>
          <w:tcPr>
            <w:tcW w:w="985" w:type="dxa"/>
            <w:tcBorders>
              <w:top w:val="nil"/>
              <w:left w:val="nil"/>
              <w:bottom w:val="nil"/>
              <w:right w:val="nil"/>
            </w:tcBorders>
            <w:shd w:val="clear" w:color="000000" w:fill="7F7F7F"/>
            <w:noWrap/>
            <w:vAlign w:val="center"/>
            <w:hideMark/>
          </w:tcPr>
          <w:p w:rsidR="00642F89" w:rsidRPr="00642F89" w:rsidRDefault="00642F89" w:rsidP="00642F89">
            <w:pPr>
              <w:jc w:val="right"/>
              <w:rPr>
                <w:rFonts w:cs="Arial"/>
                <w:b/>
                <w:bCs/>
                <w:color w:val="FFFFFF"/>
                <w:szCs w:val="18"/>
                <w:lang w:eastAsia="en-AU"/>
              </w:rPr>
            </w:pPr>
            <w:r w:rsidRPr="00642F89">
              <w:rPr>
                <w:rFonts w:cs="Arial"/>
                <w:b/>
                <w:bCs/>
                <w:color w:val="FFFFFF"/>
                <w:szCs w:val="18"/>
                <w:lang w:eastAsia="en-AU"/>
              </w:rPr>
              <w:t>2010</w:t>
            </w:r>
          </w:p>
        </w:tc>
        <w:tc>
          <w:tcPr>
            <w:tcW w:w="986" w:type="dxa"/>
            <w:tcBorders>
              <w:top w:val="nil"/>
              <w:left w:val="nil"/>
              <w:bottom w:val="nil"/>
              <w:right w:val="nil"/>
            </w:tcBorders>
            <w:shd w:val="clear" w:color="000000" w:fill="7F7F7F"/>
            <w:noWrap/>
            <w:vAlign w:val="center"/>
            <w:hideMark/>
          </w:tcPr>
          <w:p w:rsidR="00642F89" w:rsidRPr="00642F89" w:rsidRDefault="00642F89" w:rsidP="00642F89">
            <w:pPr>
              <w:jc w:val="right"/>
              <w:rPr>
                <w:rFonts w:cs="Arial"/>
                <w:b/>
                <w:bCs/>
                <w:color w:val="FFFFFF"/>
                <w:szCs w:val="18"/>
                <w:lang w:eastAsia="en-AU"/>
              </w:rPr>
            </w:pPr>
            <w:r w:rsidRPr="00642F89">
              <w:rPr>
                <w:rFonts w:cs="Arial"/>
                <w:b/>
                <w:bCs/>
                <w:color w:val="FFFFFF"/>
                <w:szCs w:val="18"/>
                <w:lang w:eastAsia="en-AU"/>
              </w:rPr>
              <w:t>2011</w:t>
            </w:r>
          </w:p>
        </w:tc>
        <w:tc>
          <w:tcPr>
            <w:tcW w:w="986" w:type="dxa"/>
            <w:tcBorders>
              <w:top w:val="nil"/>
              <w:left w:val="nil"/>
              <w:bottom w:val="nil"/>
              <w:right w:val="nil"/>
            </w:tcBorders>
            <w:shd w:val="clear" w:color="000000" w:fill="7F7F7F"/>
            <w:noWrap/>
            <w:vAlign w:val="center"/>
            <w:hideMark/>
          </w:tcPr>
          <w:p w:rsidR="00642F89" w:rsidRPr="00642F89" w:rsidRDefault="00642F89" w:rsidP="00642F89">
            <w:pPr>
              <w:jc w:val="right"/>
              <w:rPr>
                <w:rFonts w:cs="Arial"/>
                <w:b/>
                <w:bCs/>
                <w:color w:val="FFFFFF"/>
                <w:szCs w:val="18"/>
                <w:lang w:eastAsia="en-AU"/>
              </w:rPr>
            </w:pPr>
            <w:r w:rsidRPr="00642F89">
              <w:rPr>
                <w:rFonts w:cs="Arial"/>
                <w:b/>
                <w:bCs/>
                <w:color w:val="FFFFFF"/>
                <w:szCs w:val="18"/>
                <w:lang w:eastAsia="en-AU"/>
              </w:rPr>
              <w:t>2012</w:t>
            </w:r>
          </w:p>
        </w:tc>
        <w:tc>
          <w:tcPr>
            <w:tcW w:w="986" w:type="dxa"/>
            <w:tcBorders>
              <w:top w:val="nil"/>
              <w:left w:val="nil"/>
              <w:bottom w:val="nil"/>
              <w:right w:val="nil"/>
            </w:tcBorders>
            <w:shd w:val="clear" w:color="000000" w:fill="7F7F7F"/>
            <w:noWrap/>
            <w:vAlign w:val="center"/>
            <w:hideMark/>
          </w:tcPr>
          <w:p w:rsidR="00642F89" w:rsidRPr="00642F89" w:rsidRDefault="00642F89" w:rsidP="00642F89">
            <w:pPr>
              <w:jc w:val="right"/>
              <w:rPr>
                <w:rFonts w:cs="Arial"/>
                <w:b/>
                <w:bCs/>
                <w:color w:val="FFFFFF"/>
                <w:szCs w:val="18"/>
                <w:lang w:eastAsia="en-AU"/>
              </w:rPr>
            </w:pPr>
            <w:r w:rsidRPr="00642F89">
              <w:rPr>
                <w:rFonts w:cs="Arial"/>
                <w:b/>
                <w:bCs/>
                <w:color w:val="FFFFFF"/>
                <w:szCs w:val="18"/>
                <w:lang w:eastAsia="en-AU"/>
              </w:rPr>
              <w:t>2013</w:t>
            </w:r>
          </w:p>
        </w:tc>
        <w:tc>
          <w:tcPr>
            <w:tcW w:w="986" w:type="dxa"/>
            <w:tcBorders>
              <w:top w:val="nil"/>
              <w:left w:val="nil"/>
              <w:bottom w:val="nil"/>
              <w:right w:val="nil"/>
            </w:tcBorders>
            <w:shd w:val="clear" w:color="000000" w:fill="7F7F7F"/>
            <w:noWrap/>
            <w:vAlign w:val="center"/>
            <w:hideMark/>
          </w:tcPr>
          <w:p w:rsidR="00642F89" w:rsidRPr="00642F89" w:rsidRDefault="00642F89" w:rsidP="00642F89">
            <w:pPr>
              <w:jc w:val="right"/>
              <w:rPr>
                <w:rFonts w:cs="Arial"/>
                <w:b/>
                <w:bCs/>
                <w:color w:val="FFFFFF"/>
                <w:szCs w:val="18"/>
                <w:lang w:eastAsia="en-AU"/>
              </w:rPr>
            </w:pPr>
            <w:r w:rsidRPr="00642F89">
              <w:rPr>
                <w:rFonts w:cs="Arial"/>
                <w:b/>
                <w:bCs/>
                <w:color w:val="FFFFFF"/>
                <w:szCs w:val="18"/>
                <w:lang w:eastAsia="en-AU"/>
              </w:rPr>
              <w:t>2014</w:t>
            </w:r>
          </w:p>
        </w:tc>
        <w:tc>
          <w:tcPr>
            <w:tcW w:w="986" w:type="dxa"/>
            <w:tcBorders>
              <w:top w:val="nil"/>
              <w:left w:val="nil"/>
              <w:bottom w:val="nil"/>
              <w:right w:val="nil"/>
            </w:tcBorders>
            <w:shd w:val="clear" w:color="000000" w:fill="7F7F7F"/>
            <w:noWrap/>
            <w:vAlign w:val="center"/>
            <w:hideMark/>
          </w:tcPr>
          <w:p w:rsidR="00642F89" w:rsidRPr="00642F89" w:rsidRDefault="00642F89" w:rsidP="00642F89">
            <w:pPr>
              <w:jc w:val="right"/>
              <w:rPr>
                <w:rFonts w:cs="Arial"/>
                <w:b/>
                <w:bCs/>
                <w:color w:val="FFFFFF"/>
                <w:szCs w:val="18"/>
                <w:lang w:eastAsia="en-AU"/>
              </w:rPr>
            </w:pPr>
            <w:r w:rsidRPr="00642F89">
              <w:rPr>
                <w:rFonts w:cs="Arial"/>
                <w:b/>
                <w:bCs/>
                <w:color w:val="FFFFFF"/>
                <w:szCs w:val="18"/>
                <w:lang w:eastAsia="en-AU"/>
              </w:rPr>
              <w:t>2015</w:t>
            </w:r>
          </w:p>
        </w:tc>
      </w:tr>
      <w:tr w:rsidR="00642F89" w:rsidRPr="00642F89" w:rsidTr="00642F89">
        <w:trPr>
          <w:trHeight w:val="300"/>
        </w:trPr>
        <w:tc>
          <w:tcPr>
            <w:tcW w:w="2180" w:type="dxa"/>
            <w:tcBorders>
              <w:top w:val="nil"/>
              <w:left w:val="nil"/>
              <w:bottom w:val="nil"/>
              <w:right w:val="nil"/>
            </w:tcBorders>
            <w:shd w:val="clear" w:color="auto" w:fill="auto"/>
            <w:noWrap/>
            <w:vAlign w:val="center"/>
            <w:hideMark/>
          </w:tcPr>
          <w:p w:rsidR="00642F89" w:rsidRPr="00642F89" w:rsidRDefault="00642F89" w:rsidP="00642F89">
            <w:pPr>
              <w:rPr>
                <w:rFonts w:cs="Arial"/>
                <w:color w:val="7F7F7F"/>
                <w:szCs w:val="18"/>
                <w:lang w:eastAsia="en-AU"/>
              </w:rPr>
            </w:pPr>
            <w:r w:rsidRPr="00642F89">
              <w:rPr>
                <w:rFonts w:cs="Arial"/>
                <w:color w:val="7F7F7F"/>
                <w:szCs w:val="18"/>
                <w:lang w:eastAsia="en-AU"/>
              </w:rPr>
              <w:t>Number</w:t>
            </w:r>
          </w:p>
        </w:tc>
        <w:tc>
          <w:tcPr>
            <w:tcW w:w="985" w:type="dxa"/>
            <w:tcBorders>
              <w:top w:val="nil"/>
              <w:left w:val="nil"/>
              <w:bottom w:val="nil"/>
              <w:right w:val="nil"/>
            </w:tcBorders>
            <w:shd w:val="clear" w:color="auto" w:fill="auto"/>
            <w:noWrap/>
            <w:vAlign w:val="center"/>
            <w:hideMark/>
          </w:tcPr>
          <w:p w:rsidR="00642F89" w:rsidRPr="00642F89" w:rsidRDefault="00642F89" w:rsidP="00642F89">
            <w:pPr>
              <w:jc w:val="right"/>
              <w:rPr>
                <w:rFonts w:cs="Arial"/>
                <w:color w:val="7F7F7F"/>
                <w:szCs w:val="18"/>
                <w:lang w:eastAsia="en-AU"/>
              </w:rPr>
            </w:pPr>
            <w:r w:rsidRPr="00642F89">
              <w:rPr>
                <w:rFonts w:cs="Arial"/>
                <w:color w:val="7F7F7F"/>
                <w:szCs w:val="18"/>
                <w:lang w:eastAsia="en-AU"/>
              </w:rPr>
              <w:t>18,328</w:t>
            </w:r>
          </w:p>
        </w:tc>
        <w:tc>
          <w:tcPr>
            <w:tcW w:w="986" w:type="dxa"/>
            <w:tcBorders>
              <w:top w:val="nil"/>
              <w:left w:val="nil"/>
              <w:bottom w:val="nil"/>
              <w:right w:val="nil"/>
            </w:tcBorders>
            <w:shd w:val="clear" w:color="auto" w:fill="auto"/>
            <w:noWrap/>
            <w:vAlign w:val="center"/>
            <w:hideMark/>
          </w:tcPr>
          <w:p w:rsidR="00642F89" w:rsidRPr="00642F89" w:rsidRDefault="00642F89" w:rsidP="00642F89">
            <w:pPr>
              <w:jc w:val="right"/>
              <w:rPr>
                <w:rFonts w:cs="Arial"/>
                <w:color w:val="7F7F7F"/>
                <w:szCs w:val="18"/>
                <w:lang w:eastAsia="en-AU"/>
              </w:rPr>
            </w:pPr>
            <w:r w:rsidRPr="00642F89">
              <w:rPr>
                <w:rFonts w:cs="Arial"/>
                <w:color w:val="7F7F7F"/>
                <w:szCs w:val="18"/>
                <w:lang w:eastAsia="en-AU"/>
              </w:rPr>
              <w:t>18,686</w:t>
            </w:r>
          </w:p>
        </w:tc>
        <w:tc>
          <w:tcPr>
            <w:tcW w:w="986" w:type="dxa"/>
            <w:tcBorders>
              <w:top w:val="nil"/>
              <w:left w:val="nil"/>
              <w:bottom w:val="nil"/>
              <w:right w:val="nil"/>
            </w:tcBorders>
            <w:shd w:val="clear" w:color="auto" w:fill="auto"/>
            <w:noWrap/>
            <w:vAlign w:val="center"/>
            <w:hideMark/>
          </w:tcPr>
          <w:p w:rsidR="00642F89" w:rsidRPr="00642F89" w:rsidRDefault="00642F89" w:rsidP="00642F89">
            <w:pPr>
              <w:jc w:val="right"/>
              <w:rPr>
                <w:rFonts w:cs="Arial"/>
                <w:color w:val="7F7F7F"/>
                <w:szCs w:val="18"/>
                <w:lang w:eastAsia="en-AU"/>
              </w:rPr>
            </w:pPr>
            <w:r w:rsidRPr="00642F89">
              <w:rPr>
                <w:rFonts w:cs="Arial"/>
                <w:color w:val="7F7F7F"/>
                <w:szCs w:val="18"/>
                <w:lang w:eastAsia="en-AU"/>
              </w:rPr>
              <w:t>20,543</w:t>
            </w:r>
          </w:p>
        </w:tc>
        <w:tc>
          <w:tcPr>
            <w:tcW w:w="986" w:type="dxa"/>
            <w:tcBorders>
              <w:top w:val="nil"/>
              <w:left w:val="nil"/>
              <w:bottom w:val="nil"/>
              <w:right w:val="nil"/>
            </w:tcBorders>
            <w:shd w:val="clear" w:color="auto" w:fill="auto"/>
            <w:noWrap/>
            <w:vAlign w:val="center"/>
            <w:hideMark/>
          </w:tcPr>
          <w:p w:rsidR="00642F89" w:rsidRPr="00642F89" w:rsidRDefault="00642F89" w:rsidP="00642F89">
            <w:pPr>
              <w:jc w:val="right"/>
              <w:rPr>
                <w:rFonts w:cs="Arial"/>
                <w:color w:val="7F7F7F"/>
                <w:szCs w:val="18"/>
                <w:lang w:eastAsia="en-AU"/>
              </w:rPr>
            </w:pPr>
            <w:r w:rsidRPr="00642F89">
              <w:rPr>
                <w:rFonts w:cs="Arial"/>
                <w:color w:val="7F7F7F"/>
                <w:szCs w:val="18"/>
                <w:lang w:eastAsia="en-AU"/>
              </w:rPr>
              <w:t>20,093</w:t>
            </w:r>
          </w:p>
        </w:tc>
        <w:tc>
          <w:tcPr>
            <w:tcW w:w="986" w:type="dxa"/>
            <w:tcBorders>
              <w:top w:val="nil"/>
              <w:left w:val="nil"/>
              <w:bottom w:val="nil"/>
              <w:right w:val="nil"/>
            </w:tcBorders>
            <w:shd w:val="clear" w:color="auto" w:fill="auto"/>
            <w:noWrap/>
            <w:vAlign w:val="center"/>
            <w:hideMark/>
          </w:tcPr>
          <w:p w:rsidR="00642F89" w:rsidRPr="00642F89" w:rsidRDefault="00642F89" w:rsidP="00642F89">
            <w:pPr>
              <w:jc w:val="right"/>
              <w:rPr>
                <w:rFonts w:cs="Arial"/>
                <w:color w:val="7F7F7F"/>
                <w:szCs w:val="18"/>
                <w:lang w:eastAsia="en-AU"/>
              </w:rPr>
            </w:pPr>
            <w:r w:rsidRPr="00642F89">
              <w:rPr>
                <w:rFonts w:cs="Arial"/>
                <w:color w:val="7F7F7F"/>
                <w:szCs w:val="18"/>
                <w:lang w:eastAsia="en-AU"/>
              </w:rPr>
              <w:t>16,381</w:t>
            </w:r>
          </w:p>
        </w:tc>
        <w:tc>
          <w:tcPr>
            <w:tcW w:w="986" w:type="dxa"/>
            <w:tcBorders>
              <w:top w:val="nil"/>
              <w:left w:val="nil"/>
              <w:bottom w:val="nil"/>
              <w:right w:val="nil"/>
            </w:tcBorders>
            <w:shd w:val="clear" w:color="auto" w:fill="auto"/>
            <w:noWrap/>
            <w:vAlign w:val="center"/>
            <w:hideMark/>
          </w:tcPr>
          <w:p w:rsidR="00642F89" w:rsidRPr="00642F89" w:rsidRDefault="00642F89" w:rsidP="00642F89">
            <w:pPr>
              <w:jc w:val="right"/>
              <w:rPr>
                <w:rFonts w:cs="Arial"/>
                <w:color w:val="7F7F7F"/>
                <w:szCs w:val="18"/>
                <w:lang w:eastAsia="en-AU"/>
              </w:rPr>
            </w:pPr>
            <w:r w:rsidRPr="00642F89">
              <w:rPr>
                <w:rFonts w:cs="Arial"/>
                <w:color w:val="7F7F7F"/>
                <w:szCs w:val="18"/>
                <w:lang w:eastAsia="en-AU"/>
              </w:rPr>
              <w:t>13,771</w:t>
            </w:r>
          </w:p>
        </w:tc>
      </w:tr>
      <w:tr w:rsidR="00642F89" w:rsidRPr="00642F89" w:rsidTr="00642F89">
        <w:trPr>
          <w:trHeight w:val="315"/>
        </w:trPr>
        <w:tc>
          <w:tcPr>
            <w:tcW w:w="2180" w:type="dxa"/>
            <w:tcBorders>
              <w:top w:val="nil"/>
              <w:left w:val="nil"/>
              <w:bottom w:val="single" w:sz="12" w:space="0" w:color="7F7F7F"/>
              <w:right w:val="nil"/>
            </w:tcBorders>
            <w:shd w:val="clear" w:color="auto" w:fill="auto"/>
            <w:noWrap/>
            <w:vAlign w:val="center"/>
            <w:hideMark/>
          </w:tcPr>
          <w:p w:rsidR="00642F89" w:rsidRPr="00642F89" w:rsidRDefault="00642F89" w:rsidP="00642F89">
            <w:pPr>
              <w:rPr>
                <w:rFonts w:cs="Arial"/>
                <w:color w:val="7F7F7F"/>
                <w:szCs w:val="18"/>
                <w:lang w:eastAsia="en-AU"/>
              </w:rPr>
            </w:pPr>
            <w:r w:rsidRPr="00642F89">
              <w:rPr>
                <w:rFonts w:cs="Arial"/>
                <w:color w:val="7F7F7F"/>
                <w:szCs w:val="18"/>
                <w:lang w:eastAsia="en-AU"/>
              </w:rPr>
              <w:t>TAFE share</w:t>
            </w:r>
          </w:p>
        </w:tc>
        <w:tc>
          <w:tcPr>
            <w:tcW w:w="985" w:type="dxa"/>
            <w:tcBorders>
              <w:top w:val="nil"/>
              <w:left w:val="nil"/>
              <w:bottom w:val="single" w:sz="12" w:space="0" w:color="7F7F7F"/>
              <w:right w:val="nil"/>
            </w:tcBorders>
            <w:shd w:val="clear" w:color="auto" w:fill="auto"/>
            <w:noWrap/>
            <w:vAlign w:val="center"/>
            <w:hideMark/>
          </w:tcPr>
          <w:p w:rsidR="00642F89" w:rsidRPr="00642F89" w:rsidRDefault="00642F89" w:rsidP="00642F89">
            <w:pPr>
              <w:jc w:val="right"/>
              <w:rPr>
                <w:rFonts w:cs="Arial"/>
                <w:color w:val="7F7F7F"/>
                <w:szCs w:val="18"/>
                <w:lang w:eastAsia="en-AU"/>
              </w:rPr>
            </w:pPr>
            <w:r w:rsidRPr="00642F89">
              <w:rPr>
                <w:rFonts w:cs="Arial"/>
                <w:color w:val="7F7F7F"/>
                <w:szCs w:val="18"/>
                <w:lang w:eastAsia="en-AU"/>
              </w:rPr>
              <w:t>47%</w:t>
            </w:r>
          </w:p>
        </w:tc>
        <w:tc>
          <w:tcPr>
            <w:tcW w:w="986" w:type="dxa"/>
            <w:tcBorders>
              <w:top w:val="nil"/>
              <w:left w:val="nil"/>
              <w:bottom w:val="single" w:sz="12" w:space="0" w:color="7F7F7F"/>
              <w:right w:val="nil"/>
            </w:tcBorders>
            <w:shd w:val="clear" w:color="auto" w:fill="auto"/>
            <w:noWrap/>
            <w:vAlign w:val="center"/>
            <w:hideMark/>
          </w:tcPr>
          <w:p w:rsidR="00642F89" w:rsidRPr="00642F89" w:rsidRDefault="00642F89" w:rsidP="00642F89">
            <w:pPr>
              <w:jc w:val="right"/>
              <w:rPr>
                <w:rFonts w:cs="Arial"/>
                <w:color w:val="7F7F7F"/>
                <w:szCs w:val="18"/>
                <w:lang w:eastAsia="en-AU"/>
              </w:rPr>
            </w:pPr>
            <w:r w:rsidRPr="00642F89">
              <w:rPr>
                <w:rFonts w:cs="Arial"/>
                <w:color w:val="7F7F7F"/>
                <w:szCs w:val="18"/>
                <w:lang w:eastAsia="en-AU"/>
              </w:rPr>
              <w:t>35%</w:t>
            </w:r>
          </w:p>
        </w:tc>
        <w:tc>
          <w:tcPr>
            <w:tcW w:w="986" w:type="dxa"/>
            <w:tcBorders>
              <w:top w:val="nil"/>
              <w:left w:val="nil"/>
              <w:bottom w:val="single" w:sz="12" w:space="0" w:color="7F7F7F"/>
              <w:right w:val="nil"/>
            </w:tcBorders>
            <w:shd w:val="clear" w:color="auto" w:fill="auto"/>
            <w:noWrap/>
            <w:vAlign w:val="center"/>
            <w:hideMark/>
          </w:tcPr>
          <w:p w:rsidR="00642F89" w:rsidRPr="00642F89" w:rsidRDefault="00642F89" w:rsidP="00642F89">
            <w:pPr>
              <w:jc w:val="right"/>
              <w:rPr>
                <w:rFonts w:cs="Arial"/>
                <w:color w:val="7F7F7F"/>
                <w:szCs w:val="18"/>
                <w:lang w:eastAsia="en-AU"/>
              </w:rPr>
            </w:pPr>
            <w:r w:rsidRPr="00642F89">
              <w:rPr>
                <w:rFonts w:cs="Arial"/>
                <w:color w:val="7F7F7F"/>
                <w:szCs w:val="18"/>
                <w:lang w:eastAsia="en-AU"/>
              </w:rPr>
              <w:t>27%</w:t>
            </w:r>
          </w:p>
        </w:tc>
        <w:tc>
          <w:tcPr>
            <w:tcW w:w="986" w:type="dxa"/>
            <w:tcBorders>
              <w:top w:val="nil"/>
              <w:left w:val="nil"/>
              <w:bottom w:val="single" w:sz="12" w:space="0" w:color="7F7F7F"/>
              <w:right w:val="nil"/>
            </w:tcBorders>
            <w:shd w:val="clear" w:color="auto" w:fill="auto"/>
            <w:noWrap/>
            <w:vAlign w:val="center"/>
            <w:hideMark/>
          </w:tcPr>
          <w:p w:rsidR="00642F89" w:rsidRPr="00642F89" w:rsidRDefault="00642F89" w:rsidP="00642F89">
            <w:pPr>
              <w:jc w:val="right"/>
              <w:rPr>
                <w:rFonts w:cs="Arial"/>
                <w:color w:val="7F7F7F"/>
                <w:szCs w:val="18"/>
                <w:lang w:eastAsia="en-AU"/>
              </w:rPr>
            </w:pPr>
            <w:r w:rsidRPr="00642F89">
              <w:rPr>
                <w:rFonts w:cs="Arial"/>
                <w:color w:val="7F7F7F"/>
                <w:szCs w:val="18"/>
                <w:lang w:eastAsia="en-AU"/>
              </w:rPr>
              <w:t>25%</w:t>
            </w:r>
          </w:p>
        </w:tc>
        <w:tc>
          <w:tcPr>
            <w:tcW w:w="986" w:type="dxa"/>
            <w:tcBorders>
              <w:top w:val="nil"/>
              <w:left w:val="nil"/>
              <w:bottom w:val="single" w:sz="12" w:space="0" w:color="7F7F7F"/>
              <w:right w:val="nil"/>
            </w:tcBorders>
            <w:shd w:val="clear" w:color="auto" w:fill="auto"/>
            <w:noWrap/>
            <w:vAlign w:val="center"/>
            <w:hideMark/>
          </w:tcPr>
          <w:p w:rsidR="00642F89" w:rsidRPr="00642F89" w:rsidRDefault="00642F89" w:rsidP="00642F89">
            <w:pPr>
              <w:jc w:val="right"/>
              <w:rPr>
                <w:rFonts w:cs="Arial"/>
                <w:color w:val="7F7F7F"/>
                <w:szCs w:val="18"/>
                <w:lang w:eastAsia="en-AU"/>
              </w:rPr>
            </w:pPr>
            <w:r w:rsidRPr="00642F89">
              <w:rPr>
                <w:rFonts w:cs="Arial"/>
                <w:color w:val="7F7F7F"/>
                <w:szCs w:val="18"/>
                <w:lang w:eastAsia="en-AU"/>
              </w:rPr>
              <w:t>18%</w:t>
            </w:r>
          </w:p>
        </w:tc>
        <w:tc>
          <w:tcPr>
            <w:tcW w:w="986" w:type="dxa"/>
            <w:tcBorders>
              <w:top w:val="nil"/>
              <w:left w:val="nil"/>
              <w:bottom w:val="single" w:sz="12" w:space="0" w:color="7F7F7F"/>
              <w:right w:val="nil"/>
            </w:tcBorders>
            <w:shd w:val="clear" w:color="auto" w:fill="auto"/>
            <w:noWrap/>
            <w:vAlign w:val="center"/>
            <w:hideMark/>
          </w:tcPr>
          <w:p w:rsidR="00642F89" w:rsidRPr="00642F89" w:rsidRDefault="00642F89" w:rsidP="00642F89">
            <w:pPr>
              <w:jc w:val="right"/>
              <w:rPr>
                <w:rFonts w:cs="Arial"/>
                <w:color w:val="7F7F7F"/>
                <w:szCs w:val="18"/>
                <w:lang w:eastAsia="en-AU"/>
              </w:rPr>
            </w:pPr>
            <w:r w:rsidRPr="00642F89">
              <w:rPr>
                <w:rFonts w:cs="Arial"/>
                <w:color w:val="7F7F7F"/>
                <w:szCs w:val="18"/>
                <w:lang w:eastAsia="en-AU"/>
              </w:rPr>
              <w:t>17%</w:t>
            </w:r>
          </w:p>
        </w:tc>
      </w:tr>
    </w:tbl>
    <w:p w:rsidR="003B68C7" w:rsidRDefault="003B68C7"/>
    <w:p w:rsidR="00642F89" w:rsidRDefault="00642F89"/>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642F89" w:rsidTr="00007BAC">
        <w:tc>
          <w:tcPr>
            <w:tcW w:w="1134" w:type="dxa"/>
            <w:tcMar>
              <w:left w:w="0" w:type="dxa"/>
              <w:right w:w="0" w:type="dxa"/>
            </w:tcMar>
          </w:tcPr>
          <w:p w:rsidR="00642F89" w:rsidRDefault="00642F89" w:rsidP="0084117E">
            <w:pPr>
              <w:pStyle w:val="Quote"/>
              <w:tabs>
                <w:tab w:val="left" w:pos="1134"/>
              </w:tabs>
              <w:rPr>
                <w:b w:val="0"/>
                <w:color w:val="B41F22" w:themeColor="accent1"/>
              </w:rPr>
            </w:pPr>
            <w:r>
              <w:rPr>
                <w:b w:val="0"/>
                <w:color w:val="B41F22" w:themeColor="accent1"/>
              </w:rPr>
              <w:t>Table 1.2</w:t>
            </w:r>
            <w:r w:rsidR="0084117E">
              <w:rPr>
                <w:b w:val="0"/>
                <w:color w:val="B41F22" w:themeColor="accent1"/>
              </w:rPr>
              <w:t>8</w:t>
            </w:r>
            <w:r>
              <w:rPr>
                <w:b w:val="0"/>
                <w:color w:val="B41F22" w:themeColor="accent1"/>
              </w:rPr>
              <w:t>:</w:t>
            </w:r>
          </w:p>
        </w:tc>
        <w:tc>
          <w:tcPr>
            <w:tcW w:w="6946" w:type="dxa"/>
            <w:tcMar>
              <w:left w:w="0" w:type="dxa"/>
              <w:right w:w="0" w:type="dxa"/>
            </w:tcMar>
          </w:tcPr>
          <w:p w:rsidR="00642F89" w:rsidRDefault="00642F89" w:rsidP="007E03F8">
            <w:pPr>
              <w:pStyle w:val="Quote"/>
              <w:tabs>
                <w:tab w:val="left" w:pos="1134"/>
              </w:tabs>
              <w:rPr>
                <w:b w:val="0"/>
                <w:color w:val="B41F22" w:themeColor="accent1"/>
              </w:rPr>
            </w:pPr>
            <w:r w:rsidRPr="00642F89">
              <w:rPr>
                <w:b w:val="0"/>
                <w:color w:val="B41F22" w:themeColor="accent1"/>
              </w:rPr>
              <w:t xml:space="preserve">Disabled students enrolled in government subsidised training </w:t>
            </w:r>
            <w:r w:rsidR="007E03F8">
              <w:rPr>
                <w:b w:val="0"/>
                <w:color w:val="B41F22" w:themeColor="accent1"/>
              </w:rPr>
              <w:t>at</w:t>
            </w:r>
            <w:r w:rsidRPr="00642F89">
              <w:rPr>
                <w:b w:val="0"/>
                <w:color w:val="B41F22" w:themeColor="accent1"/>
              </w:rPr>
              <w:t xml:space="preserve"> TAFE, 2010 to 2015 (half year)</w:t>
            </w:r>
          </w:p>
        </w:tc>
      </w:tr>
    </w:tbl>
    <w:tbl>
      <w:tblPr>
        <w:tblW w:w="8095" w:type="dxa"/>
        <w:tblInd w:w="93" w:type="dxa"/>
        <w:tblLayout w:type="fixed"/>
        <w:tblLook w:val="04A0" w:firstRow="1" w:lastRow="0" w:firstColumn="1" w:lastColumn="0" w:noHBand="0" w:noVBand="1"/>
      </w:tblPr>
      <w:tblGrid>
        <w:gridCol w:w="2180"/>
        <w:gridCol w:w="985"/>
        <w:gridCol w:w="986"/>
        <w:gridCol w:w="986"/>
        <w:gridCol w:w="986"/>
        <w:gridCol w:w="986"/>
        <w:gridCol w:w="986"/>
      </w:tblGrid>
      <w:tr w:rsidR="00642F89" w:rsidRPr="00642F89" w:rsidTr="00642F89">
        <w:trPr>
          <w:trHeight w:val="300"/>
        </w:trPr>
        <w:tc>
          <w:tcPr>
            <w:tcW w:w="2180" w:type="dxa"/>
            <w:tcBorders>
              <w:top w:val="nil"/>
              <w:left w:val="nil"/>
              <w:bottom w:val="nil"/>
              <w:right w:val="nil"/>
            </w:tcBorders>
            <w:shd w:val="clear" w:color="000000" w:fill="7F7F7F"/>
            <w:noWrap/>
            <w:vAlign w:val="center"/>
            <w:hideMark/>
          </w:tcPr>
          <w:p w:rsidR="00642F89" w:rsidRPr="00642F89" w:rsidRDefault="00642F89" w:rsidP="00642F89">
            <w:pPr>
              <w:rPr>
                <w:rFonts w:cs="Arial"/>
                <w:color w:val="FFFFFF"/>
                <w:szCs w:val="18"/>
                <w:lang w:eastAsia="en-AU"/>
              </w:rPr>
            </w:pPr>
            <w:r w:rsidRPr="00642F89">
              <w:rPr>
                <w:rFonts w:cs="Arial"/>
                <w:color w:val="FFFFFF"/>
                <w:szCs w:val="18"/>
                <w:lang w:eastAsia="en-AU"/>
              </w:rPr>
              <w:t> </w:t>
            </w:r>
          </w:p>
        </w:tc>
        <w:tc>
          <w:tcPr>
            <w:tcW w:w="985" w:type="dxa"/>
            <w:tcBorders>
              <w:top w:val="nil"/>
              <w:left w:val="nil"/>
              <w:bottom w:val="nil"/>
              <w:right w:val="nil"/>
            </w:tcBorders>
            <w:shd w:val="clear" w:color="000000" w:fill="7F7F7F"/>
            <w:noWrap/>
            <w:vAlign w:val="center"/>
            <w:hideMark/>
          </w:tcPr>
          <w:p w:rsidR="00642F89" w:rsidRPr="00642F89" w:rsidRDefault="00642F89" w:rsidP="00642F89">
            <w:pPr>
              <w:jc w:val="right"/>
              <w:rPr>
                <w:rFonts w:cs="Arial"/>
                <w:b/>
                <w:bCs/>
                <w:color w:val="FFFFFF"/>
                <w:szCs w:val="18"/>
                <w:lang w:eastAsia="en-AU"/>
              </w:rPr>
            </w:pPr>
            <w:r w:rsidRPr="00642F89">
              <w:rPr>
                <w:rFonts w:cs="Arial"/>
                <w:b/>
                <w:bCs/>
                <w:color w:val="FFFFFF"/>
                <w:szCs w:val="18"/>
                <w:lang w:eastAsia="en-AU"/>
              </w:rPr>
              <w:t>2010</w:t>
            </w:r>
          </w:p>
        </w:tc>
        <w:tc>
          <w:tcPr>
            <w:tcW w:w="986" w:type="dxa"/>
            <w:tcBorders>
              <w:top w:val="nil"/>
              <w:left w:val="nil"/>
              <w:bottom w:val="nil"/>
              <w:right w:val="nil"/>
            </w:tcBorders>
            <w:shd w:val="clear" w:color="000000" w:fill="7F7F7F"/>
            <w:noWrap/>
            <w:vAlign w:val="center"/>
            <w:hideMark/>
          </w:tcPr>
          <w:p w:rsidR="00642F89" w:rsidRPr="00642F89" w:rsidRDefault="00642F89" w:rsidP="00642F89">
            <w:pPr>
              <w:jc w:val="right"/>
              <w:rPr>
                <w:rFonts w:cs="Arial"/>
                <w:b/>
                <w:bCs/>
                <w:color w:val="FFFFFF"/>
                <w:szCs w:val="18"/>
                <w:lang w:eastAsia="en-AU"/>
              </w:rPr>
            </w:pPr>
            <w:r w:rsidRPr="00642F89">
              <w:rPr>
                <w:rFonts w:cs="Arial"/>
                <w:b/>
                <w:bCs/>
                <w:color w:val="FFFFFF"/>
                <w:szCs w:val="18"/>
                <w:lang w:eastAsia="en-AU"/>
              </w:rPr>
              <w:t>2011</w:t>
            </w:r>
          </w:p>
        </w:tc>
        <w:tc>
          <w:tcPr>
            <w:tcW w:w="986" w:type="dxa"/>
            <w:tcBorders>
              <w:top w:val="nil"/>
              <w:left w:val="nil"/>
              <w:bottom w:val="nil"/>
              <w:right w:val="nil"/>
            </w:tcBorders>
            <w:shd w:val="clear" w:color="000000" w:fill="7F7F7F"/>
            <w:noWrap/>
            <w:vAlign w:val="center"/>
            <w:hideMark/>
          </w:tcPr>
          <w:p w:rsidR="00642F89" w:rsidRPr="00642F89" w:rsidRDefault="00642F89" w:rsidP="00642F89">
            <w:pPr>
              <w:jc w:val="right"/>
              <w:rPr>
                <w:rFonts w:cs="Arial"/>
                <w:b/>
                <w:bCs/>
                <w:color w:val="FFFFFF"/>
                <w:szCs w:val="18"/>
                <w:lang w:eastAsia="en-AU"/>
              </w:rPr>
            </w:pPr>
            <w:r w:rsidRPr="00642F89">
              <w:rPr>
                <w:rFonts w:cs="Arial"/>
                <w:b/>
                <w:bCs/>
                <w:color w:val="FFFFFF"/>
                <w:szCs w:val="18"/>
                <w:lang w:eastAsia="en-AU"/>
              </w:rPr>
              <w:t>2012</w:t>
            </w:r>
          </w:p>
        </w:tc>
        <w:tc>
          <w:tcPr>
            <w:tcW w:w="986" w:type="dxa"/>
            <w:tcBorders>
              <w:top w:val="nil"/>
              <w:left w:val="nil"/>
              <w:bottom w:val="nil"/>
              <w:right w:val="nil"/>
            </w:tcBorders>
            <w:shd w:val="clear" w:color="000000" w:fill="7F7F7F"/>
            <w:noWrap/>
            <w:vAlign w:val="center"/>
            <w:hideMark/>
          </w:tcPr>
          <w:p w:rsidR="00642F89" w:rsidRPr="00642F89" w:rsidRDefault="00642F89" w:rsidP="00642F89">
            <w:pPr>
              <w:jc w:val="right"/>
              <w:rPr>
                <w:rFonts w:cs="Arial"/>
                <w:b/>
                <w:bCs/>
                <w:color w:val="FFFFFF"/>
                <w:szCs w:val="18"/>
                <w:lang w:eastAsia="en-AU"/>
              </w:rPr>
            </w:pPr>
            <w:r w:rsidRPr="00642F89">
              <w:rPr>
                <w:rFonts w:cs="Arial"/>
                <w:b/>
                <w:bCs/>
                <w:color w:val="FFFFFF"/>
                <w:szCs w:val="18"/>
                <w:lang w:eastAsia="en-AU"/>
              </w:rPr>
              <w:t>2013</w:t>
            </w:r>
          </w:p>
        </w:tc>
        <w:tc>
          <w:tcPr>
            <w:tcW w:w="986" w:type="dxa"/>
            <w:tcBorders>
              <w:top w:val="nil"/>
              <w:left w:val="nil"/>
              <w:bottom w:val="nil"/>
              <w:right w:val="nil"/>
            </w:tcBorders>
            <w:shd w:val="clear" w:color="000000" w:fill="7F7F7F"/>
            <w:noWrap/>
            <w:vAlign w:val="center"/>
            <w:hideMark/>
          </w:tcPr>
          <w:p w:rsidR="00642F89" w:rsidRPr="00642F89" w:rsidRDefault="00642F89" w:rsidP="00642F89">
            <w:pPr>
              <w:jc w:val="right"/>
              <w:rPr>
                <w:rFonts w:cs="Arial"/>
                <w:b/>
                <w:bCs/>
                <w:color w:val="FFFFFF"/>
                <w:szCs w:val="18"/>
                <w:lang w:eastAsia="en-AU"/>
              </w:rPr>
            </w:pPr>
            <w:r w:rsidRPr="00642F89">
              <w:rPr>
                <w:rFonts w:cs="Arial"/>
                <w:b/>
                <w:bCs/>
                <w:color w:val="FFFFFF"/>
                <w:szCs w:val="18"/>
                <w:lang w:eastAsia="en-AU"/>
              </w:rPr>
              <w:t>2014</w:t>
            </w:r>
          </w:p>
        </w:tc>
        <w:tc>
          <w:tcPr>
            <w:tcW w:w="986" w:type="dxa"/>
            <w:tcBorders>
              <w:top w:val="nil"/>
              <w:left w:val="nil"/>
              <w:bottom w:val="nil"/>
              <w:right w:val="nil"/>
            </w:tcBorders>
            <w:shd w:val="clear" w:color="000000" w:fill="7F7F7F"/>
            <w:noWrap/>
            <w:vAlign w:val="center"/>
            <w:hideMark/>
          </w:tcPr>
          <w:p w:rsidR="00642F89" w:rsidRPr="00642F89" w:rsidRDefault="00642F89" w:rsidP="00642F89">
            <w:pPr>
              <w:jc w:val="right"/>
              <w:rPr>
                <w:rFonts w:cs="Arial"/>
                <w:b/>
                <w:bCs/>
                <w:color w:val="FFFFFF"/>
                <w:szCs w:val="18"/>
                <w:lang w:eastAsia="en-AU"/>
              </w:rPr>
            </w:pPr>
            <w:r w:rsidRPr="00642F89">
              <w:rPr>
                <w:rFonts w:cs="Arial"/>
                <w:b/>
                <w:bCs/>
                <w:color w:val="FFFFFF"/>
                <w:szCs w:val="18"/>
                <w:lang w:eastAsia="en-AU"/>
              </w:rPr>
              <w:t>2015</w:t>
            </w:r>
          </w:p>
        </w:tc>
      </w:tr>
      <w:tr w:rsidR="00642F89" w:rsidRPr="00642F89" w:rsidTr="00642F89">
        <w:trPr>
          <w:trHeight w:val="300"/>
        </w:trPr>
        <w:tc>
          <w:tcPr>
            <w:tcW w:w="2180" w:type="dxa"/>
            <w:tcBorders>
              <w:top w:val="nil"/>
              <w:left w:val="nil"/>
              <w:bottom w:val="nil"/>
              <w:right w:val="nil"/>
            </w:tcBorders>
            <w:shd w:val="clear" w:color="auto" w:fill="auto"/>
            <w:noWrap/>
            <w:vAlign w:val="center"/>
            <w:hideMark/>
          </w:tcPr>
          <w:p w:rsidR="00642F89" w:rsidRPr="00642F89" w:rsidRDefault="00642F89" w:rsidP="00642F89">
            <w:pPr>
              <w:rPr>
                <w:rFonts w:cs="Arial"/>
                <w:color w:val="7F7F7F"/>
                <w:szCs w:val="18"/>
                <w:lang w:eastAsia="en-AU"/>
              </w:rPr>
            </w:pPr>
            <w:r w:rsidRPr="00642F89">
              <w:rPr>
                <w:rFonts w:cs="Arial"/>
                <w:color w:val="7F7F7F"/>
                <w:szCs w:val="18"/>
                <w:lang w:eastAsia="en-AU"/>
              </w:rPr>
              <w:t>Number</w:t>
            </w:r>
          </w:p>
        </w:tc>
        <w:tc>
          <w:tcPr>
            <w:tcW w:w="985" w:type="dxa"/>
            <w:tcBorders>
              <w:top w:val="nil"/>
              <w:left w:val="nil"/>
              <w:bottom w:val="nil"/>
              <w:right w:val="nil"/>
            </w:tcBorders>
            <w:shd w:val="clear" w:color="auto" w:fill="auto"/>
            <w:noWrap/>
            <w:vAlign w:val="center"/>
            <w:hideMark/>
          </w:tcPr>
          <w:p w:rsidR="00642F89" w:rsidRPr="00642F89" w:rsidRDefault="00642F89" w:rsidP="00642F89">
            <w:pPr>
              <w:jc w:val="right"/>
              <w:rPr>
                <w:rFonts w:cs="Arial"/>
                <w:color w:val="7F7F7F"/>
                <w:szCs w:val="18"/>
                <w:lang w:eastAsia="en-AU"/>
              </w:rPr>
            </w:pPr>
            <w:r w:rsidRPr="00642F89">
              <w:rPr>
                <w:rFonts w:cs="Arial"/>
                <w:color w:val="7F7F7F"/>
                <w:szCs w:val="18"/>
                <w:lang w:eastAsia="en-AU"/>
              </w:rPr>
              <w:t>8,026</w:t>
            </w:r>
          </w:p>
        </w:tc>
        <w:tc>
          <w:tcPr>
            <w:tcW w:w="986" w:type="dxa"/>
            <w:tcBorders>
              <w:top w:val="nil"/>
              <w:left w:val="nil"/>
              <w:bottom w:val="nil"/>
              <w:right w:val="nil"/>
            </w:tcBorders>
            <w:shd w:val="clear" w:color="auto" w:fill="auto"/>
            <w:noWrap/>
            <w:vAlign w:val="center"/>
            <w:hideMark/>
          </w:tcPr>
          <w:p w:rsidR="00642F89" w:rsidRPr="00642F89" w:rsidRDefault="00642F89" w:rsidP="00642F89">
            <w:pPr>
              <w:jc w:val="right"/>
              <w:rPr>
                <w:rFonts w:cs="Arial"/>
                <w:color w:val="7F7F7F"/>
                <w:szCs w:val="18"/>
                <w:lang w:eastAsia="en-AU"/>
              </w:rPr>
            </w:pPr>
            <w:r w:rsidRPr="00642F89">
              <w:rPr>
                <w:rFonts w:cs="Arial"/>
                <w:color w:val="7F7F7F"/>
                <w:szCs w:val="18"/>
                <w:lang w:eastAsia="en-AU"/>
              </w:rPr>
              <w:t>8,372</w:t>
            </w:r>
          </w:p>
        </w:tc>
        <w:tc>
          <w:tcPr>
            <w:tcW w:w="986" w:type="dxa"/>
            <w:tcBorders>
              <w:top w:val="nil"/>
              <w:left w:val="nil"/>
              <w:bottom w:val="nil"/>
              <w:right w:val="nil"/>
            </w:tcBorders>
            <w:shd w:val="clear" w:color="auto" w:fill="auto"/>
            <w:noWrap/>
            <w:vAlign w:val="center"/>
            <w:hideMark/>
          </w:tcPr>
          <w:p w:rsidR="00642F89" w:rsidRPr="00642F89" w:rsidRDefault="00642F89" w:rsidP="00642F89">
            <w:pPr>
              <w:jc w:val="right"/>
              <w:rPr>
                <w:rFonts w:cs="Arial"/>
                <w:color w:val="7F7F7F"/>
                <w:szCs w:val="18"/>
                <w:lang w:eastAsia="en-AU"/>
              </w:rPr>
            </w:pPr>
            <w:r w:rsidRPr="00642F89">
              <w:rPr>
                <w:rFonts w:cs="Arial"/>
                <w:color w:val="7F7F7F"/>
                <w:szCs w:val="18"/>
                <w:lang w:eastAsia="en-AU"/>
              </w:rPr>
              <w:t>8,395</w:t>
            </w:r>
          </w:p>
        </w:tc>
        <w:tc>
          <w:tcPr>
            <w:tcW w:w="986" w:type="dxa"/>
            <w:tcBorders>
              <w:top w:val="nil"/>
              <w:left w:val="nil"/>
              <w:bottom w:val="nil"/>
              <w:right w:val="nil"/>
            </w:tcBorders>
            <w:shd w:val="clear" w:color="auto" w:fill="auto"/>
            <w:noWrap/>
            <w:vAlign w:val="center"/>
            <w:hideMark/>
          </w:tcPr>
          <w:p w:rsidR="00642F89" w:rsidRPr="00642F89" w:rsidRDefault="00642F89" w:rsidP="00642F89">
            <w:pPr>
              <w:jc w:val="right"/>
              <w:rPr>
                <w:rFonts w:cs="Arial"/>
                <w:color w:val="7F7F7F"/>
                <w:szCs w:val="18"/>
                <w:lang w:eastAsia="en-AU"/>
              </w:rPr>
            </w:pPr>
            <w:r w:rsidRPr="00642F89">
              <w:rPr>
                <w:rFonts w:cs="Arial"/>
                <w:color w:val="7F7F7F"/>
                <w:szCs w:val="18"/>
                <w:lang w:eastAsia="en-AU"/>
              </w:rPr>
              <w:t>7,376</w:t>
            </w:r>
          </w:p>
        </w:tc>
        <w:tc>
          <w:tcPr>
            <w:tcW w:w="986" w:type="dxa"/>
            <w:tcBorders>
              <w:top w:val="nil"/>
              <w:left w:val="nil"/>
              <w:bottom w:val="nil"/>
              <w:right w:val="nil"/>
            </w:tcBorders>
            <w:shd w:val="clear" w:color="auto" w:fill="auto"/>
            <w:noWrap/>
            <w:vAlign w:val="center"/>
            <w:hideMark/>
          </w:tcPr>
          <w:p w:rsidR="00642F89" w:rsidRPr="00642F89" w:rsidRDefault="00642F89" w:rsidP="00642F89">
            <w:pPr>
              <w:jc w:val="right"/>
              <w:rPr>
                <w:rFonts w:cs="Arial"/>
                <w:color w:val="7F7F7F"/>
                <w:szCs w:val="18"/>
                <w:lang w:eastAsia="en-AU"/>
              </w:rPr>
            </w:pPr>
            <w:r w:rsidRPr="00642F89">
              <w:rPr>
                <w:rFonts w:cs="Arial"/>
                <w:color w:val="7F7F7F"/>
                <w:szCs w:val="18"/>
                <w:lang w:eastAsia="en-AU"/>
              </w:rPr>
              <w:t>6,603</w:t>
            </w:r>
          </w:p>
        </w:tc>
        <w:tc>
          <w:tcPr>
            <w:tcW w:w="986" w:type="dxa"/>
            <w:tcBorders>
              <w:top w:val="nil"/>
              <w:left w:val="nil"/>
              <w:bottom w:val="nil"/>
              <w:right w:val="nil"/>
            </w:tcBorders>
            <w:shd w:val="clear" w:color="auto" w:fill="auto"/>
            <w:noWrap/>
            <w:vAlign w:val="center"/>
            <w:hideMark/>
          </w:tcPr>
          <w:p w:rsidR="00642F89" w:rsidRPr="00642F89" w:rsidRDefault="00642F89" w:rsidP="00642F89">
            <w:pPr>
              <w:jc w:val="right"/>
              <w:rPr>
                <w:rFonts w:cs="Arial"/>
                <w:color w:val="7F7F7F"/>
                <w:szCs w:val="18"/>
                <w:lang w:eastAsia="en-AU"/>
              </w:rPr>
            </w:pPr>
            <w:r w:rsidRPr="00642F89">
              <w:rPr>
                <w:rFonts w:cs="Arial"/>
                <w:color w:val="7F7F7F"/>
                <w:szCs w:val="18"/>
                <w:lang w:eastAsia="en-AU"/>
              </w:rPr>
              <w:t>5,880</w:t>
            </w:r>
          </w:p>
        </w:tc>
      </w:tr>
      <w:tr w:rsidR="00642F89" w:rsidRPr="00642F89" w:rsidTr="00642F89">
        <w:trPr>
          <w:trHeight w:val="315"/>
        </w:trPr>
        <w:tc>
          <w:tcPr>
            <w:tcW w:w="2180" w:type="dxa"/>
            <w:tcBorders>
              <w:top w:val="nil"/>
              <w:left w:val="nil"/>
              <w:bottom w:val="single" w:sz="12" w:space="0" w:color="7F7F7F"/>
              <w:right w:val="nil"/>
            </w:tcBorders>
            <w:shd w:val="clear" w:color="auto" w:fill="auto"/>
            <w:noWrap/>
            <w:vAlign w:val="center"/>
            <w:hideMark/>
          </w:tcPr>
          <w:p w:rsidR="00642F89" w:rsidRPr="00642F89" w:rsidRDefault="00642F89" w:rsidP="00642F89">
            <w:pPr>
              <w:rPr>
                <w:rFonts w:cs="Arial"/>
                <w:color w:val="7F7F7F"/>
                <w:szCs w:val="18"/>
                <w:lang w:eastAsia="en-AU"/>
              </w:rPr>
            </w:pPr>
            <w:r w:rsidRPr="00642F89">
              <w:rPr>
                <w:rFonts w:cs="Arial"/>
                <w:color w:val="7F7F7F"/>
                <w:szCs w:val="18"/>
                <w:lang w:eastAsia="en-AU"/>
              </w:rPr>
              <w:t>TAFE share</w:t>
            </w:r>
          </w:p>
        </w:tc>
        <w:tc>
          <w:tcPr>
            <w:tcW w:w="985" w:type="dxa"/>
            <w:tcBorders>
              <w:top w:val="nil"/>
              <w:left w:val="nil"/>
              <w:bottom w:val="single" w:sz="12" w:space="0" w:color="7F7F7F"/>
              <w:right w:val="nil"/>
            </w:tcBorders>
            <w:shd w:val="clear" w:color="auto" w:fill="auto"/>
            <w:noWrap/>
            <w:vAlign w:val="center"/>
            <w:hideMark/>
          </w:tcPr>
          <w:p w:rsidR="00642F89" w:rsidRPr="00642F89" w:rsidRDefault="00642F89" w:rsidP="00642F89">
            <w:pPr>
              <w:jc w:val="right"/>
              <w:rPr>
                <w:rFonts w:cs="Arial"/>
                <w:color w:val="7F7F7F"/>
                <w:szCs w:val="18"/>
                <w:lang w:eastAsia="en-AU"/>
              </w:rPr>
            </w:pPr>
            <w:r w:rsidRPr="00642F89">
              <w:rPr>
                <w:rFonts w:cs="Arial"/>
                <w:color w:val="7F7F7F"/>
                <w:szCs w:val="18"/>
                <w:lang w:eastAsia="en-AU"/>
              </w:rPr>
              <w:t>45%</w:t>
            </w:r>
          </w:p>
        </w:tc>
        <w:tc>
          <w:tcPr>
            <w:tcW w:w="986" w:type="dxa"/>
            <w:tcBorders>
              <w:top w:val="nil"/>
              <w:left w:val="nil"/>
              <w:bottom w:val="single" w:sz="12" w:space="0" w:color="7F7F7F"/>
              <w:right w:val="nil"/>
            </w:tcBorders>
            <w:shd w:val="clear" w:color="auto" w:fill="auto"/>
            <w:noWrap/>
            <w:vAlign w:val="center"/>
            <w:hideMark/>
          </w:tcPr>
          <w:p w:rsidR="00642F89" w:rsidRPr="00642F89" w:rsidRDefault="00642F89" w:rsidP="00642F89">
            <w:pPr>
              <w:jc w:val="right"/>
              <w:rPr>
                <w:rFonts w:cs="Arial"/>
                <w:color w:val="7F7F7F"/>
                <w:szCs w:val="18"/>
                <w:lang w:eastAsia="en-AU"/>
              </w:rPr>
            </w:pPr>
            <w:r w:rsidRPr="00642F89">
              <w:rPr>
                <w:rFonts w:cs="Arial"/>
                <w:color w:val="7F7F7F"/>
                <w:szCs w:val="18"/>
                <w:lang w:eastAsia="en-AU"/>
              </w:rPr>
              <w:t>38%</w:t>
            </w:r>
          </w:p>
        </w:tc>
        <w:tc>
          <w:tcPr>
            <w:tcW w:w="986" w:type="dxa"/>
            <w:tcBorders>
              <w:top w:val="nil"/>
              <w:left w:val="nil"/>
              <w:bottom w:val="single" w:sz="12" w:space="0" w:color="7F7F7F"/>
              <w:right w:val="nil"/>
            </w:tcBorders>
            <w:shd w:val="clear" w:color="auto" w:fill="auto"/>
            <w:noWrap/>
            <w:vAlign w:val="center"/>
            <w:hideMark/>
          </w:tcPr>
          <w:p w:rsidR="00642F89" w:rsidRPr="00642F89" w:rsidRDefault="00642F89" w:rsidP="00642F89">
            <w:pPr>
              <w:jc w:val="right"/>
              <w:rPr>
                <w:rFonts w:cs="Arial"/>
                <w:color w:val="7F7F7F"/>
                <w:szCs w:val="18"/>
                <w:lang w:eastAsia="en-AU"/>
              </w:rPr>
            </w:pPr>
            <w:r w:rsidRPr="00642F89">
              <w:rPr>
                <w:rFonts w:cs="Arial"/>
                <w:color w:val="7F7F7F"/>
                <w:szCs w:val="18"/>
                <w:lang w:eastAsia="en-AU"/>
              </w:rPr>
              <w:t>30%</w:t>
            </w:r>
          </w:p>
        </w:tc>
        <w:tc>
          <w:tcPr>
            <w:tcW w:w="986" w:type="dxa"/>
            <w:tcBorders>
              <w:top w:val="nil"/>
              <w:left w:val="nil"/>
              <w:bottom w:val="single" w:sz="12" w:space="0" w:color="7F7F7F"/>
              <w:right w:val="nil"/>
            </w:tcBorders>
            <w:shd w:val="clear" w:color="auto" w:fill="auto"/>
            <w:noWrap/>
            <w:vAlign w:val="center"/>
            <w:hideMark/>
          </w:tcPr>
          <w:p w:rsidR="00642F89" w:rsidRPr="00642F89" w:rsidRDefault="00642F89" w:rsidP="00642F89">
            <w:pPr>
              <w:jc w:val="right"/>
              <w:rPr>
                <w:rFonts w:cs="Arial"/>
                <w:color w:val="7F7F7F"/>
                <w:szCs w:val="18"/>
                <w:lang w:eastAsia="en-AU"/>
              </w:rPr>
            </w:pPr>
            <w:r w:rsidRPr="00642F89">
              <w:rPr>
                <w:rFonts w:cs="Arial"/>
                <w:color w:val="7F7F7F"/>
                <w:szCs w:val="18"/>
                <w:lang w:eastAsia="en-AU"/>
              </w:rPr>
              <w:t>28%</w:t>
            </w:r>
          </w:p>
        </w:tc>
        <w:tc>
          <w:tcPr>
            <w:tcW w:w="986" w:type="dxa"/>
            <w:tcBorders>
              <w:top w:val="nil"/>
              <w:left w:val="nil"/>
              <w:bottom w:val="single" w:sz="12" w:space="0" w:color="7F7F7F"/>
              <w:right w:val="nil"/>
            </w:tcBorders>
            <w:shd w:val="clear" w:color="auto" w:fill="auto"/>
            <w:noWrap/>
            <w:vAlign w:val="center"/>
            <w:hideMark/>
          </w:tcPr>
          <w:p w:rsidR="00642F89" w:rsidRPr="00642F89" w:rsidRDefault="00642F89" w:rsidP="00642F89">
            <w:pPr>
              <w:jc w:val="right"/>
              <w:rPr>
                <w:rFonts w:cs="Arial"/>
                <w:color w:val="7F7F7F"/>
                <w:szCs w:val="18"/>
                <w:lang w:eastAsia="en-AU"/>
              </w:rPr>
            </w:pPr>
            <w:r w:rsidRPr="00642F89">
              <w:rPr>
                <w:rFonts w:cs="Arial"/>
                <w:color w:val="7F7F7F"/>
                <w:szCs w:val="18"/>
                <w:lang w:eastAsia="en-AU"/>
              </w:rPr>
              <w:t>23%</w:t>
            </w:r>
          </w:p>
        </w:tc>
        <w:tc>
          <w:tcPr>
            <w:tcW w:w="986" w:type="dxa"/>
            <w:tcBorders>
              <w:top w:val="nil"/>
              <w:left w:val="nil"/>
              <w:bottom w:val="single" w:sz="12" w:space="0" w:color="7F7F7F"/>
              <w:right w:val="nil"/>
            </w:tcBorders>
            <w:shd w:val="clear" w:color="auto" w:fill="auto"/>
            <w:noWrap/>
            <w:vAlign w:val="center"/>
            <w:hideMark/>
          </w:tcPr>
          <w:p w:rsidR="00642F89" w:rsidRPr="00642F89" w:rsidRDefault="00642F89" w:rsidP="00642F89">
            <w:pPr>
              <w:jc w:val="right"/>
              <w:rPr>
                <w:rFonts w:cs="Arial"/>
                <w:color w:val="7F7F7F"/>
                <w:szCs w:val="18"/>
                <w:lang w:eastAsia="en-AU"/>
              </w:rPr>
            </w:pPr>
            <w:r w:rsidRPr="00642F89">
              <w:rPr>
                <w:rFonts w:cs="Arial"/>
                <w:color w:val="7F7F7F"/>
                <w:szCs w:val="18"/>
                <w:lang w:eastAsia="en-AU"/>
              </w:rPr>
              <w:t>22%</w:t>
            </w:r>
          </w:p>
        </w:tc>
      </w:tr>
    </w:tbl>
    <w:p w:rsidR="00642F89" w:rsidRDefault="00642F89"/>
    <w:p w:rsidR="00642F89" w:rsidRDefault="00642F89"/>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642F89" w:rsidTr="00007BAC">
        <w:tc>
          <w:tcPr>
            <w:tcW w:w="1134" w:type="dxa"/>
            <w:tcMar>
              <w:left w:w="0" w:type="dxa"/>
              <w:right w:w="0" w:type="dxa"/>
            </w:tcMar>
          </w:tcPr>
          <w:p w:rsidR="00642F89" w:rsidRDefault="00642F89" w:rsidP="0084117E">
            <w:pPr>
              <w:pStyle w:val="Quote"/>
              <w:tabs>
                <w:tab w:val="left" w:pos="1134"/>
              </w:tabs>
              <w:rPr>
                <w:b w:val="0"/>
                <w:color w:val="B41F22" w:themeColor="accent1"/>
              </w:rPr>
            </w:pPr>
            <w:r>
              <w:rPr>
                <w:b w:val="0"/>
                <w:color w:val="B41F22" w:themeColor="accent1"/>
              </w:rPr>
              <w:t>Table 1.2</w:t>
            </w:r>
            <w:r w:rsidR="0084117E">
              <w:rPr>
                <w:b w:val="0"/>
                <w:color w:val="B41F22" w:themeColor="accent1"/>
              </w:rPr>
              <w:t>9</w:t>
            </w:r>
            <w:r>
              <w:rPr>
                <w:b w:val="0"/>
                <w:color w:val="B41F22" w:themeColor="accent1"/>
              </w:rPr>
              <w:t>:</w:t>
            </w:r>
          </w:p>
        </w:tc>
        <w:tc>
          <w:tcPr>
            <w:tcW w:w="6946" w:type="dxa"/>
            <w:tcMar>
              <w:left w:w="0" w:type="dxa"/>
              <w:right w:w="0" w:type="dxa"/>
            </w:tcMar>
          </w:tcPr>
          <w:p w:rsidR="00642F89" w:rsidRDefault="00642F89" w:rsidP="007E03F8">
            <w:pPr>
              <w:pStyle w:val="Quote"/>
              <w:tabs>
                <w:tab w:val="left" w:pos="1134"/>
              </w:tabs>
              <w:rPr>
                <w:b w:val="0"/>
                <w:color w:val="B41F22" w:themeColor="accent1"/>
              </w:rPr>
            </w:pPr>
            <w:r w:rsidRPr="00642F89">
              <w:rPr>
                <w:b w:val="0"/>
                <w:color w:val="B41F22" w:themeColor="accent1"/>
              </w:rPr>
              <w:t xml:space="preserve">Culturally and Linguistically Diverse (CALD) students enrolled in government subsidised training </w:t>
            </w:r>
            <w:r w:rsidR="007E03F8">
              <w:rPr>
                <w:b w:val="0"/>
                <w:color w:val="B41F22" w:themeColor="accent1"/>
              </w:rPr>
              <w:t>at</w:t>
            </w:r>
            <w:r w:rsidRPr="00642F89">
              <w:rPr>
                <w:b w:val="0"/>
                <w:color w:val="B41F22" w:themeColor="accent1"/>
              </w:rPr>
              <w:t xml:space="preserve"> TAFE, 2010 to 2015 (half year)</w:t>
            </w:r>
          </w:p>
        </w:tc>
      </w:tr>
    </w:tbl>
    <w:tbl>
      <w:tblPr>
        <w:tblW w:w="8095" w:type="dxa"/>
        <w:tblInd w:w="93" w:type="dxa"/>
        <w:tblLayout w:type="fixed"/>
        <w:tblLook w:val="04A0" w:firstRow="1" w:lastRow="0" w:firstColumn="1" w:lastColumn="0" w:noHBand="0" w:noVBand="1"/>
      </w:tblPr>
      <w:tblGrid>
        <w:gridCol w:w="2180"/>
        <w:gridCol w:w="985"/>
        <w:gridCol w:w="986"/>
        <w:gridCol w:w="986"/>
        <w:gridCol w:w="986"/>
        <w:gridCol w:w="986"/>
        <w:gridCol w:w="986"/>
      </w:tblGrid>
      <w:tr w:rsidR="00642F89" w:rsidRPr="00642F89" w:rsidTr="00642F89">
        <w:trPr>
          <w:trHeight w:val="300"/>
        </w:trPr>
        <w:tc>
          <w:tcPr>
            <w:tcW w:w="2180" w:type="dxa"/>
            <w:tcBorders>
              <w:top w:val="nil"/>
              <w:left w:val="nil"/>
              <w:bottom w:val="nil"/>
              <w:right w:val="nil"/>
            </w:tcBorders>
            <w:shd w:val="clear" w:color="000000" w:fill="7F7F7F"/>
            <w:noWrap/>
            <w:vAlign w:val="center"/>
            <w:hideMark/>
          </w:tcPr>
          <w:p w:rsidR="00642F89" w:rsidRPr="00642F89" w:rsidRDefault="00642F89" w:rsidP="00642F89">
            <w:pPr>
              <w:rPr>
                <w:rFonts w:cs="Arial"/>
                <w:color w:val="FFFFFF"/>
                <w:szCs w:val="18"/>
                <w:lang w:eastAsia="en-AU"/>
              </w:rPr>
            </w:pPr>
            <w:r w:rsidRPr="00642F89">
              <w:rPr>
                <w:rFonts w:cs="Arial"/>
                <w:color w:val="FFFFFF"/>
                <w:szCs w:val="18"/>
                <w:lang w:eastAsia="en-AU"/>
              </w:rPr>
              <w:t> </w:t>
            </w:r>
          </w:p>
        </w:tc>
        <w:tc>
          <w:tcPr>
            <w:tcW w:w="985" w:type="dxa"/>
            <w:tcBorders>
              <w:top w:val="nil"/>
              <w:left w:val="nil"/>
              <w:bottom w:val="nil"/>
              <w:right w:val="nil"/>
            </w:tcBorders>
            <w:shd w:val="clear" w:color="000000" w:fill="7F7F7F"/>
            <w:noWrap/>
            <w:vAlign w:val="center"/>
            <w:hideMark/>
          </w:tcPr>
          <w:p w:rsidR="00642F89" w:rsidRPr="00642F89" w:rsidRDefault="00642F89" w:rsidP="00642F89">
            <w:pPr>
              <w:jc w:val="right"/>
              <w:rPr>
                <w:rFonts w:cs="Arial"/>
                <w:b/>
                <w:bCs/>
                <w:color w:val="FFFFFF"/>
                <w:szCs w:val="18"/>
                <w:lang w:eastAsia="en-AU"/>
              </w:rPr>
            </w:pPr>
            <w:r w:rsidRPr="00642F89">
              <w:rPr>
                <w:rFonts w:cs="Arial"/>
                <w:b/>
                <w:bCs/>
                <w:color w:val="FFFFFF"/>
                <w:szCs w:val="18"/>
                <w:lang w:eastAsia="en-AU"/>
              </w:rPr>
              <w:t>2010</w:t>
            </w:r>
          </w:p>
        </w:tc>
        <w:tc>
          <w:tcPr>
            <w:tcW w:w="986" w:type="dxa"/>
            <w:tcBorders>
              <w:top w:val="nil"/>
              <w:left w:val="nil"/>
              <w:bottom w:val="nil"/>
              <w:right w:val="nil"/>
            </w:tcBorders>
            <w:shd w:val="clear" w:color="000000" w:fill="7F7F7F"/>
            <w:noWrap/>
            <w:vAlign w:val="center"/>
            <w:hideMark/>
          </w:tcPr>
          <w:p w:rsidR="00642F89" w:rsidRPr="00642F89" w:rsidRDefault="00642F89" w:rsidP="00642F89">
            <w:pPr>
              <w:jc w:val="right"/>
              <w:rPr>
                <w:rFonts w:cs="Arial"/>
                <w:b/>
                <w:bCs/>
                <w:color w:val="FFFFFF"/>
                <w:szCs w:val="18"/>
                <w:lang w:eastAsia="en-AU"/>
              </w:rPr>
            </w:pPr>
            <w:r w:rsidRPr="00642F89">
              <w:rPr>
                <w:rFonts w:cs="Arial"/>
                <w:b/>
                <w:bCs/>
                <w:color w:val="FFFFFF"/>
                <w:szCs w:val="18"/>
                <w:lang w:eastAsia="en-AU"/>
              </w:rPr>
              <w:t>2011</w:t>
            </w:r>
          </w:p>
        </w:tc>
        <w:tc>
          <w:tcPr>
            <w:tcW w:w="986" w:type="dxa"/>
            <w:tcBorders>
              <w:top w:val="nil"/>
              <w:left w:val="nil"/>
              <w:bottom w:val="nil"/>
              <w:right w:val="nil"/>
            </w:tcBorders>
            <w:shd w:val="clear" w:color="000000" w:fill="7F7F7F"/>
            <w:noWrap/>
            <w:vAlign w:val="center"/>
            <w:hideMark/>
          </w:tcPr>
          <w:p w:rsidR="00642F89" w:rsidRPr="00642F89" w:rsidRDefault="00642F89" w:rsidP="00642F89">
            <w:pPr>
              <w:jc w:val="right"/>
              <w:rPr>
                <w:rFonts w:cs="Arial"/>
                <w:b/>
                <w:bCs/>
                <w:color w:val="FFFFFF"/>
                <w:szCs w:val="18"/>
                <w:lang w:eastAsia="en-AU"/>
              </w:rPr>
            </w:pPr>
            <w:r w:rsidRPr="00642F89">
              <w:rPr>
                <w:rFonts w:cs="Arial"/>
                <w:b/>
                <w:bCs/>
                <w:color w:val="FFFFFF"/>
                <w:szCs w:val="18"/>
                <w:lang w:eastAsia="en-AU"/>
              </w:rPr>
              <w:t>2012</w:t>
            </w:r>
          </w:p>
        </w:tc>
        <w:tc>
          <w:tcPr>
            <w:tcW w:w="986" w:type="dxa"/>
            <w:tcBorders>
              <w:top w:val="nil"/>
              <w:left w:val="nil"/>
              <w:bottom w:val="nil"/>
              <w:right w:val="nil"/>
            </w:tcBorders>
            <w:shd w:val="clear" w:color="000000" w:fill="7F7F7F"/>
            <w:noWrap/>
            <w:vAlign w:val="center"/>
            <w:hideMark/>
          </w:tcPr>
          <w:p w:rsidR="00642F89" w:rsidRPr="00642F89" w:rsidRDefault="00642F89" w:rsidP="00642F89">
            <w:pPr>
              <w:jc w:val="right"/>
              <w:rPr>
                <w:rFonts w:cs="Arial"/>
                <w:b/>
                <w:bCs/>
                <w:color w:val="FFFFFF"/>
                <w:szCs w:val="18"/>
                <w:lang w:eastAsia="en-AU"/>
              </w:rPr>
            </w:pPr>
            <w:r w:rsidRPr="00642F89">
              <w:rPr>
                <w:rFonts w:cs="Arial"/>
                <w:b/>
                <w:bCs/>
                <w:color w:val="FFFFFF"/>
                <w:szCs w:val="18"/>
                <w:lang w:eastAsia="en-AU"/>
              </w:rPr>
              <w:t>2013</w:t>
            </w:r>
          </w:p>
        </w:tc>
        <w:tc>
          <w:tcPr>
            <w:tcW w:w="986" w:type="dxa"/>
            <w:tcBorders>
              <w:top w:val="nil"/>
              <w:left w:val="nil"/>
              <w:bottom w:val="nil"/>
              <w:right w:val="nil"/>
            </w:tcBorders>
            <w:shd w:val="clear" w:color="000000" w:fill="7F7F7F"/>
            <w:noWrap/>
            <w:vAlign w:val="center"/>
            <w:hideMark/>
          </w:tcPr>
          <w:p w:rsidR="00642F89" w:rsidRPr="00642F89" w:rsidRDefault="00642F89" w:rsidP="00642F89">
            <w:pPr>
              <w:jc w:val="right"/>
              <w:rPr>
                <w:rFonts w:cs="Arial"/>
                <w:b/>
                <w:bCs/>
                <w:color w:val="FFFFFF"/>
                <w:szCs w:val="18"/>
                <w:lang w:eastAsia="en-AU"/>
              </w:rPr>
            </w:pPr>
            <w:r w:rsidRPr="00642F89">
              <w:rPr>
                <w:rFonts w:cs="Arial"/>
                <w:b/>
                <w:bCs/>
                <w:color w:val="FFFFFF"/>
                <w:szCs w:val="18"/>
                <w:lang w:eastAsia="en-AU"/>
              </w:rPr>
              <w:t>2014</w:t>
            </w:r>
          </w:p>
        </w:tc>
        <w:tc>
          <w:tcPr>
            <w:tcW w:w="986" w:type="dxa"/>
            <w:tcBorders>
              <w:top w:val="nil"/>
              <w:left w:val="nil"/>
              <w:bottom w:val="nil"/>
              <w:right w:val="nil"/>
            </w:tcBorders>
            <w:shd w:val="clear" w:color="000000" w:fill="7F7F7F"/>
            <w:noWrap/>
            <w:vAlign w:val="center"/>
            <w:hideMark/>
          </w:tcPr>
          <w:p w:rsidR="00642F89" w:rsidRPr="00642F89" w:rsidRDefault="00642F89" w:rsidP="00642F89">
            <w:pPr>
              <w:jc w:val="right"/>
              <w:rPr>
                <w:rFonts w:cs="Arial"/>
                <w:b/>
                <w:bCs/>
                <w:color w:val="FFFFFF"/>
                <w:szCs w:val="18"/>
                <w:lang w:eastAsia="en-AU"/>
              </w:rPr>
            </w:pPr>
            <w:r w:rsidRPr="00642F89">
              <w:rPr>
                <w:rFonts w:cs="Arial"/>
                <w:b/>
                <w:bCs/>
                <w:color w:val="FFFFFF"/>
                <w:szCs w:val="18"/>
                <w:lang w:eastAsia="en-AU"/>
              </w:rPr>
              <w:t>2015</w:t>
            </w:r>
          </w:p>
        </w:tc>
      </w:tr>
      <w:tr w:rsidR="00642F89" w:rsidRPr="00642F89" w:rsidTr="00642F89">
        <w:trPr>
          <w:trHeight w:val="300"/>
        </w:trPr>
        <w:tc>
          <w:tcPr>
            <w:tcW w:w="2180" w:type="dxa"/>
            <w:tcBorders>
              <w:top w:val="nil"/>
              <w:left w:val="nil"/>
              <w:bottom w:val="nil"/>
              <w:right w:val="nil"/>
            </w:tcBorders>
            <w:shd w:val="clear" w:color="auto" w:fill="auto"/>
            <w:noWrap/>
            <w:vAlign w:val="center"/>
            <w:hideMark/>
          </w:tcPr>
          <w:p w:rsidR="00642F89" w:rsidRPr="00642F89" w:rsidRDefault="00642F89" w:rsidP="00642F89">
            <w:pPr>
              <w:rPr>
                <w:rFonts w:cs="Arial"/>
                <w:color w:val="7F7F7F"/>
                <w:szCs w:val="18"/>
                <w:lang w:eastAsia="en-AU"/>
              </w:rPr>
            </w:pPr>
            <w:r w:rsidRPr="00642F89">
              <w:rPr>
                <w:rFonts w:cs="Arial"/>
                <w:color w:val="7F7F7F"/>
                <w:szCs w:val="18"/>
                <w:lang w:eastAsia="en-AU"/>
              </w:rPr>
              <w:t>Number</w:t>
            </w:r>
          </w:p>
        </w:tc>
        <w:tc>
          <w:tcPr>
            <w:tcW w:w="985" w:type="dxa"/>
            <w:tcBorders>
              <w:top w:val="nil"/>
              <w:left w:val="nil"/>
              <w:bottom w:val="nil"/>
              <w:right w:val="nil"/>
            </w:tcBorders>
            <w:shd w:val="clear" w:color="auto" w:fill="auto"/>
            <w:noWrap/>
            <w:vAlign w:val="center"/>
            <w:hideMark/>
          </w:tcPr>
          <w:p w:rsidR="00642F89" w:rsidRPr="00642F89" w:rsidRDefault="00642F89" w:rsidP="00642F89">
            <w:pPr>
              <w:jc w:val="right"/>
              <w:rPr>
                <w:rFonts w:cs="Arial"/>
                <w:color w:val="7F7F7F"/>
                <w:szCs w:val="18"/>
                <w:lang w:eastAsia="en-AU"/>
              </w:rPr>
            </w:pPr>
            <w:r w:rsidRPr="00642F89">
              <w:rPr>
                <w:rFonts w:cs="Arial"/>
                <w:color w:val="7F7F7F"/>
                <w:szCs w:val="18"/>
                <w:lang w:eastAsia="en-AU"/>
              </w:rPr>
              <w:t>19,136</w:t>
            </w:r>
          </w:p>
        </w:tc>
        <w:tc>
          <w:tcPr>
            <w:tcW w:w="986" w:type="dxa"/>
            <w:tcBorders>
              <w:top w:val="nil"/>
              <w:left w:val="nil"/>
              <w:bottom w:val="nil"/>
              <w:right w:val="nil"/>
            </w:tcBorders>
            <w:shd w:val="clear" w:color="auto" w:fill="auto"/>
            <w:noWrap/>
            <w:vAlign w:val="center"/>
            <w:hideMark/>
          </w:tcPr>
          <w:p w:rsidR="00642F89" w:rsidRPr="00642F89" w:rsidRDefault="00642F89" w:rsidP="00642F89">
            <w:pPr>
              <w:jc w:val="right"/>
              <w:rPr>
                <w:rFonts w:cs="Arial"/>
                <w:color w:val="7F7F7F"/>
                <w:szCs w:val="18"/>
                <w:lang w:eastAsia="en-AU"/>
              </w:rPr>
            </w:pPr>
            <w:r w:rsidRPr="00642F89">
              <w:rPr>
                <w:rFonts w:cs="Arial"/>
                <w:color w:val="7F7F7F"/>
                <w:szCs w:val="18"/>
                <w:lang w:eastAsia="en-AU"/>
              </w:rPr>
              <w:t>18,605</w:t>
            </w:r>
          </w:p>
        </w:tc>
        <w:tc>
          <w:tcPr>
            <w:tcW w:w="986" w:type="dxa"/>
            <w:tcBorders>
              <w:top w:val="nil"/>
              <w:left w:val="nil"/>
              <w:bottom w:val="nil"/>
              <w:right w:val="nil"/>
            </w:tcBorders>
            <w:shd w:val="clear" w:color="auto" w:fill="auto"/>
            <w:noWrap/>
            <w:vAlign w:val="center"/>
            <w:hideMark/>
          </w:tcPr>
          <w:p w:rsidR="00642F89" w:rsidRPr="00642F89" w:rsidRDefault="00642F89" w:rsidP="00642F89">
            <w:pPr>
              <w:jc w:val="right"/>
              <w:rPr>
                <w:rFonts w:cs="Arial"/>
                <w:color w:val="7F7F7F"/>
                <w:szCs w:val="18"/>
                <w:lang w:eastAsia="en-AU"/>
              </w:rPr>
            </w:pPr>
            <w:r w:rsidRPr="00642F89">
              <w:rPr>
                <w:rFonts w:cs="Arial"/>
                <w:color w:val="7F7F7F"/>
                <w:szCs w:val="18"/>
                <w:lang w:eastAsia="en-AU"/>
              </w:rPr>
              <w:t>16,844</w:t>
            </w:r>
          </w:p>
        </w:tc>
        <w:tc>
          <w:tcPr>
            <w:tcW w:w="986" w:type="dxa"/>
            <w:tcBorders>
              <w:top w:val="nil"/>
              <w:left w:val="nil"/>
              <w:bottom w:val="nil"/>
              <w:right w:val="nil"/>
            </w:tcBorders>
            <w:shd w:val="clear" w:color="auto" w:fill="auto"/>
            <w:noWrap/>
            <w:vAlign w:val="center"/>
            <w:hideMark/>
          </w:tcPr>
          <w:p w:rsidR="00642F89" w:rsidRPr="00642F89" w:rsidRDefault="00642F89" w:rsidP="00642F89">
            <w:pPr>
              <w:jc w:val="right"/>
              <w:rPr>
                <w:rFonts w:cs="Arial"/>
                <w:color w:val="7F7F7F"/>
                <w:szCs w:val="18"/>
                <w:lang w:eastAsia="en-AU"/>
              </w:rPr>
            </w:pPr>
            <w:r w:rsidRPr="00642F89">
              <w:rPr>
                <w:rFonts w:cs="Arial"/>
                <w:color w:val="7F7F7F"/>
                <w:szCs w:val="18"/>
                <w:lang w:eastAsia="en-AU"/>
              </w:rPr>
              <w:t>16,973</w:t>
            </w:r>
          </w:p>
        </w:tc>
        <w:tc>
          <w:tcPr>
            <w:tcW w:w="986" w:type="dxa"/>
            <w:tcBorders>
              <w:top w:val="nil"/>
              <w:left w:val="nil"/>
              <w:bottom w:val="nil"/>
              <w:right w:val="nil"/>
            </w:tcBorders>
            <w:shd w:val="clear" w:color="auto" w:fill="auto"/>
            <w:noWrap/>
            <w:vAlign w:val="center"/>
            <w:hideMark/>
          </w:tcPr>
          <w:p w:rsidR="00642F89" w:rsidRPr="00642F89" w:rsidRDefault="00642F89" w:rsidP="00642F89">
            <w:pPr>
              <w:jc w:val="right"/>
              <w:rPr>
                <w:rFonts w:cs="Arial"/>
                <w:color w:val="7F7F7F"/>
                <w:szCs w:val="18"/>
                <w:lang w:eastAsia="en-AU"/>
              </w:rPr>
            </w:pPr>
            <w:r w:rsidRPr="00642F89">
              <w:rPr>
                <w:rFonts w:cs="Arial"/>
                <w:color w:val="7F7F7F"/>
                <w:szCs w:val="18"/>
                <w:lang w:eastAsia="en-AU"/>
              </w:rPr>
              <w:t>14,110</w:t>
            </w:r>
          </w:p>
        </w:tc>
        <w:tc>
          <w:tcPr>
            <w:tcW w:w="986" w:type="dxa"/>
            <w:tcBorders>
              <w:top w:val="nil"/>
              <w:left w:val="nil"/>
              <w:bottom w:val="nil"/>
              <w:right w:val="nil"/>
            </w:tcBorders>
            <w:shd w:val="clear" w:color="auto" w:fill="auto"/>
            <w:noWrap/>
            <w:vAlign w:val="center"/>
            <w:hideMark/>
          </w:tcPr>
          <w:p w:rsidR="00642F89" w:rsidRPr="00642F89" w:rsidRDefault="00642F89" w:rsidP="00642F89">
            <w:pPr>
              <w:jc w:val="right"/>
              <w:rPr>
                <w:rFonts w:cs="Arial"/>
                <w:color w:val="7F7F7F"/>
                <w:szCs w:val="18"/>
                <w:lang w:eastAsia="en-AU"/>
              </w:rPr>
            </w:pPr>
            <w:r w:rsidRPr="00642F89">
              <w:rPr>
                <w:rFonts w:cs="Arial"/>
                <w:color w:val="7F7F7F"/>
                <w:szCs w:val="18"/>
                <w:lang w:eastAsia="en-AU"/>
              </w:rPr>
              <w:t>12,689</w:t>
            </w:r>
          </w:p>
        </w:tc>
      </w:tr>
      <w:tr w:rsidR="00642F89" w:rsidRPr="00642F89" w:rsidTr="00642F89">
        <w:trPr>
          <w:trHeight w:val="315"/>
        </w:trPr>
        <w:tc>
          <w:tcPr>
            <w:tcW w:w="2180" w:type="dxa"/>
            <w:tcBorders>
              <w:top w:val="nil"/>
              <w:left w:val="nil"/>
              <w:bottom w:val="single" w:sz="12" w:space="0" w:color="7F7F7F"/>
              <w:right w:val="nil"/>
            </w:tcBorders>
            <w:shd w:val="clear" w:color="auto" w:fill="auto"/>
            <w:noWrap/>
            <w:vAlign w:val="center"/>
            <w:hideMark/>
          </w:tcPr>
          <w:p w:rsidR="00642F89" w:rsidRPr="00642F89" w:rsidRDefault="00642F89" w:rsidP="00642F89">
            <w:pPr>
              <w:rPr>
                <w:rFonts w:cs="Arial"/>
                <w:color w:val="7F7F7F"/>
                <w:szCs w:val="18"/>
                <w:lang w:eastAsia="en-AU"/>
              </w:rPr>
            </w:pPr>
            <w:r w:rsidRPr="00642F89">
              <w:rPr>
                <w:rFonts w:cs="Arial"/>
                <w:color w:val="7F7F7F"/>
                <w:szCs w:val="18"/>
                <w:lang w:eastAsia="en-AU"/>
              </w:rPr>
              <w:t>TAFE share</w:t>
            </w:r>
          </w:p>
        </w:tc>
        <w:tc>
          <w:tcPr>
            <w:tcW w:w="985" w:type="dxa"/>
            <w:tcBorders>
              <w:top w:val="nil"/>
              <w:left w:val="nil"/>
              <w:bottom w:val="single" w:sz="12" w:space="0" w:color="7F7F7F"/>
              <w:right w:val="nil"/>
            </w:tcBorders>
            <w:shd w:val="clear" w:color="auto" w:fill="auto"/>
            <w:noWrap/>
            <w:vAlign w:val="center"/>
            <w:hideMark/>
          </w:tcPr>
          <w:p w:rsidR="00642F89" w:rsidRPr="00642F89" w:rsidRDefault="00642F89" w:rsidP="00642F89">
            <w:pPr>
              <w:jc w:val="right"/>
              <w:rPr>
                <w:rFonts w:cs="Arial"/>
                <w:color w:val="7F7F7F"/>
                <w:szCs w:val="18"/>
                <w:lang w:eastAsia="en-AU"/>
              </w:rPr>
            </w:pPr>
            <w:r w:rsidRPr="00642F89">
              <w:rPr>
                <w:rFonts w:cs="Arial"/>
                <w:color w:val="7F7F7F"/>
                <w:szCs w:val="18"/>
                <w:lang w:eastAsia="en-AU"/>
              </w:rPr>
              <w:t>42%</w:t>
            </w:r>
          </w:p>
        </w:tc>
        <w:tc>
          <w:tcPr>
            <w:tcW w:w="986" w:type="dxa"/>
            <w:tcBorders>
              <w:top w:val="nil"/>
              <w:left w:val="nil"/>
              <w:bottom w:val="single" w:sz="12" w:space="0" w:color="7F7F7F"/>
              <w:right w:val="nil"/>
            </w:tcBorders>
            <w:shd w:val="clear" w:color="auto" w:fill="auto"/>
            <w:noWrap/>
            <w:vAlign w:val="center"/>
            <w:hideMark/>
          </w:tcPr>
          <w:p w:rsidR="00642F89" w:rsidRPr="00642F89" w:rsidRDefault="00642F89" w:rsidP="00642F89">
            <w:pPr>
              <w:jc w:val="right"/>
              <w:rPr>
                <w:rFonts w:cs="Arial"/>
                <w:color w:val="7F7F7F"/>
                <w:szCs w:val="18"/>
                <w:lang w:eastAsia="en-AU"/>
              </w:rPr>
            </w:pPr>
            <w:r w:rsidRPr="00642F89">
              <w:rPr>
                <w:rFonts w:cs="Arial"/>
                <w:color w:val="7F7F7F"/>
                <w:szCs w:val="18"/>
                <w:lang w:eastAsia="en-AU"/>
              </w:rPr>
              <w:t>32%</w:t>
            </w:r>
          </w:p>
        </w:tc>
        <w:tc>
          <w:tcPr>
            <w:tcW w:w="986" w:type="dxa"/>
            <w:tcBorders>
              <w:top w:val="nil"/>
              <w:left w:val="nil"/>
              <w:bottom w:val="single" w:sz="12" w:space="0" w:color="7F7F7F"/>
              <w:right w:val="nil"/>
            </w:tcBorders>
            <w:shd w:val="clear" w:color="auto" w:fill="auto"/>
            <w:noWrap/>
            <w:vAlign w:val="center"/>
            <w:hideMark/>
          </w:tcPr>
          <w:p w:rsidR="00642F89" w:rsidRPr="00642F89" w:rsidRDefault="00642F89" w:rsidP="00642F89">
            <w:pPr>
              <w:jc w:val="right"/>
              <w:rPr>
                <w:rFonts w:cs="Arial"/>
                <w:color w:val="7F7F7F"/>
                <w:szCs w:val="18"/>
                <w:lang w:eastAsia="en-AU"/>
              </w:rPr>
            </w:pPr>
            <w:r w:rsidRPr="00642F89">
              <w:rPr>
                <w:rFonts w:cs="Arial"/>
                <w:color w:val="7F7F7F"/>
                <w:szCs w:val="18"/>
                <w:lang w:eastAsia="en-AU"/>
              </w:rPr>
              <w:t>20%</w:t>
            </w:r>
          </w:p>
        </w:tc>
        <w:tc>
          <w:tcPr>
            <w:tcW w:w="986" w:type="dxa"/>
            <w:tcBorders>
              <w:top w:val="nil"/>
              <w:left w:val="nil"/>
              <w:bottom w:val="single" w:sz="12" w:space="0" w:color="7F7F7F"/>
              <w:right w:val="nil"/>
            </w:tcBorders>
            <w:shd w:val="clear" w:color="auto" w:fill="auto"/>
            <w:noWrap/>
            <w:vAlign w:val="center"/>
            <w:hideMark/>
          </w:tcPr>
          <w:p w:rsidR="00642F89" w:rsidRPr="00642F89" w:rsidRDefault="00642F89" w:rsidP="00642F89">
            <w:pPr>
              <w:jc w:val="right"/>
              <w:rPr>
                <w:rFonts w:cs="Arial"/>
                <w:color w:val="7F7F7F"/>
                <w:szCs w:val="18"/>
                <w:lang w:eastAsia="en-AU"/>
              </w:rPr>
            </w:pPr>
            <w:r w:rsidRPr="00642F89">
              <w:rPr>
                <w:rFonts w:cs="Arial"/>
                <w:color w:val="7F7F7F"/>
                <w:szCs w:val="18"/>
                <w:lang w:eastAsia="en-AU"/>
              </w:rPr>
              <w:t>21%</w:t>
            </w:r>
          </w:p>
        </w:tc>
        <w:tc>
          <w:tcPr>
            <w:tcW w:w="986" w:type="dxa"/>
            <w:tcBorders>
              <w:top w:val="nil"/>
              <w:left w:val="nil"/>
              <w:bottom w:val="single" w:sz="12" w:space="0" w:color="7F7F7F"/>
              <w:right w:val="nil"/>
            </w:tcBorders>
            <w:shd w:val="clear" w:color="auto" w:fill="auto"/>
            <w:noWrap/>
            <w:vAlign w:val="center"/>
            <w:hideMark/>
          </w:tcPr>
          <w:p w:rsidR="00642F89" w:rsidRPr="00642F89" w:rsidRDefault="00642F89" w:rsidP="00642F89">
            <w:pPr>
              <w:jc w:val="right"/>
              <w:rPr>
                <w:rFonts w:cs="Arial"/>
                <w:color w:val="7F7F7F"/>
                <w:szCs w:val="18"/>
                <w:lang w:eastAsia="en-AU"/>
              </w:rPr>
            </w:pPr>
            <w:r w:rsidRPr="00642F89">
              <w:rPr>
                <w:rFonts w:cs="Arial"/>
                <w:color w:val="7F7F7F"/>
                <w:szCs w:val="18"/>
                <w:lang w:eastAsia="en-AU"/>
              </w:rPr>
              <w:t>15%</w:t>
            </w:r>
          </w:p>
        </w:tc>
        <w:tc>
          <w:tcPr>
            <w:tcW w:w="986" w:type="dxa"/>
            <w:tcBorders>
              <w:top w:val="nil"/>
              <w:left w:val="nil"/>
              <w:bottom w:val="single" w:sz="12" w:space="0" w:color="7F7F7F"/>
              <w:right w:val="nil"/>
            </w:tcBorders>
            <w:shd w:val="clear" w:color="auto" w:fill="auto"/>
            <w:noWrap/>
            <w:vAlign w:val="center"/>
            <w:hideMark/>
          </w:tcPr>
          <w:p w:rsidR="00642F89" w:rsidRPr="00642F89" w:rsidRDefault="00642F89" w:rsidP="00642F89">
            <w:pPr>
              <w:jc w:val="right"/>
              <w:rPr>
                <w:rFonts w:cs="Arial"/>
                <w:color w:val="7F7F7F"/>
                <w:szCs w:val="18"/>
                <w:lang w:eastAsia="en-AU"/>
              </w:rPr>
            </w:pPr>
            <w:r w:rsidRPr="00642F89">
              <w:rPr>
                <w:rFonts w:cs="Arial"/>
                <w:color w:val="7F7F7F"/>
                <w:szCs w:val="18"/>
                <w:lang w:eastAsia="en-AU"/>
              </w:rPr>
              <w:t>14%</w:t>
            </w:r>
          </w:p>
        </w:tc>
      </w:tr>
    </w:tbl>
    <w:p w:rsidR="00642F89" w:rsidRDefault="00642F89"/>
    <w:p w:rsidR="00642F89" w:rsidRDefault="00642F89"/>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642F89" w:rsidTr="00007BAC">
        <w:tc>
          <w:tcPr>
            <w:tcW w:w="1134" w:type="dxa"/>
            <w:tcMar>
              <w:left w:w="0" w:type="dxa"/>
              <w:right w:w="0" w:type="dxa"/>
            </w:tcMar>
          </w:tcPr>
          <w:p w:rsidR="00642F89" w:rsidRDefault="0084117E" w:rsidP="0084117E">
            <w:pPr>
              <w:pStyle w:val="Quote"/>
              <w:tabs>
                <w:tab w:val="left" w:pos="1134"/>
              </w:tabs>
              <w:rPr>
                <w:b w:val="0"/>
                <w:color w:val="B41F22" w:themeColor="accent1"/>
              </w:rPr>
            </w:pPr>
            <w:r>
              <w:rPr>
                <w:b w:val="0"/>
                <w:color w:val="B41F22" w:themeColor="accent1"/>
              </w:rPr>
              <w:t>Table 1.30</w:t>
            </w:r>
            <w:r w:rsidR="00642F89">
              <w:rPr>
                <w:b w:val="0"/>
                <w:color w:val="B41F22" w:themeColor="accent1"/>
              </w:rPr>
              <w:t>:</w:t>
            </w:r>
          </w:p>
        </w:tc>
        <w:tc>
          <w:tcPr>
            <w:tcW w:w="6946" w:type="dxa"/>
            <w:tcMar>
              <w:left w:w="0" w:type="dxa"/>
              <w:right w:w="0" w:type="dxa"/>
            </w:tcMar>
          </w:tcPr>
          <w:p w:rsidR="00642F89" w:rsidRDefault="00642F89" w:rsidP="007E03F8">
            <w:pPr>
              <w:pStyle w:val="Quote"/>
              <w:tabs>
                <w:tab w:val="left" w:pos="1134"/>
              </w:tabs>
              <w:rPr>
                <w:b w:val="0"/>
                <w:color w:val="B41F22" w:themeColor="accent1"/>
              </w:rPr>
            </w:pPr>
            <w:r w:rsidRPr="00642F89">
              <w:rPr>
                <w:b w:val="0"/>
                <w:color w:val="B41F22" w:themeColor="accent1"/>
              </w:rPr>
              <w:t xml:space="preserve">Young people without at least Year 12 or a Certificate II, not at school and enrolled in government subsidised training in Certificate II or above </w:t>
            </w:r>
            <w:r w:rsidR="007E03F8">
              <w:rPr>
                <w:b w:val="0"/>
                <w:color w:val="B41F22" w:themeColor="accent1"/>
              </w:rPr>
              <w:t>at</w:t>
            </w:r>
            <w:r w:rsidRPr="00642F89">
              <w:rPr>
                <w:b w:val="0"/>
                <w:color w:val="B41F22" w:themeColor="accent1"/>
              </w:rPr>
              <w:t xml:space="preserve"> TAFE, 2010 to 2015 (half year)</w:t>
            </w:r>
          </w:p>
        </w:tc>
      </w:tr>
    </w:tbl>
    <w:tbl>
      <w:tblPr>
        <w:tblW w:w="8095" w:type="dxa"/>
        <w:tblInd w:w="93" w:type="dxa"/>
        <w:tblLayout w:type="fixed"/>
        <w:tblLook w:val="04A0" w:firstRow="1" w:lastRow="0" w:firstColumn="1" w:lastColumn="0" w:noHBand="0" w:noVBand="1"/>
      </w:tblPr>
      <w:tblGrid>
        <w:gridCol w:w="2180"/>
        <w:gridCol w:w="985"/>
        <w:gridCol w:w="986"/>
        <w:gridCol w:w="986"/>
        <w:gridCol w:w="986"/>
        <w:gridCol w:w="986"/>
        <w:gridCol w:w="986"/>
      </w:tblGrid>
      <w:tr w:rsidR="00642F89" w:rsidRPr="00642F89" w:rsidTr="00642F89">
        <w:trPr>
          <w:trHeight w:val="300"/>
        </w:trPr>
        <w:tc>
          <w:tcPr>
            <w:tcW w:w="2180" w:type="dxa"/>
            <w:tcBorders>
              <w:top w:val="nil"/>
              <w:left w:val="nil"/>
              <w:bottom w:val="nil"/>
              <w:right w:val="nil"/>
            </w:tcBorders>
            <w:shd w:val="clear" w:color="000000" w:fill="7F7F7F"/>
            <w:noWrap/>
            <w:vAlign w:val="center"/>
            <w:hideMark/>
          </w:tcPr>
          <w:p w:rsidR="00642F89" w:rsidRPr="00642F89" w:rsidRDefault="00642F89" w:rsidP="00642F89">
            <w:pPr>
              <w:rPr>
                <w:rFonts w:cs="Arial"/>
                <w:color w:val="FFFFFF"/>
                <w:szCs w:val="18"/>
                <w:lang w:eastAsia="en-AU"/>
              </w:rPr>
            </w:pPr>
            <w:r w:rsidRPr="00642F89">
              <w:rPr>
                <w:rFonts w:cs="Arial"/>
                <w:color w:val="FFFFFF"/>
                <w:szCs w:val="18"/>
                <w:lang w:eastAsia="en-AU"/>
              </w:rPr>
              <w:t> </w:t>
            </w:r>
          </w:p>
        </w:tc>
        <w:tc>
          <w:tcPr>
            <w:tcW w:w="985" w:type="dxa"/>
            <w:tcBorders>
              <w:top w:val="nil"/>
              <w:left w:val="nil"/>
              <w:bottom w:val="nil"/>
              <w:right w:val="nil"/>
            </w:tcBorders>
            <w:shd w:val="clear" w:color="000000" w:fill="7F7F7F"/>
            <w:noWrap/>
            <w:vAlign w:val="center"/>
            <w:hideMark/>
          </w:tcPr>
          <w:p w:rsidR="00642F89" w:rsidRPr="00642F89" w:rsidRDefault="00642F89" w:rsidP="00642F89">
            <w:pPr>
              <w:jc w:val="right"/>
              <w:rPr>
                <w:rFonts w:cs="Arial"/>
                <w:b/>
                <w:bCs/>
                <w:color w:val="FFFFFF"/>
                <w:szCs w:val="18"/>
                <w:lang w:eastAsia="en-AU"/>
              </w:rPr>
            </w:pPr>
            <w:r w:rsidRPr="00642F89">
              <w:rPr>
                <w:rFonts w:cs="Arial"/>
                <w:b/>
                <w:bCs/>
                <w:color w:val="FFFFFF"/>
                <w:szCs w:val="18"/>
                <w:lang w:eastAsia="en-AU"/>
              </w:rPr>
              <w:t>2010</w:t>
            </w:r>
          </w:p>
        </w:tc>
        <w:tc>
          <w:tcPr>
            <w:tcW w:w="986" w:type="dxa"/>
            <w:tcBorders>
              <w:top w:val="nil"/>
              <w:left w:val="nil"/>
              <w:bottom w:val="nil"/>
              <w:right w:val="nil"/>
            </w:tcBorders>
            <w:shd w:val="clear" w:color="000000" w:fill="7F7F7F"/>
            <w:noWrap/>
            <w:vAlign w:val="center"/>
            <w:hideMark/>
          </w:tcPr>
          <w:p w:rsidR="00642F89" w:rsidRPr="00642F89" w:rsidRDefault="00642F89" w:rsidP="00642F89">
            <w:pPr>
              <w:jc w:val="right"/>
              <w:rPr>
                <w:rFonts w:cs="Arial"/>
                <w:b/>
                <w:bCs/>
                <w:color w:val="FFFFFF"/>
                <w:szCs w:val="18"/>
                <w:lang w:eastAsia="en-AU"/>
              </w:rPr>
            </w:pPr>
            <w:r w:rsidRPr="00642F89">
              <w:rPr>
                <w:rFonts w:cs="Arial"/>
                <w:b/>
                <w:bCs/>
                <w:color w:val="FFFFFF"/>
                <w:szCs w:val="18"/>
                <w:lang w:eastAsia="en-AU"/>
              </w:rPr>
              <w:t>2011</w:t>
            </w:r>
          </w:p>
        </w:tc>
        <w:tc>
          <w:tcPr>
            <w:tcW w:w="986" w:type="dxa"/>
            <w:tcBorders>
              <w:top w:val="nil"/>
              <w:left w:val="nil"/>
              <w:bottom w:val="nil"/>
              <w:right w:val="nil"/>
            </w:tcBorders>
            <w:shd w:val="clear" w:color="000000" w:fill="7F7F7F"/>
            <w:noWrap/>
            <w:vAlign w:val="center"/>
            <w:hideMark/>
          </w:tcPr>
          <w:p w:rsidR="00642F89" w:rsidRPr="00642F89" w:rsidRDefault="00642F89" w:rsidP="00642F89">
            <w:pPr>
              <w:jc w:val="right"/>
              <w:rPr>
                <w:rFonts w:cs="Arial"/>
                <w:b/>
                <w:bCs/>
                <w:color w:val="FFFFFF"/>
                <w:szCs w:val="18"/>
                <w:lang w:eastAsia="en-AU"/>
              </w:rPr>
            </w:pPr>
            <w:r w:rsidRPr="00642F89">
              <w:rPr>
                <w:rFonts w:cs="Arial"/>
                <w:b/>
                <w:bCs/>
                <w:color w:val="FFFFFF"/>
                <w:szCs w:val="18"/>
                <w:lang w:eastAsia="en-AU"/>
              </w:rPr>
              <w:t>2012</w:t>
            </w:r>
          </w:p>
        </w:tc>
        <w:tc>
          <w:tcPr>
            <w:tcW w:w="986" w:type="dxa"/>
            <w:tcBorders>
              <w:top w:val="nil"/>
              <w:left w:val="nil"/>
              <w:bottom w:val="nil"/>
              <w:right w:val="nil"/>
            </w:tcBorders>
            <w:shd w:val="clear" w:color="000000" w:fill="7F7F7F"/>
            <w:noWrap/>
            <w:vAlign w:val="center"/>
            <w:hideMark/>
          </w:tcPr>
          <w:p w:rsidR="00642F89" w:rsidRPr="00642F89" w:rsidRDefault="00642F89" w:rsidP="00642F89">
            <w:pPr>
              <w:jc w:val="right"/>
              <w:rPr>
                <w:rFonts w:cs="Arial"/>
                <w:b/>
                <w:bCs/>
                <w:color w:val="FFFFFF"/>
                <w:szCs w:val="18"/>
                <w:lang w:eastAsia="en-AU"/>
              </w:rPr>
            </w:pPr>
            <w:r w:rsidRPr="00642F89">
              <w:rPr>
                <w:rFonts w:cs="Arial"/>
                <w:b/>
                <w:bCs/>
                <w:color w:val="FFFFFF"/>
                <w:szCs w:val="18"/>
                <w:lang w:eastAsia="en-AU"/>
              </w:rPr>
              <w:t>2013</w:t>
            </w:r>
          </w:p>
        </w:tc>
        <w:tc>
          <w:tcPr>
            <w:tcW w:w="986" w:type="dxa"/>
            <w:tcBorders>
              <w:top w:val="nil"/>
              <w:left w:val="nil"/>
              <w:bottom w:val="nil"/>
              <w:right w:val="nil"/>
            </w:tcBorders>
            <w:shd w:val="clear" w:color="000000" w:fill="7F7F7F"/>
            <w:noWrap/>
            <w:vAlign w:val="center"/>
            <w:hideMark/>
          </w:tcPr>
          <w:p w:rsidR="00642F89" w:rsidRPr="00642F89" w:rsidRDefault="00642F89" w:rsidP="00642F89">
            <w:pPr>
              <w:jc w:val="right"/>
              <w:rPr>
                <w:rFonts w:cs="Arial"/>
                <w:b/>
                <w:bCs/>
                <w:color w:val="FFFFFF"/>
                <w:szCs w:val="18"/>
                <w:lang w:eastAsia="en-AU"/>
              </w:rPr>
            </w:pPr>
            <w:r w:rsidRPr="00642F89">
              <w:rPr>
                <w:rFonts w:cs="Arial"/>
                <w:b/>
                <w:bCs/>
                <w:color w:val="FFFFFF"/>
                <w:szCs w:val="18"/>
                <w:lang w:eastAsia="en-AU"/>
              </w:rPr>
              <w:t>2014</w:t>
            </w:r>
          </w:p>
        </w:tc>
        <w:tc>
          <w:tcPr>
            <w:tcW w:w="986" w:type="dxa"/>
            <w:tcBorders>
              <w:top w:val="nil"/>
              <w:left w:val="nil"/>
              <w:bottom w:val="nil"/>
              <w:right w:val="nil"/>
            </w:tcBorders>
            <w:shd w:val="clear" w:color="000000" w:fill="7F7F7F"/>
            <w:noWrap/>
            <w:vAlign w:val="center"/>
            <w:hideMark/>
          </w:tcPr>
          <w:p w:rsidR="00642F89" w:rsidRPr="00642F89" w:rsidRDefault="00642F89" w:rsidP="00642F89">
            <w:pPr>
              <w:jc w:val="right"/>
              <w:rPr>
                <w:rFonts w:cs="Arial"/>
                <w:b/>
                <w:bCs/>
                <w:color w:val="FFFFFF"/>
                <w:szCs w:val="18"/>
                <w:lang w:eastAsia="en-AU"/>
              </w:rPr>
            </w:pPr>
            <w:r w:rsidRPr="00642F89">
              <w:rPr>
                <w:rFonts w:cs="Arial"/>
                <w:b/>
                <w:bCs/>
                <w:color w:val="FFFFFF"/>
                <w:szCs w:val="18"/>
                <w:lang w:eastAsia="en-AU"/>
              </w:rPr>
              <w:t>2015</w:t>
            </w:r>
          </w:p>
        </w:tc>
      </w:tr>
      <w:tr w:rsidR="00642F89" w:rsidRPr="002F6569" w:rsidTr="00642F89">
        <w:trPr>
          <w:trHeight w:val="300"/>
        </w:trPr>
        <w:tc>
          <w:tcPr>
            <w:tcW w:w="2180" w:type="dxa"/>
            <w:tcBorders>
              <w:top w:val="nil"/>
              <w:left w:val="nil"/>
              <w:bottom w:val="nil"/>
              <w:right w:val="nil"/>
            </w:tcBorders>
            <w:shd w:val="clear" w:color="auto" w:fill="auto"/>
            <w:noWrap/>
            <w:vAlign w:val="center"/>
            <w:hideMark/>
          </w:tcPr>
          <w:p w:rsidR="00642F89" w:rsidRPr="002F6569" w:rsidRDefault="00642F89" w:rsidP="00642F89">
            <w:pPr>
              <w:rPr>
                <w:rFonts w:cs="Arial"/>
                <w:color w:val="7F7F7F"/>
                <w:szCs w:val="18"/>
                <w:lang w:eastAsia="en-AU"/>
              </w:rPr>
            </w:pPr>
            <w:r w:rsidRPr="002F6569">
              <w:rPr>
                <w:rFonts w:cs="Arial"/>
                <w:color w:val="7F7F7F"/>
                <w:szCs w:val="18"/>
                <w:lang w:eastAsia="en-AU"/>
              </w:rPr>
              <w:t>Number</w:t>
            </w:r>
          </w:p>
        </w:tc>
        <w:tc>
          <w:tcPr>
            <w:tcW w:w="985" w:type="dxa"/>
            <w:tcBorders>
              <w:top w:val="nil"/>
              <w:left w:val="nil"/>
              <w:bottom w:val="nil"/>
              <w:right w:val="nil"/>
            </w:tcBorders>
            <w:shd w:val="clear" w:color="auto" w:fill="auto"/>
            <w:noWrap/>
            <w:vAlign w:val="center"/>
            <w:hideMark/>
          </w:tcPr>
          <w:p w:rsidR="00642F89" w:rsidRPr="002F6569" w:rsidRDefault="00642F89" w:rsidP="00642F89">
            <w:pPr>
              <w:jc w:val="right"/>
              <w:rPr>
                <w:rFonts w:cs="Arial"/>
                <w:color w:val="7F7F7F"/>
                <w:szCs w:val="18"/>
                <w:lang w:eastAsia="en-AU"/>
              </w:rPr>
            </w:pPr>
            <w:r w:rsidRPr="002F6569">
              <w:rPr>
                <w:rFonts w:cs="Arial"/>
                <w:color w:val="7F7F7F"/>
                <w:szCs w:val="18"/>
                <w:lang w:eastAsia="en-AU"/>
              </w:rPr>
              <w:t>10,352</w:t>
            </w:r>
          </w:p>
        </w:tc>
        <w:tc>
          <w:tcPr>
            <w:tcW w:w="986" w:type="dxa"/>
            <w:tcBorders>
              <w:top w:val="nil"/>
              <w:left w:val="nil"/>
              <w:bottom w:val="nil"/>
              <w:right w:val="nil"/>
            </w:tcBorders>
            <w:shd w:val="clear" w:color="auto" w:fill="auto"/>
            <w:noWrap/>
            <w:vAlign w:val="center"/>
            <w:hideMark/>
          </w:tcPr>
          <w:p w:rsidR="00642F89" w:rsidRPr="002F6569" w:rsidRDefault="00642F89" w:rsidP="00642F89">
            <w:pPr>
              <w:jc w:val="right"/>
              <w:rPr>
                <w:rFonts w:cs="Arial"/>
                <w:color w:val="7F7F7F"/>
                <w:szCs w:val="18"/>
                <w:lang w:eastAsia="en-AU"/>
              </w:rPr>
            </w:pPr>
            <w:r w:rsidRPr="002F6569">
              <w:rPr>
                <w:rFonts w:cs="Arial"/>
                <w:color w:val="7F7F7F"/>
                <w:szCs w:val="18"/>
                <w:lang w:eastAsia="en-AU"/>
              </w:rPr>
              <w:t>9,795</w:t>
            </w:r>
          </w:p>
        </w:tc>
        <w:tc>
          <w:tcPr>
            <w:tcW w:w="986" w:type="dxa"/>
            <w:tcBorders>
              <w:top w:val="nil"/>
              <w:left w:val="nil"/>
              <w:bottom w:val="nil"/>
              <w:right w:val="nil"/>
            </w:tcBorders>
            <w:shd w:val="clear" w:color="auto" w:fill="auto"/>
            <w:noWrap/>
            <w:vAlign w:val="center"/>
            <w:hideMark/>
          </w:tcPr>
          <w:p w:rsidR="00642F89" w:rsidRPr="002F6569" w:rsidRDefault="00642F89" w:rsidP="00642F89">
            <w:pPr>
              <w:jc w:val="right"/>
              <w:rPr>
                <w:rFonts w:cs="Arial"/>
                <w:color w:val="7F7F7F"/>
                <w:szCs w:val="18"/>
                <w:lang w:eastAsia="en-AU"/>
              </w:rPr>
            </w:pPr>
            <w:r w:rsidRPr="002F6569">
              <w:rPr>
                <w:rFonts w:cs="Arial"/>
                <w:color w:val="7F7F7F"/>
                <w:szCs w:val="18"/>
                <w:lang w:eastAsia="en-AU"/>
              </w:rPr>
              <w:t>9,742</w:t>
            </w:r>
          </w:p>
        </w:tc>
        <w:tc>
          <w:tcPr>
            <w:tcW w:w="986" w:type="dxa"/>
            <w:tcBorders>
              <w:top w:val="nil"/>
              <w:left w:val="nil"/>
              <w:bottom w:val="nil"/>
              <w:right w:val="nil"/>
            </w:tcBorders>
            <w:shd w:val="clear" w:color="auto" w:fill="auto"/>
            <w:noWrap/>
            <w:vAlign w:val="center"/>
            <w:hideMark/>
          </w:tcPr>
          <w:p w:rsidR="00642F89" w:rsidRPr="002F6569" w:rsidRDefault="00642F89" w:rsidP="00642F89">
            <w:pPr>
              <w:jc w:val="right"/>
              <w:rPr>
                <w:rFonts w:cs="Arial"/>
                <w:color w:val="7F7F7F"/>
                <w:szCs w:val="18"/>
                <w:lang w:eastAsia="en-AU"/>
              </w:rPr>
            </w:pPr>
            <w:r w:rsidRPr="002F6569">
              <w:rPr>
                <w:rFonts w:cs="Arial"/>
                <w:color w:val="7F7F7F"/>
                <w:szCs w:val="18"/>
                <w:lang w:eastAsia="en-AU"/>
              </w:rPr>
              <w:t>7,829</w:t>
            </w:r>
          </w:p>
        </w:tc>
        <w:tc>
          <w:tcPr>
            <w:tcW w:w="986" w:type="dxa"/>
            <w:tcBorders>
              <w:top w:val="nil"/>
              <w:left w:val="nil"/>
              <w:bottom w:val="nil"/>
              <w:right w:val="nil"/>
            </w:tcBorders>
            <w:shd w:val="clear" w:color="auto" w:fill="auto"/>
            <w:noWrap/>
            <w:vAlign w:val="center"/>
            <w:hideMark/>
          </w:tcPr>
          <w:p w:rsidR="00642F89" w:rsidRPr="002F6569" w:rsidRDefault="00642F89" w:rsidP="00642F89">
            <w:pPr>
              <w:jc w:val="right"/>
              <w:rPr>
                <w:rFonts w:cs="Arial"/>
                <w:color w:val="7F7F7F"/>
                <w:szCs w:val="18"/>
                <w:lang w:eastAsia="en-AU"/>
              </w:rPr>
            </w:pPr>
            <w:r w:rsidRPr="002F6569">
              <w:rPr>
                <w:rFonts w:cs="Arial"/>
                <w:color w:val="7F7F7F"/>
                <w:szCs w:val="18"/>
                <w:lang w:eastAsia="en-AU"/>
              </w:rPr>
              <w:t>7,292</w:t>
            </w:r>
          </w:p>
        </w:tc>
        <w:tc>
          <w:tcPr>
            <w:tcW w:w="986" w:type="dxa"/>
            <w:tcBorders>
              <w:top w:val="nil"/>
              <w:left w:val="nil"/>
              <w:bottom w:val="nil"/>
              <w:right w:val="nil"/>
            </w:tcBorders>
            <w:shd w:val="clear" w:color="auto" w:fill="auto"/>
            <w:noWrap/>
            <w:vAlign w:val="center"/>
            <w:hideMark/>
          </w:tcPr>
          <w:p w:rsidR="00642F89" w:rsidRPr="002F6569" w:rsidRDefault="00642F89" w:rsidP="00642F89">
            <w:pPr>
              <w:jc w:val="right"/>
              <w:rPr>
                <w:rFonts w:cs="Arial"/>
                <w:color w:val="7F7F7F"/>
                <w:szCs w:val="18"/>
                <w:lang w:eastAsia="en-AU"/>
              </w:rPr>
            </w:pPr>
            <w:r w:rsidRPr="002F6569">
              <w:rPr>
                <w:rFonts w:cs="Arial"/>
                <w:color w:val="7F7F7F"/>
                <w:szCs w:val="18"/>
                <w:lang w:eastAsia="en-AU"/>
              </w:rPr>
              <w:t>6,329</w:t>
            </w:r>
          </w:p>
        </w:tc>
      </w:tr>
      <w:tr w:rsidR="00642F89" w:rsidRPr="002F6569" w:rsidTr="00642F89">
        <w:trPr>
          <w:trHeight w:val="315"/>
        </w:trPr>
        <w:tc>
          <w:tcPr>
            <w:tcW w:w="2180" w:type="dxa"/>
            <w:tcBorders>
              <w:top w:val="nil"/>
              <w:left w:val="nil"/>
              <w:bottom w:val="single" w:sz="12" w:space="0" w:color="7F7F7F"/>
              <w:right w:val="nil"/>
            </w:tcBorders>
            <w:shd w:val="clear" w:color="auto" w:fill="auto"/>
            <w:noWrap/>
            <w:vAlign w:val="center"/>
            <w:hideMark/>
          </w:tcPr>
          <w:p w:rsidR="00642F89" w:rsidRPr="002F6569" w:rsidRDefault="00642F89" w:rsidP="00642F89">
            <w:pPr>
              <w:rPr>
                <w:rFonts w:cs="Arial"/>
                <w:color w:val="7F7F7F"/>
                <w:szCs w:val="18"/>
                <w:lang w:eastAsia="en-AU"/>
              </w:rPr>
            </w:pPr>
            <w:r w:rsidRPr="002F6569">
              <w:rPr>
                <w:rFonts w:cs="Arial"/>
                <w:color w:val="7F7F7F"/>
                <w:szCs w:val="18"/>
                <w:lang w:eastAsia="en-AU"/>
              </w:rPr>
              <w:t>TAFE share</w:t>
            </w:r>
          </w:p>
        </w:tc>
        <w:tc>
          <w:tcPr>
            <w:tcW w:w="985" w:type="dxa"/>
            <w:tcBorders>
              <w:top w:val="nil"/>
              <w:left w:val="nil"/>
              <w:bottom w:val="single" w:sz="12" w:space="0" w:color="7F7F7F"/>
              <w:right w:val="nil"/>
            </w:tcBorders>
            <w:shd w:val="clear" w:color="auto" w:fill="auto"/>
            <w:noWrap/>
            <w:vAlign w:val="center"/>
            <w:hideMark/>
          </w:tcPr>
          <w:p w:rsidR="00642F89" w:rsidRPr="002F6569" w:rsidRDefault="00642F89" w:rsidP="00642F89">
            <w:pPr>
              <w:jc w:val="right"/>
              <w:rPr>
                <w:rFonts w:cs="Arial"/>
                <w:color w:val="7F7F7F"/>
                <w:szCs w:val="18"/>
                <w:lang w:eastAsia="en-AU"/>
              </w:rPr>
            </w:pPr>
            <w:r w:rsidRPr="002F6569">
              <w:rPr>
                <w:rFonts w:cs="Arial"/>
                <w:color w:val="7F7F7F"/>
                <w:szCs w:val="18"/>
                <w:lang w:eastAsia="en-AU"/>
              </w:rPr>
              <w:t>58%</w:t>
            </w:r>
          </w:p>
        </w:tc>
        <w:tc>
          <w:tcPr>
            <w:tcW w:w="986" w:type="dxa"/>
            <w:tcBorders>
              <w:top w:val="nil"/>
              <w:left w:val="nil"/>
              <w:bottom w:val="single" w:sz="12" w:space="0" w:color="7F7F7F"/>
              <w:right w:val="nil"/>
            </w:tcBorders>
            <w:shd w:val="clear" w:color="auto" w:fill="auto"/>
            <w:noWrap/>
            <w:vAlign w:val="center"/>
            <w:hideMark/>
          </w:tcPr>
          <w:p w:rsidR="00642F89" w:rsidRPr="002F6569" w:rsidRDefault="00642F89" w:rsidP="00642F89">
            <w:pPr>
              <w:jc w:val="right"/>
              <w:rPr>
                <w:rFonts w:cs="Arial"/>
                <w:color w:val="7F7F7F"/>
                <w:szCs w:val="18"/>
                <w:lang w:eastAsia="en-AU"/>
              </w:rPr>
            </w:pPr>
            <w:r w:rsidRPr="002F6569">
              <w:rPr>
                <w:rFonts w:cs="Arial"/>
                <w:color w:val="7F7F7F"/>
                <w:szCs w:val="18"/>
                <w:lang w:eastAsia="en-AU"/>
              </w:rPr>
              <w:t>50%</w:t>
            </w:r>
          </w:p>
        </w:tc>
        <w:tc>
          <w:tcPr>
            <w:tcW w:w="986" w:type="dxa"/>
            <w:tcBorders>
              <w:top w:val="nil"/>
              <w:left w:val="nil"/>
              <w:bottom w:val="single" w:sz="12" w:space="0" w:color="7F7F7F"/>
              <w:right w:val="nil"/>
            </w:tcBorders>
            <w:shd w:val="clear" w:color="auto" w:fill="auto"/>
            <w:noWrap/>
            <w:vAlign w:val="center"/>
            <w:hideMark/>
          </w:tcPr>
          <w:p w:rsidR="00642F89" w:rsidRPr="002F6569" w:rsidRDefault="00642F89" w:rsidP="00642F89">
            <w:pPr>
              <w:jc w:val="right"/>
              <w:rPr>
                <w:rFonts w:cs="Arial"/>
                <w:color w:val="7F7F7F"/>
                <w:szCs w:val="18"/>
                <w:lang w:eastAsia="en-AU"/>
              </w:rPr>
            </w:pPr>
            <w:r w:rsidRPr="002F6569">
              <w:rPr>
                <w:rFonts w:cs="Arial"/>
                <w:color w:val="7F7F7F"/>
                <w:szCs w:val="18"/>
                <w:lang w:eastAsia="en-AU"/>
              </w:rPr>
              <w:t>45%</w:t>
            </w:r>
          </w:p>
        </w:tc>
        <w:tc>
          <w:tcPr>
            <w:tcW w:w="986" w:type="dxa"/>
            <w:tcBorders>
              <w:top w:val="nil"/>
              <w:left w:val="nil"/>
              <w:bottom w:val="single" w:sz="12" w:space="0" w:color="7F7F7F"/>
              <w:right w:val="nil"/>
            </w:tcBorders>
            <w:shd w:val="clear" w:color="auto" w:fill="auto"/>
            <w:noWrap/>
            <w:vAlign w:val="center"/>
            <w:hideMark/>
          </w:tcPr>
          <w:p w:rsidR="00642F89" w:rsidRPr="002F6569" w:rsidRDefault="00642F89" w:rsidP="00642F89">
            <w:pPr>
              <w:jc w:val="right"/>
              <w:rPr>
                <w:rFonts w:cs="Arial"/>
                <w:color w:val="7F7F7F"/>
                <w:szCs w:val="18"/>
                <w:lang w:eastAsia="en-AU"/>
              </w:rPr>
            </w:pPr>
            <w:r w:rsidRPr="002F6569">
              <w:rPr>
                <w:rFonts w:cs="Arial"/>
                <w:color w:val="7F7F7F"/>
                <w:szCs w:val="18"/>
                <w:lang w:eastAsia="en-AU"/>
              </w:rPr>
              <w:t>47%</w:t>
            </w:r>
          </w:p>
        </w:tc>
        <w:tc>
          <w:tcPr>
            <w:tcW w:w="986" w:type="dxa"/>
            <w:tcBorders>
              <w:top w:val="nil"/>
              <w:left w:val="nil"/>
              <w:bottom w:val="single" w:sz="12" w:space="0" w:color="7F7F7F"/>
              <w:right w:val="nil"/>
            </w:tcBorders>
            <w:shd w:val="clear" w:color="auto" w:fill="auto"/>
            <w:noWrap/>
            <w:vAlign w:val="center"/>
            <w:hideMark/>
          </w:tcPr>
          <w:p w:rsidR="00642F89" w:rsidRPr="002F6569" w:rsidRDefault="00642F89" w:rsidP="00642F89">
            <w:pPr>
              <w:jc w:val="right"/>
              <w:rPr>
                <w:rFonts w:cs="Arial"/>
                <w:color w:val="7F7F7F"/>
                <w:szCs w:val="18"/>
                <w:lang w:eastAsia="en-AU"/>
              </w:rPr>
            </w:pPr>
            <w:r w:rsidRPr="002F6569">
              <w:rPr>
                <w:rFonts w:cs="Arial"/>
                <w:color w:val="7F7F7F"/>
                <w:szCs w:val="18"/>
                <w:lang w:eastAsia="en-AU"/>
              </w:rPr>
              <w:t>47%</w:t>
            </w:r>
          </w:p>
        </w:tc>
        <w:tc>
          <w:tcPr>
            <w:tcW w:w="986" w:type="dxa"/>
            <w:tcBorders>
              <w:top w:val="nil"/>
              <w:left w:val="nil"/>
              <w:bottom w:val="single" w:sz="12" w:space="0" w:color="7F7F7F"/>
              <w:right w:val="nil"/>
            </w:tcBorders>
            <w:shd w:val="clear" w:color="auto" w:fill="auto"/>
            <w:noWrap/>
            <w:vAlign w:val="center"/>
            <w:hideMark/>
          </w:tcPr>
          <w:p w:rsidR="00642F89" w:rsidRPr="002F6569" w:rsidRDefault="00642F89" w:rsidP="00642F89">
            <w:pPr>
              <w:jc w:val="right"/>
              <w:rPr>
                <w:rFonts w:cs="Arial"/>
                <w:color w:val="7F7F7F"/>
                <w:szCs w:val="18"/>
                <w:lang w:eastAsia="en-AU"/>
              </w:rPr>
            </w:pPr>
            <w:r w:rsidRPr="002F6569">
              <w:rPr>
                <w:rFonts w:cs="Arial"/>
                <w:color w:val="7F7F7F"/>
                <w:szCs w:val="18"/>
                <w:lang w:eastAsia="en-AU"/>
              </w:rPr>
              <w:t>48%</w:t>
            </w:r>
          </w:p>
        </w:tc>
      </w:tr>
    </w:tbl>
    <w:p w:rsidR="004841FC" w:rsidRPr="00365EB2" w:rsidRDefault="004841FC"/>
    <w:p w:rsidR="00645853" w:rsidRDefault="00645853" w:rsidP="00801FA5"/>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6F5472" w:rsidTr="00007BAC">
        <w:tc>
          <w:tcPr>
            <w:tcW w:w="1134" w:type="dxa"/>
            <w:tcMar>
              <w:left w:w="0" w:type="dxa"/>
              <w:right w:w="0" w:type="dxa"/>
            </w:tcMar>
          </w:tcPr>
          <w:p w:rsidR="006F5472" w:rsidRDefault="006F5472" w:rsidP="0084117E">
            <w:pPr>
              <w:pStyle w:val="Quote"/>
              <w:tabs>
                <w:tab w:val="left" w:pos="1134"/>
              </w:tabs>
              <w:rPr>
                <w:b w:val="0"/>
                <w:color w:val="B41F22" w:themeColor="accent1"/>
              </w:rPr>
            </w:pPr>
            <w:r>
              <w:rPr>
                <w:b w:val="0"/>
                <w:color w:val="B41F22" w:themeColor="accent1"/>
              </w:rPr>
              <w:t>Table 1.</w:t>
            </w:r>
            <w:r w:rsidR="0084117E">
              <w:rPr>
                <w:b w:val="0"/>
                <w:color w:val="B41F22" w:themeColor="accent1"/>
              </w:rPr>
              <w:t>31</w:t>
            </w:r>
            <w:r>
              <w:rPr>
                <w:b w:val="0"/>
                <w:color w:val="B41F22" w:themeColor="accent1"/>
              </w:rPr>
              <w:t>:</w:t>
            </w:r>
          </w:p>
        </w:tc>
        <w:tc>
          <w:tcPr>
            <w:tcW w:w="6946" w:type="dxa"/>
            <w:tcMar>
              <w:left w:w="0" w:type="dxa"/>
              <w:right w:w="0" w:type="dxa"/>
            </w:tcMar>
          </w:tcPr>
          <w:p w:rsidR="006F5472" w:rsidRDefault="006F5472" w:rsidP="007E03F8">
            <w:pPr>
              <w:pStyle w:val="Quote"/>
              <w:tabs>
                <w:tab w:val="left" w:pos="1134"/>
              </w:tabs>
              <w:rPr>
                <w:b w:val="0"/>
                <w:color w:val="B41F22" w:themeColor="accent1"/>
              </w:rPr>
            </w:pPr>
            <w:r w:rsidRPr="006F5472">
              <w:rPr>
                <w:b w:val="0"/>
                <w:color w:val="B41F22" w:themeColor="accent1"/>
              </w:rPr>
              <w:t xml:space="preserve">Older students not holding a Certificate III or above and enrolled in government subsidised training </w:t>
            </w:r>
            <w:r w:rsidR="007E03F8">
              <w:rPr>
                <w:b w:val="0"/>
                <w:color w:val="B41F22" w:themeColor="accent1"/>
              </w:rPr>
              <w:t>at</w:t>
            </w:r>
            <w:r w:rsidRPr="006F5472">
              <w:rPr>
                <w:b w:val="0"/>
                <w:color w:val="B41F22" w:themeColor="accent1"/>
              </w:rPr>
              <w:t xml:space="preserve"> TAFE, 2010 to 2015 (half year)</w:t>
            </w:r>
          </w:p>
        </w:tc>
      </w:tr>
    </w:tbl>
    <w:tbl>
      <w:tblPr>
        <w:tblW w:w="8095" w:type="dxa"/>
        <w:tblInd w:w="93" w:type="dxa"/>
        <w:tblLayout w:type="fixed"/>
        <w:tblLook w:val="04A0" w:firstRow="1" w:lastRow="0" w:firstColumn="1" w:lastColumn="0" w:noHBand="0" w:noVBand="1"/>
      </w:tblPr>
      <w:tblGrid>
        <w:gridCol w:w="2180"/>
        <w:gridCol w:w="985"/>
        <w:gridCol w:w="986"/>
        <w:gridCol w:w="986"/>
        <w:gridCol w:w="986"/>
        <w:gridCol w:w="986"/>
        <w:gridCol w:w="986"/>
      </w:tblGrid>
      <w:tr w:rsidR="006F5472" w:rsidRPr="006F5472" w:rsidTr="006F5472">
        <w:trPr>
          <w:trHeight w:val="300"/>
        </w:trPr>
        <w:tc>
          <w:tcPr>
            <w:tcW w:w="2180" w:type="dxa"/>
            <w:tcBorders>
              <w:top w:val="nil"/>
              <w:left w:val="nil"/>
              <w:bottom w:val="nil"/>
              <w:right w:val="nil"/>
            </w:tcBorders>
            <w:shd w:val="clear" w:color="000000" w:fill="7F7F7F"/>
            <w:noWrap/>
            <w:vAlign w:val="center"/>
            <w:hideMark/>
          </w:tcPr>
          <w:p w:rsidR="006F5472" w:rsidRPr="006F5472" w:rsidRDefault="006F5472" w:rsidP="006F5472">
            <w:pPr>
              <w:rPr>
                <w:rFonts w:cs="Arial"/>
                <w:color w:val="FFFFFF"/>
                <w:szCs w:val="18"/>
                <w:lang w:eastAsia="en-AU"/>
              </w:rPr>
            </w:pPr>
            <w:r w:rsidRPr="006F5472">
              <w:rPr>
                <w:rFonts w:cs="Arial"/>
                <w:color w:val="FFFFFF"/>
                <w:szCs w:val="18"/>
                <w:lang w:eastAsia="en-AU"/>
              </w:rPr>
              <w:t> </w:t>
            </w:r>
          </w:p>
        </w:tc>
        <w:tc>
          <w:tcPr>
            <w:tcW w:w="985" w:type="dxa"/>
            <w:tcBorders>
              <w:top w:val="nil"/>
              <w:left w:val="nil"/>
              <w:bottom w:val="nil"/>
              <w:right w:val="nil"/>
            </w:tcBorders>
            <w:shd w:val="clear" w:color="000000" w:fill="7F7F7F"/>
            <w:noWrap/>
            <w:vAlign w:val="center"/>
            <w:hideMark/>
          </w:tcPr>
          <w:p w:rsidR="006F5472" w:rsidRPr="006F5472" w:rsidRDefault="006F5472" w:rsidP="006F5472">
            <w:pPr>
              <w:jc w:val="right"/>
              <w:rPr>
                <w:rFonts w:cs="Arial"/>
                <w:b/>
                <w:bCs/>
                <w:color w:val="FFFFFF"/>
                <w:szCs w:val="18"/>
                <w:lang w:eastAsia="en-AU"/>
              </w:rPr>
            </w:pPr>
            <w:r w:rsidRPr="006F5472">
              <w:rPr>
                <w:rFonts w:cs="Arial"/>
                <w:b/>
                <w:bCs/>
                <w:color w:val="FFFFFF"/>
                <w:szCs w:val="18"/>
                <w:lang w:eastAsia="en-AU"/>
              </w:rPr>
              <w:t>2010</w:t>
            </w:r>
          </w:p>
        </w:tc>
        <w:tc>
          <w:tcPr>
            <w:tcW w:w="986" w:type="dxa"/>
            <w:tcBorders>
              <w:top w:val="nil"/>
              <w:left w:val="nil"/>
              <w:bottom w:val="nil"/>
              <w:right w:val="nil"/>
            </w:tcBorders>
            <w:shd w:val="clear" w:color="000000" w:fill="7F7F7F"/>
            <w:noWrap/>
            <w:vAlign w:val="center"/>
            <w:hideMark/>
          </w:tcPr>
          <w:p w:rsidR="006F5472" w:rsidRPr="006F5472" w:rsidRDefault="006F5472" w:rsidP="006F5472">
            <w:pPr>
              <w:jc w:val="right"/>
              <w:rPr>
                <w:rFonts w:cs="Arial"/>
                <w:b/>
                <w:bCs/>
                <w:color w:val="FFFFFF"/>
                <w:szCs w:val="18"/>
                <w:lang w:eastAsia="en-AU"/>
              </w:rPr>
            </w:pPr>
            <w:r w:rsidRPr="006F5472">
              <w:rPr>
                <w:rFonts w:cs="Arial"/>
                <w:b/>
                <w:bCs/>
                <w:color w:val="FFFFFF"/>
                <w:szCs w:val="18"/>
                <w:lang w:eastAsia="en-AU"/>
              </w:rPr>
              <w:t>2011</w:t>
            </w:r>
          </w:p>
        </w:tc>
        <w:tc>
          <w:tcPr>
            <w:tcW w:w="986" w:type="dxa"/>
            <w:tcBorders>
              <w:top w:val="nil"/>
              <w:left w:val="nil"/>
              <w:bottom w:val="nil"/>
              <w:right w:val="nil"/>
            </w:tcBorders>
            <w:shd w:val="clear" w:color="000000" w:fill="7F7F7F"/>
            <w:noWrap/>
            <w:vAlign w:val="center"/>
            <w:hideMark/>
          </w:tcPr>
          <w:p w:rsidR="006F5472" w:rsidRPr="006F5472" w:rsidRDefault="006F5472" w:rsidP="006F5472">
            <w:pPr>
              <w:jc w:val="right"/>
              <w:rPr>
                <w:rFonts w:cs="Arial"/>
                <w:b/>
                <w:bCs/>
                <w:color w:val="FFFFFF"/>
                <w:szCs w:val="18"/>
                <w:lang w:eastAsia="en-AU"/>
              </w:rPr>
            </w:pPr>
            <w:r w:rsidRPr="006F5472">
              <w:rPr>
                <w:rFonts w:cs="Arial"/>
                <w:b/>
                <w:bCs/>
                <w:color w:val="FFFFFF"/>
                <w:szCs w:val="18"/>
                <w:lang w:eastAsia="en-AU"/>
              </w:rPr>
              <w:t>2012</w:t>
            </w:r>
          </w:p>
        </w:tc>
        <w:tc>
          <w:tcPr>
            <w:tcW w:w="986" w:type="dxa"/>
            <w:tcBorders>
              <w:top w:val="nil"/>
              <w:left w:val="nil"/>
              <w:bottom w:val="nil"/>
              <w:right w:val="nil"/>
            </w:tcBorders>
            <w:shd w:val="clear" w:color="000000" w:fill="7F7F7F"/>
            <w:noWrap/>
            <w:vAlign w:val="center"/>
            <w:hideMark/>
          </w:tcPr>
          <w:p w:rsidR="006F5472" w:rsidRPr="006F5472" w:rsidRDefault="006F5472" w:rsidP="006F5472">
            <w:pPr>
              <w:jc w:val="right"/>
              <w:rPr>
                <w:rFonts w:cs="Arial"/>
                <w:b/>
                <w:bCs/>
                <w:color w:val="FFFFFF"/>
                <w:szCs w:val="18"/>
                <w:lang w:eastAsia="en-AU"/>
              </w:rPr>
            </w:pPr>
            <w:r w:rsidRPr="006F5472">
              <w:rPr>
                <w:rFonts w:cs="Arial"/>
                <w:b/>
                <w:bCs/>
                <w:color w:val="FFFFFF"/>
                <w:szCs w:val="18"/>
                <w:lang w:eastAsia="en-AU"/>
              </w:rPr>
              <w:t>2013</w:t>
            </w:r>
          </w:p>
        </w:tc>
        <w:tc>
          <w:tcPr>
            <w:tcW w:w="986" w:type="dxa"/>
            <w:tcBorders>
              <w:top w:val="nil"/>
              <w:left w:val="nil"/>
              <w:bottom w:val="nil"/>
              <w:right w:val="nil"/>
            </w:tcBorders>
            <w:shd w:val="clear" w:color="000000" w:fill="7F7F7F"/>
            <w:noWrap/>
            <w:vAlign w:val="center"/>
            <w:hideMark/>
          </w:tcPr>
          <w:p w:rsidR="006F5472" w:rsidRPr="006F5472" w:rsidRDefault="006F5472" w:rsidP="006F5472">
            <w:pPr>
              <w:jc w:val="right"/>
              <w:rPr>
                <w:rFonts w:cs="Arial"/>
                <w:b/>
                <w:bCs/>
                <w:color w:val="FFFFFF"/>
                <w:szCs w:val="18"/>
                <w:lang w:eastAsia="en-AU"/>
              </w:rPr>
            </w:pPr>
            <w:r w:rsidRPr="006F5472">
              <w:rPr>
                <w:rFonts w:cs="Arial"/>
                <w:b/>
                <w:bCs/>
                <w:color w:val="FFFFFF"/>
                <w:szCs w:val="18"/>
                <w:lang w:eastAsia="en-AU"/>
              </w:rPr>
              <w:t>2014</w:t>
            </w:r>
          </w:p>
        </w:tc>
        <w:tc>
          <w:tcPr>
            <w:tcW w:w="986" w:type="dxa"/>
            <w:tcBorders>
              <w:top w:val="nil"/>
              <w:left w:val="nil"/>
              <w:bottom w:val="nil"/>
              <w:right w:val="nil"/>
            </w:tcBorders>
            <w:shd w:val="clear" w:color="000000" w:fill="7F7F7F"/>
            <w:noWrap/>
            <w:vAlign w:val="center"/>
            <w:hideMark/>
          </w:tcPr>
          <w:p w:rsidR="006F5472" w:rsidRPr="006F5472" w:rsidRDefault="006F5472" w:rsidP="006F5472">
            <w:pPr>
              <w:jc w:val="right"/>
              <w:rPr>
                <w:rFonts w:cs="Arial"/>
                <w:b/>
                <w:bCs/>
                <w:color w:val="FFFFFF"/>
                <w:szCs w:val="18"/>
                <w:lang w:eastAsia="en-AU"/>
              </w:rPr>
            </w:pPr>
            <w:r w:rsidRPr="006F5472">
              <w:rPr>
                <w:rFonts w:cs="Arial"/>
                <w:b/>
                <w:bCs/>
                <w:color w:val="FFFFFF"/>
                <w:szCs w:val="18"/>
                <w:lang w:eastAsia="en-AU"/>
              </w:rPr>
              <w:t>2015</w:t>
            </w:r>
          </w:p>
        </w:tc>
      </w:tr>
      <w:tr w:rsidR="006F5472" w:rsidRPr="002F6569" w:rsidTr="006F5472">
        <w:trPr>
          <w:trHeight w:val="300"/>
        </w:trPr>
        <w:tc>
          <w:tcPr>
            <w:tcW w:w="2180" w:type="dxa"/>
            <w:tcBorders>
              <w:top w:val="nil"/>
              <w:left w:val="nil"/>
              <w:bottom w:val="nil"/>
              <w:right w:val="nil"/>
            </w:tcBorders>
            <w:shd w:val="clear" w:color="auto" w:fill="auto"/>
            <w:noWrap/>
            <w:vAlign w:val="center"/>
            <w:hideMark/>
          </w:tcPr>
          <w:p w:rsidR="006F5472" w:rsidRPr="002F6569" w:rsidRDefault="006F5472" w:rsidP="006F5472">
            <w:pPr>
              <w:rPr>
                <w:rFonts w:cs="Arial"/>
                <w:color w:val="7F7F7F"/>
                <w:szCs w:val="18"/>
                <w:lang w:eastAsia="en-AU"/>
              </w:rPr>
            </w:pPr>
            <w:r w:rsidRPr="002F6569">
              <w:rPr>
                <w:rFonts w:cs="Arial"/>
                <w:color w:val="7F7F7F"/>
                <w:szCs w:val="18"/>
                <w:lang w:eastAsia="en-AU"/>
              </w:rPr>
              <w:t>Number</w:t>
            </w:r>
          </w:p>
        </w:tc>
        <w:tc>
          <w:tcPr>
            <w:tcW w:w="985" w:type="dxa"/>
            <w:tcBorders>
              <w:top w:val="nil"/>
              <w:left w:val="nil"/>
              <w:bottom w:val="nil"/>
              <w:right w:val="nil"/>
            </w:tcBorders>
            <w:shd w:val="clear" w:color="auto" w:fill="auto"/>
            <w:noWrap/>
            <w:vAlign w:val="center"/>
            <w:hideMark/>
          </w:tcPr>
          <w:p w:rsidR="006F5472" w:rsidRPr="002F6569" w:rsidRDefault="006F5472" w:rsidP="006F5472">
            <w:pPr>
              <w:jc w:val="right"/>
              <w:rPr>
                <w:rFonts w:cs="Arial"/>
                <w:color w:val="7F7F7F"/>
                <w:szCs w:val="18"/>
                <w:lang w:eastAsia="en-AU"/>
              </w:rPr>
            </w:pPr>
            <w:r w:rsidRPr="002F6569">
              <w:rPr>
                <w:rFonts w:cs="Arial"/>
                <w:color w:val="7F7F7F"/>
                <w:szCs w:val="18"/>
                <w:lang w:eastAsia="en-AU"/>
              </w:rPr>
              <w:t>45,981</w:t>
            </w:r>
          </w:p>
        </w:tc>
        <w:tc>
          <w:tcPr>
            <w:tcW w:w="986" w:type="dxa"/>
            <w:tcBorders>
              <w:top w:val="nil"/>
              <w:left w:val="nil"/>
              <w:bottom w:val="nil"/>
              <w:right w:val="nil"/>
            </w:tcBorders>
            <w:shd w:val="clear" w:color="auto" w:fill="auto"/>
            <w:noWrap/>
            <w:vAlign w:val="center"/>
            <w:hideMark/>
          </w:tcPr>
          <w:p w:rsidR="006F5472" w:rsidRPr="002F6569" w:rsidRDefault="006F5472" w:rsidP="006F5472">
            <w:pPr>
              <w:jc w:val="right"/>
              <w:rPr>
                <w:rFonts w:cs="Arial"/>
                <w:color w:val="7F7F7F"/>
                <w:szCs w:val="18"/>
                <w:lang w:eastAsia="en-AU"/>
              </w:rPr>
            </w:pPr>
            <w:r w:rsidRPr="002F6569">
              <w:rPr>
                <w:rFonts w:cs="Arial"/>
                <w:color w:val="7F7F7F"/>
                <w:szCs w:val="18"/>
                <w:lang w:eastAsia="en-AU"/>
              </w:rPr>
              <w:t>49,260</w:t>
            </w:r>
          </w:p>
        </w:tc>
        <w:tc>
          <w:tcPr>
            <w:tcW w:w="986" w:type="dxa"/>
            <w:tcBorders>
              <w:top w:val="nil"/>
              <w:left w:val="nil"/>
              <w:bottom w:val="nil"/>
              <w:right w:val="nil"/>
            </w:tcBorders>
            <w:shd w:val="clear" w:color="auto" w:fill="auto"/>
            <w:noWrap/>
            <w:vAlign w:val="center"/>
            <w:hideMark/>
          </w:tcPr>
          <w:p w:rsidR="006F5472" w:rsidRPr="002F6569" w:rsidRDefault="006F5472" w:rsidP="006F5472">
            <w:pPr>
              <w:jc w:val="right"/>
              <w:rPr>
                <w:rFonts w:cs="Arial"/>
                <w:color w:val="7F7F7F"/>
                <w:szCs w:val="18"/>
                <w:lang w:eastAsia="en-AU"/>
              </w:rPr>
            </w:pPr>
            <w:r w:rsidRPr="002F6569">
              <w:rPr>
                <w:rFonts w:cs="Arial"/>
                <w:color w:val="7F7F7F"/>
                <w:szCs w:val="18"/>
                <w:lang w:eastAsia="en-AU"/>
              </w:rPr>
              <w:t>54,341</w:t>
            </w:r>
          </w:p>
        </w:tc>
        <w:tc>
          <w:tcPr>
            <w:tcW w:w="986" w:type="dxa"/>
            <w:tcBorders>
              <w:top w:val="nil"/>
              <w:left w:val="nil"/>
              <w:bottom w:val="nil"/>
              <w:right w:val="nil"/>
            </w:tcBorders>
            <w:shd w:val="clear" w:color="auto" w:fill="auto"/>
            <w:noWrap/>
            <w:vAlign w:val="center"/>
            <w:hideMark/>
          </w:tcPr>
          <w:p w:rsidR="006F5472" w:rsidRPr="002F6569" w:rsidRDefault="006F5472" w:rsidP="006F5472">
            <w:pPr>
              <w:jc w:val="right"/>
              <w:rPr>
                <w:rFonts w:cs="Arial"/>
                <w:color w:val="7F7F7F"/>
                <w:szCs w:val="18"/>
                <w:lang w:eastAsia="en-AU"/>
              </w:rPr>
            </w:pPr>
            <w:r w:rsidRPr="002F6569">
              <w:rPr>
                <w:rFonts w:cs="Arial"/>
                <w:color w:val="7F7F7F"/>
                <w:szCs w:val="18"/>
                <w:lang w:eastAsia="en-AU"/>
              </w:rPr>
              <w:t>46,630</w:t>
            </w:r>
          </w:p>
        </w:tc>
        <w:tc>
          <w:tcPr>
            <w:tcW w:w="986" w:type="dxa"/>
            <w:tcBorders>
              <w:top w:val="nil"/>
              <w:left w:val="nil"/>
              <w:bottom w:val="nil"/>
              <w:right w:val="nil"/>
            </w:tcBorders>
            <w:shd w:val="clear" w:color="auto" w:fill="auto"/>
            <w:noWrap/>
            <w:vAlign w:val="center"/>
            <w:hideMark/>
          </w:tcPr>
          <w:p w:rsidR="006F5472" w:rsidRPr="002F6569" w:rsidRDefault="006F5472" w:rsidP="006F5472">
            <w:pPr>
              <w:jc w:val="right"/>
              <w:rPr>
                <w:rFonts w:cs="Arial"/>
                <w:color w:val="7F7F7F"/>
                <w:szCs w:val="18"/>
                <w:lang w:eastAsia="en-AU"/>
              </w:rPr>
            </w:pPr>
            <w:r w:rsidRPr="002F6569">
              <w:rPr>
                <w:rFonts w:cs="Arial"/>
                <w:color w:val="7F7F7F"/>
                <w:szCs w:val="18"/>
                <w:lang w:eastAsia="en-AU"/>
              </w:rPr>
              <w:t>34,745</w:t>
            </w:r>
          </w:p>
        </w:tc>
        <w:tc>
          <w:tcPr>
            <w:tcW w:w="986" w:type="dxa"/>
            <w:tcBorders>
              <w:top w:val="nil"/>
              <w:left w:val="nil"/>
              <w:bottom w:val="nil"/>
              <w:right w:val="nil"/>
            </w:tcBorders>
            <w:shd w:val="clear" w:color="auto" w:fill="auto"/>
            <w:noWrap/>
            <w:vAlign w:val="center"/>
            <w:hideMark/>
          </w:tcPr>
          <w:p w:rsidR="006F5472" w:rsidRPr="002F6569" w:rsidRDefault="006F5472" w:rsidP="006F5472">
            <w:pPr>
              <w:jc w:val="right"/>
              <w:rPr>
                <w:rFonts w:cs="Arial"/>
                <w:color w:val="7F7F7F"/>
                <w:szCs w:val="18"/>
                <w:lang w:eastAsia="en-AU"/>
              </w:rPr>
            </w:pPr>
            <w:r w:rsidRPr="002F6569">
              <w:rPr>
                <w:rFonts w:cs="Arial"/>
                <w:color w:val="7F7F7F"/>
                <w:szCs w:val="18"/>
                <w:lang w:eastAsia="en-AU"/>
              </w:rPr>
              <w:t>34,764</w:t>
            </w:r>
          </w:p>
        </w:tc>
      </w:tr>
      <w:tr w:rsidR="006F5472" w:rsidRPr="002F6569" w:rsidTr="006F5472">
        <w:trPr>
          <w:trHeight w:val="315"/>
        </w:trPr>
        <w:tc>
          <w:tcPr>
            <w:tcW w:w="2180" w:type="dxa"/>
            <w:tcBorders>
              <w:top w:val="nil"/>
              <w:left w:val="nil"/>
              <w:bottom w:val="single" w:sz="12" w:space="0" w:color="7F7F7F"/>
              <w:right w:val="nil"/>
            </w:tcBorders>
            <w:shd w:val="clear" w:color="auto" w:fill="auto"/>
            <w:noWrap/>
            <w:vAlign w:val="center"/>
            <w:hideMark/>
          </w:tcPr>
          <w:p w:rsidR="006F5472" w:rsidRPr="002F6569" w:rsidRDefault="006F5472" w:rsidP="006F5472">
            <w:pPr>
              <w:rPr>
                <w:rFonts w:cs="Arial"/>
                <w:color w:val="7F7F7F"/>
                <w:szCs w:val="18"/>
                <w:lang w:eastAsia="en-AU"/>
              </w:rPr>
            </w:pPr>
            <w:r w:rsidRPr="002F6569">
              <w:rPr>
                <w:rFonts w:cs="Arial"/>
                <w:color w:val="7F7F7F"/>
                <w:szCs w:val="18"/>
                <w:lang w:eastAsia="en-AU"/>
              </w:rPr>
              <w:t>TAFE share</w:t>
            </w:r>
          </w:p>
        </w:tc>
        <w:tc>
          <w:tcPr>
            <w:tcW w:w="985" w:type="dxa"/>
            <w:tcBorders>
              <w:top w:val="nil"/>
              <w:left w:val="nil"/>
              <w:bottom w:val="single" w:sz="12" w:space="0" w:color="7F7F7F"/>
              <w:right w:val="nil"/>
            </w:tcBorders>
            <w:shd w:val="clear" w:color="auto" w:fill="auto"/>
            <w:noWrap/>
            <w:vAlign w:val="center"/>
            <w:hideMark/>
          </w:tcPr>
          <w:p w:rsidR="006F5472" w:rsidRPr="002F6569" w:rsidRDefault="006F5472" w:rsidP="006F5472">
            <w:pPr>
              <w:jc w:val="right"/>
              <w:rPr>
                <w:rFonts w:cs="Arial"/>
                <w:color w:val="7F7F7F"/>
                <w:szCs w:val="18"/>
                <w:lang w:eastAsia="en-AU"/>
              </w:rPr>
            </w:pPr>
            <w:r w:rsidRPr="002F6569">
              <w:rPr>
                <w:rFonts w:cs="Arial"/>
                <w:color w:val="7F7F7F"/>
                <w:szCs w:val="18"/>
                <w:lang w:eastAsia="en-AU"/>
              </w:rPr>
              <w:t>47%</w:t>
            </w:r>
          </w:p>
        </w:tc>
        <w:tc>
          <w:tcPr>
            <w:tcW w:w="986" w:type="dxa"/>
            <w:tcBorders>
              <w:top w:val="nil"/>
              <w:left w:val="nil"/>
              <w:bottom w:val="single" w:sz="12" w:space="0" w:color="7F7F7F"/>
              <w:right w:val="nil"/>
            </w:tcBorders>
            <w:shd w:val="clear" w:color="auto" w:fill="auto"/>
            <w:noWrap/>
            <w:vAlign w:val="center"/>
            <w:hideMark/>
          </w:tcPr>
          <w:p w:rsidR="006F5472" w:rsidRPr="002F6569" w:rsidRDefault="006F5472" w:rsidP="006F5472">
            <w:pPr>
              <w:jc w:val="right"/>
              <w:rPr>
                <w:rFonts w:cs="Arial"/>
                <w:color w:val="7F7F7F"/>
                <w:szCs w:val="18"/>
                <w:lang w:eastAsia="en-AU"/>
              </w:rPr>
            </w:pPr>
            <w:r w:rsidRPr="002F6569">
              <w:rPr>
                <w:rFonts w:cs="Arial"/>
                <w:color w:val="7F7F7F"/>
                <w:szCs w:val="18"/>
                <w:lang w:eastAsia="en-AU"/>
              </w:rPr>
              <w:t>37%</w:t>
            </w:r>
          </w:p>
        </w:tc>
        <w:tc>
          <w:tcPr>
            <w:tcW w:w="986" w:type="dxa"/>
            <w:tcBorders>
              <w:top w:val="nil"/>
              <w:left w:val="nil"/>
              <w:bottom w:val="single" w:sz="12" w:space="0" w:color="7F7F7F"/>
              <w:right w:val="nil"/>
            </w:tcBorders>
            <w:shd w:val="clear" w:color="auto" w:fill="auto"/>
            <w:noWrap/>
            <w:vAlign w:val="center"/>
            <w:hideMark/>
          </w:tcPr>
          <w:p w:rsidR="006F5472" w:rsidRPr="002F6569" w:rsidRDefault="006F5472" w:rsidP="006F5472">
            <w:pPr>
              <w:jc w:val="right"/>
              <w:rPr>
                <w:rFonts w:cs="Arial"/>
                <w:color w:val="7F7F7F"/>
                <w:szCs w:val="18"/>
                <w:lang w:eastAsia="en-AU"/>
              </w:rPr>
            </w:pPr>
            <w:r w:rsidRPr="002F6569">
              <w:rPr>
                <w:rFonts w:cs="Arial"/>
                <w:color w:val="7F7F7F"/>
                <w:szCs w:val="18"/>
                <w:lang w:eastAsia="en-AU"/>
              </w:rPr>
              <w:t>29%</w:t>
            </w:r>
          </w:p>
        </w:tc>
        <w:tc>
          <w:tcPr>
            <w:tcW w:w="986" w:type="dxa"/>
            <w:tcBorders>
              <w:top w:val="nil"/>
              <w:left w:val="nil"/>
              <w:bottom w:val="single" w:sz="12" w:space="0" w:color="7F7F7F"/>
              <w:right w:val="nil"/>
            </w:tcBorders>
            <w:shd w:val="clear" w:color="auto" w:fill="auto"/>
            <w:noWrap/>
            <w:vAlign w:val="center"/>
            <w:hideMark/>
          </w:tcPr>
          <w:p w:rsidR="006F5472" w:rsidRPr="002F6569" w:rsidRDefault="006F5472" w:rsidP="006F5472">
            <w:pPr>
              <w:jc w:val="right"/>
              <w:rPr>
                <w:rFonts w:cs="Arial"/>
                <w:color w:val="7F7F7F"/>
                <w:szCs w:val="18"/>
                <w:lang w:eastAsia="en-AU"/>
              </w:rPr>
            </w:pPr>
            <w:r w:rsidRPr="002F6569">
              <w:rPr>
                <w:rFonts w:cs="Arial"/>
                <w:color w:val="7F7F7F"/>
                <w:szCs w:val="18"/>
                <w:lang w:eastAsia="en-AU"/>
              </w:rPr>
              <w:t>29%</w:t>
            </w:r>
          </w:p>
        </w:tc>
        <w:tc>
          <w:tcPr>
            <w:tcW w:w="986" w:type="dxa"/>
            <w:tcBorders>
              <w:top w:val="nil"/>
              <w:left w:val="nil"/>
              <w:bottom w:val="single" w:sz="12" w:space="0" w:color="7F7F7F"/>
              <w:right w:val="nil"/>
            </w:tcBorders>
            <w:shd w:val="clear" w:color="auto" w:fill="auto"/>
            <w:noWrap/>
            <w:vAlign w:val="center"/>
            <w:hideMark/>
          </w:tcPr>
          <w:p w:rsidR="006F5472" w:rsidRPr="002F6569" w:rsidRDefault="006F5472" w:rsidP="006F5472">
            <w:pPr>
              <w:jc w:val="right"/>
              <w:rPr>
                <w:rFonts w:cs="Arial"/>
                <w:color w:val="7F7F7F"/>
                <w:szCs w:val="18"/>
                <w:lang w:eastAsia="en-AU"/>
              </w:rPr>
            </w:pPr>
            <w:r w:rsidRPr="002F6569">
              <w:rPr>
                <w:rFonts w:cs="Arial"/>
                <w:color w:val="7F7F7F"/>
                <w:szCs w:val="18"/>
                <w:lang w:eastAsia="en-AU"/>
              </w:rPr>
              <w:t>20%</w:t>
            </w:r>
          </w:p>
        </w:tc>
        <w:tc>
          <w:tcPr>
            <w:tcW w:w="986" w:type="dxa"/>
            <w:tcBorders>
              <w:top w:val="nil"/>
              <w:left w:val="nil"/>
              <w:bottom w:val="single" w:sz="12" w:space="0" w:color="7F7F7F"/>
              <w:right w:val="nil"/>
            </w:tcBorders>
            <w:shd w:val="clear" w:color="auto" w:fill="auto"/>
            <w:noWrap/>
            <w:vAlign w:val="center"/>
            <w:hideMark/>
          </w:tcPr>
          <w:p w:rsidR="006F5472" w:rsidRPr="002F6569" w:rsidRDefault="006F5472" w:rsidP="006F5472">
            <w:pPr>
              <w:jc w:val="right"/>
              <w:rPr>
                <w:rFonts w:cs="Arial"/>
                <w:color w:val="7F7F7F"/>
                <w:szCs w:val="18"/>
                <w:lang w:eastAsia="en-AU"/>
              </w:rPr>
            </w:pPr>
            <w:r w:rsidRPr="002F6569">
              <w:rPr>
                <w:rFonts w:cs="Arial"/>
                <w:color w:val="7F7F7F"/>
                <w:szCs w:val="18"/>
                <w:lang w:eastAsia="en-AU"/>
              </w:rPr>
              <w:t>23%</w:t>
            </w:r>
          </w:p>
        </w:tc>
      </w:tr>
    </w:tbl>
    <w:p w:rsidR="006F5472" w:rsidRPr="009918BC" w:rsidRDefault="006F5472" w:rsidP="00801FA5">
      <w:pPr>
        <w:rPr>
          <w:color w:val="7F7F7F" w:themeColor="text2"/>
        </w:rPr>
      </w:pPr>
    </w:p>
    <w:p w:rsidR="006F5472" w:rsidRDefault="006F5472" w:rsidP="00801FA5"/>
    <w:p w:rsidR="006321A2" w:rsidRPr="00365EB2" w:rsidRDefault="006321A2">
      <w:pPr>
        <w:rPr>
          <w:rFonts w:cs="Arial"/>
          <w:b/>
          <w:bCs/>
          <w:sz w:val="19"/>
          <w:szCs w:val="19"/>
        </w:rPr>
      </w:pPr>
      <w:r w:rsidRPr="00365EB2">
        <w:br w:type="page"/>
      </w:r>
    </w:p>
    <w:p w:rsidR="00A921B5" w:rsidRPr="00DE7971" w:rsidRDefault="00B55785" w:rsidP="004841FC">
      <w:pPr>
        <w:pStyle w:val="Heading3"/>
        <w:spacing w:before="120" w:after="240"/>
        <w:rPr>
          <w:color w:val="7F7F7F" w:themeColor="text2"/>
        </w:rPr>
      </w:pPr>
      <w:r w:rsidRPr="00DE7971">
        <w:rPr>
          <w:color w:val="7F7F7F" w:themeColor="text2"/>
        </w:rPr>
        <w:lastRenderedPageBreak/>
        <w:t>TAFE Fee-For-Service T</w:t>
      </w:r>
      <w:r w:rsidR="00A921B5" w:rsidRPr="00DE7971">
        <w:rPr>
          <w:color w:val="7F7F7F" w:themeColor="text2"/>
        </w:rPr>
        <w:t xml:space="preserve">raining </w:t>
      </w:r>
      <w:r w:rsidRPr="00DE7971">
        <w:rPr>
          <w:color w:val="7F7F7F" w:themeColor="text2"/>
        </w:rPr>
        <w:t>A</w:t>
      </w:r>
      <w:r w:rsidR="00A921B5" w:rsidRPr="00DE7971">
        <w:rPr>
          <w:color w:val="7F7F7F" w:themeColor="text2"/>
        </w:rPr>
        <w:t>ctivity</w:t>
      </w:r>
    </w:p>
    <w:p w:rsidR="00007BAC" w:rsidRPr="002F6569" w:rsidRDefault="00007BAC" w:rsidP="005E460F">
      <w:pPr>
        <w:spacing w:after="120"/>
        <w:rPr>
          <w:color w:val="7F7F7F" w:themeColor="text2"/>
        </w:rPr>
      </w:pPr>
      <w:r w:rsidRPr="002F6569">
        <w:rPr>
          <w:color w:val="7F7F7F" w:themeColor="text2"/>
        </w:rPr>
        <w:t xml:space="preserve">This section provides an overview of </w:t>
      </w:r>
      <w:r w:rsidR="001D22F4">
        <w:rPr>
          <w:color w:val="7F7F7F" w:themeColor="text2"/>
        </w:rPr>
        <w:t>domestic</w:t>
      </w:r>
      <w:r w:rsidRPr="002F6569">
        <w:rPr>
          <w:color w:val="7F7F7F" w:themeColor="text2"/>
        </w:rPr>
        <w:t xml:space="preserve"> fee-for-service activity by TAFEs.</w:t>
      </w:r>
    </w:p>
    <w:p w:rsidR="00A921B5" w:rsidRPr="002F6569" w:rsidRDefault="00A921B5" w:rsidP="004841FC">
      <w:pPr>
        <w:pStyle w:val="Quote"/>
        <w:pBdr>
          <w:top w:val="single" w:sz="4" w:space="1" w:color="7F7F7F" w:themeColor="text2"/>
          <w:left w:val="single" w:sz="4" w:space="4" w:color="7F7F7F" w:themeColor="text2"/>
          <w:bottom w:val="single" w:sz="4" w:space="1" w:color="7F7F7F" w:themeColor="text2"/>
          <w:right w:val="single" w:sz="4" w:space="4" w:color="7F7F7F" w:themeColor="text2"/>
        </w:pBdr>
        <w:spacing w:after="120"/>
      </w:pPr>
      <w:r w:rsidRPr="002F6569">
        <w:t>Key points</w:t>
      </w:r>
    </w:p>
    <w:p w:rsidR="00A921B5" w:rsidRPr="002F6569" w:rsidRDefault="00722DE1" w:rsidP="004841FC">
      <w:pPr>
        <w:pStyle w:val="ListParagraph"/>
        <w:numPr>
          <w:ilvl w:val="0"/>
          <w:numId w:val="18"/>
        </w:numPr>
        <w:pBdr>
          <w:top w:val="single" w:sz="4" w:space="1" w:color="7F7F7F" w:themeColor="text2"/>
          <w:left w:val="single" w:sz="4" w:space="4" w:color="7F7F7F" w:themeColor="text2"/>
          <w:bottom w:val="single" w:sz="4" w:space="1" w:color="7F7F7F" w:themeColor="text2"/>
          <w:right w:val="single" w:sz="4" w:space="4" w:color="7F7F7F" w:themeColor="text2"/>
        </w:pBdr>
        <w:spacing w:after="120"/>
        <w:ind w:left="425" w:hanging="425"/>
        <w:contextualSpacing w:val="0"/>
        <w:rPr>
          <w:color w:val="7F7F7F" w:themeColor="text2"/>
        </w:rPr>
      </w:pPr>
      <w:r w:rsidRPr="002F6569">
        <w:rPr>
          <w:color w:val="7F7F7F" w:themeColor="text2"/>
        </w:rPr>
        <w:t>In 201</w:t>
      </w:r>
      <w:r w:rsidR="007E1987" w:rsidRPr="002F6569">
        <w:rPr>
          <w:color w:val="7F7F7F" w:themeColor="text2"/>
        </w:rPr>
        <w:t>5 (half year),</w:t>
      </w:r>
      <w:r w:rsidRPr="002F6569">
        <w:rPr>
          <w:color w:val="7F7F7F" w:themeColor="text2"/>
        </w:rPr>
        <w:t xml:space="preserve"> 3</w:t>
      </w:r>
      <w:r w:rsidR="007E1987" w:rsidRPr="002F6569">
        <w:rPr>
          <w:color w:val="7F7F7F" w:themeColor="text2"/>
        </w:rPr>
        <w:t>6</w:t>
      </w:r>
      <w:r w:rsidRPr="002F6569">
        <w:rPr>
          <w:color w:val="7F7F7F" w:themeColor="text2"/>
        </w:rPr>
        <w:t xml:space="preserve"> per cent of </w:t>
      </w:r>
      <w:r w:rsidR="001D22F4">
        <w:rPr>
          <w:color w:val="7F7F7F" w:themeColor="text2"/>
        </w:rPr>
        <w:t xml:space="preserve">domestic </w:t>
      </w:r>
      <w:r w:rsidRPr="002F6569">
        <w:rPr>
          <w:color w:val="7F7F7F" w:themeColor="text2"/>
        </w:rPr>
        <w:t xml:space="preserve">TAFE fee-for-service enrolments </w:t>
      </w:r>
      <w:r w:rsidR="006321A2" w:rsidRPr="002F6569">
        <w:rPr>
          <w:color w:val="7F7F7F" w:themeColor="text2"/>
        </w:rPr>
        <w:t>were</w:t>
      </w:r>
      <w:r w:rsidRPr="002F6569">
        <w:rPr>
          <w:color w:val="7F7F7F" w:themeColor="text2"/>
        </w:rPr>
        <w:t xml:space="preserve"> at the Certificate I and II level.</w:t>
      </w:r>
    </w:p>
    <w:p w:rsidR="00722DE1" w:rsidRPr="002F6569" w:rsidRDefault="00722DE1" w:rsidP="004841FC">
      <w:pPr>
        <w:pStyle w:val="ListParagraph"/>
        <w:numPr>
          <w:ilvl w:val="0"/>
          <w:numId w:val="18"/>
        </w:numPr>
        <w:pBdr>
          <w:top w:val="single" w:sz="4" w:space="1" w:color="7F7F7F" w:themeColor="text2"/>
          <w:left w:val="single" w:sz="4" w:space="4" w:color="7F7F7F" w:themeColor="text2"/>
          <w:bottom w:val="single" w:sz="4" w:space="1" w:color="7F7F7F" w:themeColor="text2"/>
          <w:right w:val="single" w:sz="4" w:space="4" w:color="7F7F7F" w:themeColor="text2"/>
        </w:pBdr>
        <w:spacing w:after="120"/>
        <w:ind w:left="425" w:hanging="425"/>
        <w:contextualSpacing w:val="0"/>
        <w:rPr>
          <w:color w:val="7F7F7F" w:themeColor="text2"/>
        </w:rPr>
      </w:pPr>
      <w:r w:rsidRPr="002F6569">
        <w:rPr>
          <w:color w:val="7F7F7F" w:themeColor="text2"/>
        </w:rPr>
        <w:t>In 201</w:t>
      </w:r>
      <w:r w:rsidR="00923DCA" w:rsidRPr="002F6569">
        <w:rPr>
          <w:color w:val="7F7F7F" w:themeColor="text2"/>
        </w:rPr>
        <w:t>5 (half year),</w:t>
      </w:r>
      <w:r w:rsidRPr="002F6569">
        <w:rPr>
          <w:color w:val="7F7F7F" w:themeColor="text2"/>
        </w:rPr>
        <w:t xml:space="preserve"> 25 to 44 year olds had the highest level of </w:t>
      </w:r>
      <w:r w:rsidR="001D22F4">
        <w:rPr>
          <w:color w:val="7F7F7F" w:themeColor="text2"/>
        </w:rPr>
        <w:t xml:space="preserve">domestic </w:t>
      </w:r>
      <w:r w:rsidRPr="002F6569">
        <w:rPr>
          <w:color w:val="7F7F7F" w:themeColor="text2"/>
        </w:rPr>
        <w:t xml:space="preserve">fee-for-service enrolments at TAFE at </w:t>
      </w:r>
      <w:r w:rsidR="00923DCA" w:rsidRPr="002F6569">
        <w:rPr>
          <w:color w:val="7F7F7F" w:themeColor="text2"/>
        </w:rPr>
        <w:t>27</w:t>
      </w:r>
      <w:r w:rsidRPr="002F6569">
        <w:rPr>
          <w:color w:val="7F7F7F" w:themeColor="text2"/>
        </w:rPr>
        <w:t>,</w:t>
      </w:r>
      <w:r w:rsidR="00923DCA" w:rsidRPr="002F6569">
        <w:rPr>
          <w:color w:val="7F7F7F" w:themeColor="text2"/>
        </w:rPr>
        <w:t>114</w:t>
      </w:r>
      <w:r w:rsidRPr="002F6569">
        <w:rPr>
          <w:color w:val="7F7F7F" w:themeColor="text2"/>
        </w:rPr>
        <w:t xml:space="preserve">, which represented 42 per cent of all </w:t>
      </w:r>
      <w:r w:rsidR="001D22F4">
        <w:rPr>
          <w:color w:val="7F7F7F" w:themeColor="text2"/>
        </w:rPr>
        <w:t xml:space="preserve">domestic </w:t>
      </w:r>
      <w:r w:rsidRPr="002F6569">
        <w:rPr>
          <w:color w:val="7F7F7F" w:themeColor="text2"/>
        </w:rPr>
        <w:t>TAFE fee-for-service enrolments.</w:t>
      </w:r>
    </w:p>
    <w:p w:rsidR="00722DE1" w:rsidRPr="002F6569" w:rsidRDefault="006321A2" w:rsidP="004841FC">
      <w:pPr>
        <w:pStyle w:val="ListParagraph"/>
        <w:numPr>
          <w:ilvl w:val="0"/>
          <w:numId w:val="18"/>
        </w:numPr>
        <w:pBdr>
          <w:top w:val="single" w:sz="4" w:space="1" w:color="7F7F7F" w:themeColor="text2"/>
          <w:left w:val="single" w:sz="4" w:space="4" w:color="7F7F7F" w:themeColor="text2"/>
          <w:bottom w:val="single" w:sz="4" w:space="1" w:color="7F7F7F" w:themeColor="text2"/>
          <w:right w:val="single" w:sz="4" w:space="4" w:color="7F7F7F" w:themeColor="text2"/>
        </w:pBdr>
        <w:spacing w:after="120"/>
        <w:ind w:left="425" w:hanging="425"/>
        <w:contextualSpacing w:val="0"/>
        <w:rPr>
          <w:color w:val="7F7F7F" w:themeColor="text2"/>
        </w:rPr>
      </w:pPr>
      <w:r w:rsidRPr="002F6569">
        <w:rPr>
          <w:color w:val="7F7F7F" w:themeColor="text2"/>
        </w:rPr>
        <w:t>In 201</w:t>
      </w:r>
      <w:r w:rsidR="00923DCA" w:rsidRPr="002F6569">
        <w:rPr>
          <w:color w:val="7F7F7F" w:themeColor="text2"/>
        </w:rPr>
        <w:t>5 (half year),</w:t>
      </w:r>
      <w:r w:rsidRPr="002F6569">
        <w:rPr>
          <w:color w:val="7F7F7F" w:themeColor="text2"/>
        </w:rPr>
        <w:t xml:space="preserve"> </w:t>
      </w:r>
      <w:r w:rsidR="00923DCA" w:rsidRPr="002F6569">
        <w:rPr>
          <w:color w:val="7F7F7F" w:themeColor="text2"/>
        </w:rPr>
        <w:t>20,361</w:t>
      </w:r>
      <w:r w:rsidRPr="002F6569">
        <w:rPr>
          <w:color w:val="7F7F7F" w:themeColor="text2"/>
        </w:rPr>
        <w:t xml:space="preserve"> </w:t>
      </w:r>
      <w:r w:rsidR="001D22F4">
        <w:rPr>
          <w:color w:val="7F7F7F" w:themeColor="text2"/>
        </w:rPr>
        <w:t xml:space="preserve">domestic </w:t>
      </w:r>
      <w:r w:rsidRPr="002F6569">
        <w:rPr>
          <w:color w:val="7F7F7F" w:themeColor="text2"/>
        </w:rPr>
        <w:t xml:space="preserve">fee-for-service enrolments were delivered </w:t>
      </w:r>
      <w:r w:rsidR="00923DCA" w:rsidRPr="002F6569">
        <w:rPr>
          <w:color w:val="7F7F7F" w:themeColor="text2"/>
        </w:rPr>
        <w:t xml:space="preserve">by TAFEs </w:t>
      </w:r>
      <w:r w:rsidRPr="002F6569">
        <w:rPr>
          <w:color w:val="7F7F7F" w:themeColor="text2"/>
        </w:rPr>
        <w:t xml:space="preserve">in regional Victoria, this was </w:t>
      </w:r>
      <w:r w:rsidR="00923DCA" w:rsidRPr="002F6569">
        <w:rPr>
          <w:color w:val="7F7F7F" w:themeColor="text2"/>
        </w:rPr>
        <w:t xml:space="preserve">down </w:t>
      </w:r>
      <w:r w:rsidRPr="002F6569">
        <w:rPr>
          <w:color w:val="7F7F7F" w:themeColor="text2"/>
        </w:rPr>
        <w:t>by 1</w:t>
      </w:r>
      <w:r w:rsidR="00923DCA" w:rsidRPr="002F6569">
        <w:rPr>
          <w:color w:val="7F7F7F" w:themeColor="text2"/>
        </w:rPr>
        <w:t>5</w:t>
      </w:r>
      <w:r w:rsidRPr="002F6569">
        <w:rPr>
          <w:color w:val="7F7F7F" w:themeColor="text2"/>
        </w:rPr>
        <w:t xml:space="preserve"> per cent on 201</w:t>
      </w:r>
      <w:r w:rsidR="00923DCA" w:rsidRPr="002F6569">
        <w:rPr>
          <w:color w:val="7F7F7F" w:themeColor="text2"/>
        </w:rPr>
        <w:t>4 (half year)</w:t>
      </w:r>
      <w:r w:rsidRPr="002F6569">
        <w:rPr>
          <w:color w:val="7F7F7F" w:themeColor="text2"/>
        </w:rPr>
        <w:t>.</w:t>
      </w:r>
    </w:p>
    <w:p w:rsidR="006321A2" w:rsidRPr="002F6569" w:rsidRDefault="006321A2" w:rsidP="004841FC">
      <w:pPr>
        <w:pStyle w:val="ListParagraph"/>
        <w:numPr>
          <w:ilvl w:val="0"/>
          <w:numId w:val="18"/>
        </w:numPr>
        <w:pBdr>
          <w:top w:val="single" w:sz="4" w:space="1" w:color="7F7F7F" w:themeColor="text2"/>
          <w:left w:val="single" w:sz="4" w:space="4" w:color="7F7F7F" w:themeColor="text2"/>
          <w:bottom w:val="single" w:sz="4" w:space="1" w:color="7F7F7F" w:themeColor="text2"/>
          <w:right w:val="single" w:sz="4" w:space="4" w:color="7F7F7F" w:themeColor="text2"/>
        </w:pBdr>
        <w:spacing w:after="120"/>
        <w:ind w:left="425" w:hanging="425"/>
        <w:contextualSpacing w:val="0"/>
        <w:rPr>
          <w:color w:val="7F7F7F" w:themeColor="text2"/>
        </w:rPr>
      </w:pPr>
      <w:r w:rsidRPr="002F6569">
        <w:rPr>
          <w:color w:val="7F7F7F" w:themeColor="text2"/>
        </w:rPr>
        <w:t>In 201</w:t>
      </w:r>
      <w:r w:rsidR="00923DCA" w:rsidRPr="002F6569">
        <w:rPr>
          <w:color w:val="7F7F7F" w:themeColor="text2"/>
        </w:rPr>
        <w:t>5 (half year),</w:t>
      </w:r>
      <w:r w:rsidRPr="002F6569">
        <w:rPr>
          <w:color w:val="7F7F7F" w:themeColor="text2"/>
        </w:rPr>
        <w:t xml:space="preserve"> </w:t>
      </w:r>
      <w:r w:rsidR="00923DCA" w:rsidRPr="002F6569">
        <w:rPr>
          <w:color w:val="7F7F7F" w:themeColor="text2"/>
        </w:rPr>
        <w:t>42</w:t>
      </w:r>
      <w:r w:rsidRPr="002F6569">
        <w:rPr>
          <w:color w:val="7F7F7F" w:themeColor="text2"/>
        </w:rPr>
        <w:t>,</w:t>
      </w:r>
      <w:r w:rsidR="00923DCA" w:rsidRPr="002F6569">
        <w:rPr>
          <w:color w:val="7F7F7F" w:themeColor="text2"/>
        </w:rPr>
        <w:t>474</w:t>
      </w:r>
      <w:r w:rsidRPr="002F6569">
        <w:rPr>
          <w:color w:val="7F7F7F" w:themeColor="text2"/>
        </w:rPr>
        <w:t xml:space="preserve"> </w:t>
      </w:r>
      <w:r w:rsidR="001D22F4">
        <w:rPr>
          <w:color w:val="7F7F7F" w:themeColor="text2"/>
        </w:rPr>
        <w:t xml:space="preserve">domestic </w:t>
      </w:r>
      <w:r w:rsidRPr="002F6569">
        <w:rPr>
          <w:color w:val="7F7F7F" w:themeColor="text2"/>
        </w:rPr>
        <w:t xml:space="preserve">fee-for-service enrolments were delivered </w:t>
      </w:r>
      <w:r w:rsidR="00923DCA" w:rsidRPr="002F6569">
        <w:rPr>
          <w:color w:val="7F7F7F" w:themeColor="text2"/>
        </w:rPr>
        <w:t xml:space="preserve">by TAFEs </w:t>
      </w:r>
      <w:r w:rsidR="00C26F4E" w:rsidRPr="002F6569">
        <w:rPr>
          <w:color w:val="7F7F7F" w:themeColor="text2"/>
        </w:rPr>
        <w:t>in</w:t>
      </w:r>
      <w:r w:rsidRPr="002F6569">
        <w:rPr>
          <w:color w:val="7F7F7F" w:themeColor="text2"/>
        </w:rPr>
        <w:t xml:space="preserve"> metropolitan</w:t>
      </w:r>
      <w:r w:rsidR="00C26F4E" w:rsidRPr="002F6569">
        <w:rPr>
          <w:color w:val="7F7F7F" w:themeColor="text2"/>
        </w:rPr>
        <w:t xml:space="preserve"> Melbourne</w:t>
      </w:r>
      <w:r w:rsidR="00923DCA" w:rsidRPr="002F6569">
        <w:rPr>
          <w:color w:val="7F7F7F" w:themeColor="text2"/>
        </w:rPr>
        <w:t>,</w:t>
      </w:r>
      <w:r w:rsidRPr="002F6569">
        <w:rPr>
          <w:color w:val="7F7F7F" w:themeColor="text2"/>
        </w:rPr>
        <w:t xml:space="preserve"> this was </w:t>
      </w:r>
      <w:r w:rsidR="00923DCA" w:rsidRPr="002F6569">
        <w:rPr>
          <w:color w:val="7F7F7F" w:themeColor="text2"/>
        </w:rPr>
        <w:t>down</w:t>
      </w:r>
      <w:r w:rsidRPr="002F6569">
        <w:rPr>
          <w:color w:val="7F7F7F" w:themeColor="text2"/>
        </w:rPr>
        <w:t xml:space="preserve"> by </w:t>
      </w:r>
      <w:r w:rsidR="00923DCA" w:rsidRPr="002F6569">
        <w:rPr>
          <w:color w:val="7F7F7F" w:themeColor="text2"/>
        </w:rPr>
        <w:t>10</w:t>
      </w:r>
      <w:r w:rsidRPr="002F6569">
        <w:rPr>
          <w:color w:val="7F7F7F" w:themeColor="text2"/>
        </w:rPr>
        <w:t xml:space="preserve"> per cent on 201</w:t>
      </w:r>
      <w:r w:rsidR="00923DCA" w:rsidRPr="002F6569">
        <w:rPr>
          <w:color w:val="7F7F7F" w:themeColor="text2"/>
        </w:rPr>
        <w:t>4 (half year)</w:t>
      </w:r>
      <w:r w:rsidRPr="002F6569">
        <w:rPr>
          <w:color w:val="7F7F7F" w:themeColor="text2"/>
        </w:rPr>
        <w:t>.</w:t>
      </w:r>
    </w:p>
    <w:p w:rsidR="006321A2" w:rsidRPr="002F6569" w:rsidRDefault="00FA6F18" w:rsidP="004841FC">
      <w:pPr>
        <w:pStyle w:val="ListParagraph"/>
        <w:numPr>
          <w:ilvl w:val="0"/>
          <w:numId w:val="18"/>
        </w:numPr>
        <w:pBdr>
          <w:top w:val="single" w:sz="4" w:space="1" w:color="7F7F7F" w:themeColor="text2"/>
          <w:left w:val="single" w:sz="4" w:space="4" w:color="7F7F7F" w:themeColor="text2"/>
          <w:bottom w:val="single" w:sz="4" w:space="1" w:color="7F7F7F" w:themeColor="text2"/>
          <w:right w:val="single" w:sz="4" w:space="4" w:color="7F7F7F" w:themeColor="text2"/>
        </w:pBdr>
        <w:ind w:left="425" w:hanging="425"/>
        <w:contextualSpacing w:val="0"/>
        <w:rPr>
          <w:color w:val="7F7F7F" w:themeColor="text2"/>
        </w:rPr>
      </w:pPr>
      <w:r w:rsidRPr="002F6569">
        <w:rPr>
          <w:color w:val="7F7F7F" w:themeColor="text2"/>
        </w:rPr>
        <w:t>I</w:t>
      </w:r>
      <w:r w:rsidR="00987620" w:rsidRPr="002F6569">
        <w:rPr>
          <w:color w:val="7F7F7F" w:themeColor="text2"/>
        </w:rPr>
        <w:t>n</w:t>
      </w:r>
      <w:r w:rsidRPr="002F6569">
        <w:rPr>
          <w:color w:val="7F7F7F" w:themeColor="text2"/>
        </w:rPr>
        <w:t xml:space="preserve"> 201</w:t>
      </w:r>
      <w:r w:rsidR="00923DCA" w:rsidRPr="002F6569">
        <w:rPr>
          <w:color w:val="7F7F7F" w:themeColor="text2"/>
        </w:rPr>
        <w:t>5 (half year),</w:t>
      </w:r>
      <w:r w:rsidRPr="002F6569">
        <w:rPr>
          <w:color w:val="7F7F7F" w:themeColor="text2"/>
        </w:rPr>
        <w:t xml:space="preserve"> t</w:t>
      </w:r>
      <w:r w:rsidR="006321A2" w:rsidRPr="002F6569">
        <w:rPr>
          <w:color w:val="7F7F7F" w:themeColor="text2"/>
        </w:rPr>
        <w:t xml:space="preserve">he top occupation was Food Preparation Assistants with </w:t>
      </w:r>
      <w:r w:rsidR="00923DCA" w:rsidRPr="002F6569">
        <w:rPr>
          <w:color w:val="7F7F7F" w:themeColor="text2"/>
        </w:rPr>
        <w:t>2</w:t>
      </w:r>
      <w:r w:rsidR="006321A2" w:rsidRPr="002F6569">
        <w:rPr>
          <w:color w:val="7F7F7F" w:themeColor="text2"/>
        </w:rPr>
        <w:t>,</w:t>
      </w:r>
      <w:r w:rsidR="00923DCA" w:rsidRPr="002F6569">
        <w:rPr>
          <w:color w:val="7F7F7F" w:themeColor="text2"/>
        </w:rPr>
        <w:t>870</w:t>
      </w:r>
      <w:r w:rsidR="006321A2" w:rsidRPr="002F6569">
        <w:rPr>
          <w:color w:val="7F7F7F" w:themeColor="text2"/>
        </w:rPr>
        <w:t xml:space="preserve"> </w:t>
      </w:r>
      <w:r w:rsidR="001D22F4">
        <w:rPr>
          <w:color w:val="7F7F7F" w:themeColor="text2"/>
        </w:rPr>
        <w:t xml:space="preserve">domestic </w:t>
      </w:r>
      <w:r w:rsidR="006321A2" w:rsidRPr="002F6569">
        <w:rPr>
          <w:color w:val="7F7F7F" w:themeColor="text2"/>
        </w:rPr>
        <w:t xml:space="preserve">fee-for-service enrolments, </w:t>
      </w:r>
      <w:r w:rsidR="00923DCA" w:rsidRPr="002F6569">
        <w:rPr>
          <w:color w:val="7F7F7F" w:themeColor="text2"/>
        </w:rPr>
        <w:t xml:space="preserve">down </w:t>
      </w:r>
      <w:r w:rsidR="006321A2" w:rsidRPr="002F6569">
        <w:rPr>
          <w:color w:val="7F7F7F" w:themeColor="text2"/>
        </w:rPr>
        <w:t>on 201</w:t>
      </w:r>
      <w:r w:rsidR="00923DCA" w:rsidRPr="002F6569">
        <w:rPr>
          <w:color w:val="7F7F7F" w:themeColor="text2"/>
        </w:rPr>
        <w:t>4 (half year)</w:t>
      </w:r>
      <w:r w:rsidR="006321A2" w:rsidRPr="002F6569">
        <w:rPr>
          <w:color w:val="7F7F7F" w:themeColor="text2"/>
        </w:rPr>
        <w:t xml:space="preserve"> by </w:t>
      </w:r>
      <w:r w:rsidR="00923DCA" w:rsidRPr="002F6569">
        <w:rPr>
          <w:color w:val="7F7F7F" w:themeColor="text2"/>
        </w:rPr>
        <w:t>58</w:t>
      </w:r>
      <w:r w:rsidR="006321A2" w:rsidRPr="002F6569">
        <w:rPr>
          <w:color w:val="7F7F7F" w:themeColor="text2"/>
        </w:rPr>
        <w:t xml:space="preserve"> per cent.</w:t>
      </w:r>
    </w:p>
    <w:p w:rsidR="004841FC" w:rsidRPr="004841FC" w:rsidRDefault="004841FC" w:rsidP="004841FC">
      <w:pPr>
        <w:pBdr>
          <w:top w:val="single" w:sz="4" w:space="1" w:color="7F7F7F" w:themeColor="text2"/>
          <w:left w:val="single" w:sz="4" w:space="4" w:color="7F7F7F" w:themeColor="text2"/>
          <w:bottom w:val="single" w:sz="4" w:space="1" w:color="7F7F7F" w:themeColor="text2"/>
          <w:right w:val="single" w:sz="4" w:space="4" w:color="7F7F7F" w:themeColor="text2"/>
        </w:pBdr>
        <w:rPr>
          <w:szCs w:val="18"/>
        </w:rPr>
      </w:pPr>
    </w:p>
    <w:p w:rsidR="00A921B5" w:rsidRDefault="00A921B5" w:rsidP="004841FC">
      <w:pPr>
        <w:pStyle w:val="Quote"/>
        <w:rPr>
          <w:b w:val="0"/>
          <w:sz w:val="18"/>
          <w:szCs w:val="18"/>
        </w:rPr>
      </w:pPr>
    </w:p>
    <w:p w:rsidR="004841FC" w:rsidRPr="004841FC" w:rsidRDefault="004841FC" w:rsidP="004841FC">
      <w:pPr>
        <w:pStyle w:val="Quote"/>
        <w:rPr>
          <w:b w:val="0"/>
          <w:sz w:val="18"/>
          <w:szCs w:val="18"/>
        </w:rPr>
      </w:pP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923DCA" w:rsidTr="00923DCA">
        <w:tc>
          <w:tcPr>
            <w:tcW w:w="1134" w:type="dxa"/>
            <w:tcMar>
              <w:left w:w="0" w:type="dxa"/>
              <w:right w:w="0" w:type="dxa"/>
            </w:tcMar>
          </w:tcPr>
          <w:p w:rsidR="00923DCA" w:rsidRDefault="00923DCA" w:rsidP="0084117E">
            <w:pPr>
              <w:pStyle w:val="Quote"/>
              <w:tabs>
                <w:tab w:val="left" w:pos="1134"/>
              </w:tabs>
              <w:rPr>
                <w:b w:val="0"/>
                <w:color w:val="B41F22" w:themeColor="accent1"/>
              </w:rPr>
            </w:pPr>
            <w:r>
              <w:rPr>
                <w:b w:val="0"/>
                <w:color w:val="B41F22" w:themeColor="accent1"/>
              </w:rPr>
              <w:t>Table 1.</w:t>
            </w:r>
            <w:r w:rsidR="005A7424">
              <w:rPr>
                <w:b w:val="0"/>
                <w:color w:val="B41F22" w:themeColor="accent1"/>
              </w:rPr>
              <w:t>3</w:t>
            </w:r>
            <w:r w:rsidR="0084117E">
              <w:rPr>
                <w:b w:val="0"/>
                <w:color w:val="B41F22" w:themeColor="accent1"/>
              </w:rPr>
              <w:t>2</w:t>
            </w:r>
            <w:r>
              <w:rPr>
                <w:b w:val="0"/>
                <w:color w:val="B41F22" w:themeColor="accent1"/>
              </w:rPr>
              <w:t>.1:</w:t>
            </w:r>
          </w:p>
        </w:tc>
        <w:tc>
          <w:tcPr>
            <w:tcW w:w="6946" w:type="dxa"/>
            <w:tcMar>
              <w:left w:w="0" w:type="dxa"/>
              <w:right w:w="0" w:type="dxa"/>
            </w:tcMar>
          </w:tcPr>
          <w:p w:rsidR="00923DCA" w:rsidRDefault="001D22F4" w:rsidP="007E03F8">
            <w:pPr>
              <w:pStyle w:val="Quote"/>
              <w:tabs>
                <w:tab w:val="left" w:pos="1134"/>
              </w:tabs>
              <w:rPr>
                <w:b w:val="0"/>
                <w:color w:val="B41F22" w:themeColor="accent1"/>
              </w:rPr>
            </w:pPr>
            <w:r>
              <w:rPr>
                <w:b w:val="0"/>
                <w:color w:val="B41F22" w:themeColor="accent1"/>
              </w:rPr>
              <w:t>Domestic</w:t>
            </w:r>
            <w:r w:rsidR="00923DCA" w:rsidRPr="00923DCA">
              <w:rPr>
                <w:b w:val="0"/>
                <w:color w:val="B41F22" w:themeColor="accent1"/>
              </w:rPr>
              <w:t xml:space="preserve"> fee-for-service enrolments </w:t>
            </w:r>
            <w:r w:rsidR="007E03F8">
              <w:rPr>
                <w:b w:val="0"/>
                <w:color w:val="B41F22" w:themeColor="accent1"/>
              </w:rPr>
              <w:t>at</w:t>
            </w:r>
            <w:r w:rsidR="00923DCA" w:rsidRPr="00923DCA">
              <w:rPr>
                <w:b w:val="0"/>
                <w:color w:val="B41F22" w:themeColor="accent1"/>
              </w:rPr>
              <w:t xml:space="preserve"> TAFE by qualification level, 2010 to 2015 (half year)</w:t>
            </w:r>
          </w:p>
        </w:tc>
      </w:tr>
    </w:tbl>
    <w:tbl>
      <w:tblPr>
        <w:tblW w:w="8095" w:type="dxa"/>
        <w:tblInd w:w="93" w:type="dxa"/>
        <w:tblLayout w:type="fixed"/>
        <w:tblLook w:val="04A0" w:firstRow="1" w:lastRow="0" w:firstColumn="1" w:lastColumn="0" w:noHBand="0" w:noVBand="1"/>
      </w:tblPr>
      <w:tblGrid>
        <w:gridCol w:w="2180"/>
        <w:gridCol w:w="985"/>
        <w:gridCol w:w="986"/>
        <w:gridCol w:w="986"/>
        <w:gridCol w:w="986"/>
        <w:gridCol w:w="986"/>
        <w:gridCol w:w="986"/>
      </w:tblGrid>
      <w:tr w:rsidR="0022447C" w:rsidRPr="0022447C" w:rsidTr="0022447C">
        <w:trPr>
          <w:trHeight w:val="300"/>
        </w:trPr>
        <w:tc>
          <w:tcPr>
            <w:tcW w:w="2180" w:type="dxa"/>
            <w:tcBorders>
              <w:top w:val="nil"/>
              <w:left w:val="nil"/>
              <w:bottom w:val="nil"/>
              <w:right w:val="nil"/>
            </w:tcBorders>
            <w:shd w:val="clear" w:color="000000" w:fill="7F7F7F"/>
            <w:noWrap/>
            <w:vAlign w:val="center"/>
            <w:hideMark/>
          </w:tcPr>
          <w:p w:rsidR="0022447C" w:rsidRPr="0022447C" w:rsidRDefault="0022447C" w:rsidP="0022447C">
            <w:pPr>
              <w:rPr>
                <w:rFonts w:cs="Arial"/>
                <w:color w:val="FFFFFF"/>
                <w:szCs w:val="18"/>
                <w:lang w:eastAsia="en-AU"/>
              </w:rPr>
            </w:pPr>
            <w:r w:rsidRPr="0022447C">
              <w:rPr>
                <w:rFonts w:cs="Arial"/>
                <w:color w:val="FFFFFF"/>
                <w:szCs w:val="18"/>
                <w:lang w:eastAsia="en-AU"/>
              </w:rPr>
              <w:t> </w:t>
            </w:r>
          </w:p>
        </w:tc>
        <w:tc>
          <w:tcPr>
            <w:tcW w:w="985" w:type="dxa"/>
            <w:tcBorders>
              <w:top w:val="nil"/>
              <w:left w:val="nil"/>
              <w:bottom w:val="nil"/>
              <w:right w:val="nil"/>
            </w:tcBorders>
            <w:shd w:val="clear" w:color="000000" w:fill="7F7F7F"/>
            <w:noWrap/>
            <w:vAlign w:val="center"/>
            <w:hideMark/>
          </w:tcPr>
          <w:p w:rsidR="0022447C" w:rsidRPr="0022447C" w:rsidRDefault="0022447C" w:rsidP="0022447C">
            <w:pPr>
              <w:jc w:val="right"/>
              <w:rPr>
                <w:rFonts w:cs="Arial"/>
                <w:b/>
                <w:bCs/>
                <w:color w:val="FFFFFF"/>
                <w:szCs w:val="18"/>
                <w:lang w:eastAsia="en-AU"/>
              </w:rPr>
            </w:pPr>
            <w:r w:rsidRPr="0022447C">
              <w:rPr>
                <w:rFonts w:cs="Arial"/>
                <w:b/>
                <w:bCs/>
                <w:color w:val="FFFFFF"/>
                <w:szCs w:val="18"/>
                <w:lang w:eastAsia="en-AU"/>
              </w:rPr>
              <w:t>2010</w:t>
            </w:r>
          </w:p>
        </w:tc>
        <w:tc>
          <w:tcPr>
            <w:tcW w:w="986" w:type="dxa"/>
            <w:tcBorders>
              <w:top w:val="nil"/>
              <w:left w:val="nil"/>
              <w:bottom w:val="nil"/>
              <w:right w:val="nil"/>
            </w:tcBorders>
            <w:shd w:val="clear" w:color="000000" w:fill="7F7F7F"/>
            <w:noWrap/>
            <w:vAlign w:val="center"/>
            <w:hideMark/>
          </w:tcPr>
          <w:p w:rsidR="0022447C" w:rsidRPr="0022447C" w:rsidRDefault="0022447C" w:rsidP="0022447C">
            <w:pPr>
              <w:jc w:val="right"/>
              <w:rPr>
                <w:rFonts w:cs="Arial"/>
                <w:b/>
                <w:bCs/>
                <w:color w:val="FFFFFF"/>
                <w:szCs w:val="18"/>
                <w:lang w:eastAsia="en-AU"/>
              </w:rPr>
            </w:pPr>
            <w:r w:rsidRPr="0022447C">
              <w:rPr>
                <w:rFonts w:cs="Arial"/>
                <w:b/>
                <w:bCs/>
                <w:color w:val="FFFFFF"/>
                <w:szCs w:val="18"/>
                <w:lang w:eastAsia="en-AU"/>
              </w:rPr>
              <w:t>2011</w:t>
            </w:r>
          </w:p>
        </w:tc>
        <w:tc>
          <w:tcPr>
            <w:tcW w:w="986" w:type="dxa"/>
            <w:tcBorders>
              <w:top w:val="nil"/>
              <w:left w:val="nil"/>
              <w:bottom w:val="nil"/>
              <w:right w:val="nil"/>
            </w:tcBorders>
            <w:shd w:val="clear" w:color="000000" w:fill="7F7F7F"/>
            <w:noWrap/>
            <w:vAlign w:val="center"/>
            <w:hideMark/>
          </w:tcPr>
          <w:p w:rsidR="0022447C" w:rsidRPr="0022447C" w:rsidRDefault="0022447C" w:rsidP="0022447C">
            <w:pPr>
              <w:jc w:val="right"/>
              <w:rPr>
                <w:rFonts w:cs="Arial"/>
                <w:b/>
                <w:bCs/>
                <w:color w:val="FFFFFF"/>
                <w:szCs w:val="18"/>
                <w:lang w:eastAsia="en-AU"/>
              </w:rPr>
            </w:pPr>
            <w:r w:rsidRPr="0022447C">
              <w:rPr>
                <w:rFonts w:cs="Arial"/>
                <w:b/>
                <w:bCs/>
                <w:color w:val="FFFFFF"/>
                <w:szCs w:val="18"/>
                <w:lang w:eastAsia="en-AU"/>
              </w:rPr>
              <w:t>2012</w:t>
            </w:r>
          </w:p>
        </w:tc>
        <w:tc>
          <w:tcPr>
            <w:tcW w:w="986" w:type="dxa"/>
            <w:tcBorders>
              <w:top w:val="nil"/>
              <w:left w:val="nil"/>
              <w:bottom w:val="nil"/>
              <w:right w:val="nil"/>
            </w:tcBorders>
            <w:shd w:val="clear" w:color="000000" w:fill="7F7F7F"/>
            <w:noWrap/>
            <w:vAlign w:val="center"/>
            <w:hideMark/>
          </w:tcPr>
          <w:p w:rsidR="0022447C" w:rsidRPr="0022447C" w:rsidRDefault="0022447C" w:rsidP="0022447C">
            <w:pPr>
              <w:jc w:val="right"/>
              <w:rPr>
                <w:rFonts w:cs="Arial"/>
                <w:b/>
                <w:bCs/>
                <w:color w:val="FFFFFF"/>
                <w:szCs w:val="18"/>
                <w:lang w:eastAsia="en-AU"/>
              </w:rPr>
            </w:pPr>
            <w:r w:rsidRPr="0022447C">
              <w:rPr>
                <w:rFonts w:cs="Arial"/>
                <w:b/>
                <w:bCs/>
                <w:color w:val="FFFFFF"/>
                <w:szCs w:val="18"/>
                <w:lang w:eastAsia="en-AU"/>
              </w:rPr>
              <w:t>2013</w:t>
            </w:r>
          </w:p>
        </w:tc>
        <w:tc>
          <w:tcPr>
            <w:tcW w:w="986" w:type="dxa"/>
            <w:tcBorders>
              <w:top w:val="nil"/>
              <w:left w:val="nil"/>
              <w:bottom w:val="nil"/>
              <w:right w:val="nil"/>
            </w:tcBorders>
            <w:shd w:val="clear" w:color="000000" w:fill="7F7F7F"/>
            <w:noWrap/>
            <w:vAlign w:val="center"/>
            <w:hideMark/>
          </w:tcPr>
          <w:p w:rsidR="0022447C" w:rsidRPr="0022447C" w:rsidRDefault="0022447C" w:rsidP="0022447C">
            <w:pPr>
              <w:jc w:val="right"/>
              <w:rPr>
                <w:rFonts w:cs="Arial"/>
                <w:b/>
                <w:bCs/>
                <w:color w:val="FFFFFF"/>
                <w:szCs w:val="18"/>
                <w:lang w:eastAsia="en-AU"/>
              </w:rPr>
            </w:pPr>
            <w:r w:rsidRPr="0022447C">
              <w:rPr>
                <w:rFonts w:cs="Arial"/>
                <w:b/>
                <w:bCs/>
                <w:color w:val="FFFFFF"/>
                <w:szCs w:val="18"/>
                <w:lang w:eastAsia="en-AU"/>
              </w:rPr>
              <w:t>2014*</w:t>
            </w:r>
          </w:p>
        </w:tc>
        <w:tc>
          <w:tcPr>
            <w:tcW w:w="986" w:type="dxa"/>
            <w:tcBorders>
              <w:top w:val="nil"/>
              <w:left w:val="nil"/>
              <w:bottom w:val="nil"/>
              <w:right w:val="nil"/>
            </w:tcBorders>
            <w:shd w:val="clear" w:color="000000" w:fill="7F7F7F"/>
            <w:noWrap/>
            <w:vAlign w:val="center"/>
            <w:hideMark/>
          </w:tcPr>
          <w:p w:rsidR="0022447C" w:rsidRPr="0022447C" w:rsidRDefault="0022447C" w:rsidP="0022447C">
            <w:pPr>
              <w:jc w:val="right"/>
              <w:rPr>
                <w:rFonts w:cs="Arial"/>
                <w:b/>
                <w:bCs/>
                <w:color w:val="FFFFFF"/>
                <w:szCs w:val="18"/>
                <w:lang w:eastAsia="en-AU"/>
              </w:rPr>
            </w:pPr>
            <w:r w:rsidRPr="0022447C">
              <w:rPr>
                <w:rFonts w:cs="Arial"/>
                <w:b/>
                <w:bCs/>
                <w:color w:val="FFFFFF"/>
                <w:szCs w:val="18"/>
                <w:lang w:eastAsia="en-AU"/>
              </w:rPr>
              <w:t>2015*</w:t>
            </w:r>
          </w:p>
        </w:tc>
      </w:tr>
      <w:tr w:rsidR="0022447C" w:rsidRPr="0022447C" w:rsidTr="0022447C">
        <w:trPr>
          <w:trHeight w:val="300"/>
        </w:trPr>
        <w:tc>
          <w:tcPr>
            <w:tcW w:w="2180" w:type="dxa"/>
            <w:tcBorders>
              <w:top w:val="nil"/>
              <w:left w:val="nil"/>
              <w:bottom w:val="nil"/>
              <w:right w:val="nil"/>
            </w:tcBorders>
            <w:shd w:val="clear" w:color="auto" w:fill="auto"/>
            <w:noWrap/>
            <w:vAlign w:val="center"/>
            <w:hideMark/>
          </w:tcPr>
          <w:p w:rsidR="0022447C" w:rsidRPr="0022447C" w:rsidRDefault="0022447C" w:rsidP="0022447C">
            <w:pPr>
              <w:rPr>
                <w:rFonts w:cs="Arial"/>
                <w:color w:val="7F7F7F"/>
                <w:szCs w:val="18"/>
                <w:lang w:eastAsia="en-AU"/>
              </w:rPr>
            </w:pPr>
            <w:r w:rsidRPr="0022447C">
              <w:rPr>
                <w:rFonts w:cs="Arial"/>
                <w:color w:val="7F7F7F"/>
                <w:szCs w:val="18"/>
                <w:lang w:eastAsia="en-AU"/>
              </w:rPr>
              <w:t>Cert I/II</w:t>
            </w:r>
          </w:p>
        </w:tc>
        <w:tc>
          <w:tcPr>
            <w:tcW w:w="985" w:type="dxa"/>
            <w:tcBorders>
              <w:top w:val="nil"/>
              <w:left w:val="nil"/>
              <w:bottom w:val="nil"/>
              <w:right w:val="nil"/>
            </w:tcBorders>
            <w:shd w:val="clear" w:color="auto" w:fill="auto"/>
            <w:noWrap/>
            <w:vAlign w:val="center"/>
            <w:hideMark/>
          </w:tcPr>
          <w:p w:rsidR="0022447C" w:rsidRPr="0022447C" w:rsidRDefault="0022447C" w:rsidP="0022447C">
            <w:pPr>
              <w:jc w:val="right"/>
              <w:rPr>
                <w:rFonts w:cs="Arial"/>
                <w:color w:val="7F7F7F"/>
                <w:szCs w:val="18"/>
                <w:lang w:eastAsia="en-AU"/>
              </w:rPr>
            </w:pPr>
            <w:r w:rsidRPr="0022447C">
              <w:rPr>
                <w:rFonts w:cs="Arial"/>
                <w:color w:val="7F7F7F"/>
                <w:szCs w:val="18"/>
                <w:lang w:eastAsia="en-AU"/>
              </w:rPr>
              <w:t>20,923</w:t>
            </w:r>
          </w:p>
        </w:tc>
        <w:tc>
          <w:tcPr>
            <w:tcW w:w="986" w:type="dxa"/>
            <w:tcBorders>
              <w:top w:val="nil"/>
              <w:left w:val="nil"/>
              <w:bottom w:val="nil"/>
              <w:right w:val="nil"/>
            </w:tcBorders>
            <w:shd w:val="clear" w:color="auto" w:fill="auto"/>
            <w:noWrap/>
            <w:vAlign w:val="center"/>
            <w:hideMark/>
          </w:tcPr>
          <w:p w:rsidR="0022447C" w:rsidRPr="0022447C" w:rsidRDefault="0022447C" w:rsidP="0022447C">
            <w:pPr>
              <w:jc w:val="right"/>
              <w:rPr>
                <w:rFonts w:cs="Arial"/>
                <w:color w:val="7F7F7F"/>
                <w:szCs w:val="18"/>
                <w:lang w:eastAsia="en-AU"/>
              </w:rPr>
            </w:pPr>
            <w:r w:rsidRPr="0022447C">
              <w:rPr>
                <w:rFonts w:cs="Arial"/>
                <w:color w:val="7F7F7F"/>
                <w:szCs w:val="18"/>
                <w:lang w:eastAsia="en-AU"/>
              </w:rPr>
              <w:t>19,897</w:t>
            </w:r>
          </w:p>
        </w:tc>
        <w:tc>
          <w:tcPr>
            <w:tcW w:w="986" w:type="dxa"/>
            <w:tcBorders>
              <w:top w:val="nil"/>
              <w:left w:val="nil"/>
              <w:bottom w:val="nil"/>
              <w:right w:val="nil"/>
            </w:tcBorders>
            <w:shd w:val="clear" w:color="auto" w:fill="auto"/>
            <w:noWrap/>
            <w:vAlign w:val="center"/>
            <w:hideMark/>
          </w:tcPr>
          <w:p w:rsidR="0022447C" w:rsidRPr="0022447C" w:rsidRDefault="0022447C" w:rsidP="0022447C">
            <w:pPr>
              <w:jc w:val="right"/>
              <w:rPr>
                <w:rFonts w:cs="Arial"/>
                <w:color w:val="7F7F7F"/>
                <w:szCs w:val="18"/>
                <w:lang w:eastAsia="en-AU"/>
              </w:rPr>
            </w:pPr>
            <w:r w:rsidRPr="0022447C">
              <w:rPr>
                <w:rFonts w:cs="Arial"/>
                <w:color w:val="7F7F7F"/>
                <w:szCs w:val="18"/>
                <w:lang w:eastAsia="en-AU"/>
              </w:rPr>
              <w:t>25,960</w:t>
            </w:r>
          </w:p>
        </w:tc>
        <w:tc>
          <w:tcPr>
            <w:tcW w:w="986" w:type="dxa"/>
            <w:tcBorders>
              <w:top w:val="nil"/>
              <w:left w:val="nil"/>
              <w:bottom w:val="nil"/>
              <w:right w:val="nil"/>
            </w:tcBorders>
            <w:shd w:val="clear" w:color="auto" w:fill="auto"/>
            <w:noWrap/>
            <w:vAlign w:val="center"/>
            <w:hideMark/>
          </w:tcPr>
          <w:p w:rsidR="0022447C" w:rsidRPr="0022447C" w:rsidRDefault="0022447C" w:rsidP="0022447C">
            <w:pPr>
              <w:jc w:val="right"/>
              <w:rPr>
                <w:rFonts w:cs="Arial"/>
                <w:color w:val="7F7F7F"/>
                <w:szCs w:val="18"/>
                <w:lang w:eastAsia="en-AU"/>
              </w:rPr>
            </w:pPr>
            <w:r w:rsidRPr="0022447C">
              <w:rPr>
                <w:rFonts w:cs="Arial"/>
                <w:color w:val="7F7F7F"/>
                <w:szCs w:val="18"/>
                <w:lang w:eastAsia="en-AU"/>
              </w:rPr>
              <w:t>24,425</w:t>
            </w:r>
          </w:p>
        </w:tc>
        <w:tc>
          <w:tcPr>
            <w:tcW w:w="986" w:type="dxa"/>
            <w:tcBorders>
              <w:top w:val="nil"/>
              <w:left w:val="nil"/>
              <w:bottom w:val="nil"/>
              <w:right w:val="nil"/>
            </w:tcBorders>
            <w:shd w:val="clear" w:color="auto" w:fill="auto"/>
            <w:noWrap/>
            <w:vAlign w:val="center"/>
            <w:hideMark/>
          </w:tcPr>
          <w:p w:rsidR="0022447C" w:rsidRPr="0022447C" w:rsidRDefault="0022447C" w:rsidP="0022447C">
            <w:pPr>
              <w:jc w:val="right"/>
              <w:rPr>
                <w:rFonts w:cs="Arial"/>
                <w:color w:val="7F7F7F"/>
                <w:szCs w:val="18"/>
                <w:lang w:eastAsia="en-AU"/>
              </w:rPr>
            </w:pPr>
            <w:r w:rsidRPr="0022447C">
              <w:rPr>
                <w:rFonts w:cs="Arial"/>
                <w:color w:val="7F7F7F"/>
                <w:szCs w:val="18"/>
                <w:lang w:eastAsia="en-AU"/>
              </w:rPr>
              <w:t>26,650</w:t>
            </w:r>
          </w:p>
        </w:tc>
        <w:tc>
          <w:tcPr>
            <w:tcW w:w="986" w:type="dxa"/>
            <w:tcBorders>
              <w:top w:val="nil"/>
              <w:left w:val="nil"/>
              <w:bottom w:val="nil"/>
              <w:right w:val="nil"/>
            </w:tcBorders>
            <w:shd w:val="clear" w:color="auto" w:fill="auto"/>
            <w:noWrap/>
            <w:vAlign w:val="center"/>
            <w:hideMark/>
          </w:tcPr>
          <w:p w:rsidR="0022447C" w:rsidRPr="0022447C" w:rsidRDefault="0022447C" w:rsidP="0022447C">
            <w:pPr>
              <w:jc w:val="right"/>
              <w:rPr>
                <w:rFonts w:cs="Arial"/>
                <w:color w:val="7F7F7F"/>
                <w:szCs w:val="18"/>
                <w:lang w:eastAsia="en-AU"/>
              </w:rPr>
            </w:pPr>
            <w:r w:rsidRPr="0022447C">
              <w:rPr>
                <w:rFonts w:cs="Arial"/>
                <w:color w:val="7F7F7F"/>
                <w:szCs w:val="18"/>
                <w:lang w:eastAsia="en-AU"/>
              </w:rPr>
              <w:t>23,198</w:t>
            </w:r>
          </w:p>
        </w:tc>
      </w:tr>
      <w:tr w:rsidR="0022447C" w:rsidRPr="0022447C" w:rsidTr="0022447C">
        <w:trPr>
          <w:trHeight w:val="300"/>
        </w:trPr>
        <w:tc>
          <w:tcPr>
            <w:tcW w:w="2180" w:type="dxa"/>
            <w:tcBorders>
              <w:top w:val="nil"/>
              <w:left w:val="nil"/>
              <w:bottom w:val="nil"/>
              <w:right w:val="nil"/>
            </w:tcBorders>
            <w:shd w:val="clear" w:color="auto" w:fill="auto"/>
            <w:noWrap/>
            <w:vAlign w:val="center"/>
            <w:hideMark/>
          </w:tcPr>
          <w:p w:rsidR="0022447C" w:rsidRPr="0022447C" w:rsidRDefault="0022447C" w:rsidP="0022447C">
            <w:pPr>
              <w:rPr>
                <w:rFonts w:cs="Arial"/>
                <w:color w:val="7F7F7F"/>
                <w:szCs w:val="18"/>
                <w:lang w:eastAsia="en-AU"/>
              </w:rPr>
            </w:pPr>
            <w:r w:rsidRPr="0022447C">
              <w:rPr>
                <w:rFonts w:cs="Arial"/>
                <w:color w:val="7F7F7F"/>
                <w:szCs w:val="18"/>
                <w:lang w:eastAsia="en-AU"/>
              </w:rPr>
              <w:t>Cert III/IV</w:t>
            </w:r>
          </w:p>
        </w:tc>
        <w:tc>
          <w:tcPr>
            <w:tcW w:w="985" w:type="dxa"/>
            <w:tcBorders>
              <w:top w:val="nil"/>
              <w:left w:val="nil"/>
              <w:bottom w:val="nil"/>
              <w:right w:val="nil"/>
            </w:tcBorders>
            <w:shd w:val="clear" w:color="auto" w:fill="auto"/>
            <w:noWrap/>
            <w:vAlign w:val="center"/>
            <w:hideMark/>
          </w:tcPr>
          <w:p w:rsidR="0022447C" w:rsidRPr="0022447C" w:rsidRDefault="0022447C" w:rsidP="0022447C">
            <w:pPr>
              <w:jc w:val="right"/>
              <w:rPr>
                <w:rFonts w:cs="Arial"/>
                <w:color w:val="7F7F7F"/>
                <w:szCs w:val="18"/>
                <w:lang w:eastAsia="en-AU"/>
              </w:rPr>
            </w:pPr>
            <w:r w:rsidRPr="0022447C">
              <w:rPr>
                <w:rFonts w:cs="Arial"/>
                <w:color w:val="7F7F7F"/>
                <w:szCs w:val="18"/>
                <w:lang w:eastAsia="en-AU"/>
              </w:rPr>
              <w:t>18,385</w:t>
            </w:r>
          </w:p>
        </w:tc>
        <w:tc>
          <w:tcPr>
            <w:tcW w:w="986" w:type="dxa"/>
            <w:tcBorders>
              <w:top w:val="nil"/>
              <w:left w:val="nil"/>
              <w:bottom w:val="nil"/>
              <w:right w:val="nil"/>
            </w:tcBorders>
            <w:shd w:val="clear" w:color="auto" w:fill="auto"/>
            <w:noWrap/>
            <w:vAlign w:val="center"/>
            <w:hideMark/>
          </w:tcPr>
          <w:p w:rsidR="0022447C" w:rsidRPr="0022447C" w:rsidRDefault="0022447C" w:rsidP="0022447C">
            <w:pPr>
              <w:jc w:val="right"/>
              <w:rPr>
                <w:rFonts w:cs="Arial"/>
                <w:color w:val="7F7F7F"/>
                <w:szCs w:val="18"/>
                <w:lang w:eastAsia="en-AU"/>
              </w:rPr>
            </w:pPr>
            <w:r w:rsidRPr="0022447C">
              <w:rPr>
                <w:rFonts w:cs="Arial"/>
                <w:color w:val="7F7F7F"/>
                <w:szCs w:val="18"/>
                <w:lang w:eastAsia="en-AU"/>
              </w:rPr>
              <w:t>17,476</w:t>
            </w:r>
          </w:p>
        </w:tc>
        <w:tc>
          <w:tcPr>
            <w:tcW w:w="986" w:type="dxa"/>
            <w:tcBorders>
              <w:top w:val="nil"/>
              <w:left w:val="nil"/>
              <w:bottom w:val="nil"/>
              <w:right w:val="nil"/>
            </w:tcBorders>
            <w:shd w:val="clear" w:color="auto" w:fill="auto"/>
            <w:noWrap/>
            <w:vAlign w:val="center"/>
            <w:hideMark/>
          </w:tcPr>
          <w:p w:rsidR="0022447C" w:rsidRPr="0022447C" w:rsidRDefault="0022447C" w:rsidP="0022447C">
            <w:pPr>
              <w:jc w:val="right"/>
              <w:rPr>
                <w:rFonts w:cs="Arial"/>
                <w:color w:val="7F7F7F"/>
                <w:szCs w:val="18"/>
                <w:lang w:eastAsia="en-AU"/>
              </w:rPr>
            </w:pPr>
            <w:r w:rsidRPr="0022447C">
              <w:rPr>
                <w:rFonts w:cs="Arial"/>
                <w:color w:val="7F7F7F"/>
                <w:szCs w:val="18"/>
                <w:lang w:eastAsia="en-AU"/>
              </w:rPr>
              <w:t>23,021</w:t>
            </w:r>
          </w:p>
        </w:tc>
        <w:tc>
          <w:tcPr>
            <w:tcW w:w="986" w:type="dxa"/>
            <w:tcBorders>
              <w:top w:val="nil"/>
              <w:left w:val="nil"/>
              <w:bottom w:val="nil"/>
              <w:right w:val="nil"/>
            </w:tcBorders>
            <w:shd w:val="clear" w:color="auto" w:fill="auto"/>
            <w:noWrap/>
            <w:vAlign w:val="center"/>
            <w:hideMark/>
          </w:tcPr>
          <w:p w:rsidR="0022447C" w:rsidRPr="0022447C" w:rsidRDefault="0022447C" w:rsidP="0022447C">
            <w:pPr>
              <w:jc w:val="right"/>
              <w:rPr>
                <w:rFonts w:cs="Arial"/>
                <w:color w:val="7F7F7F"/>
                <w:szCs w:val="18"/>
                <w:lang w:eastAsia="en-AU"/>
              </w:rPr>
            </w:pPr>
            <w:r w:rsidRPr="0022447C">
              <w:rPr>
                <w:rFonts w:cs="Arial"/>
                <w:color w:val="7F7F7F"/>
                <w:szCs w:val="18"/>
                <w:lang w:eastAsia="en-AU"/>
              </w:rPr>
              <w:t>20,591</w:t>
            </w:r>
          </w:p>
        </w:tc>
        <w:tc>
          <w:tcPr>
            <w:tcW w:w="986" w:type="dxa"/>
            <w:tcBorders>
              <w:top w:val="nil"/>
              <w:left w:val="nil"/>
              <w:bottom w:val="nil"/>
              <w:right w:val="nil"/>
            </w:tcBorders>
            <w:shd w:val="clear" w:color="auto" w:fill="auto"/>
            <w:noWrap/>
            <w:vAlign w:val="center"/>
            <w:hideMark/>
          </w:tcPr>
          <w:p w:rsidR="0022447C" w:rsidRPr="0022447C" w:rsidRDefault="0022447C" w:rsidP="0022447C">
            <w:pPr>
              <w:jc w:val="right"/>
              <w:rPr>
                <w:rFonts w:cs="Arial"/>
                <w:color w:val="7F7F7F"/>
                <w:szCs w:val="18"/>
                <w:lang w:eastAsia="en-AU"/>
              </w:rPr>
            </w:pPr>
            <w:r w:rsidRPr="0022447C">
              <w:rPr>
                <w:rFonts w:cs="Arial"/>
                <w:color w:val="7F7F7F"/>
                <w:szCs w:val="18"/>
                <w:lang w:eastAsia="en-AU"/>
              </w:rPr>
              <w:t>21,522</w:t>
            </w:r>
          </w:p>
        </w:tc>
        <w:tc>
          <w:tcPr>
            <w:tcW w:w="986" w:type="dxa"/>
            <w:tcBorders>
              <w:top w:val="nil"/>
              <w:left w:val="nil"/>
              <w:bottom w:val="nil"/>
              <w:right w:val="nil"/>
            </w:tcBorders>
            <w:shd w:val="clear" w:color="auto" w:fill="auto"/>
            <w:noWrap/>
            <w:vAlign w:val="center"/>
            <w:hideMark/>
          </w:tcPr>
          <w:p w:rsidR="0022447C" w:rsidRPr="0022447C" w:rsidRDefault="0022447C" w:rsidP="0022447C">
            <w:pPr>
              <w:jc w:val="right"/>
              <w:rPr>
                <w:rFonts w:cs="Arial"/>
                <w:color w:val="7F7F7F"/>
                <w:szCs w:val="18"/>
                <w:lang w:eastAsia="en-AU"/>
              </w:rPr>
            </w:pPr>
            <w:r w:rsidRPr="0022447C">
              <w:rPr>
                <w:rFonts w:cs="Arial"/>
                <w:color w:val="7F7F7F"/>
                <w:szCs w:val="18"/>
                <w:lang w:eastAsia="en-AU"/>
              </w:rPr>
              <w:t>20,747</w:t>
            </w:r>
          </w:p>
        </w:tc>
      </w:tr>
      <w:tr w:rsidR="0022447C" w:rsidRPr="0022447C" w:rsidTr="0022447C">
        <w:trPr>
          <w:trHeight w:val="300"/>
        </w:trPr>
        <w:tc>
          <w:tcPr>
            <w:tcW w:w="2180" w:type="dxa"/>
            <w:tcBorders>
              <w:top w:val="nil"/>
              <w:left w:val="nil"/>
              <w:bottom w:val="nil"/>
              <w:right w:val="nil"/>
            </w:tcBorders>
            <w:shd w:val="clear" w:color="auto" w:fill="auto"/>
            <w:noWrap/>
            <w:vAlign w:val="center"/>
            <w:hideMark/>
          </w:tcPr>
          <w:p w:rsidR="0022447C" w:rsidRPr="0022447C" w:rsidRDefault="0022447C" w:rsidP="0022447C">
            <w:pPr>
              <w:rPr>
                <w:rFonts w:cs="Arial"/>
                <w:color w:val="7F7F7F"/>
                <w:szCs w:val="18"/>
                <w:lang w:eastAsia="en-AU"/>
              </w:rPr>
            </w:pPr>
            <w:r w:rsidRPr="0022447C">
              <w:rPr>
                <w:rFonts w:cs="Arial"/>
                <w:color w:val="7F7F7F"/>
                <w:szCs w:val="18"/>
                <w:lang w:eastAsia="en-AU"/>
              </w:rPr>
              <w:t>Diploma &amp; Above</w:t>
            </w:r>
          </w:p>
        </w:tc>
        <w:tc>
          <w:tcPr>
            <w:tcW w:w="985" w:type="dxa"/>
            <w:tcBorders>
              <w:top w:val="nil"/>
              <w:left w:val="nil"/>
              <w:bottom w:val="nil"/>
              <w:right w:val="nil"/>
            </w:tcBorders>
            <w:shd w:val="clear" w:color="auto" w:fill="auto"/>
            <w:noWrap/>
            <w:vAlign w:val="center"/>
            <w:hideMark/>
          </w:tcPr>
          <w:p w:rsidR="0022447C" w:rsidRPr="0022447C" w:rsidRDefault="0022447C" w:rsidP="0022447C">
            <w:pPr>
              <w:jc w:val="right"/>
              <w:rPr>
                <w:rFonts w:cs="Arial"/>
                <w:color w:val="7F7F7F"/>
                <w:szCs w:val="18"/>
                <w:lang w:eastAsia="en-AU"/>
              </w:rPr>
            </w:pPr>
            <w:r w:rsidRPr="0022447C">
              <w:rPr>
                <w:rFonts w:cs="Arial"/>
                <w:color w:val="7F7F7F"/>
                <w:szCs w:val="18"/>
                <w:lang w:eastAsia="en-AU"/>
              </w:rPr>
              <w:t>2,610</w:t>
            </w:r>
          </w:p>
        </w:tc>
        <w:tc>
          <w:tcPr>
            <w:tcW w:w="986" w:type="dxa"/>
            <w:tcBorders>
              <w:top w:val="nil"/>
              <w:left w:val="nil"/>
              <w:bottom w:val="nil"/>
              <w:right w:val="nil"/>
            </w:tcBorders>
            <w:shd w:val="clear" w:color="auto" w:fill="auto"/>
            <w:noWrap/>
            <w:vAlign w:val="center"/>
            <w:hideMark/>
          </w:tcPr>
          <w:p w:rsidR="0022447C" w:rsidRPr="0022447C" w:rsidRDefault="0022447C" w:rsidP="0022447C">
            <w:pPr>
              <w:jc w:val="right"/>
              <w:rPr>
                <w:rFonts w:cs="Arial"/>
                <w:color w:val="7F7F7F"/>
                <w:szCs w:val="18"/>
                <w:lang w:eastAsia="en-AU"/>
              </w:rPr>
            </w:pPr>
            <w:r w:rsidRPr="0022447C">
              <w:rPr>
                <w:rFonts w:cs="Arial"/>
                <w:color w:val="7F7F7F"/>
                <w:szCs w:val="18"/>
                <w:lang w:eastAsia="en-AU"/>
              </w:rPr>
              <w:t>2,772</w:t>
            </w:r>
          </w:p>
        </w:tc>
        <w:tc>
          <w:tcPr>
            <w:tcW w:w="986" w:type="dxa"/>
            <w:tcBorders>
              <w:top w:val="nil"/>
              <w:left w:val="nil"/>
              <w:bottom w:val="nil"/>
              <w:right w:val="nil"/>
            </w:tcBorders>
            <w:shd w:val="clear" w:color="auto" w:fill="auto"/>
            <w:noWrap/>
            <w:vAlign w:val="center"/>
            <w:hideMark/>
          </w:tcPr>
          <w:p w:rsidR="0022447C" w:rsidRPr="0022447C" w:rsidRDefault="0022447C" w:rsidP="0022447C">
            <w:pPr>
              <w:jc w:val="right"/>
              <w:rPr>
                <w:rFonts w:cs="Arial"/>
                <w:color w:val="7F7F7F"/>
                <w:szCs w:val="18"/>
                <w:lang w:eastAsia="en-AU"/>
              </w:rPr>
            </w:pPr>
            <w:r w:rsidRPr="0022447C">
              <w:rPr>
                <w:rFonts w:cs="Arial"/>
                <w:color w:val="7F7F7F"/>
                <w:szCs w:val="18"/>
                <w:lang w:eastAsia="en-AU"/>
              </w:rPr>
              <w:t>3,980</w:t>
            </w:r>
          </w:p>
        </w:tc>
        <w:tc>
          <w:tcPr>
            <w:tcW w:w="986" w:type="dxa"/>
            <w:tcBorders>
              <w:top w:val="nil"/>
              <w:left w:val="nil"/>
              <w:bottom w:val="nil"/>
              <w:right w:val="nil"/>
            </w:tcBorders>
            <w:shd w:val="clear" w:color="auto" w:fill="auto"/>
            <w:noWrap/>
            <w:vAlign w:val="center"/>
            <w:hideMark/>
          </w:tcPr>
          <w:p w:rsidR="0022447C" w:rsidRPr="0022447C" w:rsidRDefault="0022447C" w:rsidP="0022447C">
            <w:pPr>
              <w:jc w:val="right"/>
              <w:rPr>
                <w:rFonts w:cs="Arial"/>
                <w:color w:val="7F7F7F"/>
                <w:szCs w:val="18"/>
                <w:lang w:eastAsia="en-AU"/>
              </w:rPr>
            </w:pPr>
            <w:r w:rsidRPr="0022447C">
              <w:rPr>
                <w:rFonts w:cs="Arial"/>
                <w:color w:val="7F7F7F"/>
                <w:szCs w:val="18"/>
                <w:lang w:eastAsia="en-AU"/>
              </w:rPr>
              <w:t>3,919</w:t>
            </w:r>
          </w:p>
        </w:tc>
        <w:tc>
          <w:tcPr>
            <w:tcW w:w="986" w:type="dxa"/>
            <w:tcBorders>
              <w:top w:val="nil"/>
              <w:left w:val="nil"/>
              <w:bottom w:val="nil"/>
              <w:right w:val="nil"/>
            </w:tcBorders>
            <w:shd w:val="clear" w:color="auto" w:fill="auto"/>
            <w:noWrap/>
            <w:vAlign w:val="center"/>
            <w:hideMark/>
          </w:tcPr>
          <w:p w:rsidR="0022447C" w:rsidRPr="0022447C" w:rsidRDefault="0022447C" w:rsidP="0022447C">
            <w:pPr>
              <w:jc w:val="right"/>
              <w:rPr>
                <w:rFonts w:cs="Arial"/>
                <w:color w:val="7F7F7F"/>
                <w:szCs w:val="18"/>
                <w:lang w:eastAsia="en-AU"/>
              </w:rPr>
            </w:pPr>
            <w:r w:rsidRPr="0022447C">
              <w:rPr>
                <w:rFonts w:cs="Arial"/>
                <w:color w:val="7F7F7F"/>
                <w:szCs w:val="18"/>
                <w:lang w:eastAsia="en-AU"/>
              </w:rPr>
              <w:t>5,372</w:t>
            </w:r>
          </w:p>
        </w:tc>
        <w:tc>
          <w:tcPr>
            <w:tcW w:w="986" w:type="dxa"/>
            <w:tcBorders>
              <w:top w:val="nil"/>
              <w:left w:val="nil"/>
              <w:bottom w:val="nil"/>
              <w:right w:val="nil"/>
            </w:tcBorders>
            <w:shd w:val="clear" w:color="auto" w:fill="auto"/>
            <w:noWrap/>
            <w:vAlign w:val="center"/>
            <w:hideMark/>
          </w:tcPr>
          <w:p w:rsidR="0022447C" w:rsidRPr="0022447C" w:rsidRDefault="0022447C" w:rsidP="0022447C">
            <w:pPr>
              <w:jc w:val="right"/>
              <w:rPr>
                <w:rFonts w:cs="Arial"/>
                <w:color w:val="7F7F7F"/>
                <w:szCs w:val="18"/>
                <w:lang w:eastAsia="en-AU"/>
              </w:rPr>
            </w:pPr>
            <w:r w:rsidRPr="0022447C">
              <w:rPr>
                <w:rFonts w:cs="Arial"/>
                <w:color w:val="7F7F7F"/>
                <w:szCs w:val="18"/>
                <w:lang w:eastAsia="en-AU"/>
              </w:rPr>
              <w:t>6,197</w:t>
            </w:r>
          </w:p>
        </w:tc>
      </w:tr>
      <w:tr w:rsidR="0022447C" w:rsidRPr="0022447C" w:rsidTr="0022447C">
        <w:trPr>
          <w:trHeight w:val="300"/>
        </w:trPr>
        <w:tc>
          <w:tcPr>
            <w:tcW w:w="2180" w:type="dxa"/>
            <w:tcBorders>
              <w:top w:val="nil"/>
              <w:left w:val="nil"/>
              <w:bottom w:val="nil"/>
              <w:right w:val="nil"/>
            </w:tcBorders>
            <w:shd w:val="clear" w:color="auto" w:fill="auto"/>
            <w:noWrap/>
            <w:vAlign w:val="center"/>
            <w:hideMark/>
          </w:tcPr>
          <w:p w:rsidR="0022447C" w:rsidRPr="0022447C" w:rsidRDefault="0022447C" w:rsidP="0022447C">
            <w:pPr>
              <w:rPr>
                <w:rFonts w:cs="Arial"/>
                <w:color w:val="7F7F7F"/>
                <w:szCs w:val="18"/>
                <w:lang w:eastAsia="en-AU"/>
              </w:rPr>
            </w:pPr>
            <w:r w:rsidRPr="0022447C">
              <w:rPr>
                <w:rFonts w:cs="Arial"/>
                <w:color w:val="7F7F7F"/>
                <w:szCs w:val="18"/>
                <w:lang w:eastAsia="en-AU"/>
              </w:rPr>
              <w:t>Higher Education</w:t>
            </w:r>
          </w:p>
        </w:tc>
        <w:tc>
          <w:tcPr>
            <w:tcW w:w="985" w:type="dxa"/>
            <w:tcBorders>
              <w:top w:val="nil"/>
              <w:left w:val="nil"/>
              <w:bottom w:val="nil"/>
              <w:right w:val="nil"/>
            </w:tcBorders>
            <w:shd w:val="clear" w:color="auto" w:fill="auto"/>
            <w:noWrap/>
            <w:vAlign w:val="center"/>
            <w:hideMark/>
          </w:tcPr>
          <w:p w:rsidR="0022447C" w:rsidRPr="0022447C" w:rsidRDefault="0022447C" w:rsidP="0022447C">
            <w:pPr>
              <w:jc w:val="right"/>
              <w:rPr>
                <w:rFonts w:cs="Arial"/>
                <w:color w:val="7F7F7F"/>
                <w:szCs w:val="18"/>
                <w:lang w:eastAsia="en-AU"/>
              </w:rPr>
            </w:pPr>
            <w:r w:rsidRPr="0022447C">
              <w:rPr>
                <w:rFonts w:cs="Arial"/>
                <w:color w:val="7F7F7F"/>
                <w:szCs w:val="18"/>
                <w:lang w:eastAsia="en-AU"/>
              </w:rPr>
              <w:t>1,151</w:t>
            </w:r>
          </w:p>
        </w:tc>
        <w:tc>
          <w:tcPr>
            <w:tcW w:w="986" w:type="dxa"/>
            <w:tcBorders>
              <w:top w:val="nil"/>
              <w:left w:val="nil"/>
              <w:bottom w:val="nil"/>
              <w:right w:val="nil"/>
            </w:tcBorders>
            <w:shd w:val="clear" w:color="auto" w:fill="auto"/>
            <w:noWrap/>
            <w:vAlign w:val="center"/>
            <w:hideMark/>
          </w:tcPr>
          <w:p w:rsidR="0022447C" w:rsidRPr="0022447C" w:rsidRDefault="0022447C" w:rsidP="0022447C">
            <w:pPr>
              <w:jc w:val="right"/>
              <w:rPr>
                <w:rFonts w:cs="Arial"/>
                <w:color w:val="7F7F7F"/>
                <w:szCs w:val="18"/>
                <w:lang w:eastAsia="en-AU"/>
              </w:rPr>
            </w:pPr>
            <w:r w:rsidRPr="0022447C">
              <w:rPr>
                <w:rFonts w:cs="Arial"/>
                <w:color w:val="7F7F7F"/>
                <w:szCs w:val="18"/>
                <w:lang w:eastAsia="en-AU"/>
              </w:rPr>
              <w:t>1,278</w:t>
            </w:r>
          </w:p>
        </w:tc>
        <w:tc>
          <w:tcPr>
            <w:tcW w:w="986" w:type="dxa"/>
            <w:tcBorders>
              <w:top w:val="nil"/>
              <w:left w:val="nil"/>
              <w:bottom w:val="nil"/>
              <w:right w:val="nil"/>
            </w:tcBorders>
            <w:shd w:val="clear" w:color="auto" w:fill="auto"/>
            <w:noWrap/>
            <w:vAlign w:val="center"/>
            <w:hideMark/>
          </w:tcPr>
          <w:p w:rsidR="0022447C" w:rsidRPr="0022447C" w:rsidRDefault="0022447C" w:rsidP="0022447C">
            <w:pPr>
              <w:jc w:val="right"/>
              <w:rPr>
                <w:rFonts w:cs="Arial"/>
                <w:color w:val="7F7F7F"/>
                <w:szCs w:val="18"/>
                <w:lang w:eastAsia="en-AU"/>
              </w:rPr>
            </w:pPr>
            <w:r w:rsidRPr="0022447C">
              <w:rPr>
                <w:rFonts w:cs="Arial"/>
                <w:color w:val="7F7F7F"/>
                <w:szCs w:val="18"/>
                <w:lang w:eastAsia="en-AU"/>
              </w:rPr>
              <w:t>1,360</w:t>
            </w:r>
          </w:p>
        </w:tc>
        <w:tc>
          <w:tcPr>
            <w:tcW w:w="986" w:type="dxa"/>
            <w:tcBorders>
              <w:top w:val="nil"/>
              <w:left w:val="nil"/>
              <w:bottom w:val="nil"/>
              <w:right w:val="nil"/>
            </w:tcBorders>
            <w:shd w:val="clear" w:color="auto" w:fill="auto"/>
            <w:noWrap/>
            <w:vAlign w:val="center"/>
            <w:hideMark/>
          </w:tcPr>
          <w:p w:rsidR="0022447C" w:rsidRPr="0022447C" w:rsidRDefault="0022447C" w:rsidP="0022447C">
            <w:pPr>
              <w:jc w:val="right"/>
              <w:rPr>
                <w:rFonts w:cs="Arial"/>
                <w:color w:val="7F7F7F"/>
                <w:szCs w:val="18"/>
                <w:lang w:eastAsia="en-AU"/>
              </w:rPr>
            </w:pPr>
            <w:r w:rsidRPr="0022447C">
              <w:rPr>
                <w:rFonts w:cs="Arial"/>
                <w:color w:val="7F7F7F"/>
                <w:szCs w:val="18"/>
                <w:lang w:eastAsia="en-AU"/>
              </w:rPr>
              <w:t>1,307</w:t>
            </w:r>
          </w:p>
        </w:tc>
        <w:tc>
          <w:tcPr>
            <w:tcW w:w="986" w:type="dxa"/>
            <w:tcBorders>
              <w:top w:val="nil"/>
              <w:left w:val="nil"/>
              <w:bottom w:val="nil"/>
              <w:right w:val="nil"/>
            </w:tcBorders>
            <w:shd w:val="clear" w:color="auto" w:fill="auto"/>
            <w:noWrap/>
            <w:vAlign w:val="center"/>
            <w:hideMark/>
          </w:tcPr>
          <w:p w:rsidR="0022447C" w:rsidRPr="0022447C" w:rsidRDefault="0022447C" w:rsidP="0022447C">
            <w:pPr>
              <w:jc w:val="right"/>
              <w:rPr>
                <w:rFonts w:cs="Arial"/>
                <w:color w:val="7F7F7F"/>
                <w:szCs w:val="18"/>
                <w:lang w:eastAsia="en-AU"/>
              </w:rPr>
            </w:pPr>
            <w:r w:rsidRPr="0022447C">
              <w:rPr>
                <w:rFonts w:cs="Arial"/>
                <w:color w:val="7F7F7F"/>
                <w:szCs w:val="18"/>
                <w:lang w:eastAsia="en-AU"/>
              </w:rPr>
              <w:t>1,336</w:t>
            </w:r>
          </w:p>
        </w:tc>
        <w:tc>
          <w:tcPr>
            <w:tcW w:w="986" w:type="dxa"/>
            <w:tcBorders>
              <w:top w:val="nil"/>
              <w:left w:val="nil"/>
              <w:bottom w:val="nil"/>
              <w:right w:val="nil"/>
            </w:tcBorders>
            <w:shd w:val="clear" w:color="auto" w:fill="auto"/>
            <w:noWrap/>
            <w:vAlign w:val="center"/>
            <w:hideMark/>
          </w:tcPr>
          <w:p w:rsidR="0022447C" w:rsidRPr="0022447C" w:rsidRDefault="0022447C" w:rsidP="0022447C">
            <w:pPr>
              <w:jc w:val="right"/>
              <w:rPr>
                <w:rFonts w:cs="Arial"/>
                <w:color w:val="7F7F7F"/>
                <w:szCs w:val="18"/>
                <w:lang w:eastAsia="en-AU"/>
              </w:rPr>
            </w:pPr>
            <w:r w:rsidRPr="0022447C">
              <w:rPr>
                <w:rFonts w:cs="Arial"/>
                <w:color w:val="7F7F7F"/>
                <w:szCs w:val="18"/>
                <w:lang w:eastAsia="en-AU"/>
              </w:rPr>
              <w:t>1,337</w:t>
            </w:r>
          </w:p>
        </w:tc>
      </w:tr>
      <w:tr w:rsidR="0022447C" w:rsidRPr="0022447C" w:rsidTr="0022447C">
        <w:trPr>
          <w:trHeight w:val="300"/>
        </w:trPr>
        <w:tc>
          <w:tcPr>
            <w:tcW w:w="2180" w:type="dxa"/>
            <w:tcBorders>
              <w:top w:val="nil"/>
              <w:left w:val="nil"/>
              <w:bottom w:val="nil"/>
              <w:right w:val="nil"/>
            </w:tcBorders>
            <w:shd w:val="clear" w:color="auto" w:fill="auto"/>
            <w:noWrap/>
            <w:vAlign w:val="center"/>
            <w:hideMark/>
          </w:tcPr>
          <w:p w:rsidR="0022447C" w:rsidRPr="0022447C" w:rsidRDefault="0022447C" w:rsidP="0022447C">
            <w:pPr>
              <w:rPr>
                <w:rFonts w:cs="Arial"/>
                <w:color w:val="7F7F7F"/>
                <w:szCs w:val="18"/>
                <w:lang w:eastAsia="en-AU"/>
              </w:rPr>
            </w:pPr>
            <w:r w:rsidRPr="0022447C">
              <w:rPr>
                <w:rFonts w:cs="Arial"/>
                <w:color w:val="7F7F7F"/>
                <w:szCs w:val="18"/>
                <w:lang w:eastAsia="en-AU"/>
              </w:rPr>
              <w:t>Module Only</w:t>
            </w:r>
          </w:p>
        </w:tc>
        <w:tc>
          <w:tcPr>
            <w:tcW w:w="985" w:type="dxa"/>
            <w:tcBorders>
              <w:top w:val="nil"/>
              <w:left w:val="nil"/>
              <w:bottom w:val="nil"/>
              <w:right w:val="nil"/>
            </w:tcBorders>
            <w:shd w:val="clear" w:color="auto" w:fill="auto"/>
            <w:noWrap/>
            <w:vAlign w:val="center"/>
            <w:hideMark/>
          </w:tcPr>
          <w:p w:rsidR="0022447C" w:rsidRPr="0022447C" w:rsidRDefault="0022447C" w:rsidP="0022447C">
            <w:pPr>
              <w:jc w:val="right"/>
              <w:rPr>
                <w:rFonts w:cs="Arial"/>
                <w:color w:val="7F7F7F"/>
                <w:szCs w:val="18"/>
                <w:lang w:eastAsia="en-AU"/>
              </w:rPr>
            </w:pPr>
            <w:r w:rsidRPr="0022447C">
              <w:rPr>
                <w:rFonts w:cs="Arial"/>
                <w:color w:val="7F7F7F"/>
                <w:szCs w:val="18"/>
                <w:lang w:eastAsia="en-AU"/>
              </w:rPr>
              <w:t>0</w:t>
            </w:r>
          </w:p>
        </w:tc>
        <w:tc>
          <w:tcPr>
            <w:tcW w:w="986" w:type="dxa"/>
            <w:tcBorders>
              <w:top w:val="nil"/>
              <w:left w:val="nil"/>
              <w:bottom w:val="nil"/>
              <w:right w:val="nil"/>
            </w:tcBorders>
            <w:shd w:val="clear" w:color="auto" w:fill="auto"/>
            <w:noWrap/>
            <w:vAlign w:val="center"/>
            <w:hideMark/>
          </w:tcPr>
          <w:p w:rsidR="0022447C" w:rsidRPr="0022447C" w:rsidRDefault="0022447C" w:rsidP="0022447C">
            <w:pPr>
              <w:jc w:val="right"/>
              <w:rPr>
                <w:rFonts w:cs="Arial"/>
                <w:color w:val="7F7F7F"/>
                <w:szCs w:val="18"/>
                <w:lang w:eastAsia="en-AU"/>
              </w:rPr>
            </w:pPr>
            <w:r w:rsidRPr="0022447C">
              <w:rPr>
                <w:rFonts w:cs="Arial"/>
                <w:color w:val="7F7F7F"/>
                <w:szCs w:val="18"/>
                <w:lang w:eastAsia="en-AU"/>
              </w:rPr>
              <w:t>0</w:t>
            </w:r>
          </w:p>
        </w:tc>
        <w:tc>
          <w:tcPr>
            <w:tcW w:w="986" w:type="dxa"/>
            <w:tcBorders>
              <w:top w:val="nil"/>
              <w:left w:val="nil"/>
              <w:bottom w:val="nil"/>
              <w:right w:val="nil"/>
            </w:tcBorders>
            <w:shd w:val="clear" w:color="auto" w:fill="auto"/>
            <w:noWrap/>
            <w:vAlign w:val="center"/>
            <w:hideMark/>
          </w:tcPr>
          <w:p w:rsidR="0022447C" w:rsidRPr="0022447C" w:rsidRDefault="0022447C" w:rsidP="0022447C">
            <w:pPr>
              <w:jc w:val="right"/>
              <w:rPr>
                <w:rFonts w:cs="Arial"/>
                <w:color w:val="7F7F7F"/>
                <w:szCs w:val="18"/>
                <w:lang w:eastAsia="en-AU"/>
              </w:rPr>
            </w:pPr>
            <w:r w:rsidRPr="0022447C">
              <w:rPr>
                <w:rFonts w:cs="Arial"/>
                <w:color w:val="7F7F7F"/>
                <w:szCs w:val="18"/>
                <w:lang w:eastAsia="en-AU"/>
              </w:rPr>
              <w:t>0</w:t>
            </w:r>
          </w:p>
        </w:tc>
        <w:tc>
          <w:tcPr>
            <w:tcW w:w="986" w:type="dxa"/>
            <w:tcBorders>
              <w:top w:val="nil"/>
              <w:left w:val="nil"/>
              <w:bottom w:val="nil"/>
              <w:right w:val="nil"/>
            </w:tcBorders>
            <w:shd w:val="clear" w:color="auto" w:fill="auto"/>
            <w:noWrap/>
            <w:vAlign w:val="center"/>
            <w:hideMark/>
          </w:tcPr>
          <w:p w:rsidR="0022447C" w:rsidRPr="0022447C" w:rsidRDefault="0022447C" w:rsidP="0022447C">
            <w:pPr>
              <w:jc w:val="right"/>
              <w:rPr>
                <w:rFonts w:cs="Arial"/>
                <w:color w:val="7F7F7F"/>
                <w:szCs w:val="18"/>
                <w:lang w:eastAsia="en-AU"/>
              </w:rPr>
            </w:pPr>
            <w:r w:rsidRPr="0022447C">
              <w:rPr>
                <w:rFonts w:cs="Arial"/>
                <w:color w:val="7F7F7F"/>
                <w:szCs w:val="18"/>
                <w:lang w:eastAsia="en-AU"/>
              </w:rPr>
              <w:t>3</w:t>
            </w:r>
          </w:p>
        </w:tc>
        <w:tc>
          <w:tcPr>
            <w:tcW w:w="986" w:type="dxa"/>
            <w:tcBorders>
              <w:top w:val="nil"/>
              <w:left w:val="nil"/>
              <w:bottom w:val="nil"/>
              <w:right w:val="nil"/>
            </w:tcBorders>
            <w:shd w:val="clear" w:color="auto" w:fill="auto"/>
            <w:noWrap/>
            <w:vAlign w:val="center"/>
            <w:hideMark/>
          </w:tcPr>
          <w:p w:rsidR="0022447C" w:rsidRPr="0022447C" w:rsidRDefault="0022447C" w:rsidP="0022447C">
            <w:pPr>
              <w:jc w:val="right"/>
              <w:rPr>
                <w:rFonts w:cs="Arial"/>
                <w:color w:val="7F7F7F"/>
                <w:szCs w:val="18"/>
                <w:lang w:eastAsia="en-AU"/>
              </w:rPr>
            </w:pPr>
            <w:r w:rsidRPr="0022447C">
              <w:rPr>
                <w:rFonts w:cs="Arial"/>
                <w:color w:val="7F7F7F"/>
                <w:szCs w:val="18"/>
                <w:lang w:eastAsia="en-AU"/>
              </w:rPr>
              <w:t>69</w:t>
            </w:r>
          </w:p>
        </w:tc>
        <w:tc>
          <w:tcPr>
            <w:tcW w:w="986" w:type="dxa"/>
            <w:tcBorders>
              <w:top w:val="nil"/>
              <w:left w:val="nil"/>
              <w:bottom w:val="nil"/>
              <w:right w:val="nil"/>
            </w:tcBorders>
            <w:shd w:val="clear" w:color="auto" w:fill="auto"/>
            <w:noWrap/>
            <w:vAlign w:val="center"/>
            <w:hideMark/>
          </w:tcPr>
          <w:p w:rsidR="0022447C" w:rsidRPr="0022447C" w:rsidRDefault="0022447C" w:rsidP="0022447C">
            <w:pPr>
              <w:jc w:val="right"/>
              <w:rPr>
                <w:rFonts w:cs="Arial"/>
                <w:color w:val="7F7F7F"/>
                <w:szCs w:val="18"/>
                <w:lang w:eastAsia="en-AU"/>
              </w:rPr>
            </w:pPr>
            <w:r w:rsidRPr="0022447C">
              <w:rPr>
                <w:rFonts w:cs="Arial"/>
                <w:color w:val="7F7F7F"/>
                <w:szCs w:val="18"/>
                <w:lang w:eastAsia="en-AU"/>
              </w:rPr>
              <w:t>9</w:t>
            </w:r>
          </w:p>
        </w:tc>
      </w:tr>
      <w:tr w:rsidR="0022447C" w:rsidRPr="0022447C" w:rsidTr="0022447C">
        <w:trPr>
          <w:trHeight w:val="300"/>
        </w:trPr>
        <w:tc>
          <w:tcPr>
            <w:tcW w:w="2180" w:type="dxa"/>
            <w:tcBorders>
              <w:top w:val="nil"/>
              <w:left w:val="nil"/>
              <w:bottom w:val="nil"/>
              <w:right w:val="nil"/>
            </w:tcBorders>
            <w:shd w:val="clear" w:color="auto" w:fill="auto"/>
            <w:noWrap/>
            <w:vAlign w:val="center"/>
            <w:hideMark/>
          </w:tcPr>
          <w:p w:rsidR="0022447C" w:rsidRPr="0022447C" w:rsidRDefault="0022447C" w:rsidP="0022447C">
            <w:pPr>
              <w:rPr>
                <w:rFonts w:cs="Arial"/>
                <w:color w:val="7F7F7F"/>
                <w:szCs w:val="18"/>
                <w:lang w:eastAsia="en-AU"/>
              </w:rPr>
            </w:pPr>
            <w:r w:rsidRPr="0022447C">
              <w:rPr>
                <w:rFonts w:cs="Arial"/>
                <w:color w:val="7F7F7F"/>
                <w:szCs w:val="18"/>
                <w:lang w:eastAsia="en-AU"/>
              </w:rPr>
              <w:t>Other</w:t>
            </w:r>
          </w:p>
        </w:tc>
        <w:tc>
          <w:tcPr>
            <w:tcW w:w="985" w:type="dxa"/>
            <w:tcBorders>
              <w:top w:val="nil"/>
              <w:left w:val="nil"/>
              <w:bottom w:val="nil"/>
              <w:right w:val="nil"/>
            </w:tcBorders>
            <w:shd w:val="clear" w:color="auto" w:fill="auto"/>
            <w:noWrap/>
            <w:vAlign w:val="center"/>
            <w:hideMark/>
          </w:tcPr>
          <w:p w:rsidR="0022447C" w:rsidRPr="0022447C" w:rsidRDefault="0022447C" w:rsidP="0022447C">
            <w:pPr>
              <w:jc w:val="right"/>
              <w:rPr>
                <w:rFonts w:cs="Arial"/>
                <w:color w:val="7F7F7F"/>
                <w:szCs w:val="18"/>
                <w:lang w:eastAsia="en-AU"/>
              </w:rPr>
            </w:pPr>
            <w:r w:rsidRPr="0022447C">
              <w:rPr>
                <w:rFonts w:cs="Arial"/>
                <w:color w:val="7F7F7F"/>
                <w:szCs w:val="18"/>
                <w:lang w:eastAsia="en-AU"/>
              </w:rPr>
              <w:t>36,286</w:t>
            </w:r>
          </w:p>
        </w:tc>
        <w:tc>
          <w:tcPr>
            <w:tcW w:w="986" w:type="dxa"/>
            <w:tcBorders>
              <w:top w:val="nil"/>
              <w:left w:val="nil"/>
              <w:bottom w:val="nil"/>
              <w:right w:val="nil"/>
            </w:tcBorders>
            <w:shd w:val="clear" w:color="auto" w:fill="auto"/>
            <w:noWrap/>
            <w:vAlign w:val="center"/>
            <w:hideMark/>
          </w:tcPr>
          <w:p w:rsidR="0022447C" w:rsidRPr="0022447C" w:rsidRDefault="0022447C" w:rsidP="0022447C">
            <w:pPr>
              <w:jc w:val="right"/>
              <w:rPr>
                <w:rFonts w:cs="Arial"/>
                <w:color w:val="7F7F7F"/>
                <w:szCs w:val="18"/>
                <w:lang w:eastAsia="en-AU"/>
              </w:rPr>
            </w:pPr>
            <w:r w:rsidRPr="0022447C">
              <w:rPr>
                <w:rFonts w:cs="Arial"/>
                <w:color w:val="7F7F7F"/>
                <w:szCs w:val="18"/>
                <w:lang w:eastAsia="en-AU"/>
              </w:rPr>
              <w:t>32,563</w:t>
            </w:r>
          </w:p>
        </w:tc>
        <w:tc>
          <w:tcPr>
            <w:tcW w:w="986" w:type="dxa"/>
            <w:tcBorders>
              <w:top w:val="nil"/>
              <w:left w:val="nil"/>
              <w:bottom w:val="nil"/>
              <w:right w:val="nil"/>
            </w:tcBorders>
            <w:shd w:val="clear" w:color="auto" w:fill="auto"/>
            <w:noWrap/>
            <w:vAlign w:val="center"/>
            <w:hideMark/>
          </w:tcPr>
          <w:p w:rsidR="0022447C" w:rsidRPr="0022447C" w:rsidRDefault="0022447C" w:rsidP="0022447C">
            <w:pPr>
              <w:jc w:val="right"/>
              <w:rPr>
                <w:rFonts w:cs="Arial"/>
                <w:color w:val="7F7F7F"/>
                <w:szCs w:val="18"/>
                <w:lang w:eastAsia="en-AU"/>
              </w:rPr>
            </w:pPr>
            <w:r w:rsidRPr="0022447C">
              <w:rPr>
                <w:rFonts w:cs="Arial"/>
                <w:color w:val="7F7F7F"/>
                <w:szCs w:val="18"/>
                <w:lang w:eastAsia="en-AU"/>
              </w:rPr>
              <w:t>28,652</w:t>
            </w:r>
          </w:p>
        </w:tc>
        <w:tc>
          <w:tcPr>
            <w:tcW w:w="986" w:type="dxa"/>
            <w:tcBorders>
              <w:top w:val="nil"/>
              <w:left w:val="nil"/>
              <w:bottom w:val="nil"/>
              <w:right w:val="nil"/>
            </w:tcBorders>
            <w:shd w:val="clear" w:color="auto" w:fill="auto"/>
            <w:noWrap/>
            <w:vAlign w:val="center"/>
            <w:hideMark/>
          </w:tcPr>
          <w:p w:rsidR="0022447C" w:rsidRPr="0022447C" w:rsidRDefault="0022447C" w:rsidP="0022447C">
            <w:pPr>
              <w:jc w:val="right"/>
              <w:rPr>
                <w:rFonts w:cs="Arial"/>
                <w:color w:val="7F7F7F"/>
                <w:szCs w:val="18"/>
                <w:lang w:eastAsia="en-AU"/>
              </w:rPr>
            </w:pPr>
            <w:r w:rsidRPr="0022447C">
              <w:rPr>
                <w:rFonts w:cs="Arial"/>
                <w:color w:val="7F7F7F"/>
                <w:szCs w:val="18"/>
                <w:lang w:eastAsia="en-AU"/>
              </w:rPr>
              <w:t>18,135</w:t>
            </w:r>
          </w:p>
        </w:tc>
        <w:tc>
          <w:tcPr>
            <w:tcW w:w="986" w:type="dxa"/>
            <w:tcBorders>
              <w:top w:val="nil"/>
              <w:left w:val="nil"/>
              <w:bottom w:val="nil"/>
              <w:right w:val="nil"/>
            </w:tcBorders>
            <w:shd w:val="clear" w:color="auto" w:fill="auto"/>
            <w:noWrap/>
            <w:vAlign w:val="center"/>
            <w:hideMark/>
          </w:tcPr>
          <w:p w:rsidR="0022447C" w:rsidRPr="0022447C" w:rsidRDefault="0022447C" w:rsidP="0022447C">
            <w:pPr>
              <w:jc w:val="right"/>
              <w:rPr>
                <w:rFonts w:cs="Arial"/>
                <w:color w:val="7F7F7F"/>
                <w:szCs w:val="18"/>
                <w:lang w:eastAsia="en-AU"/>
              </w:rPr>
            </w:pPr>
            <w:r w:rsidRPr="0022447C">
              <w:rPr>
                <w:rFonts w:cs="Arial"/>
                <w:color w:val="7F7F7F"/>
                <w:szCs w:val="18"/>
                <w:lang w:eastAsia="en-AU"/>
              </w:rPr>
              <w:t>17,924</w:t>
            </w:r>
          </w:p>
        </w:tc>
        <w:tc>
          <w:tcPr>
            <w:tcW w:w="986" w:type="dxa"/>
            <w:tcBorders>
              <w:top w:val="nil"/>
              <w:left w:val="nil"/>
              <w:bottom w:val="nil"/>
              <w:right w:val="nil"/>
            </w:tcBorders>
            <w:shd w:val="clear" w:color="auto" w:fill="auto"/>
            <w:noWrap/>
            <w:vAlign w:val="center"/>
            <w:hideMark/>
          </w:tcPr>
          <w:p w:rsidR="0022447C" w:rsidRPr="0022447C" w:rsidRDefault="0022447C" w:rsidP="0022447C">
            <w:pPr>
              <w:jc w:val="right"/>
              <w:rPr>
                <w:rFonts w:cs="Arial"/>
                <w:color w:val="7F7F7F"/>
                <w:szCs w:val="18"/>
                <w:lang w:eastAsia="en-AU"/>
              </w:rPr>
            </w:pPr>
            <w:r w:rsidRPr="0022447C">
              <w:rPr>
                <w:rFonts w:cs="Arial"/>
                <w:color w:val="7F7F7F"/>
                <w:szCs w:val="18"/>
                <w:lang w:eastAsia="en-AU"/>
              </w:rPr>
              <w:t>12,220</w:t>
            </w:r>
          </w:p>
        </w:tc>
      </w:tr>
      <w:tr w:rsidR="0022447C" w:rsidRPr="0022447C" w:rsidTr="0022447C">
        <w:trPr>
          <w:trHeight w:val="300"/>
        </w:trPr>
        <w:tc>
          <w:tcPr>
            <w:tcW w:w="2180" w:type="dxa"/>
            <w:tcBorders>
              <w:top w:val="nil"/>
              <w:left w:val="nil"/>
              <w:bottom w:val="nil"/>
              <w:right w:val="nil"/>
            </w:tcBorders>
            <w:shd w:val="clear" w:color="auto" w:fill="auto"/>
            <w:noWrap/>
            <w:vAlign w:val="center"/>
            <w:hideMark/>
          </w:tcPr>
          <w:p w:rsidR="0022447C" w:rsidRPr="0022447C" w:rsidRDefault="0022447C" w:rsidP="0022447C">
            <w:pPr>
              <w:rPr>
                <w:rFonts w:cs="Arial"/>
                <w:color w:val="7F7F7F"/>
                <w:szCs w:val="18"/>
                <w:lang w:eastAsia="en-AU"/>
              </w:rPr>
            </w:pPr>
            <w:r w:rsidRPr="0022447C">
              <w:rPr>
                <w:rFonts w:cs="Arial"/>
                <w:color w:val="7F7F7F"/>
                <w:szCs w:val="18"/>
                <w:lang w:eastAsia="en-AU"/>
              </w:rPr>
              <w:t>Secondary Education</w:t>
            </w:r>
          </w:p>
        </w:tc>
        <w:tc>
          <w:tcPr>
            <w:tcW w:w="985" w:type="dxa"/>
            <w:tcBorders>
              <w:top w:val="nil"/>
              <w:left w:val="nil"/>
              <w:bottom w:val="nil"/>
              <w:right w:val="nil"/>
            </w:tcBorders>
            <w:shd w:val="clear" w:color="auto" w:fill="auto"/>
            <w:noWrap/>
            <w:vAlign w:val="center"/>
            <w:hideMark/>
          </w:tcPr>
          <w:p w:rsidR="0022447C" w:rsidRPr="0022447C" w:rsidRDefault="0022447C" w:rsidP="0022447C">
            <w:pPr>
              <w:jc w:val="right"/>
              <w:rPr>
                <w:rFonts w:cs="Arial"/>
                <w:color w:val="7F7F7F"/>
                <w:szCs w:val="18"/>
                <w:lang w:eastAsia="en-AU"/>
              </w:rPr>
            </w:pPr>
            <w:r w:rsidRPr="0022447C">
              <w:rPr>
                <w:rFonts w:cs="Arial"/>
                <w:color w:val="7F7F7F"/>
                <w:szCs w:val="18"/>
                <w:lang w:eastAsia="en-AU"/>
              </w:rPr>
              <w:t>23</w:t>
            </w:r>
          </w:p>
        </w:tc>
        <w:tc>
          <w:tcPr>
            <w:tcW w:w="986" w:type="dxa"/>
            <w:tcBorders>
              <w:top w:val="nil"/>
              <w:left w:val="nil"/>
              <w:bottom w:val="nil"/>
              <w:right w:val="nil"/>
            </w:tcBorders>
            <w:shd w:val="clear" w:color="auto" w:fill="auto"/>
            <w:noWrap/>
            <w:vAlign w:val="center"/>
            <w:hideMark/>
          </w:tcPr>
          <w:p w:rsidR="0022447C" w:rsidRPr="0022447C" w:rsidRDefault="0022447C" w:rsidP="0022447C">
            <w:pPr>
              <w:jc w:val="right"/>
              <w:rPr>
                <w:rFonts w:cs="Arial"/>
                <w:color w:val="7F7F7F"/>
                <w:szCs w:val="18"/>
                <w:lang w:eastAsia="en-AU"/>
              </w:rPr>
            </w:pPr>
            <w:r w:rsidRPr="0022447C">
              <w:rPr>
                <w:rFonts w:cs="Arial"/>
                <w:color w:val="7F7F7F"/>
                <w:szCs w:val="18"/>
                <w:lang w:eastAsia="en-AU"/>
              </w:rPr>
              <w:t>31</w:t>
            </w:r>
          </w:p>
        </w:tc>
        <w:tc>
          <w:tcPr>
            <w:tcW w:w="986" w:type="dxa"/>
            <w:tcBorders>
              <w:top w:val="nil"/>
              <w:left w:val="nil"/>
              <w:bottom w:val="nil"/>
              <w:right w:val="nil"/>
            </w:tcBorders>
            <w:shd w:val="clear" w:color="auto" w:fill="auto"/>
            <w:noWrap/>
            <w:vAlign w:val="center"/>
            <w:hideMark/>
          </w:tcPr>
          <w:p w:rsidR="0022447C" w:rsidRPr="0022447C" w:rsidRDefault="0022447C" w:rsidP="0022447C">
            <w:pPr>
              <w:jc w:val="right"/>
              <w:rPr>
                <w:rFonts w:cs="Arial"/>
                <w:color w:val="7F7F7F"/>
                <w:szCs w:val="18"/>
                <w:lang w:eastAsia="en-AU"/>
              </w:rPr>
            </w:pPr>
            <w:r w:rsidRPr="0022447C">
              <w:rPr>
                <w:rFonts w:cs="Arial"/>
                <w:color w:val="7F7F7F"/>
                <w:szCs w:val="18"/>
                <w:lang w:eastAsia="en-AU"/>
              </w:rPr>
              <w:t>164</w:t>
            </w:r>
          </w:p>
        </w:tc>
        <w:tc>
          <w:tcPr>
            <w:tcW w:w="986" w:type="dxa"/>
            <w:tcBorders>
              <w:top w:val="nil"/>
              <w:left w:val="nil"/>
              <w:bottom w:val="nil"/>
              <w:right w:val="nil"/>
            </w:tcBorders>
            <w:shd w:val="clear" w:color="auto" w:fill="auto"/>
            <w:noWrap/>
            <w:vAlign w:val="center"/>
            <w:hideMark/>
          </w:tcPr>
          <w:p w:rsidR="0022447C" w:rsidRPr="0022447C" w:rsidRDefault="0022447C" w:rsidP="0022447C">
            <w:pPr>
              <w:jc w:val="right"/>
              <w:rPr>
                <w:rFonts w:cs="Arial"/>
                <w:color w:val="7F7F7F"/>
                <w:szCs w:val="18"/>
                <w:lang w:eastAsia="en-AU"/>
              </w:rPr>
            </w:pPr>
            <w:r w:rsidRPr="0022447C">
              <w:rPr>
                <w:rFonts w:cs="Arial"/>
                <w:color w:val="7F7F7F"/>
                <w:szCs w:val="18"/>
                <w:lang w:eastAsia="en-AU"/>
              </w:rPr>
              <w:t>242</w:t>
            </w:r>
          </w:p>
        </w:tc>
        <w:tc>
          <w:tcPr>
            <w:tcW w:w="986" w:type="dxa"/>
            <w:tcBorders>
              <w:top w:val="nil"/>
              <w:left w:val="nil"/>
              <w:bottom w:val="nil"/>
              <w:right w:val="nil"/>
            </w:tcBorders>
            <w:shd w:val="clear" w:color="auto" w:fill="auto"/>
            <w:noWrap/>
            <w:vAlign w:val="center"/>
            <w:hideMark/>
          </w:tcPr>
          <w:p w:rsidR="0022447C" w:rsidRPr="0022447C" w:rsidRDefault="0022447C" w:rsidP="0022447C">
            <w:pPr>
              <w:jc w:val="right"/>
              <w:rPr>
                <w:rFonts w:cs="Arial"/>
                <w:color w:val="7F7F7F"/>
                <w:szCs w:val="18"/>
                <w:lang w:eastAsia="en-AU"/>
              </w:rPr>
            </w:pPr>
            <w:r w:rsidRPr="0022447C">
              <w:rPr>
                <w:rFonts w:cs="Arial"/>
                <w:color w:val="7F7F7F"/>
                <w:szCs w:val="18"/>
                <w:lang w:eastAsia="en-AU"/>
              </w:rPr>
              <w:t>302</w:t>
            </w:r>
          </w:p>
        </w:tc>
        <w:tc>
          <w:tcPr>
            <w:tcW w:w="986" w:type="dxa"/>
            <w:tcBorders>
              <w:top w:val="nil"/>
              <w:left w:val="nil"/>
              <w:bottom w:val="nil"/>
              <w:right w:val="nil"/>
            </w:tcBorders>
            <w:shd w:val="clear" w:color="auto" w:fill="auto"/>
            <w:noWrap/>
            <w:vAlign w:val="center"/>
            <w:hideMark/>
          </w:tcPr>
          <w:p w:rsidR="0022447C" w:rsidRPr="0022447C" w:rsidRDefault="0022447C" w:rsidP="0022447C">
            <w:pPr>
              <w:jc w:val="right"/>
              <w:rPr>
                <w:rFonts w:cs="Arial"/>
                <w:color w:val="7F7F7F"/>
                <w:szCs w:val="18"/>
                <w:lang w:eastAsia="en-AU"/>
              </w:rPr>
            </w:pPr>
            <w:r w:rsidRPr="0022447C">
              <w:rPr>
                <w:rFonts w:cs="Arial"/>
                <w:color w:val="7F7F7F"/>
                <w:szCs w:val="18"/>
                <w:lang w:eastAsia="en-AU"/>
              </w:rPr>
              <w:t>553</w:t>
            </w:r>
          </w:p>
        </w:tc>
      </w:tr>
      <w:tr w:rsidR="0022447C" w:rsidRPr="0022447C" w:rsidTr="0022447C">
        <w:trPr>
          <w:trHeight w:val="300"/>
        </w:trPr>
        <w:tc>
          <w:tcPr>
            <w:tcW w:w="2180" w:type="dxa"/>
            <w:tcBorders>
              <w:top w:val="nil"/>
              <w:left w:val="nil"/>
              <w:bottom w:val="nil"/>
              <w:right w:val="nil"/>
            </w:tcBorders>
            <w:shd w:val="clear" w:color="000000" w:fill="7F7F7F"/>
            <w:noWrap/>
            <w:vAlign w:val="center"/>
            <w:hideMark/>
          </w:tcPr>
          <w:p w:rsidR="0022447C" w:rsidRPr="0022447C" w:rsidRDefault="0022447C" w:rsidP="0022447C">
            <w:pPr>
              <w:rPr>
                <w:rFonts w:cs="Arial"/>
                <w:b/>
                <w:bCs/>
                <w:color w:val="FFFFFF"/>
                <w:szCs w:val="18"/>
                <w:lang w:eastAsia="en-AU"/>
              </w:rPr>
            </w:pPr>
            <w:r w:rsidRPr="0022447C">
              <w:rPr>
                <w:rFonts w:cs="Arial"/>
                <w:b/>
                <w:bCs/>
                <w:color w:val="FFFFFF"/>
                <w:szCs w:val="18"/>
                <w:lang w:eastAsia="en-AU"/>
              </w:rPr>
              <w:t>Total</w:t>
            </w:r>
          </w:p>
        </w:tc>
        <w:tc>
          <w:tcPr>
            <w:tcW w:w="985" w:type="dxa"/>
            <w:tcBorders>
              <w:top w:val="nil"/>
              <w:left w:val="nil"/>
              <w:bottom w:val="nil"/>
              <w:right w:val="nil"/>
            </w:tcBorders>
            <w:shd w:val="clear" w:color="000000" w:fill="7F7F7F"/>
            <w:noWrap/>
            <w:vAlign w:val="center"/>
            <w:hideMark/>
          </w:tcPr>
          <w:p w:rsidR="0022447C" w:rsidRPr="0022447C" w:rsidRDefault="0022447C" w:rsidP="0022447C">
            <w:pPr>
              <w:jc w:val="right"/>
              <w:rPr>
                <w:rFonts w:cs="Arial"/>
                <w:b/>
                <w:bCs/>
                <w:color w:val="FFFFFF"/>
                <w:szCs w:val="18"/>
                <w:lang w:eastAsia="en-AU"/>
              </w:rPr>
            </w:pPr>
            <w:r w:rsidRPr="0022447C">
              <w:rPr>
                <w:rFonts w:cs="Arial"/>
                <w:b/>
                <w:bCs/>
                <w:color w:val="FFFFFF"/>
                <w:szCs w:val="18"/>
                <w:lang w:eastAsia="en-AU"/>
              </w:rPr>
              <w:t>79,378</w:t>
            </w:r>
          </w:p>
        </w:tc>
        <w:tc>
          <w:tcPr>
            <w:tcW w:w="986" w:type="dxa"/>
            <w:tcBorders>
              <w:top w:val="nil"/>
              <w:left w:val="nil"/>
              <w:bottom w:val="nil"/>
              <w:right w:val="nil"/>
            </w:tcBorders>
            <w:shd w:val="clear" w:color="000000" w:fill="7F7F7F"/>
            <w:noWrap/>
            <w:vAlign w:val="center"/>
            <w:hideMark/>
          </w:tcPr>
          <w:p w:rsidR="0022447C" w:rsidRPr="0022447C" w:rsidRDefault="0022447C" w:rsidP="0022447C">
            <w:pPr>
              <w:jc w:val="right"/>
              <w:rPr>
                <w:rFonts w:cs="Arial"/>
                <w:b/>
                <w:bCs/>
                <w:color w:val="FFFFFF"/>
                <w:szCs w:val="18"/>
                <w:lang w:eastAsia="en-AU"/>
              </w:rPr>
            </w:pPr>
            <w:r w:rsidRPr="0022447C">
              <w:rPr>
                <w:rFonts w:cs="Arial"/>
                <w:b/>
                <w:bCs/>
                <w:color w:val="FFFFFF"/>
                <w:szCs w:val="18"/>
                <w:lang w:eastAsia="en-AU"/>
              </w:rPr>
              <w:t>74,017</w:t>
            </w:r>
          </w:p>
        </w:tc>
        <w:tc>
          <w:tcPr>
            <w:tcW w:w="986" w:type="dxa"/>
            <w:tcBorders>
              <w:top w:val="nil"/>
              <w:left w:val="nil"/>
              <w:bottom w:val="nil"/>
              <w:right w:val="nil"/>
            </w:tcBorders>
            <w:shd w:val="clear" w:color="000000" w:fill="7F7F7F"/>
            <w:noWrap/>
            <w:vAlign w:val="center"/>
            <w:hideMark/>
          </w:tcPr>
          <w:p w:rsidR="0022447C" w:rsidRPr="0022447C" w:rsidRDefault="0022447C" w:rsidP="0022447C">
            <w:pPr>
              <w:jc w:val="right"/>
              <w:rPr>
                <w:rFonts w:cs="Arial"/>
                <w:b/>
                <w:bCs/>
                <w:color w:val="FFFFFF"/>
                <w:szCs w:val="18"/>
                <w:lang w:eastAsia="en-AU"/>
              </w:rPr>
            </w:pPr>
            <w:r w:rsidRPr="0022447C">
              <w:rPr>
                <w:rFonts w:cs="Arial"/>
                <w:b/>
                <w:bCs/>
                <w:color w:val="FFFFFF"/>
                <w:szCs w:val="18"/>
                <w:lang w:eastAsia="en-AU"/>
              </w:rPr>
              <w:t>83,137</w:t>
            </w:r>
          </w:p>
        </w:tc>
        <w:tc>
          <w:tcPr>
            <w:tcW w:w="986" w:type="dxa"/>
            <w:tcBorders>
              <w:top w:val="nil"/>
              <w:left w:val="nil"/>
              <w:bottom w:val="nil"/>
              <w:right w:val="nil"/>
            </w:tcBorders>
            <w:shd w:val="clear" w:color="000000" w:fill="7F7F7F"/>
            <w:noWrap/>
            <w:vAlign w:val="center"/>
            <w:hideMark/>
          </w:tcPr>
          <w:p w:rsidR="0022447C" w:rsidRPr="0022447C" w:rsidRDefault="0022447C" w:rsidP="0022447C">
            <w:pPr>
              <w:jc w:val="right"/>
              <w:rPr>
                <w:rFonts w:cs="Arial"/>
                <w:b/>
                <w:bCs/>
                <w:color w:val="FFFFFF"/>
                <w:szCs w:val="18"/>
                <w:lang w:eastAsia="en-AU"/>
              </w:rPr>
            </w:pPr>
            <w:r w:rsidRPr="0022447C">
              <w:rPr>
                <w:rFonts w:cs="Arial"/>
                <w:b/>
                <w:bCs/>
                <w:color w:val="FFFFFF"/>
                <w:szCs w:val="18"/>
                <w:lang w:eastAsia="en-AU"/>
              </w:rPr>
              <w:t>68,622</w:t>
            </w:r>
          </w:p>
        </w:tc>
        <w:tc>
          <w:tcPr>
            <w:tcW w:w="986" w:type="dxa"/>
            <w:tcBorders>
              <w:top w:val="nil"/>
              <w:left w:val="nil"/>
              <w:bottom w:val="nil"/>
              <w:right w:val="nil"/>
            </w:tcBorders>
            <w:shd w:val="clear" w:color="000000" w:fill="7F7F7F"/>
            <w:noWrap/>
            <w:vAlign w:val="center"/>
            <w:hideMark/>
          </w:tcPr>
          <w:p w:rsidR="0022447C" w:rsidRPr="0022447C" w:rsidRDefault="0022447C" w:rsidP="0022447C">
            <w:pPr>
              <w:jc w:val="right"/>
              <w:rPr>
                <w:rFonts w:cs="Arial"/>
                <w:b/>
                <w:bCs/>
                <w:color w:val="FFFFFF"/>
                <w:szCs w:val="18"/>
                <w:lang w:eastAsia="en-AU"/>
              </w:rPr>
            </w:pPr>
            <w:r w:rsidRPr="0022447C">
              <w:rPr>
                <w:rFonts w:cs="Arial"/>
                <w:b/>
                <w:bCs/>
                <w:color w:val="FFFFFF"/>
                <w:szCs w:val="18"/>
                <w:lang w:eastAsia="en-AU"/>
              </w:rPr>
              <w:t>73,343</w:t>
            </w:r>
          </w:p>
        </w:tc>
        <w:tc>
          <w:tcPr>
            <w:tcW w:w="986" w:type="dxa"/>
            <w:tcBorders>
              <w:top w:val="nil"/>
              <w:left w:val="nil"/>
              <w:bottom w:val="nil"/>
              <w:right w:val="nil"/>
            </w:tcBorders>
            <w:shd w:val="clear" w:color="000000" w:fill="7F7F7F"/>
            <w:noWrap/>
            <w:vAlign w:val="center"/>
            <w:hideMark/>
          </w:tcPr>
          <w:p w:rsidR="0022447C" w:rsidRPr="0022447C" w:rsidRDefault="0022447C" w:rsidP="0022447C">
            <w:pPr>
              <w:jc w:val="right"/>
              <w:rPr>
                <w:rFonts w:cs="Arial"/>
                <w:b/>
                <w:bCs/>
                <w:color w:val="FFFFFF"/>
                <w:szCs w:val="18"/>
                <w:lang w:eastAsia="en-AU"/>
              </w:rPr>
            </w:pPr>
            <w:r w:rsidRPr="0022447C">
              <w:rPr>
                <w:rFonts w:cs="Arial"/>
                <w:b/>
                <w:bCs/>
                <w:color w:val="FFFFFF"/>
                <w:szCs w:val="18"/>
                <w:lang w:eastAsia="en-AU"/>
              </w:rPr>
              <w:t>64,514</w:t>
            </w:r>
          </w:p>
        </w:tc>
      </w:tr>
    </w:tbl>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4A0" w:firstRow="1" w:lastRow="0" w:firstColumn="1" w:lastColumn="0" w:noHBand="0" w:noVBand="1"/>
      </w:tblPr>
      <w:tblGrid>
        <w:gridCol w:w="431"/>
        <w:gridCol w:w="7649"/>
      </w:tblGrid>
      <w:tr w:rsidR="0022447C" w:rsidRPr="00913551" w:rsidTr="002D0BE0">
        <w:tc>
          <w:tcPr>
            <w:tcW w:w="431" w:type="dxa"/>
            <w:tcMar>
              <w:left w:w="0" w:type="dxa"/>
              <w:right w:w="28" w:type="dxa"/>
            </w:tcMar>
          </w:tcPr>
          <w:p w:rsidR="0022447C" w:rsidRPr="00913551" w:rsidRDefault="0022447C" w:rsidP="002D0BE0">
            <w:pPr>
              <w:spacing w:after="0" w:line="240" w:lineRule="auto"/>
              <w:jc w:val="right"/>
              <w:rPr>
                <w:color w:val="7F7F7F" w:themeColor="text2"/>
                <w:sz w:val="16"/>
                <w:szCs w:val="16"/>
              </w:rPr>
            </w:pPr>
            <w:r w:rsidRPr="00913551">
              <w:rPr>
                <w:color w:val="7F7F7F" w:themeColor="text2"/>
                <w:sz w:val="16"/>
                <w:szCs w:val="16"/>
              </w:rPr>
              <w:t xml:space="preserve">* </w:t>
            </w:r>
          </w:p>
        </w:tc>
        <w:tc>
          <w:tcPr>
            <w:tcW w:w="7649" w:type="dxa"/>
            <w:tcMar>
              <w:left w:w="0" w:type="dxa"/>
              <w:right w:w="28" w:type="dxa"/>
            </w:tcMar>
          </w:tcPr>
          <w:p w:rsidR="0022447C" w:rsidRPr="00913551" w:rsidRDefault="0022447C" w:rsidP="0022447C">
            <w:pPr>
              <w:pStyle w:val="Note"/>
              <w:spacing w:after="0"/>
              <w:rPr>
                <w:i w:val="0"/>
                <w:color w:val="7F7F7F" w:themeColor="text2"/>
              </w:rPr>
            </w:pPr>
            <w:proofErr w:type="gramStart"/>
            <w:r w:rsidRPr="00913551">
              <w:t>168 unknown in 2014 (half year), 253 unknown in 2015 (half year).</w:t>
            </w:r>
            <w:proofErr w:type="gramEnd"/>
          </w:p>
        </w:tc>
      </w:tr>
    </w:tbl>
    <w:p w:rsidR="00645853" w:rsidRDefault="00645853" w:rsidP="00AD6D5B">
      <w:pPr>
        <w:pStyle w:val="Quote"/>
        <w:rPr>
          <w:b w:val="0"/>
          <w:sz w:val="18"/>
          <w:szCs w:val="18"/>
        </w:rPr>
      </w:pPr>
    </w:p>
    <w:p w:rsidR="0022447C" w:rsidRDefault="0022447C" w:rsidP="00AD6D5B">
      <w:pPr>
        <w:pStyle w:val="Quote"/>
        <w:rPr>
          <w:b w:val="0"/>
          <w:sz w:val="18"/>
          <w:szCs w:val="18"/>
        </w:rPr>
      </w:pP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22447C" w:rsidTr="002D0BE0">
        <w:tc>
          <w:tcPr>
            <w:tcW w:w="1134" w:type="dxa"/>
            <w:tcMar>
              <w:left w:w="0" w:type="dxa"/>
              <w:right w:w="0" w:type="dxa"/>
            </w:tcMar>
          </w:tcPr>
          <w:p w:rsidR="0022447C" w:rsidRDefault="0022447C" w:rsidP="0084117E">
            <w:pPr>
              <w:pStyle w:val="Quote"/>
              <w:tabs>
                <w:tab w:val="left" w:pos="1134"/>
              </w:tabs>
              <w:rPr>
                <w:b w:val="0"/>
                <w:color w:val="B41F22" w:themeColor="accent1"/>
              </w:rPr>
            </w:pPr>
            <w:r>
              <w:rPr>
                <w:b w:val="0"/>
                <w:color w:val="B41F22" w:themeColor="accent1"/>
              </w:rPr>
              <w:t>Table 1.</w:t>
            </w:r>
            <w:r w:rsidR="005A7424">
              <w:rPr>
                <w:b w:val="0"/>
                <w:color w:val="B41F22" w:themeColor="accent1"/>
              </w:rPr>
              <w:t>3</w:t>
            </w:r>
            <w:r w:rsidR="0084117E">
              <w:rPr>
                <w:b w:val="0"/>
                <w:color w:val="B41F22" w:themeColor="accent1"/>
              </w:rPr>
              <w:t>2</w:t>
            </w:r>
            <w:r>
              <w:rPr>
                <w:b w:val="0"/>
                <w:color w:val="B41F22" w:themeColor="accent1"/>
              </w:rPr>
              <w:t>.2:</w:t>
            </w:r>
          </w:p>
        </w:tc>
        <w:tc>
          <w:tcPr>
            <w:tcW w:w="6946" w:type="dxa"/>
            <w:tcMar>
              <w:left w:w="0" w:type="dxa"/>
              <w:right w:w="0" w:type="dxa"/>
            </w:tcMar>
          </w:tcPr>
          <w:p w:rsidR="0022447C" w:rsidRDefault="0022447C" w:rsidP="007E03F8">
            <w:pPr>
              <w:pStyle w:val="Quote"/>
              <w:tabs>
                <w:tab w:val="left" w:pos="1134"/>
              </w:tabs>
              <w:rPr>
                <w:b w:val="0"/>
                <w:color w:val="B41F22" w:themeColor="accent1"/>
              </w:rPr>
            </w:pPr>
            <w:r w:rsidRPr="0022447C">
              <w:rPr>
                <w:b w:val="0"/>
                <w:color w:val="B41F22" w:themeColor="accent1"/>
              </w:rPr>
              <w:t xml:space="preserve">Change in number of </w:t>
            </w:r>
            <w:r w:rsidR="001D22F4">
              <w:rPr>
                <w:b w:val="0"/>
                <w:color w:val="B41F22" w:themeColor="accent1"/>
              </w:rPr>
              <w:t xml:space="preserve">domestic </w:t>
            </w:r>
            <w:r w:rsidRPr="0022447C">
              <w:rPr>
                <w:b w:val="0"/>
                <w:color w:val="B41F22" w:themeColor="accent1"/>
              </w:rPr>
              <w:t xml:space="preserve">fee-for-service enrolments </w:t>
            </w:r>
            <w:r w:rsidR="007E03F8">
              <w:rPr>
                <w:b w:val="0"/>
                <w:color w:val="B41F22" w:themeColor="accent1"/>
              </w:rPr>
              <w:t>at</w:t>
            </w:r>
            <w:r w:rsidRPr="0022447C">
              <w:rPr>
                <w:b w:val="0"/>
                <w:color w:val="B41F22" w:themeColor="accent1"/>
              </w:rPr>
              <w:t xml:space="preserve"> TAFE by qualification level (half year)</w:t>
            </w:r>
          </w:p>
        </w:tc>
      </w:tr>
    </w:tbl>
    <w:tbl>
      <w:tblPr>
        <w:tblW w:w="8095" w:type="dxa"/>
        <w:tblInd w:w="93" w:type="dxa"/>
        <w:tblLayout w:type="fixed"/>
        <w:tblLook w:val="04A0" w:firstRow="1" w:lastRow="0" w:firstColumn="1" w:lastColumn="0" w:noHBand="0" w:noVBand="1"/>
      </w:tblPr>
      <w:tblGrid>
        <w:gridCol w:w="2180"/>
        <w:gridCol w:w="1183"/>
        <w:gridCol w:w="1183"/>
        <w:gridCol w:w="1183"/>
        <w:gridCol w:w="1183"/>
        <w:gridCol w:w="1183"/>
      </w:tblGrid>
      <w:tr w:rsidR="0022447C" w:rsidRPr="0022447C" w:rsidTr="0022447C">
        <w:trPr>
          <w:trHeight w:val="720"/>
        </w:trPr>
        <w:tc>
          <w:tcPr>
            <w:tcW w:w="2180" w:type="dxa"/>
            <w:tcBorders>
              <w:top w:val="nil"/>
              <w:left w:val="nil"/>
              <w:bottom w:val="nil"/>
              <w:right w:val="nil"/>
            </w:tcBorders>
            <w:shd w:val="clear" w:color="000000" w:fill="7F7F7F"/>
            <w:noWrap/>
            <w:vAlign w:val="center"/>
            <w:hideMark/>
          </w:tcPr>
          <w:p w:rsidR="0022447C" w:rsidRPr="0022447C" w:rsidRDefault="0022447C" w:rsidP="0022447C">
            <w:pPr>
              <w:rPr>
                <w:rFonts w:cs="Arial"/>
                <w:color w:val="FFFFFF"/>
                <w:szCs w:val="18"/>
                <w:lang w:eastAsia="en-AU"/>
              </w:rPr>
            </w:pPr>
            <w:r w:rsidRPr="0022447C">
              <w:rPr>
                <w:rFonts w:cs="Arial"/>
                <w:color w:val="FFFFFF"/>
                <w:szCs w:val="18"/>
                <w:lang w:eastAsia="en-AU"/>
              </w:rPr>
              <w:t> </w:t>
            </w:r>
          </w:p>
        </w:tc>
        <w:tc>
          <w:tcPr>
            <w:tcW w:w="1183" w:type="dxa"/>
            <w:tcBorders>
              <w:top w:val="nil"/>
              <w:left w:val="nil"/>
              <w:bottom w:val="nil"/>
              <w:right w:val="nil"/>
            </w:tcBorders>
            <w:shd w:val="clear" w:color="000000" w:fill="7F7F7F"/>
            <w:vAlign w:val="center"/>
            <w:hideMark/>
          </w:tcPr>
          <w:p w:rsidR="0022447C" w:rsidRPr="0022447C" w:rsidRDefault="0022447C" w:rsidP="0022447C">
            <w:pPr>
              <w:jc w:val="right"/>
              <w:rPr>
                <w:rFonts w:cs="Arial"/>
                <w:b/>
                <w:bCs/>
                <w:color w:val="FFFFFF"/>
                <w:szCs w:val="18"/>
                <w:lang w:eastAsia="en-AU"/>
              </w:rPr>
            </w:pPr>
            <w:r w:rsidRPr="0022447C">
              <w:rPr>
                <w:rFonts w:cs="Arial"/>
                <w:b/>
                <w:bCs/>
                <w:color w:val="FFFFFF"/>
                <w:szCs w:val="18"/>
                <w:lang w:eastAsia="en-AU"/>
              </w:rPr>
              <w:t>% change 2010 to 2015</w:t>
            </w:r>
          </w:p>
        </w:tc>
        <w:tc>
          <w:tcPr>
            <w:tcW w:w="1183" w:type="dxa"/>
            <w:tcBorders>
              <w:top w:val="nil"/>
              <w:left w:val="nil"/>
              <w:bottom w:val="nil"/>
              <w:right w:val="nil"/>
            </w:tcBorders>
            <w:shd w:val="clear" w:color="000000" w:fill="7F7F7F"/>
            <w:vAlign w:val="center"/>
            <w:hideMark/>
          </w:tcPr>
          <w:p w:rsidR="0022447C" w:rsidRPr="0022447C" w:rsidRDefault="0022447C" w:rsidP="0022447C">
            <w:pPr>
              <w:jc w:val="right"/>
              <w:rPr>
                <w:rFonts w:cs="Arial"/>
                <w:b/>
                <w:bCs/>
                <w:color w:val="FFFFFF"/>
                <w:szCs w:val="18"/>
                <w:lang w:eastAsia="en-AU"/>
              </w:rPr>
            </w:pPr>
            <w:r w:rsidRPr="0022447C">
              <w:rPr>
                <w:rFonts w:cs="Arial"/>
                <w:b/>
                <w:bCs/>
                <w:color w:val="FFFFFF"/>
                <w:szCs w:val="18"/>
                <w:lang w:eastAsia="en-AU"/>
              </w:rPr>
              <w:t>% change 2011 to 2015</w:t>
            </w:r>
          </w:p>
        </w:tc>
        <w:tc>
          <w:tcPr>
            <w:tcW w:w="1183" w:type="dxa"/>
            <w:tcBorders>
              <w:top w:val="nil"/>
              <w:left w:val="nil"/>
              <w:bottom w:val="nil"/>
              <w:right w:val="nil"/>
            </w:tcBorders>
            <w:shd w:val="clear" w:color="000000" w:fill="7F7F7F"/>
            <w:vAlign w:val="center"/>
            <w:hideMark/>
          </w:tcPr>
          <w:p w:rsidR="0022447C" w:rsidRPr="0022447C" w:rsidRDefault="0022447C" w:rsidP="0022447C">
            <w:pPr>
              <w:jc w:val="right"/>
              <w:rPr>
                <w:rFonts w:cs="Arial"/>
                <w:b/>
                <w:bCs/>
                <w:color w:val="FFFFFF"/>
                <w:szCs w:val="18"/>
                <w:lang w:eastAsia="en-AU"/>
              </w:rPr>
            </w:pPr>
            <w:r w:rsidRPr="0022447C">
              <w:rPr>
                <w:rFonts w:cs="Arial"/>
                <w:b/>
                <w:bCs/>
                <w:color w:val="FFFFFF"/>
                <w:szCs w:val="18"/>
                <w:lang w:eastAsia="en-AU"/>
              </w:rPr>
              <w:t>% change 2012 to 2015</w:t>
            </w:r>
          </w:p>
        </w:tc>
        <w:tc>
          <w:tcPr>
            <w:tcW w:w="1183" w:type="dxa"/>
            <w:tcBorders>
              <w:top w:val="nil"/>
              <w:left w:val="nil"/>
              <w:bottom w:val="nil"/>
              <w:right w:val="nil"/>
            </w:tcBorders>
            <w:shd w:val="clear" w:color="000000" w:fill="7F7F7F"/>
            <w:vAlign w:val="center"/>
            <w:hideMark/>
          </w:tcPr>
          <w:p w:rsidR="0022447C" w:rsidRPr="0022447C" w:rsidRDefault="0022447C" w:rsidP="0022447C">
            <w:pPr>
              <w:jc w:val="right"/>
              <w:rPr>
                <w:rFonts w:cs="Arial"/>
                <w:b/>
                <w:bCs/>
                <w:color w:val="FFFFFF"/>
                <w:szCs w:val="18"/>
                <w:lang w:eastAsia="en-AU"/>
              </w:rPr>
            </w:pPr>
            <w:r w:rsidRPr="0022447C">
              <w:rPr>
                <w:rFonts w:cs="Arial"/>
                <w:b/>
                <w:bCs/>
                <w:color w:val="FFFFFF"/>
                <w:szCs w:val="18"/>
                <w:lang w:eastAsia="en-AU"/>
              </w:rPr>
              <w:t>% change 2013 to 2015</w:t>
            </w:r>
          </w:p>
        </w:tc>
        <w:tc>
          <w:tcPr>
            <w:tcW w:w="1183" w:type="dxa"/>
            <w:tcBorders>
              <w:top w:val="nil"/>
              <w:left w:val="nil"/>
              <w:bottom w:val="nil"/>
              <w:right w:val="nil"/>
            </w:tcBorders>
            <w:shd w:val="clear" w:color="000000" w:fill="7F7F7F"/>
            <w:vAlign w:val="center"/>
            <w:hideMark/>
          </w:tcPr>
          <w:p w:rsidR="0022447C" w:rsidRPr="0022447C" w:rsidRDefault="0022447C" w:rsidP="0022447C">
            <w:pPr>
              <w:jc w:val="right"/>
              <w:rPr>
                <w:rFonts w:cs="Arial"/>
                <w:b/>
                <w:bCs/>
                <w:color w:val="FFFFFF"/>
                <w:szCs w:val="18"/>
                <w:lang w:eastAsia="en-AU"/>
              </w:rPr>
            </w:pPr>
            <w:r w:rsidRPr="0022447C">
              <w:rPr>
                <w:rFonts w:cs="Arial"/>
                <w:b/>
                <w:bCs/>
                <w:color w:val="FFFFFF"/>
                <w:szCs w:val="18"/>
                <w:lang w:eastAsia="en-AU"/>
              </w:rPr>
              <w:t>% change 2014 to 2015</w:t>
            </w:r>
          </w:p>
        </w:tc>
      </w:tr>
      <w:tr w:rsidR="0022447C" w:rsidRPr="0022447C" w:rsidTr="0022447C">
        <w:trPr>
          <w:trHeight w:val="300"/>
        </w:trPr>
        <w:tc>
          <w:tcPr>
            <w:tcW w:w="2180" w:type="dxa"/>
            <w:tcBorders>
              <w:top w:val="nil"/>
              <w:left w:val="nil"/>
              <w:bottom w:val="nil"/>
              <w:right w:val="nil"/>
            </w:tcBorders>
            <w:shd w:val="clear" w:color="auto" w:fill="auto"/>
            <w:noWrap/>
            <w:vAlign w:val="center"/>
            <w:hideMark/>
          </w:tcPr>
          <w:p w:rsidR="0022447C" w:rsidRPr="0022447C" w:rsidRDefault="0022447C" w:rsidP="0022447C">
            <w:pPr>
              <w:rPr>
                <w:rFonts w:cs="Arial"/>
                <w:color w:val="7F7F7F"/>
                <w:szCs w:val="18"/>
                <w:lang w:eastAsia="en-AU"/>
              </w:rPr>
            </w:pPr>
            <w:r w:rsidRPr="0022447C">
              <w:rPr>
                <w:rFonts w:cs="Arial"/>
                <w:color w:val="7F7F7F"/>
                <w:szCs w:val="18"/>
                <w:lang w:eastAsia="en-AU"/>
              </w:rPr>
              <w:t>Cert I/II</w:t>
            </w:r>
          </w:p>
        </w:tc>
        <w:tc>
          <w:tcPr>
            <w:tcW w:w="1183" w:type="dxa"/>
            <w:tcBorders>
              <w:top w:val="nil"/>
              <w:left w:val="nil"/>
              <w:bottom w:val="nil"/>
              <w:right w:val="nil"/>
            </w:tcBorders>
            <w:shd w:val="clear" w:color="auto" w:fill="auto"/>
            <w:noWrap/>
            <w:vAlign w:val="center"/>
            <w:hideMark/>
          </w:tcPr>
          <w:p w:rsidR="0022447C" w:rsidRPr="0022447C" w:rsidRDefault="0022447C" w:rsidP="0022447C">
            <w:pPr>
              <w:jc w:val="right"/>
              <w:rPr>
                <w:rFonts w:cs="Arial"/>
                <w:color w:val="7F7F7F"/>
                <w:szCs w:val="18"/>
                <w:lang w:eastAsia="en-AU"/>
              </w:rPr>
            </w:pPr>
            <w:r w:rsidRPr="0022447C">
              <w:rPr>
                <w:rFonts w:cs="Arial"/>
                <w:color w:val="7F7F7F"/>
                <w:szCs w:val="18"/>
                <w:lang w:eastAsia="en-AU"/>
              </w:rPr>
              <w:t>11%</w:t>
            </w:r>
          </w:p>
        </w:tc>
        <w:tc>
          <w:tcPr>
            <w:tcW w:w="1183" w:type="dxa"/>
            <w:tcBorders>
              <w:top w:val="nil"/>
              <w:left w:val="nil"/>
              <w:bottom w:val="nil"/>
              <w:right w:val="nil"/>
            </w:tcBorders>
            <w:shd w:val="clear" w:color="auto" w:fill="auto"/>
            <w:noWrap/>
            <w:vAlign w:val="center"/>
            <w:hideMark/>
          </w:tcPr>
          <w:p w:rsidR="0022447C" w:rsidRPr="0022447C" w:rsidRDefault="0022447C" w:rsidP="0022447C">
            <w:pPr>
              <w:jc w:val="right"/>
              <w:rPr>
                <w:rFonts w:cs="Arial"/>
                <w:color w:val="7F7F7F"/>
                <w:szCs w:val="18"/>
                <w:lang w:eastAsia="en-AU"/>
              </w:rPr>
            </w:pPr>
            <w:r w:rsidRPr="0022447C">
              <w:rPr>
                <w:rFonts w:cs="Arial"/>
                <w:color w:val="7F7F7F"/>
                <w:szCs w:val="18"/>
                <w:lang w:eastAsia="en-AU"/>
              </w:rPr>
              <w:t>17%</w:t>
            </w:r>
          </w:p>
        </w:tc>
        <w:tc>
          <w:tcPr>
            <w:tcW w:w="1183" w:type="dxa"/>
            <w:tcBorders>
              <w:top w:val="nil"/>
              <w:left w:val="nil"/>
              <w:bottom w:val="nil"/>
              <w:right w:val="nil"/>
            </w:tcBorders>
            <w:shd w:val="clear" w:color="auto" w:fill="auto"/>
            <w:noWrap/>
            <w:vAlign w:val="center"/>
            <w:hideMark/>
          </w:tcPr>
          <w:p w:rsidR="0022447C" w:rsidRPr="0022447C" w:rsidRDefault="0022447C" w:rsidP="0022447C">
            <w:pPr>
              <w:jc w:val="right"/>
              <w:rPr>
                <w:rFonts w:cs="Arial"/>
                <w:color w:val="7F7F7F"/>
                <w:szCs w:val="18"/>
                <w:lang w:eastAsia="en-AU"/>
              </w:rPr>
            </w:pPr>
            <w:r w:rsidRPr="0022447C">
              <w:rPr>
                <w:rFonts w:cs="Arial"/>
                <w:color w:val="7F7F7F"/>
                <w:szCs w:val="18"/>
                <w:lang w:eastAsia="en-AU"/>
              </w:rPr>
              <w:t>-11%</w:t>
            </w:r>
          </w:p>
        </w:tc>
        <w:tc>
          <w:tcPr>
            <w:tcW w:w="1183" w:type="dxa"/>
            <w:tcBorders>
              <w:top w:val="nil"/>
              <w:left w:val="nil"/>
              <w:bottom w:val="nil"/>
              <w:right w:val="nil"/>
            </w:tcBorders>
            <w:shd w:val="clear" w:color="auto" w:fill="auto"/>
            <w:noWrap/>
            <w:vAlign w:val="center"/>
            <w:hideMark/>
          </w:tcPr>
          <w:p w:rsidR="0022447C" w:rsidRPr="0022447C" w:rsidRDefault="0022447C" w:rsidP="0022447C">
            <w:pPr>
              <w:jc w:val="right"/>
              <w:rPr>
                <w:rFonts w:cs="Arial"/>
                <w:color w:val="7F7F7F"/>
                <w:szCs w:val="18"/>
                <w:lang w:eastAsia="en-AU"/>
              </w:rPr>
            </w:pPr>
            <w:r w:rsidRPr="0022447C">
              <w:rPr>
                <w:rFonts w:cs="Arial"/>
                <w:color w:val="7F7F7F"/>
                <w:szCs w:val="18"/>
                <w:lang w:eastAsia="en-AU"/>
              </w:rPr>
              <w:t>-5%</w:t>
            </w:r>
          </w:p>
        </w:tc>
        <w:tc>
          <w:tcPr>
            <w:tcW w:w="1183" w:type="dxa"/>
            <w:tcBorders>
              <w:top w:val="nil"/>
              <w:left w:val="nil"/>
              <w:bottom w:val="nil"/>
              <w:right w:val="nil"/>
            </w:tcBorders>
            <w:shd w:val="clear" w:color="auto" w:fill="auto"/>
            <w:noWrap/>
            <w:vAlign w:val="center"/>
            <w:hideMark/>
          </w:tcPr>
          <w:p w:rsidR="0022447C" w:rsidRPr="0022447C" w:rsidRDefault="0022447C" w:rsidP="0022447C">
            <w:pPr>
              <w:jc w:val="right"/>
              <w:rPr>
                <w:rFonts w:cs="Arial"/>
                <w:color w:val="7F7F7F"/>
                <w:szCs w:val="18"/>
                <w:lang w:eastAsia="en-AU"/>
              </w:rPr>
            </w:pPr>
            <w:r w:rsidRPr="0022447C">
              <w:rPr>
                <w:rFonts w:cs="Arial"/>
                <w:color w:val="7F7F7F"/>
                <w:szCs w:val="18"/>
                <w:lang w:eastAsia="en-AU"/>
              </w:rPr>
              <w:t>-13%</w:t>
            </w:r>
          </w:p>
        </w:tc>
      </w:tr>
      <w:tr w:rsidR="0022447C" w:rsidRPr="0022447C" w:rsidTr="0022447C">
        <w:trPr>
          <w:trHeight w:val="300"/>
        </w:trPr>
        <w:tc>
          <w:tcPr>
            <w:tcW w:w="2180" w:type="dxa"/>
            <w:tcBorders>
              <w:top w:val="nil"/>
              <w:left w:val="nil"/>
              <w:bottom w:val="nil"/>
              <w:right w:val="nil"/>
            </w:tcBorders>
            <w:shd w:val="clear" w:color="auto" w:fill="auto"/>
            <w:noWrap/>
            <w:vAlign w:val="center"/>
            <w:hideMark/>
          </w:tcPr>
          <w:p w:rsidR="0022447C" w:rsidRPr="0022447C" w:rsidRDefault="0022447C" w:rsidP="0022447C">
            <w:pPr>
              <w:rPr>
                <w:rFonts w:cs="Arial"/>
                <w:color w:val="7F7F7F"/>
                <w:szCs w:val="18"/>
                <w:lang w:eastAsia="en-AU"/>
              </w:rPr>
            </w:pPr>
            <w:r w:rsidRPr="0022447C">
              <w:rPr>
                <w:rFonts w:cs="Arial"/>
                <w:color w:val="7F7F7F"/>
                <w:szCs w:val="18"/>
                <w:lang w:eastAsia="en-AU"/>
              </w:rPr>
              <w:t>Cert III/IV</w:t>
            </w:r>
          </w:p>
        </w:tc>
        <w:tc>
          <w:tcPr>
            <w:tcW w:w="1183" w:type="dxa"/>
            <w:tcBorders>
              <w:top w:val="nil"/>
              <w:left w:val="nil"/>
              <w:bottom w:val="nil"/>
              <w:right w:val="nil"/>
            </w:tcBorders>
            <w:shd w:val="clear" w:color="auto" w:fill="auto"/>
            <w:noWrap/>
            <w:vAlign w:val="center"/>
            <w:hideMark/>
          </w:tcPr>
          <w:p w:rsidR="0022447C" w:rsidRPr="0022447C" w:rsidRDefault="0022447C" w:rsidP="0022447C">
            <w:pPr>
              <w:jc w:val="right"/>
              <w:rPr>
                <w:rFonts w:cs="Arial"/>
                <w:color w:val="7F7F7F"/>
                <w:szCs w:val="18"/>
                <w:lang w:eastAsia="en-AU"/>
              </w:rPr>
            </w:pPr>
            <w:r w:rsidRPr="0022447C">
              <w:rPr>
                <w:rFonts w:cs="Arial"/>
                <w:color w:val="7F7F7F"/>
                <w:szCs w:val="18"/>
                <w:lang w:eastAsia="en-AU"/>
              </w:rPr>
              <w:t>13%</w:t>
            </w:r>
          </w:p>
        </w:tc>
        <w:tc>
          <w:tcPr>
            <w:tcW w:w="1183" w:type="dxa"/>
            <w:tcBorders>
              <w:top w:val="nil"/>
              <w:left w:val="nil"/>
              <w:bottom w:val="nil"/>
              <w:right w:val="nil"/>
            </w:tcBorders>
            <w:shd w:val="clear" w:color="auto" w:fill="auto"/>
            <w:noWrap/>
            <w:vAlign w:val="center"/>
            <w:hideMark/>
          </w:tcPr>
          <w:p w:rsidR="0022447C" w:rsidRPr="0022447C" w:rsidRDefault="0022447C" w:rsidP="0022447C">
            <w:pPr>
              <w:jc w:val="right"/>
              <w:rPr>
                <w:rFonts w:cs="Arial"/>
                <w:color w:val="7F7F7F"/>
                <w:szCs w:val="18"/>
                <w:lang w:eastAsia="en-AU"/>
              </w:rPr>
            </w:pPr>
            <w:r w:rsidRPr="0022447C">
              <w:rPr>
                <w:rFonts w:cs="Arial"/>
                <w:color w:val="7F7F7F"/>
                <w:szCs w:val="18"/>
                <w:lang w:eastAsia="en-AU"/>
              </w:rPr>
              <w:t>19%</w:t>
            </w:r>
          </w:p>
        </w:tc>
        <w:tc>
          <w:tcPr>
            <w:tcW w:w="1183" w:type="dxa"/>
            <w:tcBorders>
              <w:top w:val="nil"/>
              <w:left w:val="nil"/>
              <w:bottom w:val="nil"/>
              <w:right w:val="nil"/>
            </w:tcBorders>
            <w:shd w:val="clear" w:color="auto" w:fill="auto"/>
            <w:noWrap/>
            <w:vAlign w:val="center"/>
            <w:hideMark/>
          </w:tcPr>
          <w:p w:rsidR="0022447C" w:rsidRPr="0022447C" w:rsidRDefault="0022447C" w:rsidP="0022447C">
            <w:pPr>
              <w:jc w:val="right"/>
              <w:rPr>
                <w:rFonts w:cs="Arial"/>
                <w:color w:val="7F7F7F"/>
                <w:szCs w:val="18"/>
                <w:lang w:eastAsia="en-AU"/>
              </w:rPr>
            </w:pPr>
            <w:r w:rsidRPr="0022447C">
              <w:rPr>
                <w:rFonts w:cs="Arial"/>
                <w:color w:val="7F7F7F"/>
                <w:szCs w:val="18"/>
                <w:lang w:eastAsia="en-AU"/>
              </w:rPr>
              <w:t>-10%</w:t>
            </w:r>
          </w:p>
        </w:tc>
        <w:tc>
          <w:tcPr>
            <w:tcW w:w="1183" w:type="dxa"/>
            <w:tcBorders>
              <w:top w:val="nil"/>
              <w:left w:val="nil"/>
              <w:bottom w:val="nil"/>
              <w:right w:val="nil"/>
            </w:tcBorders>
            <w:shd w:val="clear" w:color="auto" w:fill="auto"/>
            <w:noWrap/>
            <w:vAlign w:val="center"/>
            <w:hideMark/>
          </w:tcPr>
          <w:p w:rsidR="0022447C" w:rsidRPr="0022447C" w:rsidRDefault="0022447C" w:rsidP="0022447C">
            <w:pPr>
              <w:jc w:val="right"/>
              <w:rPr>
                <w:rFonts w:cs="Arial"/>
                <w:color w:val="7F7F7F"/>
                <w:szCs w:val="18"/>
                <w:lang w:eastAsia="en-AU"/>
              </w:rPr>
            </w:pPr>
            <w:r w:rsidRPr="0022447C">
              <w:rPr>
                <w:rFonts w:cs="Arial"/>
                <w:color w:val="7F7F7F"/>
                <w:szCs w:val="18"/>
                <w:lang w:eastAsia="en-AU"/>
              </w:rPr>
              <w:t>1%</w:t>
            </w:r>
          </w:p>
        </w:tc>
        <w:tc>
          <w:tcPr>
            <w:tcW w:w="1183" w:type="dxa"/>
            <w:tcBorders>
              <w:top w:val="nil"/>
              <w:left w:val="nil"/>
              <w:bottom w:val="nil"/>
              <w:right w:val="nil"/>
            </w:tcBorders>
            <w:shd w:val="clear" w:color="auto" w:fill="auto"/>
            <w:noWrap/>
            <w:vAlign w:val="center"/>
            <w:hideMark/>
          </w:tcPr>
          <w:p w:rsidR="0022447C" w:rsidRPr="0022447C" w:rsidRDefault="0022447C" w:rsidP="0022447C">
            <w:pPr>
              <w:jc w:val="right"/>
              <w:rPr>
                <w:rFonts w:cs="Arial"/>
                <w:color w:val="7F7F7F"/>
                <w:szCs w:val="18"/>
                <w:lang w:eastAsia="en-AU"/>
              </w:rPr>
            </w:pPr>
            <w:r w:rsidRPr="0022447C">
              <w:rPr>
                <w:rFonts w:cs="Arial"/>
                <w:color w:val="7F7F7F"/>
                <w:szCs w:val="18"/>
                <w:lang w:eastAsia="en-AU"/>
              </w:rPr>
              <w:t>-4%</w:t>
            </w:r>
          </w:p>
        </w:tc>
      </w:tr>
      <w:tr w:rsidR="0022447C" w:rsidRPr="0022447C" w:rsidTr="0022447C">
        <w:trPr>
          <w:trHeight w:val="300"/>
        </w:trPr>
        <w:tc>
          <w:tcPr>
            <w:tcW w:w="2180" w:type="dxa"/>
            <w:tcBorders>
              <w:top w:val="nil"/>
              <w:left w:val="nil"/>
              <w:bottom w:val="nil"/>
              <w:right w:val="nil"/>
            </w:tcBorders>
            <w:shd w:val="clear" w:color="auto" w:fill="auto"/>
            <w:noWrap/>
            <w:vAlign w:val="center"/>
            <w:hideMark/>
          </w:tcPr>
          <w:p w:rsidR="0022447C" w:rsidRPr="0022447C" w:rsidRDefault="0022447C" w:rsidP="0022447C">
            <w:pPr>
              <w:rPr>
                <w:rFonts w:cs="Arial"/>
                <w:color w:val="7F7F7F"/>
                <w:szCs w:val="18"/>
                <w:lang w:eastAsia="en-AU"/>
              </w:rPr>
            </w:pPr>
            <w:r w:rsidRPr="0022447C">
              <w:rPr>
                <w:rFonts w:cs="Arial"/>
                <w:color w:val="7F7F7F"/>
                <w:szCs w:val="18"/>
                <w:lang w:eastAsia="en-AU"/>
              </w:rPr>
              <w:t>Diploma &amp; Above</w:t>
            </w:r>
          </w:p>
        </w:tc>
        <w:tc>
          <w:tcPr>
            <w:tcW w:w="1183" w:type="dxa"/>
            <w:tcBorders>
              <w:top w:val="nil"/>
              <w:left w:val="nil"/>
              <w:bottom w:val="nil"/>
              <w:right w:val="nil"/>
            </w:tcBorders>
            <w:shd w:val="clear" w:color="auto" w:fill="auto"/>
            <w:noWrap/>
            <w:vAlign w:val="center"/>
            <w:hideMark/>
          </w:tcPr>
          <w:p w:rsidR="0022447C" w:rsidRPr="0022447C" w:rsidRDefault="0022447C" w:rsidP="0022447C">
            <w:pPr>
              <w:jc w:val="right"/>
              <w:rPr>
                <w:rFonts w:cs="Arial"/>
                <w:color w:val="7F7F7F"/>
                <w:szCs w:val="18"/>
                <w:lang w:eastAsia="en-AU"/>
              </w:rPr>
            </w:pPr>
            <w:r w:rsidRPr="0022447C">
              <w:rPr>
                <w:rFonts w:cs="Arial"/>
                <w:color w:val="7F7F7F"/>
                <w:szCs w:val="18"/>
                <w:lang w:eastAsia="en-AU"/>
              </w:rPr>
              <w:t>137%</w:t>
            </w:r>
          </w:p>
        </w:tc>
        <w:tc>
          <w:tcPr>
            <w:tcW w:w="1183" w:type="dxa"/>
            <w:tcBorders>
              <w:top w:val="nil"/>
              <w:left w:val="nil"/>
              <w:bottom w:val="nil"/>
              <w:right w:val="nil"/>
            </w:tcBorders>
            <w:shd w:val="clear" w:color="auto" w:fill="auto"/>
            <w:noWrap/>
            <w:vAlign w:val="center"/>
            <w:hideMark/>
          </w:tcPr>
          <w:p w:rsidR="0022447C" w:rsidRPr="0022447C" w:rsidRDefault="0022447C" w:rsidP="0022447C">
            <w:pPr>
              <w:jc w:val="right"/>
              <w:rPr>
                <w:rFonts w:cs="Arial"/>
                <w:color w:val="7F7F7F"/>
                <w:szCs w:val="18"/>
                <w:lang w:eastAsia="en-AU"/>
              </w:rPr>
            </w:pPr>
            <w:r w:rsidRPr="0022447C">
              <w:rPr>
                <w:rFonts w:cs="Arial"/>
                <w:color w:val="7F7F7F"/>
                <w:szCs w:val="18"/>
                <w:lang w:eastAsia="en-AU"/>
              </w:rPr>
              <w:t>124%</w:t>
            </w:r>
          </w:p>
        </w:tc>
        <w:tc>
          <w:tcPr>
            <w:tcW w:w="1183" w:type="dxa"/>
            <w:tcBorders>
              <w:top w:val="nil"/>
              <w:left w:val="nil"/>
              <w:bottom w:val="nil"/>
              <w:right w:val="nil"/>
            </w:tcBorders>
            <w:shd w:val="clear" w:color="auto" w:fill="auto"/>
            <w:noWrap/>
            <w:vAlign w:val="center"/>
            <w:hideMark/>
          </w:tcPr>
          <w:p w:rsidR="0022447C" w:rsidRPr="0022447C" w:rsidRDefault="0022447C" w:rsidP="0022447C">
            <w:pPr>
              <w:jc w:val="right"/>
              <w:rPr>
                <w:rFonts w:cs="Arial"/>
                <w:color w:val="7F7F7F"/>
                <w:szCs w:val="18"/>
                <w:lang w:eastAsia="en-AU"/>
              </w:rPr>
            </w:pPr>
            <w:r w:rsidRPr="0022447C">
              <w:rPr>
                <w:rFonts w:cs="Arial"/>
                <w:color w:val="7F7F7F"/>
                <w:szCs w:val="18"/>
                <w:lang w:eastAsia="en-AU"/>
              </w:rPr>
              <w:t>56%</w:t>
            </w:r>
          </w:p>
        </w:tc>
        <w:tc>
          <w:tcPr>
            <w:tcW w:w="1183" w:type="dxa"/>
            <w:tcBorders>
              <w:top w:val="nil"/>
              <w:left w:val="nil"/>
              <w:bottom w:val="nil"/>
              <w:right w:val="nil"/>
            </w:tcBorders>
            <w:shd w:val="clear" w:color="auto" w:fill="auto"/>
            <w:noWrap/>
            <w:vAlign w:val="center"/>
            <w:hideMark/>
          </w:tcPr>
          <w:p w:rsidR="0022447C" w:rsidRPr="0022447C" w:rsidRDefault="0022447C" w:rsidP="0022447C">
            <w:pPr>
              <w:jc w:val="right"/>
              <w:rPr>
                <w:rFonts w:cs="Arial"/>
                <w:color w:val="7F7F7F"/>
                <w:szCs w:val="18"/>
                <w:lang w:eastAsia="en-AU"/>
              </w:rPr>
            </w:pPr>
            <w:r w:rsidRPr="0022447C">
              <w:rPr>
                <w:rFonts w:cs="Arial"/>
                <w:color w:val="7F7F7F"/>
                <w:szCs w:val="18"/>
                <w:lang w:eastAsia="en-AU"/>
              </w:rPr>
              <w:t>58%</w:t>
            </w:r>
          </w:p>
        </w:tc>
        <w:tc>
          <w:tcPr>
            <w:tcW w:w="1183" w:type="dxa"/>
            <w:tcBorders>
              <w:top w:val="nil"/>
              <w:left w:val="nil"/>
              <w:bottom w:val="nil"/>
              <w:right w:val="nil"/>
            </w:tcBorders>
            <w:shd w:val="clear" w:color="auto" w:fill="auto"/>
            <w:noWrap/>
            <w:vAlign w:val="center"/>
            <w:hideMark/>
          </w:tcPr>
          <w:p w:rsidR="0022447C" w:rsidRPr="0022447C" w:rsidRDefault="0022447C" w:rsidP="0022447C">
            <w:pPr>
              <w:jc w:val="right"/>
              <w:rPr>
                <w:rFonts w:cs="Arial"/>
                <w:color w:val="7F7F7F"/>
                <w:szCs w:val="18"/>
                <w:lang w:eastAsia="en-AU"/>
              </w:rPr>
            </w:pPr>
            <w:r w:rsidRPr="0022447C">
              <w:rPr>
                <w:rFonts w:cs="Arial"/>
                <w:color w:val="7F7F7F"/>
                <w:szCs w:val="18"/>
                <w:lang w:eastAsia="en-AU"/>
              </w:rPr>
              <w:t>15%</w:t>
            </w:r>
          </w:p>
        </w:tc>
      </w:tr>
      <w:tr w:rsidR="0022447C" w:rsidRPr="0022447C" w:rsidTr="0022447C">
        <w:trPr>
          <w:trHeight w:val="300"/>
        </w:trPr>
        <w:tc>
          <w:tcPr>
            <w:tcW w:w="2180" w:type="dxa"/>
            <w:tcBorders>
              <w:top w:val="nil"/>
              <w:left w:val="nil"/>
              <w:bottom w:val="nil"/>
              <w:right w:val="nil"/>
            </w:tcBorders>
            <w:shd w:val="clear" w:color="auto" w:fill="auto"/>
            <w:noWrap/>
            <w:vAlign w:val="center"/>
            <w:hideMark/>
          </w:tcPr>
          <w:p w:rsidR="0022447C" w:rsidRPr="0022447C" w:rsidRDefault="0022447C" w:rsidP="0022447C">
            <w:pPr>
              <w:rPr>
                <w:rFonts w:cs="Arial"/>
                <w:color w:val="7F7F7F"/>
                <w:szCs w:val="18"/>
                <w:lang w:eastAsia="en-AU"/>
              </w:rPr>
            </w:pPr>
            <w:r w:rsidRPr="0022447C">
              <w:rPr>
                <w:rFonts w:cs="Arial"/>
                <w:color w:val="7F7F7F"/>
                <w:szCs w:val="18"/>
                <w:lang w:eastAsia="en-AU"/>
              </w:rPr>
              <w:t>Higher Education</w:t>
            </w:r>
          </w:p>
        </w:tc>
        <w:tc>
          <w:tcPr>
            <w:tcW w:w="1183" w:type="dxa"/>
            <w:tcBorders>
              <w:top w:val="nil"/>
              <w:left w:val="nil"/>
              <w:bottom w:val="nil"/>
              <w:right w:val="nil"/>
            </w:tcBorders>
            <w:shd w:val="clear" w:color="auto" w:fill="auto"/>
            <w:noWrap/>
            <w:vAlign w:val="center"/>
            <w:hideMark/>
          </w:tcPr>
          <w:p w:rsidR="0022447C" w:rsidRPr="0022447C" w:rsidRDefault="0022447C" w:rsidP="0022447C">
            <w:pPr>
              <w:jc w:val="right"/>
              <w:rPr>
                <w:rFonts w:cs="Arial"/>
                <w:color w:val="7F7F7F"/>
                <w:szCs w:val="18"/>
                <w:lang w:eastAsia="en-AU"/>
              </w:rPr>
            </w:pPr>
            <w:r w:rsidRPr="0022447C">
              <w:rPr>
                <w:rFonts w:cs="Arial"/>
                <w:color w:val="7F7F7F"/>
                <w:szCs w:val="18"/>
                <w:lang w:eastAsia="en-AU"/>
              </w:rPr>
              <w:t>16%</w:t>
            </w:r>
          </w:p>
        </w:tc>
        <w:tc>
          <w:tcPr>
            <w:tcW w:w="1183" w:type="dxa"/>
            <w:tcBorders>
              <w:top w:val="nil"/>
              <w:left w:val="nil"/>
              <w:bottom w:val="nil"/>
              <w:right w:val="nil"/>
            </w:tcBorders>
            <w:shd w:val="clear" w:color="auto" w:fill="auto"/>
            <w:noWrap/>
            <w:vAlign w:val="center"/>
            <w:hideMark/>
          </w:tcPr>
          <w:p w:rsidR="0022447C" w:rsidRPr="0022447C" w:rsidRDefault="0022447C" w:rsidP="0022447C">
            <w:pPr>
              <w:jc w:val="right"/>
              <w:rPr>
                <w:rFonts w:cs="Arial"/>
                <w:color w:val="7F7F7F"/>
                <w:szCs w:val="18"/>
                <w:lang w:eastAsia="en-AU"/>
              </w:rPr>
            </w:pPr>
            <w:r w:rsidRPr="0022447C">
              <w:rPr>
                <w:rFonts w:cs="Arial"/>
                <w:color w:val="7F7F7F"/>
                <w:szCs w:val="18"/>
                <w:lang w:eastAsia="en-AU"/>
              </w:rPr>
              <w:t>5%</w:t>
            </w:r>
          </w:p>
        </w:tc>
        <w:tc>
          <w:tcPr>
            <w:tcW w:w="1183" w:type="dxa"/>
            <w:tcBorders>
              <w:top w:val="nil"/>
              <w:left w:val="nil"/>
              <w:bottom w:val="nil"/>
              <w:right w:val="nil"/>
            </w:tcBorders>
            <w:shd w:val="clear" w:color="auto" w:fill="auto"/>
            <w:noWrap/>
            <w:vAlign w:val="center"/>
            <w:hideMark/>
          </w:tcPr>
          <w:p w:rsidR="0022447C" w:rsidRPr="0022447C" w:rsidRDefault="0022447C" w:rsidP="0022447C">
            <w:pPr>
              <w:jc w:val="right"/>
              <w:rPr>
                <w:rFonts w:cs="Arial"/>
                <w:color w:val="7F7F7F"/>
                <w:szCs w:val="18"/>
                <w:lang w:eastAsia="en-AU"/>
              </w:rPr>
            </w:pPr>
            <w:r w:rsidRPr="0022447C">
              <w:rPr>
                <w:rFonts w:cs="Arial"/>
                <w:color w:val="7F7F7F"/>
                <w:szCs w:val="18"/>
                <w:lang w:eastAsia="en-AU"/>
              </w:rPr>
              <w:t>-2%</w:t>
            </w:r>
          </w:p>
        </w:tc>
        <w:tc>
          <w:tcPr>
            <w:tcW w:w="1183" w:type="dxa"/>
            <w:tcBorders>
              <w:top w:val="nil"/>
              <w:left w:val="nil"/>
              <w:bottom w:val="nil"/>
              <w:right w:val="nil"/>
            </w:tcBorders>
            <w:shd w:val="clear" w:color="auto" w:fill="auto"/>
            <w:noWrap/>
            <w:vAlign w:val="center"/>
            <w:hideMark/>
          </w:tcPr>
          <w:p w:rsidR="0022447C" w:rsidRPr="0022447C" w:rsidRDefault="0022447C" w:rsidP="0022447C">
            <w:pPr>
              <w:jc w:val="right"/>
              <w:rPr>
                <w:rFonts w:cs="Arial"/>
                <w:color w:val="7F7F7F"/>
                <w:szCs w:val="18"/>
                <w:lang w:eastAsia="en-AU"/>
              </w:rPr>
            </w:pPr>
            <w:r w:rsidRPr="0022447C">
              <w:rPr>
                <w:rFonts w:cs="Arial"/>
                <w:color w:val="7F7F7F"/>
                <w:szCs w:val="18"/>
                <w:lang w:eastAsia="en-AU"/>
              </w:rPr>
              <w:t>2%</w:t>
            </w:r>
          </w:p>
        </w:tc>
        <w:tc>
          <w:tcPr>
            <w:tcW w:w="1183" w:type="dxa"/>
            <w:tcBorders>
              <w:top w:val="nil"/>
              <w:left w:val="nil"/>
              <w:bottom w:val="nil"/>
              <w:right w:val="nil"/>
            </w:tcBorders>
            <w:shd w:val="clear" w:color="auto" w:fill="auto"/>
            <w:noWrap/>
            <w:vAlign w:val="center"/>
            <w:hideMark/>
          </w:tcPr>
          <w:p w:rsidR="0022447C" w:rsidRPr="0022447C" w:rsidRDefault="0022447C" w:rsidP="0022447C">
            <w:pPr>
              <w:jc w:val="right"/>
              <w:rPr>
                <w:rFonts w:cs="Arial"/>
                <w:color w:val="7F7F7F"/>
                <w:szCs w:val="18"/>
                <w:lang w:eastAsia="en-AU"/>
              </w:rPr>
            </w:pPr>
            <w:r w:rsidRPr="0022447C">
              <w:rPr>
                <w:rFonts w:cs="Arial"/>
                <w:color w:val="7F7F7F"/>
                <w:szCs w:val="18"/>
                <w:lang w:eastAsia="en-AU"/>
              </w:rPr>
              <w:t>0%</w:t>
            </w:r>
          </w:p>
        </w:tc>
      </w:tr>
      <w:tr w:rsidR="0022447C" w:rsidRPr="0022447C" w:rsidTr="0022447C">
        <w:trPr>
          <w:trHeight w:val="300"/>
        </w:trPr>
        <w:tc>
          <w:tcPr>
            <w:tcW w:w="2180" w:type="dxa"/>
            <w:tcBorders>
              <w:top w:val="nil"/>
              <w:left w:val="nil"/>
              <w:bottom w:val="nil"/>
              <w:right w:val="nil"/>
            </w:tcBorders>
            <w:shd w:val="clear" w:color="auto" w:fill="auto"/>
            <w:noWrap/>
            <w:vAlign w:val="center"/>
            <w:hideMark/>
          </w:tcPr>
          <w:p w:rsidR="0022447C" w:rsidRPr="0022447C" w:rsidRDefault="0022447C" w:rsidP="0022447C">
            <w:pPr>
              <w:rPr>
                <w:rFonts w:cs="Arial"/>
                <w:color w:val="7F7F7F"/>
                <w:szCs w:val="18"/>
                <w:lang w:eastAsia="en-AU"/>
              </w:rPr>
            </w:pPr>
            <w:r w:rsidRPr="0022447C">
              <w:rPr>
                <w:rFonts w:cs="Arial"/>
                <w:color w:val="7F7F7F"/>
                <w:szCs w:val="18"/>
                <w:lang w:eastAsia="en-AU"/>
              </w:rPr>
              <w:t>Module Only</w:t>
            </w:r>
          </w:p>
        </w:tc>
        <w:tc>
          <w:tcPr>
            <w:tcW w:w="1183" w:type="dxa"/>
            <w:tcBorders>
              <w:top w:val="nil"/>
              <w:left w:val="nil"/>
              <w:bottom w:val="nil"/>
              <w:right w:val="nil"/>
            </w:tcBorders>
            <w:shd w:val="clear" w:color="auto" w:fill="auto"/>
            <w:noWrap/>
            <w:vAlign w:val="center"/>
            <w:hideMark/>
          </w:tcPr>
          <w:p w:rsidR="0022447C" w:rsidRPr="0022447C" w:rsidRDefault="0022447C" w:rsidP="0022447C">
            <w:pPr>
              <w:jc w:val="right"/>
              <w:rPr>
                <w:rFonts w:cs="Arial"/>
                <w:color w:val="7F7F7F"/>
                <w:szCs w:val="18"/>
                <w:lang w:eastAsia="en-AU"/>
              </w:rPr>
            </w:pPr>
            <w:r w:rsidRPr="0022447C">
              <w:rPr>
                <w:rFonts w:cs="Arial"/>
                <w:color w:val="7F7F7F"/>
                <w:szCs w:val="18"/>
                <w:lang w:eastAsia="en-AU"/>
              </w:rPr>
              <w:t>-</w:t>
            </w:r>
          </w:p>
        </w:tc>
        <w:tc>
          <w:tcPr>
            <w:tcW w:w="1183" w:type="dxa"/>
            <w:tcBorders>
              <w:top w:val="nil"/>
              <w:left w:val="nil"/>
              <w:bottom w:val="nil"/>
              <w:right w:val="nil"/>
            </w:tcBorders>
            <w:shd w:val="clear" w:color="auto" w:fill="auto"/>
            <w:noWrap/>
            <w:vAlign w:val="center"/>
            <w:hideMark/>
          </w:tcPr>
          <w:p w:rsidR="0022447C" w:rsidRPr="0022447C" w:rsidRDefault="0022447C" w:rsidP="0022447C">
            <w:pPr>
              <w:jc w:val="right"/>
              <w:rPr>
                <w:rFonts w:cs="Arial"/>
                <w:color w:val="7F7F7F"/>
                <w:szCs w:val="18"/>
                <w:lang w:eastAsia="en-AU"/>
              </w:rPr>
            </w:pPr>
            <w:r w:rsidRPr="0022447C">
              <w:rPr>
                <w:rFonts w:cs="Arial"/>
                <w:color w:val="7F7F7F"/>
                <w:szCs w:val="18"/>
                <w:lang w:eastAsia="en-AU"/>
              </w:rPr>
              <w:t>-</w:t>
            </w:r>
          </w:p>
        </w:tc>
        <w:tc>
          <w:tcPr>
            <w:tcW w:w="1183" w:type="dxa"/>
            <w:tcBorders>
              <w:top w:val="nil"/>
              <w:left w:val="nil"/>
              <w:bottom w:val="nil"/>
              <w:right w:val="nil"/>
            </w:tcBorders>
            <w:shd w:val="clear" w:color="auto" w:fill="auto"/>
            <w:noWrap/>
            <w:vAlign w:val="center"/>
            <w:hideMark/>
          </w:tcPr>
          <w:p w:rsidR="0022447C" w:rsidRPr="0022447C" w:rsidRDefault="0022447C" w:rsidP="0022447C">
            <w:pPr>
              <w:jc w:val="right"/>
              <w:rPr>
                <w:rFonts w:cs="Arial"/>
                <w:color w:val="7F7F7F"/>
                <w:szCs w:val="18"/>
                <w:lang w:eastAsia="en-AU"/>
              </w:rPr>
            </w:pPr>
            <w:r w:rsidRPr="0022447C">
              <w:rPr>
                <w:rFonts w:cs="Arial"/>
                <w:color w:val="7F7F7F"/>
                <w:szCs w:val="18"/>
                <w:lang w:eastAsia="en-AU"/>
              </w:rPr>
              <w:t>-</w:t>
            </w:r>
          </w:p>
        </w:tc>
        <w:tc>
          <w:tcPr>
            <w:tcW w:w="1183" w:type="dxa"/>
            <w:tcBorders>
              <w:top w:val="nil"/>
              <w:left w:val="nil"/>
              <w:bottom w:val="nil"/>
              <w:right w:val="nil"/>
            </w:tcBorders>
            <w:shd w:val="clear" w:color="auto" w:fill="auto"/>
            <w:noWrap/>
            <w:vAlign w:val="center"/>
            <w:hideMark/>
          </w:tcPr>
          <w:p w:rsidR="0022447C" w:rsidRPr="0022447C" w:rsidRDefault="0022447C" w:rsidP="0022447C">
            <w:pPr>
              <w:jc w:val="right"/>
              <w:rPr>
                <w:rFonts w:cs="Arial"/>
                <w:color w:val="7F7F7F"/>
                <w:szCs w:val="18"/>
                <w:lang w:eastAsia="en-AU"/>
              </w:rPr>
            </w:pPr>
            <w:r w:rsidRPr="0022447C">
              <w:rPr>
                <w:rFonts w:cs="Arial"/>
                <w:color w:val="7F7F7F"/>
                <w:szCs w:val="18"/>
                <w:lang w:eastAsia="en-AU"/>
              </w:rPr>
              <w:t>200%</w:t>
            </w:r>
          </w:p>
        </w:tc>
        <w:tc>
          <w:tcPr>
            <w:tcW w:w="1183" w:type="dxa"/>
            <w:tcBorders>
              <w:top w:val="nil"/>
              <w:left w:val="nil"/>
              <w:bottom w:val="nil"/>
              <w:right w:val="nil"/>
            </w:tcBorders>
            <w:shd w:val="clear" w:color="auto" w:fill="auto"/>
            <w:noWrap/>
            <w:vAlign w:val="center"/>
            <w:hideMark/>
          </w:tcPr>
          <w:p w:rsidR="0022447C" w:rsidRPr="0022447C" w:rsidRDefault="0022447C" w:rsidP="0022447C">
            <w:pPr>
              <w:jc w:val="right"/>
              <w:rPr>
                <w:rFonts w:cs="Arial"/>
                <w:color w:val="7F7F7F"/>
                <w:szCs w:val="18"/>
                <w:lang w:eastAsia="en-AU"/>
              </w:rPr>
            </w:pPr>
            <w:r w:rsidRPr="0022447C">
              <w:rPr>
                <w:rFonts w:cs="Arial"/>
                <w:color w:val="7F7F7F"/>
                <w:szCs w:val="18"/>
                <w:lang w:eastAsia="en-AU"/>
              </w:rPr>
              <w:t>-87%</w:t>
            </w:r>
          </w:p>
        </w:tc>
      </w:tr>
      <w:tr w:rsidR="0022447C" w:rsidRPr="0022447C" w:rsidTr="0022447C">
        <w:trPr>
          <w:trHeight w:val="300"/>
        </w:trPr>
        <w:tc>
          <w:tcPr>
            <w:tcW w:w="2180" w:type="dxa"/>
            <w:tcBorders>
              <w:top w:val="nil"/>
              <w:left w:val="nil"/>
              <w:bottom w:val="nil"/>
              <w:right w:val="nil"/>
            </w:tcBorders>
            <w:shd w:val="clear" w:color="auto" w:fill="auto"/>
            <w:noWrap/>
            <w:vAlign w:val="center"/>
            <w:hideMark/>
          </w:tcPr>
          <w:p w:rsidR="0022447C" w:rsidRPr="0022447C" w:rsidRDefault="0022447C" w:rsidP="0022447C">
            <w:pPr>
              <w:rPr>
                <w:rFonts w:cs="Arial"/>
                <w:color w:val="7F7F7F"/>
                <w:szCs w:val="18"/>
                <w:lang w:eastAsia="en-AU"/>
              </w:rPr>
            </w:pPr>
            <w:r w:rsidRPr="0022447C">
              <w:rPr>
                <w:rFonts w:cs="Arial"/>
                <w:color w:val="7F7F7F"/>
                <w:szCs w:val="18"/>
                <w:lang w:eastAsia="en-AU"/>
              </w:rPr>
              <w:t>Other</w:t>
            </w:r>
          </w:p>
        </w:tc>
        <w:tc>
          <w:tcPr>
            <w:tcW w:w="1183" w:type="dxa"/>
            <w:tcBorders>
              <w:top w:val="nil"/>
              <w:left w:val="nil"/>
              <w:bottom w:val="nil"/>
              <w:right w:val="nil"/>
            </w:tcBorders>
            <w:shd w:val="clear" w:color="auto" w:fill="auto"/>
            <w:noWrap/>
            <w:vAlign w:val="center"/>
            <w:hideMark/>
          </w:tcPr>
          <w:p w:rsidR="0022447C" w:rsidRPr="0022447C" w:rsidRDefault="0022447C" w:rsidP="0022447C">
            <w:pPr>
              <w:jc w:val="right"/>
              <w:rPr>
                <w:rFonts w:cs="Arial"/>
                <w:color w:val="7F7F7F"/>
                <w:szCs w:val="18"/>
                <w:lang w:eastAsia="en-AU"/>
              </w:rPr>
            </w:pPr>
            <w:r w:rsidRPr="0022447C">
              <w:rPr>
                <w:rFonts w:cs="Arial"/>
                <w:color w:val="7F7F7F"/>
                <w:szCs w:val="18"/>
                <w:lang w:eastAsia="en-AU"/>
              </w:rPr>
              <w:t>-66%</w:t>
            </w:r>
          </w:p>
        </w:tc>
        <w:tc>
          <w:tcPr>
            <w:tcW w:w="1183" w:type="dxa"/>
            <w:tcBorders>
              <w:top w:val="nil"/>
              <w:left w:val="nil"/>
              <w:bottom w:val="nil"/>
              <w:right w:val="nil"/>
            </w:tcBorders>
            <w:shd w:val="clear" w:color="auto" w:fill="auto"/>
            <w:noWrap/>
            <w:vAlign w:val="center"/>
            <w:hideMark/>
          </w:tcPr>
          <w:p w:rsidR="0022447C" w:rsidRPr="0022447C" w:rsidRDefault="0022447C" w:rsidP="0022447C">
            <w:pPr>
              <w:jc w:val="right"/>
              <w:rPr>
                <w:rFonts w:cs="Arial"/>
                <w:color w:val="7F7F7F"/>
                <w:szCs w:val="18"/>
                <w:lang w:eastAsia="en-AU"/>
              </w:rPr>
            </w:pPr>
            <w:r w:rsidRPr="0022447C">
              <w:rPr>
                <w:rFonts w:cs="Arial"/>
                <w:color w:val="7F7F7F"/>
                <w:szCs w:val="18"/>
                <w:lang w:eastAsia="en-AU"/>
              </w:rPr>
              <w:t>-62%</w:t>
            </w:r>
          </w:p>
        </w:tc>
        <w:tc>
          <w:tcPr>
            <w:tcW w:w="1183" w:type="dxa"/>
            <w:tcBorders>
              <w:top w:val="nil"/>
              <w:left w:val="nil"/>
              <w:bottom w:val="nil"/>
              <w:right w:val="nil"/>
            </w:tcBorders>
            <w:shd w:val="clear" w:color="auto" w:fill="auto"/>
            <w:noWrap/>
            <w:vAlign w:val="center"/>
            <w:hideMark/>
          </w:tcPr>
          <w:p w:rsidR="0022447C" w:rsidRPr="0022447C" w:rsidRDefault="0022447C" w:rsidP="0022447C">
            <w:pPr>
              <w:jc w:val="right"/>
              <w:rPr>
                <w:rFonts w:cs="Arial"/>
                <w:color w:val="7F7F7F"/>
                <w:szCs w:val="18"/>
                <w:lang w:eastAsia="en-AU"/>
              </w:rPr>
            </w:pPr>
            <w:r w:rsidRPr="0022447C">
              <w:rPr>
                <w:rFonts w:cs="Arial"/>
                <w:color w:val="7F7F7F"/>
                <w:szCs w:val="18"/>
                <w:lang w:eastAsia="en-AU"/>
              </w:rPr>
              <w:t>-57%</w:t>
            </w:r>
          </w:p>
        </w:tc>
        <w:tc>
          <w:tcPr>
            <w:tcW w:w="1183" w:type="dxa"/>
            <w:tcBorders>
              <w:top w:val="nil"/>
              <w:left w:val="nil"/>
              <w:bottom w:val="nil"/>
              <w:right w:val="nil"/>
            </w:tcBorders>
            <w:shd w:val="clear" w:color="auto" w:fill="auto"/>
            <w:noWrap/>
            <w:vAlign w:val="center"/>
            <w:hideMark/>
          </w:tcPr>
          <w:p w:rsidR="0022447C" w:rsidRPr="0022447C" w:rsidRDefault="0022447C" w:rsidP="0022447C">
            <w:pPr>
              <w:jc w:val="right"/>
              <w:rPr>
                <w:rFonts w:cs="Arial"/>
                <w:color w:val="7F7F7F"/>
                <w:szCs w:val="18"/>
                <w:lang w:eastAsia="en-AU"/>
              </w:rPr>
            </w:pPr>
            <w:r w:rsidRPr="0022447C">
              <w:rPr>
                <w:rFonts w:cs="Arial"/>
                <w:color w:val="7F7F7F"/>
                <w:szCs w:val="18"/>
                <w:lang w:eastAsia="en-AU"/>
              </w:rPr>
              <w:t>-33%</w:t>
            </w:r>
          </w:p>
        </w:tc>
        <w:tc>
          <w:tcPr>
            <w:tcW w:w="1183" w:type="dxa"/>
            <w:tcBorders>
              <w:top w:val="nil"/>
              <w:left w:val="nil"/>
              <w:bottom w:val="nil"/>
              <w:right w:val="nil"/>
            </w:tcBorders>
            <w:shd w:val="clear" w:color="auto" w:fill="auto"/>
            <w:noWrap/>
            <w:vAlign w:val="center"/>
            <w:hideMark/>
          </w:tcPr>
          <w:p w:rsidR="0022447C" w:rsidRPr="0022447C" w:rsidRDefault="0022447C" w:rsidP="0022447C">
            <w:pPr>
              <w:jc w:val="right"/>
              <w:rPr>
                <w:rFonts w:cs="Arial"/>
                <w:color w:val="7F7F7F"/>
                <w:szCs w:val="18"/>
                <w:lang w:eastAsia="en-AU"/>
              </w:rPr>
            </w:pPr>
            <w:r w:rsidRPr="0022447C">
              <w:rPr>
                <w:rFonts w:cs="Arial"/>
                <w:color w:val="7F7F7F"/>
                <w:szCs w:val="18"/>
                <w:lang w:eastAsia="en-AU"/>
              </w:rPr>
              <w:t>-32%</w:t>
            </w:r>
          </w:p>
        </w:tc>
      </w:tr>
      <w:tr w:rsidR="0022447C" w:rsidRPr="0022447C" w:rsidTr="0022447C">
        <w:trPr>
          <w:trHeight w:val="300"/>
        </w:trPr>
        <w:tc>
          <w:tcPr>
            <w:tcW w:w="2180" w:type="dxa"/>
            <w:tcBorders>
              <w:top w:val="nil"/>
              <w:left w:val="nil"/>
              <w:bottom w:val="nil"/>
              <w:right w:val="nil"/>
            </w:tcBorders>
            <w:shd w:val="clear" w:color="auto" w:fill="auto"/>
            <w:noWrap/>
            <w:vAlign w:val="center"/>
            <w:hideMark/>
          </w:tcPr>
          <w:p w:rsidR="0022447C" w:rsidRPr="0022447C" w:rsidRDefault="0022447C" w:rsidP="0022447C">
            <w:pPr>
              <w:rPr>
                <w:rFonts w:cs="Arial"/>
                <w:color w:val="7F7F7F"/>
                <w:szCs w:val="18"/>
                <w:lang w:eastAsia="en-AU"/>
              </w:rPr>
            </w:pPr>
            <w:r w:rsidRPr="0022447C">
              <w:rPr>
                <w:rFonts w:cs="Arial"/>
                <w:color w:val="7F7F7F"/>
                <w:szCs w:val="18"/>
                <w:lang w:eastAsia="en-AU"/>
              </w:rPr>
              <w:t>Secondary Education</w:t>
            </w:r>
          </w:p>
        </w:tc>
        <w:tc>
          <w:tcPr>
            <w:tcW w:w="1183" w:type="dxa"/>
            <w:tcBorders>
              <w:top w:val="nil"/>
              <w:left w:val="nil"/>
              <w:bottom w:val="nil"/>
              <w:right w:val="nil"/>
            </w:tcBorders>
            <w:shd w:val="clear" w:color="auto" w:fill="auto"/>
            <w:noWrap/>
            <w:vAlign w:val="center"/>
            <w:hideMark/>
          </w:tcPr>
          <w:p w:rsidR="0022447C" w:rsidRPr="0022447C" w:rsidRDefault="0022447C" w:rsidP="0022447C">
            <w:pPr>
              <w:jc w:val="right"/>
              <w:rPr>
                <w:rFonts w:cs="Arial"/>
                <w:color w:val="7F7F7F"/>
                <w:szCs w:val="18"/>
                <w:lang w:eastAsia="en-AU"/>
              </w:rPr>
            </w:pPr>
            <w:r w:rsidRPr="0022447C">
              <w:rPr>
                <w:rFonts w:cs="Arial"/>
                <w:color w:val="7F7F7F"/>
                <w:szCs w:val="18"/>
                <w:lang w:eastAsia="en-AU"/>
              </w:rPr>
              <w:t>2,304%</w:t>
            </w:r>
          </w:p>
        </w:tc>
        <w:tc>
          <w:tcPr>
            <w:tcW w:w="1183" w:type="dxa"/>
            <w:tcBorders>
              <w:top w:val="nil"/>
              <w:left w:val="nil"/>
              <w:bottom w:val="nil"/>
              <w:right w:val="nil"/>
            </w:tcBorders>
            <w:shd w:val="clear" w:color="auto" w:fill="auto"/>
            <w:noWrap/>
            <w:vAlign w:val="center"/>
            <w:hideMark/>
          </w:tcPr>
          <w:p w:rsidR="0022447C" w:rsidRPr="0022447C" w:rsidRDefault="0022447C" w:rsidP="0022447C">
            <w:pPr>
              <w:jc w:val="right"/>
              <w:rPr>
                <w:rFonts w:cs="Arial"/>
                <w:color w:val="7F7F7F"/>
                <w:szCs w:val="18"/>
                <w:lang w:eastAsia="en-AU"/>
              </w:rPr>
            </w:pPr>
            <w:r w:rsidRPr="0022447C">
              <w:rPr>
                <w:rFonts w:cs="Arial"/>
                <w:color w:val="7F7F7F"/>
                <w:szCs w:val="18"/>
                <w:lang w:eastAsia="en-AU"/>
              </w:rPr>
              <w:t>1,684%</w:t>
            </w:r>
          </w:p>
        </w:tc>
        <w:tc>
          <w:tcPr>
            <w:tcW w:w="1183" w:type="dxa"/>
            <w:tcBorders>
              <w:top w:val="nil"/>
              <w:left w:val="nil"/>
              <w:bottom w:val="nil"/>
              <w:right w:val="nil"/>
            </w:tcBorders>
            <w:shd w:val="clear" w:color="auto" w:fill="auto"/>
            <w:noWrap/>
            <w:vAlign w:val="center"/>
            <w:hideMark/>
          </w:tcPr>
          <w:p w:rsidR="0022447C" w:rsidRPr="0022447C" w:rsidRDefault="0022447C" w:rsidP="0022447C">
            <w:pPr>
              <w:jc w:val="right"/>
              <w:rPr>
                <w:rFonts w:cs="Arial"/>
                <w:color w:val="7F7F7F"/>
                <w:szCs w:val="18"/>
                <w:lang w:eastAsia="en-AU"/>
              </w:rPr>
            </w:pPr>
            <w:r w:rsidRPr="0022447C">
              <w:rPr>
                <w:rFonts w:cs="Arial"/>
                <w:color w:val="7F7F7F"/>
                <w:szCs w:val="18"/>
                <w:lang w:eastAsia="en-AU"/>
              </w:rPr>
              <w:t>237%</w:t>
            </w:r>
          </w:p>
        </w:tc>
        <w:tc>
          <w:tcPr>
            <w:tcW w:w="1183" w:type="dxa"/>
            <w:tcBorders>
              <w:top w:val="nil"/>
              <w:left w:val="nil"/>
              <w:bottom w:val="nil"/>
              <w:right w:val="nil"/>
            </w:tcBorders>
            <w:shd w:val="clear" w:color="auto" w:fill="auto"/>
            <w:noWrap/>
            <w:vAlign w:val="center"/>
            <w:hideMark/>
          </w:tcPr>
          <w:p w:rsidR="0022447C" w:rsidRPr="0022447C" w:rsidRDefault="0022447C" w:rsidP="0022447C">
            <w:pPr>
              <w:jc w:val="right"/>
              <w:rPr>
                <w:rFonts w:cs="Arial"/>
                <w:color w:val="7F7F7F"/>
                <w:szCs w:val="18"/>
                <w:lang w:eastAsia="en-AU"/>
              </w:rPr>
            </w:pPr>
            <w:r w:rsidRPr="0022447C">
              <w:rPr>
                <w:rFonts w:cs="Arial"/>
                <w:color w:val="7F7F7F"/>
                <w:szCs w:val="18"/>
                <w:lang w:eastAsia="en-AU"/>
              </w:rPr>
              <w:t>129%</w:t>
            </w:r>
          </w:p>
        </w:tc>
        <w:tc>
          <w:tcPr>
            <w:tcW w:w="1183" w:type="dxa"/>
            <w:tcBorders>
              <w:top w:val="nil"/>
              <w:left w:val="nil"/>
              <w:bottom w:val="nil"/>
              <w:right w:val="nil"/>
            </w:tcBorders>
            <w:shd w:val="clear" w:color="auto" w:fill="auto"/>
            <w:noWrap/>
            <w:vAlign w:val="center"/>
            <w:hideMark/>
          </w:tcPr>
          <w:p w:rsidR="0022447C" w:rsidRPr="0022447C" w:rsidRDefault="0022447C" w:rsidP="0022447C">
            <w:pPr>
              <w:jc w:val="right"/>
              <w:rPr>
                <w:rFonts w:cs="Arial"/>
                <w:color w:val="7F7F7F"/>
                <w:szCs w:val="18"/>
                <w:lang w:eastAsia="en-AU"/>
              </w:rPr>
            </w:pPr>
            <w:r w:rsidRPr="0022447C">
              <w:rPr>
                <w:rFonts w:cs="Arial"/>
                <w:color w:val="7F7F7F"/>
                <w:szCs w:val="18"/>
                <w:lang w:eastAsia="en-AU"/>
              </w:rPr>
              <w:t>83%</w:t>
            </w:r>
          </w:p>
        </w:tc>
      </w:tr>
      <w:tr w:rsidR="0022447C" w:rsidRPr="0022447C" w:rsidTr="0022447C">
        <w:trPr>
          <w:trHeight w:val="300"/>
        </w:trPr>
        <w:tc>
          <w:tcPr>
            <w:tcW w:w="2180" w:type="dxa"/>
            <w:tcBorders>
              <w:top w:val="nil"/>
              <w:left w:val="nil"/>
              <w:bottom w:val="nil"/>
              <w:right w:val="nil"/>
            </w:tcBorders>
            <w:shd w:val="clear" w:color="000000" w:fill="7F7F7F"/>
            <w:noWrap/>
            <w:vAlign w:val="center"/>
            <w:hideMark/>
          </w:tcPr>
          <w:p w:rsidR="0022447C" w:rsidRPr="0022447C" w:rsidRDefault="0022447C" w:rsidP="0022447C">
            <w:pPr>
              <w:rPr>
                <w:rFonts w:cs="Arial"/>
                <w:b/>
                <w:bCs/>
                <w:color w:val="FFFFFF"/>
                <w:szCs w:val="18"/>
                <w:lang w:eastAsia="en-AU"/>
              </w:rPr>
            </w:pPr>
            <w:r w:rsidRPr="0022447C">
              <w:rPr>
                <w:rFonts w:cs="Arial"/>
                <w:b/>
                <w:bCs/>
                <w:color w:val="FFFFFF"/>
                <w:szCs w:val="18"/>
                <w:lang w:eastAsia="en-AU"/>
              </w:rPr>
              <w:t>Total</w:t>
            </w:r>
          </w:p>
        </w:tc>
        <w:tc>
          <w:tcPr>
            <w:tcW w:w="1183" w:type="dxa"/>
            <w:tcBorders>
              <w:top w:val="nil"/>
              <w:left w:val="nil"/>
              <w:bottom w:val="nil"/>
              <w:right w:val="nil"/>
            </w:tcBorders>
            <w:shd w:val="clear" w:color="000000" w:fill="7F7F7F"/>
            <w:noWrap/>
            <w:vAlign w:val="center"/>
            <w:hideMark/>
          </w:tcPr>
          <w:p w:rsidR="0022447C" w:rsidRPr="00794B13" w:rsidRDefault="0022447C" w:rsidP="0022447C">
            <w:pPr>
              <w:jc w:val="right"/>
              <w:rPr>
                <w:rFonts w:cs="Arial"/>
                <w:b/>
                <w:color w:val="FFFFFF"/>
                <w:szCs w:val="18"/>
                <w:lang w:eastAsia="en-AU"/>
              </w:rPr>
            </w:pPr>
            <w:r w:rsidRPr="00794B13">
              <w:rPr>
                <w:rFonts w:cs="Arial"/>
                <w:b/>
                <w:color w:val="FFFFFF"/>
                <w:szCs w:val="18"/>
                <w:lang w:eastAsia="en-AU"/>
              </w:rPr>
              <w:t>-19%</w:t>
            </w:r>
          </w:p>
        </w:tc>
        <w:tc>
          <w:tcPr>
            <w:tcW w:w="1183" w:type="dxa"/>
            <w:tcBorders>
              <w:top w:val="nil"/>
              <w:left w:val="nil"/>
              <w:bottom w:val="nil"/>
              <w:right w:val="nil"/>
            </w:tcBorders>
            <w:shd w:val="clear" w:color="000000" w:fill="7F7F7F"/>
            <w:noWrap/>
            <w:vAlign w:val="center"/>
            <w:hideMark/>
          </w:tcPr>
          <w:p w:rsidR="0022447C" w:rsidRPr="00794B13" w:rsidRDefault="0022447C" w:rsidP="0022447C">
            <w:pPr>
              <w:jc w:val="right"/>
              <w:rPr>
                <w:rFonts w:cs="Arial"/>
                <w:b/>
                <w:color w:val="FFFFFF"/>
                <w:szCs w:val="18"/>
                <w:lang w:eastAsia="en-AU"/>
              </w:rPr>
            </w:pPr>
            <w:r w:rsidRPr="00794B13">
              <w:rPr>
                <w:rFonts w:cs="Arial"/>
                <w:b/>
                <w:color w:val="FFFFFF"/>
                <w:szCs w:val="18"/>
                <w:lang w:eastAsia="en-AU"/>
              </w:rPr>
              <w:t>-13%</w:t>
            </w:r>
          </w:p>
        </w:tc>
        <w:tc>
          <w:tcPr>
            <w:tcW w:w="1183" w:type="dxa"/>
            <w:tcBorders>
              <w:top w:val="nil"/>
              <w:left w:val="nil"/>
              <w:bottom w:val="nil"/>
              <w:right w:val="nil"/>
            </w:tcBorders>
            <w:shd w:val="clear" w:color="000000" w:fill="7F7F7F"/>
            <w:noWrap/>
            <w:vAlign w:val="center"/>
            <w:hideMark/>
          </w:tcPr>
          <w:p w:rsidR="0022447C" w:rsidRPr="00794B13" w:rsidRDefault="0022447C" w:rsidP="0022447C">
            <w:pPr>
              <w:jc w:val="right"/>
              <w:rPr>
                <w:rFonts w:cs="Arial"/>
                <w:b/>
                <w:color w:val="FFFFFF"/>
                <w:szCs w:val="18"/>
                <w:lang w:eastAsia="en-AU"/>
              </w:rPr>
            </w:pPr>
            <w:r w:rsidRPr="00794B13">
              <w:rPr>
                <w:rFonts w:cs="Arial"/>
                <w:b/>
                <w:color w:val="FFFFFF"/>
                <w:szCs w:val="18"/>
                <w:lang w:eastAsia="en-AU"/>
              </w:rPr>
              <w:t>-22%</w:t>
            </w:r>
          </w:p>
        </w:tc>
        <w:tc>
          <w:tcPr>
            <w:tcW w:w="1183" w:type="dxa"/>
            <w:tcBorders>
              <w:top w:val="nil"/>
              <w:left w:val="nil"/>
              <w:bottom w:val="nil"/>
              <w:right w:val="nil"/>
            </w:tcBorders>
            <w:shd w:val="clear" w:color="000000" w:fill="7F7F7F"/>
            <w:noWrap/>
            <w:vAlign w:val="center"/>
            <w:hideMark/>
          </w:tcPr>
          <w:p w:rsidR="0022447C" w:rsidRPr="00794B13" w:rsidRDefault="0022447C" w:rsidP="0022447C">
            <w:pPr>
              <w:jc w:val="right"/>
              <w:rPr>
                <w:rFonts w:cs="Arial"/>
                <w:b/>
                <w:color w:val="FFFFFF"/>
                <w:szCs w:val="18"/>
                <w:lang w:eastAsia="en-AU"/>
              </w:rPr>
            </w:pPr>
            <w:r w:rsidRPr="00794B13">
              <w:rPr>
                <w:rFonts w:cs="Arial"/>
                <w:b/>
                <w:color w:val="FFFFFF"/>
                <w:szCs w:val="18"/>
                <w:lang w:eastAsia="en-AU"/>
              </w:rPr>
              <w:t>-6%</w:t>
            </w:r>
          </w:p>
        </w:tc>
        <w:tc>
          <w:tcPr>
            <w:tcW w:w="1183" w:type="dxa"/>
            <w:tcBorders>
              <w:top w:val="nil"/>
              <w:left w:val="nil"/>
              <w:bottom w:val="nil"/>
              <w:right w:val="nil"/>
            </w:tcBorders>
            <w:shd w:val="clear" w:color="000000" w:fill="7F7F7F"/>
            <w:noWrap/>
            <w:vAlign w:val="center"/>
            <w:hideMark/>
          </w:tcPr>
          <w:p w:rsidR="0022447C" w:rsidRPr="00794B13" w:rsidRDefault="0022447C" w:rsidP="0022447C">
            <w:pPr>
              <w:jc w:val="right"/>
              <w:rPr>
                <w:rFonts w:cs="Arial"/>
                <w:b/>
                <w:color w:val="FFFFFF"/>
                <w:szCs w:val="18"/>
                <w:lang w:eastAsia="en-AU"/>
              </w:rPr>
            </w:pPr>
            <w:r w:rsidRPr="00794B13">
              <w:rPr>
                <w:rFonts w:cs="Arial"/>
                <w:b/>
                <w:color w:val="FFFFFF"/>
                <w:szCs w:val="18"/>
                <w:lang w:eastAsia="en-AU"/>
              </w:rPr>
              <w:t>-12%</w:t>
            </w:r>
          </w:p>
        </w:tc>
      </w:tr>
    </w:tbl>
    <w:p w:rsidR="00F901C3" w:rsidRDefault="00F901C3" w:rsidP="00AD6D5B">
      <w:pPr>
        <w:pStyle w:val="Quote"/>
        <w:rPr>
          <w:b w:val="0"/>
          <w:sz w:val="18"/>
          <w:szCs w:val="18"/>
        </w:rPr>
      </w:pPr>
    </w:p>
    <w:p w:rsidR="001D22F4" w:rsidRDefault="001D22F4" w:rsidP="00AD6D5B">
      <w:pPr>
        <w:pStyle w:val="Quote"/>
        <w:rPr>
          <w:b w:val="0"/>
          <w:sz w:val="18"/>
          <w:szCs w:val="18"/>
        </w:rPr>
      </w:pPr>
    </w:p>
    <w:p w:rsidR="001D22F4" w:rsidRDefault="001D22F4">
      <w:r>
        <w:rPr>
          <w:b/>
        </w:rPr>
        <w:br w:type="page"/>
      </w: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2D0BE0" w:rsidTr="002D0BE0">
        <w:tc>
          <w:tcPr>
            <w:tcW w:w="1134" w:type="dxa"/>
            <w:tcMar>
              <w:left w:w="0" w:type="dxa"/>
              <w:right w:w="0" w:type="dxa"/>
            </w:tcMar>
          </w:tcPr>
          <w:p w:rsidR="002D0BE0" w:rsidRDefault="002D0BE0" w:rsidP="005A7424">
            <w:pPr>
              <w:pStyle w:val="Quote"/>
              <w:tabs>
                <w:tab w:val="left" w:pos="1134"/>
              </w:tabs>
              <w:rPr>
                <w:b w:val="0"/>
                <w:color w:val="B41F22" w:themeColor="accent1"/>
              </w:rPr>
            </w:pPr>
            <w:r>
              <w:rPr>
                <w:b w:val="0"/>
                <w:color w:val="B41F22" w:themeColor="accent1"/>
              </w:rPr>
              <w:lastRenderedPageBreak/>
              <w:t>Table 1.3</w:t>
            </w:r>
            <w:r w:rsidR="0084117E">
              <w:rPr>
                <w:b w:val="0"/>
                <w:color w:val="B41F22" w:themeColor="accent1"/>
              </w:rPr>
              <w:t>3</w:t>
            </w:r>
            <w:r>
              <w:rPr>
                <w:b w:val="0"/>
                <w:color w:val="B41F22" w:themeColor="accent1"/>
              </w:rPr>
              <w:t>.1:</w:t>
            </w:r>
          </w:p>
        </w:tc>
        <w:tc>
          <w:tcPr>
            <w:tcW w:w="6946" w:type="dxa"/>
            <w:tcMar>
              <w:left w:w="0" w:type="dxa"/>
              <w:right w:w="0" w:type="dxa"/>
            </w:tcMar>
          </w:tcPr>
          <w:p w:rsidR="002D0BE0" w:rsidRDefault="001D22F4" w:rsidP="007E03F8">
            <w:pPr>
              <w:pStyle w:val="Quote"/>
              <w:tabs>
                <w:tab w:val="left" w:pos="1134"/>
              </w:tabs>
              <w:rPr>
                <w:b w:val="0"/>
                <w:color w:val="B41F22" w:themeColor="accent1"/>
              </w:rPr>
            </w:pPr>
            <w:r>
              <w:rPr>
                <w:b w:val="0"/>
                <w:color w:val="B41F22" w:themeColor="accent1"/>
              </w:rPr>
              <w:t>Domestic f</w:t>
            </w:r>
            <w:r w:rsidR="002D0BE0" w:rsidRPr="002D0BE0">
              <w:rPr>
                <w:b w:val="0"/>
                <w:color w:val="B41F22" w:themeColor="accent1"/>
              </w:rPr>
              <w:t xml:space="preserve">ee-for-service enrolments </w:t>
            </w:r>
            <w:r w:rsidR="007E03F8">
              <w:rPr>
                <w:b w:val="0"/>
                <w:color w:val="B41F22" w:themeColor="accent1"/>
              </w:rPr>
              <w:t>at</w:t>
            </w:r>
            <w:r w:rsidR="002D0BE0" w:rsidRPr="002D0BE0">
              <w:rPr>
                <w:b w:val="0"/>
                <w:color w:val="B41F22" w:themeColor="accent1"/>
              </w:rPr>
              <w:t xml:space="preserve"> TAFE by age group, 2010 to 2015 (half year)</w:t>
            </w:r>
          </w:p>
        </w:tc>
      </w:tr>
    </w:tbl>
    <w:tbl>
      <w:tblPr>
        <w:tblW w:w="8095" w:type="dxa"/>
        <w:tblInd w:w="93" w:type="dxa"/>
        <w:tblLayout w:type="fixed"/>
        <w:tblLook w:val="04A0" w:firstRow="1" w:lastRow="0" w:firstColumn="1" w:lastColumn="0" w:noHBand="0" w:noVBand="1"/>
      </w:tblPr>
      <w:tblGrid>
        <w:gridCol w:w="2180"/>
        <w:gridCol w:w="985"/>
        <w:gridCol w:w="986"/>
        <w:gridCol w:w="986"/>
        <w:gridCol w:w="986"/>
        <w:gridCol w:w="986"/>
        <w:gridCol w:w="986"/>
      </w:tblGrid>
      <w:tr w:rsidR="002D0BE0" w:rsidRPr="002D0BE0" w:rsidTr="002D0BE0">
        <w:trPr>
          <w:trHeight w:val="300"/>
        </w:trPr>
        <w:tc>
          <w:tcPr>
            <w:tcW w:w="2180" w:type="dxa"/>
            <w:tcBorders>
              <w:top w:val="nil"/>
              <w:left w:val="nil"/>
              <w:bottom w:val="nil"/>
              <w:right w:val="nil"/>
            </w:tcBorders>
            <w:shd w:val="clear" w:color="000000" w:fill="7F7F7F"/>
            <w:noWrap/>
            <w:vAlign w:val="center"/>
            <w:hideMark/>
          </w:tcPr>
          <w:p w:rsidR="002D0BE0" w:rsidRPr="002D0BE0" w:rsidRDefault="002D0BE0" w:rsidP="002D0BE0">
            <w:pPr>
              <w:rPr>
                <w:rFonts w:cs="Arial"/>
                <w:color w:val="FFFFFF"/>
                <w:szCs w:val="18"/>
                <w:lang w:eastAsia="en-AU"/>
              </w:rPr>
            </w:pPr>
            <w:r w:rsidRPr="002D0BE0">
              <w:rPr>
                <w:rFonts w:cs="Arial"/>
                <w:color w:val="FFFFFF"/>
                <w:szCs w:val="18"/>
                <w:lang w:eastAsia="en-AU"/>
              </w:rPr>
              <w:t> </w:t>
            </w:r>
          </w:p>
        </w:tc>
        <w:tc>
          <w:tcPr>
            <w:tcW w:w="985" w:type="dxa"/>
            <w:tcBorders>
              <w:top w:val="nil"/>
              <w:left w:val="nil"/>
              <w:bottom w:val="nil"/>
              <w:right w:val="nil"/>
            </w:tcBorders>
            <w:shd w:val="clear" w:color="000000" w:fill="7F7F7F"/>
            <w:noWrap/>
            <w:vAlign w:val="center"/>
            <w:hideMark/>
          </w:tcPr>
          <w:p w:rsidR="002D0BE0" w:rsidRPr="002D0BE0" w:rsidRDefault="002D0BE0" w:rsidP="002D0BE0">
            <w:pPr>
              <w:jc w:val="right"/>
              <w:rPr>
                <w:rFonts w:cs="Arial"/>
                <w:b/>
                <w:bCs/>
                <w:color w:val="FFFFFF"/>
                <w:szCs w:val="18"/>
                <w:lang w:eastAsia="en-AU"/>
              </w:rPr>
            </w:pPr>
            <w:r w:rsidRPr="002D0BE0">
              <w:rPr>
                <w:rFonts w:cs="Arial"/>
                <w:b/>
                <w:bCs/>
                <w:color w:val="FFFFFF"/>
                <w:szCs w:val="18"/>
                <w:lang w:eastAsia="en-AU"/>
              </w:rPr>
              <w:t>2010</w:t>
            </w:r>
          </w:p>
        </w:tc>
        <w:tc>
          <w:tcPr>
            <w:tcW w:w="986" w:type="dxa"/>
            <w:tcBorders>
              <w:top w:val="nil"/>
              <w:left w:val="nil"/>
              <w:bottom w:val="nil"/>
              <w:right w:val="nil"/>
            </w:tcBorders>
            <w:shd w:val="clear" w:color="000000" w:fill="7F7F7F"/>
            <w:noWrap/>
            <w:vAlign w:val="center"/>
            <w:hideMark/>
          </w:tcPr>
          <w:p w:rsidR="002D0BE0" w:rsidRPr="002D0BE0" w:rsidRDefault="002D0BE0" w:rsidP="002D0BE0">
            <w:pPr>
              <w:jc w:val="right"/>
              <w:rPr>
                <w:rFonts w:cs="Arial"/>
                <w:b/>
                <w:bCs/>
                <w:color w:val="FFFFFF"/>
                <w:szCs w:val="18"/>
                <w:lang w:eastAsia="en-AU"/>
              </w:rPr>
            </w:pPr>
            <w:r w:rsidRPr="002D0BE0">
              <w:rPr>
                <w:rFonts w:cs="Arial"/>
                <w:b/>
                <w:bCs/>
                <w:color w:val="FFFFFF"/>
                <w:szCs w:val="18"/>
                <w:lang w:eastAsia="en-AU"/>
              </w:rPr>
              <w:t>2011</w:t>
            </w:r>
          </w:p>
        </w:tc>
        <w:tc>
          <w:tcPr>
            <w:tcW w:w="986" w:type="dxa"/>
            <w:tcBorders>
              <w:top w:val="nil"/>
              <w:left w:val="nil"/>
              <w:bottom w:val="nil"/>
              <w:right w:val="nil"/>
            </w:tcBorders>
            <w:shd w:val="clear" w:color="000000" w:fill="7F7F7F"/>
            <w:noWrap/>
            <w:vAlign w:val="center"/>
            <w:hideMark/>
          </w:tcPr>
          <w:p w:rsidR="002D0BE0" w:rsidRPr="002D0BE0" w:rsidRDefault="002D0BE0" w:rsidP="002D0BE0">
            <w:pPr>
              <w:jc w:val="right"/>
              <w:rPr>
                <w:rFonts w:cs="Arial"/>
                <w:b/>
                <w:bCs/>
                <w:color w:val="FFFFFF"/>
                <w:szCs w:val="18"/>
                <w:lang w:eastAsia="en-AU"/>
              </w:rPr>
            </w:pPr>
            <w:r w:rsidRPr="002D0BE0">
              <w:rPr>
                <w:rFonts w:cs="Arial"/>
                <w:b/>
                <w:bCs/>
                <w:color w:val="FFFFFF"/>
                <w:szCs w:val="18"/>
                <w:lang w:eastAsia="en-AU"/>
              </w:rPr>
              <w:t>2012</w:t>
            </w:r>
          </w:p>
        </w:tc>
        <w:tc>
          <w:tcPr>
            <w:tcW w:w="986" w:type="dxa"/>
            <w:tcBorders>
              <w:top w:val="nil"/>
              <w:left w:val="nil"/>
              <w:bottom w:val="nil"/>
              <w:right w:val="nil"/>
            </w:tcBorders>
            <w:shd w:val="clear" w:color="000000" w:fill="7F7F7F"/>
            <w:noWrap/>
            <w:vAlign w:val="center"/>
            <w:hideMark/>
          </w:tcPr>
          <w:p w:rsidR="002D0BE0" w:rsidRPr="002D0BE0" w:rsidRDefault="002D0BE0" w:rsidP="002D0BE0">
            <w:pPr>
              <w:jc w:val="right"/>
              <w:rPr>
                <w:rFonts w:cs="Arial"/>
                <w:b/>
                <w:bCs/>
                <w:color w:val="FFFFFF"/>
                <w:szCs w:val="18"/>
                <w:lang w:eastAsia="en-AU"/>
              </w:rPr>
            </w:pPr>
            <w:r w:rsidRPr="002D0BE0">
              <w:rPr>
                <w:rFonts w:cs="Arial"/>
                <w:b/>
                <w:bCs/>
                <w:color w:val="FFFFFF"/>
                <w:szCs w:val="18"/>
                <w:lang w:eastAsia="en-AU"/>
              </w:rPr>
              <w:t>2013</w:t>
            </w:r>
          </w:p>
        </w:tc>
        <w:tc>
          <w:tcPr>
            <w:tcW w:w="986" w:type="dxa"/>
            <w:tcBorders>
              <w:top w:val="nil"/>
              <w:left w:val="nil"/>
              <w:bottom w:val="nil"/>
              <w:right w:val="nil"/>
            </w:tcBorders>
            <w:shd w:val="clear" w:color="000000" w:fill="7F7F7F"/>
            <w:noWrap/>
            <w:vAlign w:val="center"/>
            <w:hideMark/>
          </w:tcPr>
          <w:p w:rsidR="002D0BE0" w:rsidRPr="002D0BE0" w:rsidRDefault="002D0BE0" w:rsidP="002D0BE0">
            <w:pPr>
              <w:jc w:val="right"/>
              <w:rPr>
                <w:rFonts w:cs="Arial"/>
                <w:b/>
                <w:bCs/>
                <w:color w:val="FFFFFF"/>
                <w:szCs w:val="18"/>
                <w:lang w:eastAsia="en-AU"/>
              </w:rPr>
            </w:pPr>
            <w:r w:rsidRPr="002D0BE0">
              <w:rPr>
                <w:rFonts w:cs="Arial"/>
                <w:b/>
                <w:bCs/>
                <w:color w:val="FFFFFF"/>
                <w:szCs w:val="18"/>
                <w:lang w:eastAsia="en-AU"/>
              </w:rPr>
              <w:t>2014</w:t>
            </w:r>
          </w:p>
        </w:tc>
        <w:tc>
          <w:tcPr>
            <w:tcW w:w="986" w:type="dxa"/>
            <w:tcBorders>
              <w:top w:val="nil"/>
              <w:left w:val="nil"/>
              <w:bottom w:val="nil"/>
              <w:right w:val="nil"/>
            </w:tcBorders>
            <w:shd w:val="clear" w:color="000000" w:fill="7F7F7F"/>
            <w:noWrap/>
            <w:vAlign w:val="center"/>
            <w:hideMark/>
          </w:tcPr>
          <w:p w:rsidR="002D0BE0" w:rsidRPr="002D0BE0" w:rsidRDefault="002D0BE0" w:rsidP="002D0BE0">
            <w:pPr>
              <w:jc w:val="right"/>
              <w:rPr>
                <w:rFonts w:cs="Arial"/>
                <w:b/>
                <w:bCs/>
                <w:color w:val="FFFFFF"/>
                <w:szCs w:val="18"/>
                <w:lang w:eastAsia="en-AU"/>
              </w:rPr>
            </w:pPr>
            <w:r w:rsidRPr="002D0BE0">
              <w:rPr>
                <w:rFonts w:cs="Arial"/>
                <w:b/>
                <w:bCs/>
                <w:color w:val="FFFFFF"/>
                <w:szCs w:val="18"/>
                <w:lang w:eastAsia="en-AU"/>
              </w:rPr>
              <w:t>2015</w:t>
            </w:r>
          </w:p>
        </w:tc>
      </w:tr>
      <w:tr w:rsidR="002D0BE0" w:rsidRPr="002D0BE0" w:rsidTr="002D0BE0">
        <w:trPr>
          <w:trHeight w:val="300"/>
        </w:trPr>
        <w:tc>
          <w:tcPr>
            <w:tcW w:w="2180" w:type="dxa"/>
            <w:tcBorders>
              <w:top w:val="nil"/>
              <w:left w:val="nil"/>
              <w:bottom w:val="nil"/>
              <w:right w:val="nil"/>
            </w:tcBorders>
            <w:shd w:val="clear" w:color="auto" w:fill="auto"/>
            <w:noWrap/>
            <w:vAlign w:val="center"/>
            <w:hideMark/>
          </w:tcPr>
          <w:p w:rsidR="002D0BE0" w:rsidRPr="002D0BE0" w:rsidRDefault="002D0BE0" w:rsidP="002D0BE0">
            <w:pPr>
              <w:rPr>
                <w:rFonts w:cs="Arial"/>
                <w:color w:val="7F7F7F"/>
                <w:szCs w:val="18"/>
                <w:lang w:eastAsia="en-AU"/>
              </w:rPr>
            </w:pPr>
            <w:r w:rsidRPr="002D0BE0">
              <w:rPr>
                <w:rFonts w:cs="Arial"/>
                <w:color w:val="7F7F7F"/>
                <w:szCs w:val="18"/>
                <w:lang w:eastAsia="en-AU"/>
              </w:rPr>
              <w:t>15 to 19</w:t>
            </w:r>
          </w:p>
        </w:tc>
        <w:tc>
          <w:tcPr>
            <w:tcW w:w="985" w:type="dxa"/>
            <w:tcBorders>
              <w:top w:val="nil"/>
              <w:left w:val="nil"/>
              <w:bottom w:val="nil"/>
              <w:right w:val="nil"/>
            </w:tcBorders>
            <w:shd w:val="clear" w:color="auto" w:fill="auto"/>
            <w:noWrap/>
            <w:vAlign w:val="center"/>
            <w:hideMark/>
          </w:tcPr>
          <w:p w:rsidR="002D0BE0" w:rsidRPr="002D0BE0" w:rsidRDefault="002D0BE0" w:rsidP="002D0BE0">
            <w:pPr>
              <w:jc w:val="right"/>
              <w:rPr>
                <w:rFonts w:cs="Arial"/>
                <w:color w:val="7F7F7F"/>
                <w:szCs w:val="18"/>
                <w:lang w:eastAsia="en-AU"/>
              </w:rPr>
            </w:pPr>
            <w:r w:rsidRPr="002D0BE0">
              <w:rPr>
                <w:rFonts w:cs="Arial"/>
                <w:color w:val="7F7F7F"/>
                <w:szCs w:val="18"/>
                <w:lang w:eastAsia="en-AU"/>
              </w:rPr>
              <w:t>19,492</w:t>
            </w:r>
          </w:p>
        </w:tc>
        <w:tc>
          <w:tcPr>
            <w:tcW w:w="986" w:type="dxa"/>
            <w:tcBorders>
              <w:top w:val="nil"/>
              <w:left w:val="nil"/>
              <w:bottom w:val="nil"/>
              <w:right w:val="nil"/>
            </w:tcBorders>
            <w:shd w:val="clear" w:color="auto" w:fill="auto"/>
            <w:noWrap/>
            <w:vAlign w:val="center"/>
            <w:hideMark/>
          </w:tcPr>
          <w:p w:rsidR="002D0BE0" w:rsidRPr="002D0BE0" w:rsidRDefault="002D0BE0" w:rsidP="002D0BE0">
            <w:pPr>
              <w:jc w:val="right"/>
              <w:rPr>
                <w:rFonts w:cs="Arial"/>
                <w:color w:val="7F7F7F"/>
                <w:szCs w:val="18"/>
                <w:lang w:eastAsia="en-AU"/>
              </w:rPr>
            </w:pPr>
            <w:r w:rsidRPr="002D0BE0">
              <w:rPr>
                <w:rFonts w:cs="Arial"/>
                <w:color w:val="7F7F7F"/>
                <w:szCs w:val="18"/>
                <w:lang w:eastAsia="en-AU"/>
              </w:rPr>
              <w:t>18,971</w:t>
            </w:r>
          </w:p>
        </w:tc>
        <w:tc>
          <w:tcPr>
            <w:tcW w:w="986" w:type="dxa"/>
            <w:tcBorders>
              <w:top w:val="nil"/>
              <w:left w:val="nil"/>
              <w:bottom w:val="nil"/>
              <w:right w:val="nil"/>
            </w:tcBorders>
            <w:shd w:val="clear" w:color="auto" w:fill="auto"/>
            <w:noWrap/>
            <w:vAlign w:val="center"/>
            <w:hideMark/>
          </w:tcPr>
          <w:p w:rsidR="002D0BE0" w:rsidRPr="002D0BE0" w:rsidRDefault="002D0BE0" w:rsidP="002D0BE0">
            <w:pPr>
              <w:jc w:val="right"/>
              <w:rPr>
                <w:rFonts w:cs="Arial"/>
                <w:color w:val="7F7F7F"/>
                <w:szCs w:val="18"/>
                <w:lang w:eastAsia="en-AU"/>
              </w:rPr>
            </w:pPr>
            <w:r w:rsidRPr="002D0BE0">
              <w:rPr>
                <w:rFonts w:cs="Arial"/>
                <w:color w:val="7F7F7F"/>
                <w:szCs w:val="18"/>
                <w:lang w:eastAsia="en-AU"/>
              </w:rPr>
              <w:t>19,622</w:t>
            </w:r>
          </w:p>
        </w:tc>
        <w:tc>
          <w:tcPr>
            <w:tcW w:w="986" w:type="dxa"/>
            <w:tcBorders>
              <w:top w:val="nil"/>
              <w:left w:val="nil"/>
              <w:bottom w:val="nil"/>
              <w:right w:val="nil"/>
            </w:tcBorders>
            <w:shd w:val="clear" w:color="auto" w:fill="auto"/>
            <w:noWrap/>
            <w:vAlign w:val="center"/>
            <w:hideMark/>
          </w:tcPr>
          <w:p w:rsidR="002D0BE0" w:rsidRPr="002D0BE0" w:rsidRDefault="002D0BE0" w:rsidP="002D0BE0">
            <w:pPr>
              <w:jc w:val="right"/>
              <w:rPr>
                <w:rFonts w:cs="Arial"/>
                <w:color w:val="7F7F7F"/>
                <w:szCs w:val="18"/>
                <w:lang w:eastAsia="en-AU"/>
              </w:rPr>
            </w:pPr>
            <w:r w:rsidRPr="002D0BE0">
              <w:rPr>
                <w:rFonts w:cs="Arial"/>
                <w:color w:val="7F7F7F"/>
                <w:szCs w:val="18"/>
                <w:lang w:eastAsia="en-AU"/>
              </w:rPr>
              <w:t>15,314</w:t>
            </w:r>
          </w:p>
        </w:tc>
        <w:tc>
          <w:tcPr>
            <w:tcW w:w="986" w:type="dxa"/>
            <w:tcBorders>
              <w:top w:val="nil"/>
              <w:left w:val="nil"/>
              <w:bottom w:val="nil"/>
              <w:right w:val="nil"/>
            </w:tcBorders>
            <w:shd w:val="clear" w:color="auto" w:fill="auto"/>
            <w:noWrap/>
            <w:vAlign w:val="center"/>
            <w:hideMark/>
          </w:tcPr>
          <w:p w:rsidR="002D0BE0" w:rsidRPr="002D0BE0" w:rsidRDefault="002D0BE0" w:rsidP="002D0BE0">
            <w:pPr>
              <w:jc w:val="right"/>
              <w:rPr>
                <w:rFonts w:cs="Arial"/>
                <w:color w:val="7F7F7F"/>
                <w:szCs w:val="18"/>
                <w:lang w:eastAsia="en-AU"/>
              </w:rPr>
            </w:pPr>
            <w:r w:rsidRPr="002D0BE0">
              <w:rPr>
                <w:rFonts w:cs="Arial"/>
                <w:color w:val="7F7F7F"/>
                <w:szCs w:val="18"/>
                <w:lang w:eastAsia="en-AU"/>
              </w:rPr>
              <w:t>16,117</w:t>
            </w:r>
          </w:p>
        </w:tc>
        <w:tc>
          <w:tcPr>
            <w:tcW w:w="986" w:type="dxa"/>
            <w:tcBorders>
              <w:top w:val="nil"/>
              <w:left w:val="nil"/>
              <w:bottom w:val="nil"/>
              <w:right w:val="nil"/>
            </w:tcBorders>
            <w:shd w:val="clear" w:color="auto" w:fill="auto"/>
            <w:noWrap/>
            <w:vAlign w:val="center"/>
            <w:hideMark/>
          </w:tcPr>
          <w:p w:rsidR="002D0BE0" w:rsidRPr="002D0BE0" w:rsidRDefault="002D0BE0" w:rsidP="002D0BE0">
            <w:pPr>
              <w:jc w:val="right"/>
              <w:rPr>
                <w:rFonts w:cs="Arial"/>
                <w:color w:val="7F7F7F"/>
                <w:szCs w:val="18"/>
                <w:lang w:eastAsia="en-AU"/>
              </w:rPr>
            </w:pPr>
            <w:r w:rsidRPr="002D0BE0">
              <w:rPr>
                <w:rFonts w:cs="Arial"/>
                <w:color w:val="7F7F7F"/>
                <w:szCs w:val="18"/>
                <w:lang w:eastAsia="en-AU"/>
              </w:rPr>
              <w:t>14,876</w:t>
            </w:r>
          </w:p>
        </w:tc>
      </w:tr>
      <w:tr w:rsidR="002D0BE0" w:rsidRPr="002D0BE0" w:rsidTr="002D0BE0">
        <w:trPr>
          <w:trHeight w:val="300"/>
        </w:trPr>
        <w:tc>
          <w:tcPr>
            <w:tcW w:w="2180" w:type="dxa"/>
            <w:tcBorders>
              <w:top w:val="nil"/>
              <w:left w:val="nil"/>
              <w:bottom w:val="nil"/>
              <w:right w:val="nil"/>
            </w:tcBorders>
            <w:shd w:val="clear" w:color="auto" w:fill="auto"/>
            <w:noWrap/>
            <w:vAlign w:val="center"/>
            <w:hideMark/>
          </w:tcPr>
          <w:p w:rsidR="002D0BE0" w:rsidRPr="002D0BE0" w:rsidRDefault="002D0BE0" w:rsidP="002D0BE0">
            <w:pPr>
              <w:rPr>
                <w:rFonts w:cs="Arial"/>
                <w:i/>
                <w:iCs/>
                <w:color w:val="7F7F7F"/>
                <w:szCs w:val="18"/>
                <w:lang w:eastAsia="en-AU"/>
              </w:rPr>
            </w:pPr>
            <w:r w:rsidRPr="002D0BE0">
              <w:rPr>
                <w:rFonts w:cs="Arial"/>
                <w:i/>
                <w:iCs/>
                <w:color w:val="7F7F7F"/>
                <w:szCs w:val="18"/>
                <w:lang w:eastAsia="en-AU"/>
              </w:rPr>
              <w:t xml:space="preserve">   At school</w:t>
            </w:r>
          </w:p>
        </w:tc>
        <w:tc>
          <w:tcPr>
            <w:tcW w:w="985" w:type="dxa"/>
            <w:tcBorders>
              <w:top w:val="nil"/>
              <w:left w:val="nil"/>
              <w:bottom w:val="nil"/>
              <w:right w:val="nil"/>
            </w:tcBorders>
            <w:shd w:val="clear" w:color="auto" w:fill="auto"/>
            <w:noWrap/>
            <w:vAlign w:val="center"/>
            <w:hideMark/>
          </w:tcPr>
          <w:p w:rsidR="002D0BE0" w:rsidRPr="002D0BE0" w:rsidRDefault="002D0BE0" w:rsidP="002D0BE0">
            <w:pPr>
              <w:jc w:val="right"/>
              <w:rPr>
                <w:rFonts w:cs="Arial"/>
                <w:i/>
                <w:iCs/>
                <w:color w:val="7F7F7F"/>
                <w:szCs w:val="18"/>
                <w:lang w:eastAsia="en-AU"/>
              </w:rPr>
            </w:pPr>
            <w:r w:rsidRPr="002D0BE0">
              <w:rPr>
                <w:rFonts w:cs="Arial"/>
                <w:i/>
                <w:iCs/>
                <w:color w:val="7F7F7F"/>
                <w:szCs w:val="18"/>
                <w:lang w:eastAsia="en-AU"/>
              </w:rPr>
              <w:t>12,119</w:t>
            </w:r>
          </w:p>
        </w:tc>
        <w:tc>
          <w:tcPr>
            <w:tcW w:w="986" w:type="dxa"/>
            <w:tcBorders>
              <w:top w:val="nil"/>
              <w:left w:val="nil"/>
              <w:bottom w:val="nil"/>
              <w:right w:val="nil"/>
            </w:tcBorders>
            <w:shd w:val="clear" w:color="auto" w:fill="auto"/>
            <w:noWrap/>
            <w:vAlign w:val="center"/>
            <w:hideMark/>
          </w:tcPr>
          <w:p w:rsidR="002D0BE0" w:rsidRPr="002D0BE0" w:rsidRDefault="002D0BE0" w:rsidP="002D0BE0">
            <w:pPr>
              <w:jc w:val="right"/>
              <w:rPr>
                <w:rFonts w:cs="Arial"/>
                <w:i/>
                <w:iCs/>
                <w:color w:val="7F7F7F"/>
                <w:szCs w:val="18"/>
                <w:lang w:eastAsia="en-AU"/>
              </w:rPr>
            </w:pPr>
            <w:r w:rsidRPr="002D0BE0">
              <w:rPr>
                <w:rFonts w:cs="Arial"/>
                <w:i/>
                <w:iCs/>
                <w:color w:val="7F7F7F"/>
                <w:szCs w:val="18"/>
                <w:lang w:eastAsia="en-AU"/>
              </w:rPr>
              <w:t>13,365</w:t>
            </w:r>
          </w:p>
        </w:tc>
        <w:tc>
          <w:tcPr>
            <w:tcW w:w="986" w:type="dxa"/>
            <w:tcBorders>
              <w:top w:val="nil"/>
              <w:left w:val="nil"/>
              <w:bottom w:val="nil"/>
              <w:right w:val="nil"/>
            </w:tcBorders>
            <w:shd w:val="clear" w:color="auto" w:fill="auto"/>
            <w:noWrap/>
            <w:vAlign w:val="center"/>
            <w:hideMark/>
          </w:tcPr>
          <w:p w:rsidR="002D0BE0" w:rsidRPr="002D0BE0" w:rsidRDefault="002D0BE0" w:rsidP="002D0BE0">
            <w:pPr>
              <w:jc w:val="right"/>
              <w:rPr>
                <w:rFonts w:cs="Arial"/>
                <w:i/>
                <w:iCs/>
                <w:color w:val="7F7F7F"/>
                <w:szCs w:val="18"/>
                <w:lang w:eastAsia="en-AU"/>
              </w:rPr>
            </w:pPr>
            <w:r w:rsidRPr="002D0BE0">
              <w:rPr>
                <w:rFonts w:cs="Arial"/>
                <w:i/>
                <w:iCs/>
                <w:color w:val="7F7F7F"/>
                <w:szCs w:val="18"/>
                <w:lang w:eastAsia="en-AU"/>
              </w:rPr>
              <w:t>13,788</w:t>
            </w:r>
          </w:p>
        </w:tc>
        <w:tc>
          <w:tcPr>
            <w:tcW w:w="986" w:type="dxa"/>
            <w:tcBorders>
              <w:top w:val="nil"/>
              <w:left w:val="nil"/>
              <w:bottom w:val="nil"/>
              <w:right w:val="nil"/>
            </w:tcBorders>
            <w:shd w:val="clear" w:color="auto" w:fill="auto"/>
            <w:noWrap/>
            <w:vAlign w:val="center"/>
            <w:hideMark/>
          </w:tcPr>
          <w:p w:rsidR="002D0BE0" w:rsidRPr="002D0BE0" w:rsidRDefault="002D0BE0" w:rsidP="002D0BE0">
            <w:pPr>
              <w:jc w:val="right"/>
              <w:rPr>
                <w:rFonts w:cs="Arial"/>
                <w:i/>
                <w:iCs/>
                <w:color w:val="7F7F7F"/>
                <w:szCs w:val="18"/>
                <w:lang w:eastAsia="en-AU"/>
              </w:rPr>
            </w:pPr>
            <w:r w:rsidRPr="002D0BE0">
              <w:rPr>
                <w:rFonts w:cs="Arial"/>
                <w:i/>
                <w:iCs/>
                <w:color w:val="7F7F7F"/>
                <w:szCs w:val="18"/>
                <w:lang w:eastAsia="en-AU"/>
              </w:rPr>
              <w:t>11,560</w:t>
            </w:r>
          </w:p>
        </w:tc>
        <w:tc>
          <w:tcPr>
            <w:tcW w:w="986" w:type="dxa"/>
            <w:tcBorders>
              <w:top w:val="nil"/>
              <w:left w:val="nil"/>
              <w:bottom w:val="nil"/>
              <w:right w:val="nil"/>
            </w:tcBorders>
            <w:shd w:val="clear" w:color="auto" w:fill="auto"/>
            <w:noWrap/>
            <w:vAlign w:val="center"/>
            <w:hideMark/>
          </w:tcPr>
          <w:p w:rsidR="002D0BE0" w:rsidRPr="002D0BE0" w:rsidRDefault="002D0BE0" w:rsidP="002D0BE0">
            <w:pPr>
              <w:jc w:val="right"/>
              <w:rPr>
                <w:rFonts w:cs="Arial"/>
                <w:i/>
                <w:iCs/>
                <w:color w:val="7F7F7F"/>
                <w:szCs w:val="18"/>
                <w:lang w:eastAsia="en-AU"/>
              </w:rPr>
            </w:pPr>
            <w:r w:rsidRPr="002D0BE0">
              <w:rPr>
                <w:rFonts w:cs="Arial"/>
                <w:i/>
                <w:iCs/>
                <w:color w:val="7F7F7F"/>
                <w:szCs w:val="18"/>
                <w:lang w:eastAsia="en-AU"/>
              </w:rPr>
              <w:t>10,858</w:t>
            </w:r>
          </w:p>
        </w:tc>
        <w:tc>
          <w:tcPr>
            <w:tcW w:w="986" w:type="dxa"/>
            <w:tcBorders>
              <w:top w:val="nil"/>
              <w:left w:val="nil"/>
              <w:bottom w:val="nil"/>
              <w:right w:val="nil"/>
            </w:tcBorders>
            <w:shd w:val="clear" w:color="auto" w:fill="auto"/>
            <w:noWrap/>
            <w:vAlign w:val="center"/>
            <w:hideMark/>
          </w:tcPr>
          <w:p w:rsidR="002D0BE0" w:rsidRPr="002D0BE0" w:rsidRDefault="002D0BE0" w:rsidP="002D0BE0">
            <w:pPr>
              <w:jc w:val="right"/>
              <w:rPr>
                <w:rFonts w:cs="Arial"/>
                <w:i/>
                <w:iCs/>
                <w:color w:val="7F7F7F"/>
                <w:szCs w:val="18"/>
                <w:lang w:eastAsia="en-AU"/>
              </w:rPr>
            </w:pPr>
            <w:r w:rsidRPr="002D0BE0">
              <w:rPr>
                <w:rFonts w:cs="Arial"/>
                <w:i/>
                <w:iCs/>
                <w:color w:val="7F7F7F"/>
                <w:szCs w:val="18"/>
                <w:lang w:eastAsia="en-AU"/>
              </w:rPr>
              <w:t>11,410</w:t>
            </w:r>
          </w:p>
        </w:tc>
      </w:tr>
      <w:tr w:rsidR="002D0BE0" w:rsidRPr="002D0BE0" w:rsidTr="002D0BE0">
        <w:trPr>
          <w:trHeight w:val="300"/>
        </w:trPr>
        <w:tc>
          <w:tcPr>
            <w:tcW w:w="2180" w:type="dxa"/>
            <w:tcBorders>
              <w:top w:val="nil"/>
              <w:left w:val="nil"/>
              <w:bottom w:val="nil"/>
              <w:right w:val="nil"/>
            </w:tcBorders>
            <w:shd w:val="clear" w:color="auto" w:fill="auto"/>
            <w:noWrap/>
            <w:vAlign w:val="center"/>
            <w:hideMark/>
          </w:tcPr>
          <w:p w:rsidR="002D0BE0" w:rsidRPr="002D0BE0" w:rsidRDefault="002D0BE0" w:rsidP="002D0BE0">
            <w:pPr>
              <w:rPr>
                <w:rFonts w:cs="Arial"/>
                <w:i/>
                <w:iCs/>
                <w:color w:val="7F7F7F"/>
                <w:szCs w:val="18"/>
                <w:lang w:eastAsia="en-AU"/>
              </w:rPr>
            </w:pPr>
            <w:r w:rsidRPr="002D0BE0">
              <w:rPr>
                <w:rFonts w:cs="Arial"/>
                <w:i/>
                <w:iCs/>
                <w:color w:val="7F7F7F"/>
                <w:szCs w:val="18"/>
                <w:lang w:eastAsia="en-AU"/>
              </w:rPr>
              <w:t xml:space="preserve">   Not at School</w:t>
            </w:r>
          </w:p>
        </w:tc>
        <w:tc>
          <w:tcPr>
            <w:tcW w:w="985" w:type="dxa"/>
            <w:tcBorders>
              <w:top w:val="nil"/>
              <w:left w:val="nil"/>
              <w:bottom w:val="nil"/>
              <w:right w:val="nil"/>
            </w:tcBorders>
            <w:shd w:val="clear" w:color="auto" w:fill="auto"/>
            <w:noWrap/>
            <w:vAlign w:val="center"/>
            <w:hideMark/>
          </w:tcPr>
          <w:p w:rsidR="002D0BE0" w:rsidRPr="002D0BE0" w:rsidRDefault="002D0BE0" w:rsidP="002D0BE0">
            <w:pPr>
              <w:jc w:val="right"/>
              <w:rPr>
                <w:rFonts w:cs="Arial"/>
                <w:i/>
                <w:iCs/>
                <w:color w:val="7F7F7F"/>
                <w:szCs w:val="18"/>
                <w:lang w:eastAsia="en-AU"/>
              </w:rPr>
            </w:pPr>
            <w:r w:rsidRPr="002D0BE0">
              <w:rPr>
                <w:rFonts w:cs="Arial"/>
                <w:i/>
                <w:iCs/>
                <w:color w:val="7F7F7F"/>
                <w:szCs w:val="18"/>
                <w:lang w:eastAsia="en-AU"/>
              </w:rPr>
              <w:t>7,373</w:t>
            </w:r>
          </w:p>
        </w:tc>
        <w:tc>
          <w:tcPr>
            <w:tcW w:w="986" w:type="dxa"/>
            <w:tcBorders>
              <w:top w:val="nil"/>
              <w:left w:val="nil"/>
              <w:bottom w:val="nil"/>
              <w:right w:val="nil"/>
            </w:tcBorders>
            <w:shd w:val="clear" w:color="auto" w:fill="auto"/>
            <w:noWrap/>
            <w:vAlign w:val="center"/>
            <w:hideMark/>
          </w:tcPr>
          <w:p w:rsidR="002D0BE0" w:rsidRPr="002D0BE0" w:rsidRDefault="002D0BE0" w:rsidP="002D0BE0">
            <w:pPr>
              <w:jc w:val="right"/>
              <w:rPr>
                <w:rFonts w:cs="Arial"/>
                <w:i/>
                <w:iCs/>
                <w:color w:val="7F7F7F"/>
                <w:szCs w:val="18"/>
                <w:lang w:eastAsia="en-AU"/>
              </w:rPr>
            </w:pPr>
            <w:r w:rsidRPr="002D0BE0">
              <w:rPr>
                <w:rFonts w:cs="Arial"/>
                <w:i/>
                <w:iCs/>
                <w:color w:val="7F7F7F"/>
                <w:szCs w:val="18"/>
                <w:lang w:eastAsia="en-AU"/>
              </w:rPr>
              <w:t>5,606</w:t>
            </w:r>
          </w:p>
        </w:tc>
        <w:tc>
          <w:tcPr>
            <w:tcW w:w="986" w:type="dxa"/>
            <w:tcBorders>
              <w:top w:val="nil"/>
              <w:left w:val="nil"/>
              <w:bottom w:val="nil"/>
              <w:right w:val="nil"/>
            </w:tcBorders>
            <w:shd w:val="clear" w:color="auto" w:fill="auto"/>
            <w:noWrap/>
            <w:vAlign w:val="center"/>
            <w:hideMark/>
          </w:tcPr>
          <w:p w:rsidR="002D0BE0" w:rsidRPr="002D0BE0" w:rsidRDefault="002D0BE0" w:rsidP="002D0BE0">
            <w:pPr>
              <w:jc w:val="right"/>
              <w:rPr>
                <w:rFonts w:cs="Arial"/>
                <w:i/>
                <w:iCs/>
                <w:color w:val="7F7F7F"/>
                <w:szCs w:val="18"/>
                <w:lang w:eastAsia="en-AU"/>
              </w:rPr>
            </w:pPr>
            <w:r w:rsidRPr="002D0BE0">
              <w:rPr>
                <w:rFonts w:cs="Arial"/>
                <w:i/>
                <w:iCs/>
                <w:color w:val="7F7F7F"/>
                <w:szCs w:val="18"/>
                <w:lang w:eastAsia="en-AU"/>
              </w:rPr>
              <w:t>5,834</w:t>
            </w:r>
          </w:p>
        </w:tc>
        <w:tc>
          <w:tcPr>
            <w:tcW w:w="986" w:type="dxa"/>
            <w:tcBorders>
              <w:top w:val="nil"/>
              <w:left w:val="nil"/>
              <w:bottom w:val="nil"/>
              <w:right w:val="nil"/>
            </w:tcBorders>
            <w:shd w:val="clear" w:color="auto" w:fill="auto"/>
            <w:noWrap/>
            <w:vAlign w:val="center"/>
            <w:hideMark/>
          </w:tcPr>
          <w:p w:rsidR="002D0BE0" w:rsidRPr="002D0BE0" w:rsidRDefault="002D0BE0" w:rsidP="002D0BE0">
            <w:pPr>
              <w:jc w:val="right"/>
              <w:rPr>
                <w:rFonts w:cs="Arial"/>
                <w:i/>
                <w:iCs/>
                <w:color w:val="7F7F7F"/>
                <w:szCs w:val="18"/>
                <w:lang w:eastAsia="en-AU"/>
              </w:rPr>
            </w:pPr>
            <w:r w:rsidRPr="002D0BE0">
              <w:rPr>
                <w:rFonts w:cs="Arial"/>
                <w:i/>
                <w:iCs/>
                <w:color w:val="7F7F7F"/>
                <w:szCs w:val="18"/>
                <w:lang w:eastAsia="en-AU"/>
              </w:rPr>
              <w:t>3,754</w:t>
            </w:r>
          </w:p>
        </w:tc>
        <w:tc>
          <w:tcPr>
            <w:tcW w:w="986" w:type="dxa"/>
            <w:tcBorders>
              <w:top w:val="nil"/>
              <w:left w:val="nil"/>
              <w:bottom w:val="nil"/>
              <w:right w:val="nil"/>
            </w:tcBorders>
            <w:shd w:val="clear" w:color="auto" w:fill="auto"/>
            <w:noWrap/>
            <w:vAlign w:val="center"/>
            <w:hideMark/>
          </w:tcPr>
          <w:p w:rsidR="002D0BE0" w:rsidRPr="002D0BE0" w:rsidRDefault="002D0BE0" w:rsidP="002D0BE0">
            <w:pPr>
              <w:jc w:val="right"/>
              <w:rPr>
                <w:rFonts w:cs="Arial"/>
                <w:i/>
                <w:iCs/>
                <w:color w:val="7F7F7F"/>
                <w:szCs w:val="18"/>
                <w:lang w:eastAsia="en-AU"/>
              </w:rPr>
            </w:pPr>
            <w:r w:rsidRPr="002D0BE0">
              <w:rPr>
                <w:rFonts w:cs="Arial"/>
                <w:i/>
                <w:iCs/>
                <w:color w:val="7F7F7F"/>
                <w:szCs w:val="18"/>
                <w:lang w:eastAsia="en-AU"/>
              </w:rPr>
              <w:t>5,259</w:t>
            </w:r>
          </w:p>
        </w:tc>
        <w:tc>
          <w:tcPr>
            <w:tcW w:w="986" w:type="dxa"/>
            <w:tcBorders>
              <w:top w:val="nil"/>
              <w:left w:val="nil"/>
              <w:bottom w:val="nil"/>
              <w:right w:val="nil"/>
            </w:tcBorders>
            <w:shd w:val="clear" w:color="auto" w:fill="auto"/>
            <w:noWrap/>
            <w:vAlign w:val="center"/>
            <w:hideMark/>
          </w:tcPr>
          <w:p w:rsidR="002D0BE0" w:rsidRPr="002D0BE0" w:rsidRDefault="002D0BE0" w:rsidP="002D0BE0">
            <w:pPr>
              <w:jc w:val="right"/>
              <w:rPr>
                <w:rFonts w:cs="Arial"/>
                <w:i/>
                <w:iCs/>
                <w:color w:val="7F7F7F"/>
                <w:szCs w:val="18"/>
                <w:lang w:eastAsia="en-AU"/>
              </w:rPr>
            </w:pPr>
            <w:r w:rsidRPr="002D0BE0">
              <w:rPr>
                <w:rFonts w:cs="Arial"/>
                <w:i/>
                <w:iCs/>
                <w:color w:val="7F7F7F"/>
                <w:szCs w:val="18"/>
                <w:lang w:eastAsia="en-AU"/>
              </w:rPr>
              <w:t>3,466</w:t>
            </w:r>
          </w:p>
        </w:tc>
      </w:tr>
      <w:tr w:rsidR="002D0BE0" w:rsidRPr="002D0BE0" w:rsidTr="002D0BE0">
        <w:trPr>
          <w:trHeight w:val="300"/>
        </w:trPr>
        <w:tc>
          <w:tcPr>
            <w:tcW w:w="2180" w:type="dxa"/>
            <w:tcBorders>
              <w:top w:val="nil"/>
              <w:left w:val="nil"/>
              <w:bottom w:val="nil"/>
              <w:right w:val="nil"/>
            </w:tcBorders>
            <w:shd w:val="clear" w:color="auto" w:fill="auto"/>
            <w:noWrap/>
            <w:vAlign w:val="center"/>
            <w:hideMark/>
          </w:tcPr>
          <w:p w:rsidR="002D0BE0" w:rsidRPr="002D0BE0" w:rsidRDefault="002D0BE0" w:rsidP="002D0BE0">
            <w:pPr>
              <w:rPr>
                <w:rFonts w:cs="Arial"/>
                <w:color w:val="7F7F7F"/>
                <w:szCs w:val="18"/>
                <w:lang w:eastAsia="en-AU"/>
              </w:rPr>
            </w:pPr>
            <w:r w:rsidRPr="002D0BE0">
              <w:rPr>
                <w:rFonts w:cs="Arial"/>
                <w:color w:val="7F7F7F"/>
                <w:szCs w:val="18"/>
                <w:lang w:eastAsia="en-AU"/>
              </w:rPr>
              <w:t>20 to 24</w:t>
            </w:r>
          </w:p>
        </w:tc>
        <w:tc>
          <w:tcPr>
            <w:tcW w:w="985" w:type="dxa"/>
            <w:tcBorders>
              <w:top w:val="nil"/>
              <w:left w:val="nil"/>
              <w:bottom w:val="nil"/>
              <w:right w:val="nil"/>
            </w:tcBorders>
            <w:shd w:val="clear" w:color="auto" w:fill="auto"/>
            <w:noWrap/>
            <w:vAlign w:val="center"/>
            <w:hideMark/>
          </w:tcPr>
          <w:p w:rsidR="002D0BE0" w:rsidRPr="002D0BE0" w:rsidRDefault="002D0BE0" w:rsidP="002D0BE0">
            <w:pPr>
              <w:jc w:val="right"/>
              <w:rPr>
                <w:rFonts w:cs="Arial"/>
                <w:color w:val="7F7F7F"/>
                <w:szCs w:val="18"/>
                <w:lang w:eastAsia="en-AU"/>
              </w:rPr>
            </w:pPr>
            <w:r w:rsidRPr="002D0BE0">
              <w:rPr>
                <w:rFonts w:cs="Arial"/>
                <w:color w:val="7F7F7F"/>
                <w:szCs w:val="18"/>
                <w:lang w:eastAsia="en-AU"/>
              </w:rPr>
              <w:t>10,876</w:t>
            </w:r>
          </w:p>
        </w:tc>
        <w:tc>
          <w:tcPr>
            <w:tcW w:w="986" w:type="dxa"/>
            <w:tcBorders>
              <w:top w:val="nil"/>
              <w:left w:val="nil"/>
              <w:bottom w:val="nil"/>
              <w:right w:val="nil"/>
            </w:tcBorders>
            <w:shd w:val="clear" w:color="auto" w:fill="auto"/>
            <w:noWrap/>
            <w:vAlign w:val="center"/>
            <w:hideMark/>
          </w:tcPr>
          <w:p w:rsidR="002D0BE0" w:rsidRPr="002D0BE0" w:rsidRDefault="002D0BE0" w:rsidP="002D0BE0">
            <w:pPr>
              <w:jc w:val="right"/>
              <w:rPr>
                <w:rFonts w:cs="Arial"/>
                <w:color w:val="7F7F7F"/>
                <w:szCs w:val="18"/>
                <w:lang w:eastAsia="en-AU"/>
              </w:rPr>
            </w:pPr>
            <w:r w:rsidRPr="002D0BE0">
              <w:rPr>
                <w:rFonts w:cs="Arial"/>
                <w:color w:val="7F7F7F"/>
                <w:szCs w:val="18"/>
                <w:lang w:eastAsia="en-AU"/>
              </w:rPr>
              <w:t>10,057</w:t>
            </w:r>
          </w:p>
        </w:tc>
        <w:tc>
          <w:tcPr>
            <w:tcW w:w="986" w:type="dxa"/>
            <w:tcBorders>
              <w:top w:val="nil"/>
              <w:left w:val="nil"/>
              <w:bottom w:val="nil"/>
              <w:right w:val="nil"/>
            </w:tcBorders>
            <w:shd w:val="clear" w:color="auto" w:fill="auto"/>
            <w:noWrap/>
            <w:vAlign w:val="center"/>
            <w:hideMark/>
          </w:tcPr>
          <w:p w:rsidR="002D0BE0" w:rsidRPr="002D0BE0" w:rsidRDefault="002D0BE0" w:rsidP="002D0BE0">
            <w:pPr>
              <w:jc w:val="right"/>
              <w:rPr>
                <w:rFonts w:cs="Arial"/>
                <w:color w:val="7F7F7F"/>
                <w:szCs w:val="18"/>
                <w:lang w:eastAsia="en-AU"/>
              </w:rPr>
            </w:pPr>
            <w:r w:rsidRPr="002D0BE0">
              <w:rPr>
                <w:rFonts w:cs="Arial"/>
                <w:color w:val="7F7F7F"/>
                <w:szCs w:val="18"/>
                <w:lang w:eastAsia="en-AU"/>
              </w:rPr>
              <w:t>11,173</w:t>
            </w:r>
          </w:p>
        </w:tc>
        <w:tc>
          <w:tcPr>
            <w:tcW w:w="986" w:type="dxa"/>
            <w:tcBorders>
              <w:top w:val="nil"/>
              <w:left w:val="nil"/>
              <w:bottom w:val="nil"/>
              <w:right w:val="nil"/>
            </w:tcBorders>
            <w:shd w:val="clear" w:color="auto" w:fill="auto"/>
            <w:noWrap/>
            <w:vAlign w:val="center"/>
            <w:hideMark/>
          </w:tcPr>
          <w:p w:rsidR="002D0BE0" w:rsidRPr="002D0BE0" w:rsidRDefault="002D0BE0" w:rsidP="002D0BE0">
            <w:pPr>
              <w:jc w:val="right"/>
              <w:rPr>
                <w:rFonts w:cs="Arial"/>
                <w:color w:val="7F7F7F"/>
                <w:szCs w:val="18"/>
                <w:lang w:eastAsia="en-AU"/>
              </w:rPr>
            </w:pPr>
            <w:r w:rsidRPr="002D0BE0">
              <w:rPr>
                <w:rFonts w:cs="Arial"/>
                <w:color w:val="7F7F7F"/>
                <w:szCs w:val="18"/>
                <w:lang w:eastAsia="en-AU"/>
              </w:rPr>
              <w:t>9,505</w:t>
            </w:r>
          </w:p>
        </w:tc>
        <w:tc>
          <w:tcPr>
            <w:tcW w:w="986" w:type="dxa"/>
            <w:tcBorders>
              <w:top w:val="nil"/>
              <w:left w:val="nil"/>
              <w:bottom w:val="nil"/>
              <w:right w:val="nil"/>
            </w:tcBorders>
            <w:shd w:val="clear" w:color="auto" w:fill="auto"/>
            <w:noWrap/>
            <w:vAlign w:val="center"/>
            <w:hideMark/>
          </w:tcPr>
          <w:p w:rsidR="002D0BE0" w:rsidRPr="002D0BE0" w:rsidRDefault="002D0BE0" w:rsidP="002D0BE0">
            <w:pPr>
              <w:jc w:val="right"/>
              <w:rPr>
                <w:rFonts w:cs="Arial"/>
                <w:color w:val="7F7F7F"/>
                <w:szCs w:val="18"/>
                <w:lang w:eastAsia="en-AU"/>
              </w:rPr>
            </w:pPr>
            <w:r w:rsidRPr="002D0BE0">
              <w:rPr>
                <w:rFonts w:cs="Arial"/>
                <w:color w:val="7F7F7F"/>
                <w:szCs w:val="18"/>
                <w:lang w:eastAsia="en-AU"/>
              </w:rPr>
              <w:t>10,353</w:t>
            </w:r>
          </w:p>
        </w:tc>
        <w:tc>
          <w:tcPr>
            <w:tcW w:w="986" w:type="dxa"/>
            <w:tcBorders>
              <w:top w:val="nil"/>
              <w:left w:val="nil"/>
              <w:bottom w:val="nil"/>
              <w:right w:val="nil"/>
            </w:tcBorders>
            <w:shd w:val="clear" w:color="auto" w:fill="auto"/>
            <w:noWrap/>
            <w:vAlign w:val="center"/>
            <w:hideMark/>
          </w:tcPr>
          <w:p w:rsidR="002D0BE0" w:rsidRPr="002D0BE0" w:rsidRDefault="002D0BE0" w:rsidP="002D0BE0">
            <w:pPr>
              <w:jc w:val="right"/>
              <w:rPr>
                <w:rFonts w:cs="Arial"/>
                <w:color w:val="7F7F7F"/>
                <w:szCs w:val="18"/>
                <w:lang w:eastAsia="en-AU"/>
              </w:rPr>
            </w:pPr>
            <w:r w:rsidRPr="002D0BE0">
              <w:rPr>
                <w:rFonts w:cs="Arial"/>
                <w:color w:val="7F7F7F"/>
                <w:szCs w:val="18"/>
                <w:lang w:eastAsia="en-AU"/>
              </w:rPr>
              <w:t>9,324</w:t>
            </w:r>
          </w:p>
        </w:tc>
      </w:tr>
      <w:tr w:rsidR="002D0BE0" w:rsidRPr="002D0BE0" w:rsidTr="002D0BE0">
        <w:trPr>
          <w:trHeight w:val="300"/>
        </w:trPr>
        <w:tc>
          <w:tcPr>
            <w:tcW w:w="2180" w:type="dxa"/>
            <w:tcBorders>
              <w:top w:val="nil"/>
              <w:left w:val="nil"/>
              <w:bottom w:val="nil"/>
              <w:right w:val="nil"/>
            </w:tcBorders>
            <w:shd w:val="clear" w:color="auto" w:fill="auto"/>
            <w:noWrap/>
            <w:vAlign w:val="center"/>
            <w:hideMark/>
          </w:tcPr>
          <w:p w:rsidR="002D0BE0" w:rsidRPr="002D0BE0" w:rsidRDefault="002D0BE0" w:rsidP="002D0BE0">
            <w:pPr>
              <w:rPr>
                <w:rFonts w:cs="Arial"/>
                <w:color w:val="7F7F7F"/>
                <w:szCs w:val="18"/>
                <w:lang w:eastAsia="en-AU"/>
              </w:rPr>
            </w:pPr>
            <w:r w:rsidRPr="002D0BE0">
              <w:rPr>
                <w:rFonts w:cs="Arial"/>
                <w:color w:val="7F7F7F"/>
                <w:szCs w:val="18"/>
                <w:lang w:eastAsia="en-AU"/>
              </w:rPr>
              <w:t>25 to 44</w:t>
            </w:r>
          </w:p>
        </w:tc>
        <w:tc>
          <w:tcPr>
            <w:tcW w:w="985" w:type="dxa"/>
            <w:tcBorders>
              <w:top w:val="nil"/>
              <w:left w:val="nil"/>
              <w:bottom w:val="nil"/>
              <w:right w:val="nil"/>
            </w:tcBorders>
            <w:shd w:val="clear" w:color="auto" w:fill="auto"/>
            <w:noWrap/>
            <w:vAlign w:val="center"/>
            <w:hideMark/>
          </w:tcPr>
          <w:p w:rsidR="002D0BE0" w:rsidRPr="002D0BE0" w:rsidRDefault="002D0BE0" w:rsidP="002D0BE0">
            <w:pPr>
              <w:jc w:val="right"/>
              <w:rPr>
                <w:rFonts w:cs="Arial"/>
                <w:color w:val="7F7F7F"/>
                <w:szCs w:val="18"/>
                <w:lang w:eastAsia="en-AU"/>
              </w:rPr>
            </w:pPr>
            <w:r w:rsidRPr="002D0BE0">
              <w:rPr>
                <w:rFonts w:cs="Arial"/>
                <w:color w:val="7F7F7F"/>
                <w:szCs w:val="18"/>
                <w:lang w:eastAsia="en-AU"/>
              </w:rPr>
              <w:t>29,629</w:t>
            </w:r>
          </w:p>
        </w:tc>
        <w:tc>
          <w:tcPr>
            <w:tcW w:w="986" w:type="dxa"/>
            <w:tcBorders>
              <w:top w:val="nil"/>
              <w:left w:val="nil"/>
              <w:bottom w:val="nil"/>
              <w:right w:val="nil"/>
            </w:tcBorders>
            <w:shd w:val="clear" w:color="auto" w:fill="auto"/>
            <w:noWrap/>
            <w:vAlign w:val="center"/>
            <w:hideMark/>
          </w:tcPr>
          <w:p w:rsidR="002D0BE0" w:rsidRPr="002D0BE0" w:rsidRDefault="002D0BE0" w:rsidP="002D0BE0">
            <w:pPr>
              <w:jc w:val="right"/>
              <w:rPr>
                <w:rFonts w:cs="Arial"/>
                <w:color w:val="7F7F7F"/>
                <w:szCs w:val="18"/>
                <w:lang w:eastAsia="en-AU"/>
              </w:rPr>
            </w:pPr>
            <w:r w:rsidRPr="002D0BE0">
              <w:rPr>
                <w:rFonts w:cs="Arial"/>
                <w:color w:val="7F7F7F"/>
                <w:szCs w:val="18"/>
                <w:lang w:eastAsia="en-AU"/>
              </w:rPr>
              <w:t>27,514</w:t>
            </w:r>
          </w:p>
        </w:tc>
        <w:tc>
          <w:tcPr>
            <w:tcW w:w="986" w:type="dxa"/>
            <w:tcBorders>
              <w:top w:val="nil"/>
              <w:left w:val="nil"/>
              <w:bottom w:val="nil"/>
              <w:right w:val="nil"/>
            </w:tcBorders>
            <w:shd w:val="clear" w:color="auto" w:fill="auto"/>
            <w:noWrap/>
            <w:vAlign w:val="center"/>
            <w:hideMark/>
          </w:tcPr>
          <w:p w:rsidR="002D0BE0" w:rsidRPr="002D0BE0" w:rsidRDefault="002D0BE0" w:rsidP="002D0BE0">
            <w:pPr>
              <w:jc w:val="right"/>
              <w:rPr>
                <w:rFonts w:cs="Arial"/>
                <w:color w:val="7F7F7F"/>
                <w:szCs w:val="18"/>
                <w:lang w:eastAsia="en-AU"/>
              </w:rPr>
            </w:pPr>
            <w:r w:rsidRPr="002D0BE0">
              <w:rPr>
                <w:rFonts w:cs="Arial"/>
                <w:color w:val="7F7F7F"/>
                <w:szCs w:val="18"/>
                <w:lang w:eastAsia="en-AU"/>
              </w:rPr>
              <w:t>32,772</w:t>
            </w:r>
          </w:p>
        </w:tc>
        <w:tc>
          <w:tcPr>
            <w:tcW w:w="986" w:type="dxa"/>
            <w:tcBorders>
              <w:top w:val="nil"/>
              <w:left w:val="nil"/>
              <w:bottom w:val="nil"/>
              <w:right w:val="nil"/>
            </w:tcBorders>
            <w:shd w:val="clear" w:color="auto" w:fill="auto"/>
            <w:noWrap/>
            <w:vAlign w:val="center"/>
            <w:hideMark/>
          </w:tcPr>
          <w:p w:rsidR="002D0BE0" w:rsidRPr="002D0BE0" w:rsidRDefault="002D0BE0" w:rsidP="002D0BE0">
            <w:pPr>
              <w:jc w:val="right"/>
              <w:rPr>
                <w:rFonts w:cs="Arial"/>
                <w:color w:val="7F7F7F"/>
                <w:szCs w:val="18"/>
                <w:lang w:eastAsia="en-AU"/>
              </w:rPr>
            </w:pPr>
            <w:r w:rsidRPr="002D0BE0">
              <w:rPr>
                <w:rFonts w:cs="Arial"/>
                <w:color w:val="7F7F7F"/>
                <w:szCs w:val="18"/>
                <w:lang w:eastAsia="en-AU"/>
              </w:rPr>
              <w:t>28,414</w:t>
            </w:r>
          </w:p>
        </w:tc>
        <w:tc>
          <w:tcPr>
            <w:tcW w:w="986" w:type="dxa"/>
            <w:tcBorders>
              <w:top w:val="nil"/>
              <w:left w:val="nil"/>
              <w:bottom w:val="nil"/>
              <w:right w:val="nil"/>
            </w:tcBorders>
            <w:shd w:val="clear" w:color="auto" w:fill="auto"/>
            <w:noWrap/>
            <w:vAlign w:val="center"/>
            <w:hideMark/>
          </w:tcPr>
          <w:p w:rsidR="002D0BE0" w:rsidRPr="002D0BE0" w:rsidRDefault="002D0BE0" w:rsidP="002D0BE0">
            <w:pPr>
              <w:jc w:val="right"/>
              <w:rPr>
                <w:rFonts w:cs="Arial"/>
                <w:color w:val="7F7F7F"/>
                <w:szCs w:val="18"/>
                <w:lang w:eastAsia="en-AU"/>
              </w:rPr>
            </w:pPr>
            <w:r w:rsidRPr="002D0BE0">
              <w:rPr>
                <w:rFonts w:cs="Arial"/>
                <w:color w:val="7F7F7F"/>
                <w:szCs w:val="18"/>
                <w:lang w:eastAsia="en-AU"/>
              </w:rPr>
              <w:t>30,380</w:t>
            </w:r>
          </w:p>
        </w:tc>
        <w:tc>
          <w:tcPr>
            <w:tcW w:w="986" w:type="dxa"/>
            <w:tcBorders>
              <w:top w:val="nil"/>
              <w:left w:val="nil"/>
              <w:bottom w:val="nil"/>
              <w:right w:val="nil"/>
            </w:tcBorders>
            <w:shd w:val="clear" w:color="auto" w:fill="auto"/>
            <w:noWrap/>
            <w:vAlign w:val="center"/>
            <w:hideMark/>
          </w:tcPr>
          <w:p w:rsidR="002D0BE0" w:rsidRPr="002D0BE0" w:rsidRDefault="002D0BE0" w:rsidP="002D0BE0">
            <w:pPr>
              <w:jc w:val="right"/>
              <w:rPr>
                <w:rFonts w:cs="Arial"/>
                <w:color w:val="7F7F7F"/>
                <w:szCs w:val="18"/>
                <w:lang w:eastAsia="en-AU"/>
              </w:rPr>
            </w:pPr>
            <w:r w:rsidRPr="002D0BE0">
              <w:rPr>
                <w:rFonts w:cs="Arial"/>
                <w:color w:val="7F7F7F"/>
                <w:szCs w:val="18"/>
                <w:lang w:eastAsia="en-AU"/>
              </w:rPr>
              <w:t>27,114</w:t>
            </w:r>
          </w:p>
        </w:tc>
      </w:tr>
      <w:tr w:rsidR="002D0BE0" w:rsidRPr="002D0BE0" w:rsidTr="002D0BE0">
        <w:trPr>
          <w:trHeight w:val="300"/>
        </w:trPr>
        <w:tc>
          <w:tcPr>
            <w:tcW w:w="2180" w:type="dxa"/>
            <w:tcBorders>
              <w:top w:val="nil"/>
              <w:left w:val="nil"/>
              <w:bottom w:val="nil"/>
              <w:right w:val="nil"/>
            </w:tcBorders>
            <w:shd w:val="clear" w:color="auto" w:fill="auto"/>
            <w:noWrap/>
            <w:vAlign w:val="center"/>
            <w:hideMark/>
          </w:tcPr>
          <w:p w:rsidR="002D0BE0" w:rsidRPr="002D0BE0" w:rsidRDefault="002D0BE0" w:rsidP="002D0BE0">
            <w:pPr>
              <w:rPr>
                <w:rFonts w:cs="Arial"/>
                <w:color w:val="7F7F7F"/>
                <w:szCs w:val="18"/>
                <w:lang w:eastAsia="en-AU"/>
              </w:rPr>
            </w:pPr>
            <w:r w:rsidRPr="002D0BE0">
              <w:rPr>
                <w:rFonts w:cs="Arial"/>
                <w:color w:val="7F7F7F"/>
                <w:szCs w:val="18"/>
                <w:lang w:eastAsia="en-AU"/>
              </w:rPr>
              <w:t>45 to 64</w:t>
            </w:r>
          </w:p>
        </w:tc>
        <w:tc>
          <w:tcPr>
            <w:tcW w:w="985" w:type="dxa"/>
            <w:tcBorders>
              <w:top w:val="nil"/>
              <w:left w:val="nil"/>
              <w:bottom w:val="nil"/>
              <w:right w:val="nil"/>
            </w:tcBorders>
            <w:shd w:val="clear" w:color="auto" w:fill="auto"/>
            <w:noWrap/>
            <w:vAlign w:val="center"/>
            <w:hideMark/>
          </w:tcPr>
          <w:p w:rsidR="002D0BE0" w:rsidRPr="002D0BE0" w:rsidRDefault="002D0BE0" w:rsidP="002D0BE0">
            <w:pPr>
              <w:jc w:val="right"/>
              <w:rPr>
                <w:rFonts w:cs="Arial"/>
                <w:color w:val="7F7F7F"/>
                <w:szCs w:val="18"/>
                <w:lang w:eastAsia="en-AU"/>
              </w:rPr>
            </w:pPr>
            <w:r w:rsidRPr="002D0BE0">
              <w:rPr>
                <w:rFonts w:cs="Arial"/>
                <w:color w:val="7F7F7F"/>
                <w:szCs w:val="18"/>
                <w:lang w:eastAsia="en-AU"/>
              </w:rPr>
              <w:t>18,040</w:t>
            </w:r>
          </w:p>
        </w:tc>
        <w:tc>
          <w:tcPr>
            <w:tcW w:w="986" w:type="dxa"/>
            <w:tcBorders>
              <w:top w:val="nil"/>
              <w:left w:val="nil"/>
              <w:bottom w:val="nil"/>
              <w:right w:val="nil"/>
            </w:tcBorders>
            <w:shd w:val="clear" w:color="auto" w:fill="auto"/>
            <w:noWrap/>
            <w:vAlign w:val="center"/>
            <w:hideMark/>
          </w:tcPr>
          <w:p w:rsidR="002D0BE0" w:rsidRPr="002D0BE0" w:rsidRDefault="002D0BE0" w:rsidP="002D0BE0">
            <w:pPr>
              <w:jc w:val="right"/>
              <w:rPr>
                <w:rFonts w:cs="Arial"/>
                <w:color w:val="7F7F7F"/>
                <w:szCs w:val="18"/>
                <w:lang w:eastAsia="en-AU"/>
              </w:rPr>
            </w:pPr>
            <w:r w:rsidRPr="002D0BE0">
              <w:rPr>
                <w:rFonts w:cs="Arial"/>
                <w:color w:val="7F7F7F"/>
                <w:szCs w:val="18"/>
                <w:lang w:eastAsia="en-AU"/>
              </w:rPr>
              <w:t>16,033</w:t>
            </w:r>
          </w:p>
        </w:tc>
        <w:tc>
          <w:tcPr>
            <w:tcW w:w="986" w:type="dxa"/>
            <w:tcBorders>
              <w:top w:val="nil"/>
              <w:left w:val="nil"/>
              <w:bottom w:val="nil"/>
              <w:right w:val="nil"/>
            </w:tcBorders>
            <w:shd w:val="clear" w:color="auto" w:fill="auto"/>
            <w:noWrap/>
            <w:vAlign w:val="center"/>
            <w:hideMark/>
          </w:tcPr>
          <w:p w:rsidR="002D0BE0" w:rsidRPr="002D0BE0" w:rsidRDefault="002D0BE0" w:rsidP="002D0BE0">
            <w:pPr>
              <w:jc w:val="right"/>
              <w:rPr>
                <w:rFonts w:cs="Arial"/>
                <w:color w:val="7F7F7F"/>
                <w:szCs w:val="18"/>
                <w:lang w:eastAsia="en-AU"/>
              </w:rPr>
            </w:pPr>
            <w:r w:rsidRPr="002D0BE0">
              <w:rPr>
                <w:rFonts w:cs="Arial"/>
                <w:color w:val="7F7F7F"/>
                <w:szCs w:val="18"/>
                <w:lang w:eastAsia="en-AU"/>
              </w:rPr>
              <w:t>17,949</w:t>
            </w:r>
          </w:p>
        </w:tc>
        <w:tc>
          <w:tcPr>
            <w:tcW w:w="986" w:type="dxa"/>
            <w:tcBorders>
              <w:top w:val="nil"/>
              <w:left w:val="nil"/>
              <w:bottom w:val="nil"/>
              <w:right w:val="nil"/>
            </w:tcBorders>
            <w:shd w:val="clear" w:color="auto" w:fill="auto"/>
            <w:noWrap/>
            <w:vAlign w:val="center"/>
            <w:hideMark/>
          </w:tcPr>
          <w:p w:rsidR="002D0BE0" w:rsidRPr="002D0BE0" w:rsidRDefault="002D0BE0" w:rsidP="002D0BE0">
            <w:pPr>
              <w:jc w:val="right"/>
              <w:rPr>
                <w:rFonts w:cs="Arial"/>
                <w:color w:val="7F7F7F"/>
                <w:szCs w:val="18"/>
                <w:lang w:eastAsia="en-AU"/>
              </w:rPr>
            </w:pPr>
            <w:r w:rsidRPr="002D0BE0">
              <w:rPr>
                <w:rFonts w:cs="Arial"/>
                <w:color w:val="7F7F7F"/>
                <w:szCs w:val="18"/>
                <w:lang w:eastAsia="en-AU"/>
              </w:rPr>
              <w:t>14,175</w:t>
            </w:r>
          </w:p>
        </w:tc>
        <w:tc>
          <w:tcPr>
            <w:tcW w:w="986" w:type="dxa"/>
            <w:tcBorders>
              <w:top w:val="nil"/>
              <w:left w:val="nil"/>
              <w:bottom w:val="nil"/>
              <w:right w:val="nil"/>
            </w:tcBorders>
            <w:shd w:val="clear" w:color="auto" w:fill="auto"/>
            <w:noWrap/>
            <w:vAlign w:val="center"/>
            <w:hideMark/>
          </w:tcPr>
          <w:p w:rsidR="002D0BE0" w:rsidRPr="002D0BE0" w:rsidRDefault="002D0BE0" w:rsidP="002D0BE0">
            <w:pPr>
              <w:jc w:val="right"/>
              <w:rPr>
                <w:rFonts w:cs="Arial"/>
                <w:color w:val="7F7F7F"/>
                <w:szCs w:val="18"/>
                <w:lang w:eastAsia="en-AU"/>
              </w:rPr>
            </w:pPr>
            <w:r w:rsidRPr="002D0BE0">
              <w:rPr>
                <w:rFonts w:cs="Arial"/>
                <w:color w:val="7F7F7F"/>
                <w:szCs w:val="18"/>
                <w:lang w:eastAsia="en-AU"/>
              </w:rPr>
              <w:t>15,246</w:t>
            </w:r>
          </w:p>
        </w:tc>
        <w:tc>
          <w:tcPr>
            <w:tcW w:w="986" w:type="dxa"/>
            <w:tcBorders>
              <w:top w:val="nil"/>
              <w:left w:val="nil"/>
              <w:bottom w:val="nil"/>
              <w:right w:val="nil"/>
            </w:tcBorders>
            <w:shd w:val="clear" w:color="auto" w:fill="auto"/>
            <w:noWrap/>
            <w:vAlign w:val="center"/>
            <w:hideMark/>
          </w:tcPr>
          <w:p w:rsidR="002D0BE0" w:rsidRPr="002D0BE0" w:rsidRDefault="002D0BE0" w:rsidP="002D0BE0">
            <w:pPr>
              <w:jc w:val="right"/>
              <w:rPr>
                <w:rFonts w:cs="Arial"/>
                <w:color w:val="7F7F7F"/>
                <w:szCs w:val="18"/>
                <w:lang w:eastAsia="en-AU"/>
              </w:rPr>
            </w:pPr>
            <w:r w:rsidRPr="002D0BE0">
              <w:rPr>
                <w:rFonts w:cs="Arial"/>
                <w:color w:val="7F7F7F"/>
                <w:szCs w:val="18"/>
                <w:lang w:eastAsia="en-AU"/>
              </w:rPr>
              <w:t>12,209</w:t>
            </w:r>
          </w:p>
        </w:tc>
      </w:tr>
      <w:tr w:rsidR="002D0BE0" w:rsidRPr="002D0BE0" w:rsidTr="002D0BE0">
        <w:trPr>
          <w:trHeight w:val="300"/>
        </w:trPr>
        <w:tc>
          <w:tcPr>
            <w:tcW w:w="2180" w:type="dxa"/>
            <w:tcBorders>
              <w:top w:val="nil"/>
              <w:left w:val="nil"/>
              <w:bottom w:val="nil"/>
              <w:right w:val="nil"/>
            </w:tcBorders>
            <w:shd w:val="clear" w:color="auto" w:fill="auto"/>
            <w:noWrap/>
            <w:vAlign w:val="center"/>
            <w:hideMark/>
          </w:tcPr>
          <w:p w:rsidR="002D0BE0" w:rsidRPr="002D0BE0" w:rsidRDefault="002D0BE0" w:rsidP="002D0BE0">
            <w:pPr>
              <w:rPr>
                <w:rFonts w:cs="Arial"/>
                <w:color w:val="7F7F7F"/>
                <w:szCs w:val="18"/>
                <w:lang w:eastAsia="en-AU"/>
              </w:rPr>
            </w:pPr>
            <w:r w:rsidRPr="002D0BE0">
              <w:rPr>
                <w:rFonts w:cs="Arial"/>
                <w:color w:val="7F7F7F"/>
                <w:szCs w:val="18"/>
                <w:lang w:eastAsia="en-AU"/>
              </w:rPr>
              <w:t>Other*</w:t>
            </w:r>
          </w:p>
        </w:tc>
        <w:tc>
          <w:tcPr>
            <w:tcW w:w="985" w:type="dxa"/>
            <w:tcBorders>
              <w:top w:val="nil"/>
              <w:left w:val="nil"/>
              <w:bottom w:val="nil"/>
              <w:right w:val="nil"/>
            </w:tcBorders>
            <w:shd w:val="clear" w:color="auto" w:fill="auto"/>
            <w:noWrap/>
            <w:vAlign w:val="center"/>
            <w:hideMark/>
          </w:tcPr>
          <w:p w:rsidR="002D0BE0" w:rsidRPr="002D0BE0" w:rsidRDefault="002D0BE0" w:rsidP="002D0BE0">
            <w:pPr>
              <w:jc w:val="right"/>
              <w:rPr>
                <w:rFonts w:cs="Arial"/>
                <w:color w:val="7F7F7F"/>
                <w:szCs w:val="18"/>
                <w:lang w:eastAsia="en-AU"/>
              </w:rPr>
            </w:pPr>
            <w:r w:rsidRPr="002D0BE0">
              <w:rPr>
                <w:rFonts w:cs="Arial"/>
                <w:color w:val="7F7F7F"/>
                <w:szCs w:val="18"/>
                <w:lang w:eastAsia="en-AU"/>
              </w:rPr>
              <w:t>1,341</w:t>
            </w:r>
          </w:p>
        </w:tc>
        <w:tc>
          <w:tcPr>
            <w:tcW w:w="986" w:type="dxa"/>
            <w:tcBorders>
              <w:top w:val="nil"/>
              <w:left w:val="nil"/>
              <w:bottom w:val="nil"/>
              <w:right w:val="nil"/>
            </w:tcBorders>
            <w:shd w:val="clear" w:color="auto" w:fill="auto"/>
            <w:noWrap/>
            <w:vAlign w:val="center"/>
            <w:hideMark/>
          </w:tcPr>
          <w:p w:rsidR="002D0BE0" w:rsidRPr="002D0BE0" w:rsidRDefault="002D0BE0" w:rsidP="002D0BE0">
            <w:pPr>
              <w:jc w:val="right"/>
              <w:rPr>
                <w:rFonts w:cs="Arial"/>
                <w:color w:val="7F7F7F"/>
                <w:szCs w:val="18"/>
                <w:lang w:eastAsia="en-AU"/>
              </w:rPr>
            </w:pPr>
            <w:r w:rsidRPr="002D0BE0">
              <w:rPr>
                <w:rFonts w:cs="Arial"/>
                <w:color w:val="7F7F7F"/>
                <w:szCs w:val="18"/>
                <w:lang w:eastAsia="en-AU"/>
              </w:rPr>
              <w:t>1,442</w:t>
            </w:r>
          </w:p>
        </w:tc>
        <w:tc>
          <w:tcPr>
            <w:tcW w:w="986" w:type="dxa"/>
            <w:tcBorders>
              <w:top w:val="nil"/>
              <w:left w:val="nil"/>
              <w:bottom w:val="nil"/>
              <w:right w:val="nil"/>
            </w:tcBorders>
            <w:shd w:val="clear" w:color="auto" w:fill="auto"/>
            <w:noWrap/>
            <w:vAlign w:val="center"/>
            <w:hideMark/>
          </w:tcPr>
          <w:p w:rsidR="002D0BE0" w:rsidRPr="002D0BE0" w:rsidRDefault="002D0BE0" w:rsidP="002D0BE0">
            <w:pPr>
              <w:jc w:val="right"/>
              <w:rPr>
                <w:rFonts w:cs="Arial"/>
                <w:color w:val="7F7F7F"/>
                <w:szCs w:val="18"/>
                <w:lang w:eastAsia="en-AU"/>
              </w:rPr>
            </w:pPr>
            <w:r w:rsidRPr="002D0BE0">
              <w:rPr>
                <w:rFonts w:cs="Arial"/>
                <w:color w:val="7F7F7F"/>
                <w:szCs w:val="18"/>
                <w:lang w:eastAsia="en-AU"/>
              </w:rPr>
              <w:t>1,621</w:t>
            </w:r>
          </w:p>
        </w:tc>
        <w:tc>
          <w:tcPr>
            <w:tcW w:w="986" w:type="dxa"/>
            <w:tcBorders>
              <w:top w:val="nil"/>
              <w:left w:val="nil"/>
              <w:bottom w:val="nil"/>
              <w:right w:val="nil"/>
            </w:tcBorders>
            <w:shd w:val="clear" w:color="auto" w:fill="auto"/>
            <w:noWrap/>
            <w:vAlign w:val="center"/>
            <w:hideMark/>
          </w:tcPr>
          <w:p w:rsidR="002D0BE0" w:rsidRPr="002D0BE0" w:rsidRDefault="002D0BE0" w:rsidP="002D0BE0">
            <w:pPr>
              <w:jc w:val="right"/>
              <w:rPr>
                <w:rFonts w:cs="Arial"/>
                <w:color w:val="7F7F7F"/>
                <w:szCs w:val="18"/>
                <w:lang w:eastAsia="en-AU"/>
              </w:rPr>
            </w:pPr>
            <w:r w:rsidRPr="002D0BE0">
              <w:rPr>
                <w:rFonts w:cs="Arial"/>
                <w:color w:val="7F7F7F"/>
                <w:szCs w:val="18"/>
                <w:lang w:eastAsia="en-AU"/>
              </w:rPr>
              <w:t>1,214</w:t>
            </w:r>
          </w:p>
        </w:tc>
        <w:tc>
          <w:tcPr>
            <w:tcW w:w="986" w:type="dxa"/>
            <w:tcBorders>
              <w:top w:val="nil"/>
              <w:left w:val="nil"/>
              <w:bottom w:val="nil"/>
              <w:right w:val="nil"/>
            </w:tcBorders>
            <w:shd w:val="clear" w:color="auto" w:fill="auto"/>
            <w:noWrap/>
            <w:vAlign w:val="center"/>
            <w:hideMark/>
          </w:tcPr>
          <w:p w:rsidR="002D0BE0" w:rsidRPr="002D0BE0" w:rsidRDefault="002D0BE0" w:rsidP="002D0BE0">
            <w:pPr>
              <w:jc w:val="right"/>
              <w:rPr>
                <w:rFonts w:cs="Arial"/>
                <w:color w:val="7F7F7F"/>
                <w:szCs w:val="18"/>
                <w:lang w:eastAsia="en-AU"/>
              </w:rPr>
            </w:pPr>
            <w:r w:rsidRPr="002D0BE0">
              <w:rPr>
                <w:rFonts w:cs="Arial"/>
                <w:color w:val="7F7F7F"/>
                <w:szCs w:val="18"/>
                <w:lang w:eastAsia="en-AU"/>
              </w:rPr>
              <w:t>1,247</w:t>
            </w:r>
          </w:p>
        </w:tc>
        <w:tc>
          <w:tcPr>
            <w:tcW w:w="986" w:type="dxa"/>
            <w:tcBorders>
              <w:top w:val="nil"/>
              <w:left w:val="nil"/>
              <w:bottom w:val="nil"/>
              <w:right w:val="nil"/>
            </w:tcBorders>
            <w:shd w:val="clear" w:color="auto" w:fill="auto"/>
            <w:noWrap/>
            <w:vAlign w:val="center"/>
            <w:hideMark/>
          </w:tcPr>
          <w:p w:rsidR="002D0BE0" w:rsidRPr="002D0BE0" w:rsidRDefault="002D0BE0" w:rsidP="002D0BE0">
            <w:pPr>
              <w:jc w:val="right"/>
              <w:rPr>
                <w:rFonts w:cs="Arial"/>
                <w:color w:val="7F7F7F"/>
                <w:szCs w:val="18"/>
                <w:lang w:eastAsia="en-AU"/>
              </w:rPr>
            </w:pPr>
            <w:r w:rsidRPr="002D0BE0">
              <w:rPr>
                <w:rFonts w:cs="Arial"/>
                <w:color w:val="7F7F7F"/>
                <w:szCs w:val="18"/>
                <w:lang w:eastAsia="en-AU"/>
              </w:rPr>
              <w:t>991</w:t>
            </w:r>
          </w:p>
        </w:tc>
      </w:tr>
      <w:tr w:rsidR="002D0BE0" w:rsidRPr="002D0BE0" w:rsidTr="002D0BE0">
        <w:trPr>
          <w:trHeight w:val="300"/>
        </w:trPr>
        <w:tc>
          <w:tcPr>
            <w:tcW w:w="2180" w:type="dxa"/>
            <w:tcBorders>
              <w:top w:val="nil"/>
              <w:left w:val="nil"/>
              <w:bottom w:val="nil"/>
              <w:right w:val="nil"/>
            </w:tcBorders>
            <w:shd w:val="clear" w:color="000000" w:fill="7F7F7F"/>
            <w:noWrap/>
            <w:vAlign w:val="center"/>
            <w:hideMark/>
          </w:tcPr>
          <w:p w:rsidR="002D0BE0" w:rsidRPr="002D0BE0" w:rsidRDefault="002D0BE0" w:rsidP="002D0BE0">
            <w:pPr>
              <w:rPr>
                <w:rFonts w:cs="Arial"/>
                <w:b/>
                <w:bCs/>
                <w:color w:val="FFFFFF"/>
                <w:szCs w:val="18"/>
                <w:lang w:eastAsia="en-AU"/>
              </w:rPr>
            </w:pPr>
            <w:r w:rsidRPr="002D0BE0">
              <w:rPr>
                <w:rFonts w:cs="Arial"/>
                <w:b/>
                <w:bCs/>
                <w:color w:val="FFFFFF"/>
                <w:szCs w:val="18"/>
                <w:lang w:eastAsia="en-AU"/>
              </w:rPr>
              <w:t>Total</w:t>
            </w:r>
          </w:p>
        </w:tc>
        <w:tc>
          <w:tcPr>
            <w:tcW w:w="985" w:type="dxa"/>
            <w:tcBorders>
              <w:top w:val="nil"/>
              <w:left w:val="nil"/>
              <w:bottom w:val="nil"/>
              <w:right w:val="nil"/>
            </w:tcBorders>
            <w:shd w:val="clear" w:color="000000" w:fill="7F7F7F"/>
            <w:noWrap/>
            <w:vAlign w:val="center"/>
            <w:hideMark/>
          </w:tcPr>
          <w:p w:rsidR="002D0BE0" w:rsidRPr="002D0BE0" w:rsidRDefault="002D0BE0" w:rsidP="002D0BE0">
            <w:pPr>
              <w:jc w:val="right"/>
              <w:rPr>
                <w:rFonts w:cs="Arial"/>
                <w:b/>
                <w:bCs/>
                <w:color w:val="FFFFFF"/>
                <w:szCs w:val="18"/>
                <w:lang w:eastAsia="en-AU"/>
              </w:rPr>
            </w:pPr>
            <w:r w:rsidRPr="002D0BE0">
              <w:rPr>
                <w:rFonts w:cs="Arial"/>
                <w:b/>
                <w:bCs/>
                <w:color w:val="FFFFFF"/>
                <w:szCs w:val="18"/>
                <w:lang w:eastAsia="en-AU"/>
              </w:rPr>
              <w:t>79,378</w:t>
            </w:r>
          </w:p>
        </w:tc>
        <w:tc>
          <w:tcPr>
            <w:tcW w:w="986" w:type="dxa"/>
            <w:tcBorders>
              <w:top w:val="nil"/>
              <w:left w:val="nil"/>
              <w:bottom w:val="nil"/>
              <w:right w:val="nil"/>
            </w:tcBorders>
            <w:shd w:val="clear" w:color="000000" w:fill="7F7F7F"/>
            <w:noWrap/>
            <w:vAlign w:val="center"/>
            <w:hideMark/>
          </w:tcPr>
          <w:p w:rsidR="002D0BE0" w:rsidRPr="002D0BE0" w:rsidRDefault="002D0BE0" w:rsidP="002D0BE0">
            <w:pPr>
              <w:jc w:val="right"/>
              <w:rPr>
                <w:rFonts w:cs="Arial"/>
                <w:b/>
                <w:bCs/>
                <w:color w:val="FFFFFF"/>
                <w:szCs w:val="18"/>
                <w:lang w:eastAsia="en-AU"/>
              </w:rPr>
            </w:pPr>
            <w:r w:rsidRPr="002D0BE0">
              <w:rPr>
                <w:rFonts w:cs="Arial"/>
                <w:b/>
                <w:bCs/>
                <w:color w:val="FFFFFF"/>
                <w:szCs w:val="18"/>
                <w:lang w:eastAsia="en-AU"/>
              </w:rPr>
              <w:t>74,017</w:t>
            </w:r>
          </w:p>
        </w:tc>
        <w:tc>
          <w:tcPr>
            <w:tcW w:w="986" w:type="dxa"/>
            <w:tcBorders>
              <w:top w:val="nil"/>
              <w:left w:val="nil"/>
              <w:bottom w:val="nil"/>
              <w:right w:val="nil"/>
            </w:tcBorders>
            <w:shd w:val="clear" w:color="000000" w:fill="7F7F7F"/>
            <w:noWrap/>
            <w:vAlign w:val="center"/>
            <w:hideMark/>
          </w:tcPr>
          <w:p w:rsidR="002D0BE0" w:rsidRPr="002D0BE0" w:rsidRDefault="002D0BE0" w:rsidP="002D0BE0">
            <w:pPr>
              <w:jc w:val="right"/>
              <w:rPr>
                <w:rFonts w:cs="Arial"/>
                <w:b/>
                <w:bCs/>
                <w:color w:val="FFFFFF"/>
                <w:szCs w:val="18"/>
                <w:lang w:eastAsia="en-AU"/>
              </w:rPr>
            </w:pPr>
            <w:r w:rsidRPr="002D0BE0">
              <w:rPr>
                <w:rFonts w:cs="Arial"/>
                <w:b/>
                <w:bCs/>
                <w:color w:val="FFFFFF"/>
                <w:szCs w:val="18"/>
                <w:lang w:eastAsia="en-AU"/>
              </w:rPr>
              <w:t>83,137</w:t>
            </w:r>
          </w:p>
        </w:tc>
        <w:tc>
          <w:tcPr>
            <w:tcW w:w="986" w:type="dxa"/>
            <w:tcBorders>
              <w:top w:val="nil"/>
              <w:left w:val="nil"/>
              <w:bottom w:val="nil"/>
              <w:right w:val="nil"/>
            </w:tcBorders>
            <w:shd w:val="clear" w:color="000000" w:fill="7F7F7F"/>
            <w:noWrap/>
            <w:vAlign w:val="center"/>
            <w:hideMark/>
          </w:tcPr>
          <w:p w:rsidR="002D0BE0" w:rsidRPr="002D0BE0" w:rsidRDefault="002D0BE0" w:rsidP="002D0BE0">
            <w:pPr>
              <w:jc w:val="right"/>
              <w:rPr>
                <w:rFonts w:cs="Arial"/>
                <w:b/>
                <w:bCs/>
                <w:color w:val="FFFFFF"/>
                <w:szCs w:val="18"/>
                <w:lang w:eastAsia="en-AU"/>
              </w:rPr>
            </w:pPr>
            <w:r w:rsidRPr="002D0BE0">
              <w:rPr>
                <w:rFonts w:cs="Arial"/>
                <w:b/>
                <w:bCs/>
                <w:color w:val="FFFFFF"/>
                <w:szCs w:val="18"/>
                <w:lang w:eastAsia="en-AU"/>
              </w:rPr>
              <w:t>68,622</w:t>
            </w:r>
          </w:p>
        </w:tc>
        <w:tc>
          <w:tcPr>
            <w:tcW w:w="986" w:type="dxa"/>
            <w:tcBorders>
              <w:top w:val="nil"/>
              <w:left w:val="nil"/>
              <w:bottom w:val="nil"/>
              <w:right w:val="nil"/>
            </w:tcBorders>
            <w:shd w:val="clear" w:color="000000" w:fill="7F7F7F"/>
            <w:noWrap/>
            <w:vAlign w:val="center"/>
            <w:hideMark/>
          </w:tcPr>
          <w:p w:rsidR="002D0BE0" w:rsidRPr="002D0BE0" w:rsidRDefault="002D0BE0" w:rsidP="002D0BE0">
            <w:pPr>
              <w:jc w:val="right"/>
              <w:rPr>
                <w:rFonts w:cs="Arial"/>
                <w:b/>
                <w:bCs/>
                <w:color w:val="FFFFFF"/>
                <w:szCs w:val="18"/>
                <w:lang w:eastAsia="en-AU"/>
              </w:rPr>
            </w:pPr>
            <w:r w:rsidRPr="002D0BE0">
              <w:rPr>
                <w:rFonts w:cs="Arial"/>
                <w:b/>
                <w:bCs/>
                <w:color w:val="FFFFFF"/>
                <w:szCs w:val="18"/>
                <w:lang w:eastAsia="en-AU"/>
              </w:rPr>
              <w:t>73,343</w:t>
            </w:r>
          </w:p>
        </w:tc>
        <w:tc>
          <w:tcPr>
            <w:tcW w:w="986" w:type="dxa"/>
            <w:tcBorders>
              <w:top w:val="nil"/>
              <w:left w:val="nil"/>
              <w:bottom w:val="nil"/>
              <w:right w:val="nil"/>
            </w:tcBorders>
            <w:shd w:val="clear" w:color="000000" w:fill="7F7F7F"/>
            <w:noWrap/>
            <w:vAlign w:val="center"/>
            <w:hideMark/>
          </w:tcPr>
          <w:p w:rsidR="002D0BE0" w:rsidRPr="002D0BE0" w:rsidRDefault="002D0BE0" w:rsidP="002D0BE0">
            <w:pPr>
              <w:jc w:val="right"/>
              <w:rPr>
                <w:rFonts w:cs="Arial"/>
                <w:b/>
                <w:bCs/>
                <w:color w:val="FFFFFF"/>
                <w:szCs w:val="18"/>
                <w:lang w:eastAsia="en-AU"/>
              </w:rPr>
            </w:pPr>
            <w:r w:rsidRPr="002D0BE0">
              <w:rPr>
                <w:rFonts w:cs="Arial"/>
                <w:b/>
                <w:bCs/>
                <w:color w:val="FFFFFF"/>
                <w:szCs w:val="18"/>
                <w:lang w:eastAsia="en-AU"/>
              </w:rPr>
              <w:t>64,514</w:t>
            </w:r>
          </w:p>
        </w:tc>
      </w:tr>
    </w:tbl>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4A0" w:firstRow="1" w:lastRow="0" w:firstColumn="1" w:lastColumn="0" w:noHBand="0" w:noVBand="1"/>
      </w:tblPr>
      <w:tblGrid>
        <w:gridCol w:w="431"/>
        <w:gridCol w:w="7649"/>
      </w:tblGrid>
      <w:tr w:rsidR="002D0BE0" w:rsidRPr="00913551" w:rsidTr="002D0BE0">
        <w:tc>
          <w:tcPr>
            <w:tcW w:w="431" w:type="dxa"/>
            <w:tcMar>
              <w:left w:w="0" w:type="dxa"/>
              <w:right w:w="28" w:type="dxa"/>
            </w:tcMar>
          </w:tcPr>
          <w:p w:rsidR="002D0BE0" w:rsidRPr="00913551" w:rsidRDefault="002D0BE0" w:rsidP="002D0BE0">
            <w:pPr>
              <w:spacing w:after="0" w:line="240" w:lineRule="auto"/>
              <w:jc w:val="right"/>
              <w:rPr>
                <w:color w:val="7F7F7F" w:themeColor="text2"/>
                <w:sz w:val="16"/>
                <w:szCs w:val="16"/>
              </w:rPr>
            </w:pPr>
            <w:r w:rsidRPr="00913551">
              <w:rPr>
                <w:color w:val="7F7F7F" w:themeColor="text2"/>
                <w:sz w:val="16"/>
                <w:szCs w:val="16"/>
              </w:rPr>
              <w:t xml:space="preserve">* </w:t>
            </w:r>
          </w:p>
        </w:tc>
        <w:tc>
          <w:tcPr>
            <w:tcW w:w="7649" w:type="dxa"/>
            <w:tcMar>
              <w:left w:w="0" w:type="dxa"/>
              <w:right w:w="28" w:type="dxa"/>
            </w:tcMar>
          </w:tcPr>
          <w:p w:rsidR="002D0BE0" w:rsidRPr="00913551" w:rsidRDefault="002D0BE0" w:rsidP="002D0BE0">
            <w:pPr>
              <w:pStyle w:val="Note"/>
              <w:spacing w:after="0"/>
              <w:rPr>
                <w:i w:val="0"/>
                <w:color w:val="7F7F7F" w:themeColor="text2"/>
              </w:rPr>
            </w:pPr>
            <w:r w:rsidRPr="00913551">
              <w:t>‘Other’ includes age under 15 years old, 65 years and over or not stated.</w:t>
            </w:r>
          </w:p>
        </w:tc>
      </w:tr>
    </w:tbl>
    <w:p w:rsidR="002D0BE0" w:rsidRDefault="002D0BE0" w:rsidP="00ED5B57">
      <w:pPr>
        <w:pStyle w:val="Quote"/>
        <w:rPr>
          <w:b w:val="0"/>
          <w:sz w:val="18"/>
          <w:szCs w:val="18"/>
        </w:rPr>
      </w:pPr>
    </w:p>
    <w:p w:rsidR="002D0BE0" w:rsidRDefault="002D0BE0" w:rsidP="00ED5B57">
      <w:pPr>
        <w:pStyle w:val="Quote"/>
        <w:rPr>
          <w:b w:val="0"/>
          <w:sz w:val="18"/>
          <w:szCs w:val="18"/>
        </w:rPr>
      </w:pP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2D0BE0" w:rsidTr="002D0BE0">
        <w:tc>
          <w:tcPr>
            <w:tcW w:w="1134" w:type="dxa"/>
            <w:tcMar>
              <w:left w:w="0" w:type="dxa"/>
              <w:right w:w="0" w:type="dxa"/>
            </w:tcMar>
          </w:tcPr>
          <w:p w:rsidR="002D0BE0" w:rsidRDefault="002D0BE0" w:rsidP="0084117E">
            <w:pPr>
              <w:pStyle w:val="Quote"/>
              <w:tabs>
                <w:tab w:val="left" w:pos="1134"/>
              </w:tabs>
              <w:rPr>
                <w:b w:val="0"/>
                <w:color w:val="B41F22" w:themeColor="accent1"/>
              </w:rPr>
            </w:pPr>
            <w:r>
              <w:rPr>
                <w:b w:val="0"/>
                <w:color w:val="B41F22" w:themeColor="accent1"/>
              </w:rPr>
              <w:t>Table 1.3</w:t>
            </w:r>
            <w:r w:rsidR="0084117E">
              <w:rPr>
                <w:b w:val="0"/>
                <w:color w:val="B41F22" w:themeColor="accent1"/>
              </w:rPr>
              <w:t>3</w:t>
            </w:r>
            <w:r>
              <w:rPr>
                <w:b w:val="0"/>
                <w:color w:val="B41F22" w:themeColor="accent1"/>
              </w:rPr>
              <w:t>.2:</w:t>
            </w:r>
          </w:p>
        </w:tc>
        <w:tc>
          <w:tcPr>
            <w:tcW w:w="6946" w:type="dxa"/>
            <w:tcMar>
              <w:left w:w="0" w:type="dxa"/>
              <w:right w:w="0" w:type="dxa"/>
            </w:tcMar>
          </w:tcPr>
          <w:p w:rsidR="002D0BE0" w:rsidRDefault="002D0BE0" w:rsidP="007E03F8">
            <w:pPr>
              <w:pStyle w:val="Quote"/>
              <w:tabs>
                <w:tab w:val="left" w:pos="1134"/>
              </w:tabs>
              <w:rPr>
                <w:b w:val="0"/>
                <w:color w:val="B41F22" w:themeColor="accent1"/>
              </w:rPr>
            </w:pPr>
            <w:r w:rsidRPr="002D0BE0">
              <w:rPr>
                <w:b w:val="0"/>
                <w:color w:val="B41F22" w:themeColor="accent1"/>
              </w:rPr>
              <w:t xml:space="preserve">Change in number of </w:t>
            </w:r>
            <w:r w:rsidR="001D22F4">
              <w:rPr>
                <w:b w:val="0"/>
                <w:color w:val="B41F22" w:themeColor="accent1"/>
              </w:rPr>
              <w:t xml:space="preserve">domestic </w:t>
            </w:r>
            <w:r w:rsidRPr="002D0BE0">
              <w:rPr>
                <w:b w:val="0"/>
                <w:color w:val="B41F22" w:themeColor="accent1"/>
              </w:rPr>
              <w:t xml:space="preserve">fee-for-service enrolments </w:t>
            </w:r>
            <w:r w:rsidR="007E03F8">
              <w:rPr>
                <w:b w:val="0"/>
                <w:color w:val="B41F22" w:themeColor="accent1"/>
              </w:rPr>
              <w:t>at</w:t>
            </w:r>
            <w:r w:rsidRPr="002D0BE0">
              <w:rPr>
                <w:b w:val="0"/>
                <w:color w:val="B41F22" w:themeColor="accent1"/>
              </w:rPr>
              <w:t xml:space="preserve"> TAFE by age group (half year)</w:t>
            </w:r>
          </w:p>
        </w:tc>
      </w:tr>
    </w:tbl>
    <w:tbl>
      <w:tblPr>
        <w:tblW w:w="8095" w:type="dxa"/>
        <w:tblInd w:w="93" w:type="dxa"/>
        <w:tblLayout w:type="fixed"/>
        <w:tblLook w:val="04A0" w:firstRow="1" w:lastRow="0" w:firstColumn="1" w:lastColumn="0" w:noHBand="0" w:noVBand="1"/>
      </w:tblPr>
      <w:tblGrid>
        <w:gridCol w:w="2180"/>
        <w:gridCol w:w="1183"/>
        <w:gridCol w:w="1183"/>
        <w:gridCol w:w="1183"/>
        <w:gridCol w:w="1183"/>
        <w:gridCol w:w="1183"/>
      </w:tblGrid>
      <w:tr w:rsidR="002D0BE0" w:rsidRPr="002D0BE0" w:rsidTr="002D0BE0">
        <w:trPr>
          <w:trHeight w:val="720"/>
        </w:trPr>
        <w:tc>
          <w:tcPr>
            <w:tcW w:w="2180" w:type="dxa"/>
            <w:tcBorders>
              <w:top w:val="nil"/>
              <w:left w:val="nil"/>
              <w:bottom w:val="nil"/>
              <w:right w:val="nil"/>
            </w:tcBorders>
            <w:shd w:val="clear" w:color="000000" w:fill="7F7F7F"/>
            <w:noWrap/>
            <w:vAlign w:val="center"/>
            <w:hideMark/>
          </w:tcPr>
          <w:p w:rsidR="002D0BE0" w:rsidRPr="002D0BE0" w:rsidRDefault="002D0BE0" w:rsidP="002D0BE0">
            <w:pPr>
              <w:rPr>
                <w:rFonts w:cs="Arial"/>
                <w:color w:val="FFFFFF"/>
                <w:szCs w:val="18"/>
                <w:lang w:eastAsia="en-AU"/>
              </w:rPr>
            </w:pPr>
            <w:r w:rsidRPr="002D0BE0">
              <w:rPr>
                <w:rFonts w:cs="Arial"/>
                <w:color w:val="FFFFFF"/>
                <w:szCs w:val="18"/>
                <w:lang w:eastAsia="en-AU"/>
              </w:rPr>
              <w:t> </w:t>
            </w:r>
          </w:p>
        </w:tc>
        <w:tc>
          <w:tcPr>
            <w:tcW w:w="1183" w:type="dxa"/>
            <w:tcBorders>
              <w:top w:val="nil"/>
              <w:left w:val="nil"/>
              <w:bottom w:val="nil"/>
              <w:right w:val="nil"/>
            </w:tcBorders>
            <w:shd w:val="clear" w:color="000000" w:fill="7F7F7F"/>
            <w:vAlign w:val="center"/>
            <w:hideMark/>
          </w:tcPr>
          <w:p w:rsidR="002D0BE0" w:rsidRPr="002D0BE0" w:rsidRDefault="002D0BE0" w:rsidP="002D0BE0">
            <w:pPr>
              <w:jc w:val="right"/>
              <w:rPr>
                <w:rFonts w:cs="Arial"/>
                <w:b/>
                <w:bCs/>
                <w:color w:val="FFFFFF"/>
                <w:szCs w:val="18"/>
                <w:lang w:eastAsia="en-AU"/>
              </w:rPr>
            </w:pPr>
            <w:r w:rsidRPr="002D0BE0">
              <w:rPr>
                <w:rFonts w:cs="Arial"/>
                <w:b/>
                <w:bCs/>
                <w:color w:val="FFFFFF"/>
                <w:szCs w:val="18"/>
                <w:lang w:eastAsia="en-AU"/>
              </w:rPr>
              <w:t>% change 2010 to 2015</w:t>
            </w:r>
          </w:p>
        </w:tc>
        <w:tc>
          <w:tcPr>
            <w:tcW w:w="1183" w:type="dxa"/>
            <w:tcBorders>
              <w:top w:val="nil"/>
              <w:left w:val="nil"/>
              <w:bottom w:val="nil"/>
              <w:right w:val="nil"/>
            </w:tcBorders>
            <w:shd w:val="clear" w:color="000000" w:fill="7F7F7F"/>
            <w:vAlign w:val="center"/>
            <w:hideMark/>
          </w:tcPr>
          <w:p w:rsidR="002D0BE0" w:rsidRPr="002D0BE0" w:rsidRDefault="002D0BE0" w:rsidP="002D0BE0">
            <w:pPr>
              <w:jc w:val="right"/>
              <w:rPr>
                <w:rFonts w:cs="Arial"/>
                <w:b/>
                <w:bCs/>
                <w:color w:val="FFFFFF"/>
                <w:szCs w:val="18"/>
                <w:lang w:eastAsia="en-AU"/>
              </w:rPr>
            </w:pPr>
            <w:r w:rsidRPr="002D0BE0">
              <w:rPr>
                <w:rFonts w:cs="Arial"/>
                <w:b/>
                <w:bCs/>
                <w:color w:val="FFFFFF"/>
                <w:szCs w:val="18"/>
                <w:lang w:eastAsia="en-AU"/>
              </w:rPr>
              <w:t>% change 2011 to 2015</w:t>
            </w:r>
          </w:p>
        </w:tc>
        <w:tc>
          <w:tcPr>
            <w:tcW w:w="1183" w:type="dxa"/>
            <w:tcBorders>
              <w:top w:val="nil"/>
              <w:left w:val="nil"/>
              <w:bottom w:val="nil"/>
              <w:right w:val="nil"/>
            </w:tcBorders>
            <w:shd w:val="clear" w:color="000000" w:fill="7F7F7F"/>
            <w:vAlign w:val="center"/>
            <w:hideMark/>
          </w:tcPr>
          <w:p w:rsidR="002D0BE0" w:rsidRPr="002D0BE0" w:rsidRDefault="002D0BE0" w:rsidP="002D0BE0">
            <w:pPr>
              <w:jc w:val="right"/>
              <w:rPr>
                <w:rFonts w:cs="Arial"/>
                <w:b/>
                <w:bCs/>
                <w:color w:val="FFFFFF"/>
                <w:szCs w:val="18"/>
                <w:lang w:eastAsia="en-AU"/>
              </w:rPr>
            </w:pPr>
            <w:r w:rsidRPr="002D0BE0">
              <w:rPr>
                <w:rFonts w:cs="Arial"/>
                <w:b/>
                <w:bCs/>
                <w:color w:val="FFFFFF"/>
                <w:szCs w:val="18"/>
                <w:lang w:eastAsia="en-AU"/>
              </w:rPr>
              <w:t>% change 2012 to 2015</w:t>
            </w:r>
          </w:p>
        </w:tc>
        <w:tc>
          <w:tcPr>
            <w:tcW w:w="1183" w:type="dxa"/>
            <w:tcBorders>
              <w:top w:val="nil"/>
              <w:left w:val="nil"/>
              <w:bottom w:val="nil"/>
              <w:right w:val="nil"/>
            </w:tcBorders>
            <w:shd w:val="clear" w:color="000000" w:fill="7F7F7F"/>
            <w:vAlign w:val="center"/>
            <w:hideMark/>
          </w:tcPr>
          <w:p w:rsidR="002D0BE0" w:rsidRPr="002D0BE0" w:rsidRDefault="002D0BE0" w:rsidP="002D0BE0">
            <w:pPr>
              <w:jc w:val="right"/>
              <w:rPr>
                <w:rFonts w:cs="Arial"/>
                <w:b/>
                <w:bCs/>
                <w:color w:val="FFFFFF"/>
                <w:szCs w:val="18"/>
                <w:lang w:eastAsia="en-AU"/>
              </w:rPr>
            </w:pPr>
            <w:r w:rsidRPr="002D0BE0">
              <w:rPr>
                <w:rFonts w:cs="Arial"/>
                <w:b/>
                <w:bCs/>
                <w:color w:val="FFFFFF"/>
                <w:szCs w:val="18"/>
                <w:lang w:eastAsia="en-AU"/>
              </w:rPr>
              <w:t>% change 2013 to 2015</w:t>
            </w:r>
          </w:p>
        </w:tc>
        <w:tc>
          <w:tcPr>
            <w:tcW w:w="1183" w:type="dxa"/>
            <w:tcBorders>
              <w:top w:val="nil"/>
              <w:left w:val="nil"/>
              <w:bottom w:val="nil"/>
              <w:right w:val="nil"/>
            </w:tcBorders>
            <w:shd w:val="clear" w:color="000000" w:fill="7F7F7F"/>
            <w:vAlign w:val="center"/>
            <w:hideMark/>
          </w:tcPr>
          <w:p w:rsidR="002D0BE0" w:rsidRPr="002D0BE0" w:rsidRDefault="002D0BE0" w:rsidP="002D0BE0">
            <w:pPr>
              <w:jc w:val="right"/>
              <w:rPr>
                <w:rFonts w:cs="Arial"/>
                <w:b/>
                <w:bCs/>
                <w:color w:val="FFFFFF"/>
                <w:szCs w:val="18"/>
                <w:lang w:eastAsia="en-AU"/>
              </w:rPr>
            </w:pPr>
            <w:r w:rsidRPr="002D0BE0">
              <w:rPr>
                <w:rFonts w:cs="Arial"/>
                <w:b/>
                <w:bCs/>
                <w:color w:val="FFFFFF"/>
                <w:szCs w:val="18"/>
                <w:lang w:eastAsia="en-AU"/>
              </w:rPr>
              <w:t>% change 2014 to 2015</w:t>
            </w:r>
          </w:p>
        </w:tc>
      </w:tr>
      <w:tr w:rsidR="002D0BE0" w:rsidRPr="002D0BE0" w:rsidTr="002D0BE0">
        <w:trPr>
          <w:trHeight w:val="300"/>
        </w:trPr>
        <w:tc>
          <w:tcPr>
            <w:tcW w:w="2180" w:type="dxa"/>
            <w:tcBorders>
              <w:top w:val="nil"/>
              <w:left w:val="nil"/>
              <w:bottom w:val="nil"/>
              <w:right w:val="nil"/>
            </w:tcBorders>
            <w:shd w:val="clear" w:color="auto" w:fill="auto"/>
            <w:noWrap/>
            <w:vAlign w:val="center"/>
            <w:hideMark/>
          </w:tcPr>
          <w:p w:rsidR="002D0BE0" w:rsidRPr="002D0BE0" w:rsidRDefault="002D0BE0" w:rsidP="002D0BE0">
            <w:pPr>
              <w:rPr>
                <w:rFonts w:cs="Arial"/>
                <w:color w:val="7F7F7F"/>
                <w:szCs w:val="18"/>
                <w:lang w:eastAsia="en-AU"/>
              </w:rPr>
            </w:pPr>
            <w:r w:rsidRPr="002D0BE0">
              <w:rPr>
                <w:rFonts w:cs="Arial"/>
                <w:color w:val="7F7F7F"/>
                <w:szCs w:val="18"/>
                <w:lang w:eastAsia="en-AU"/>
              </w:rPr>
              <w:t>15 to 19</w:t>
            </w:r>
          </w:p>
        </w:tc>
        <w:tc>
          <w:tcPr>
            <w:tcW w:w="1183" w:type="dxa"/>
            <w:tcBorders>
              <w:top w:val="nil"/>
              <w:left w:val="nil"/>
              <w:bottom w:val="nil"/>
              <w:right w:val="nil"/>
            </w:tcBorders>
            <w:shd w:val="clear" w:color="auto" w:fill="auto"/>
            <w:noWrap/>
            <w:vAlign w:val="center"/>
            <w:hideMark/>
          </w:tcPr>
          <w:p w:rsidR="002D0BE0" w:rsidRPr="002D0BE0" w:rsidRDefault="002D0BE0" w:rsidP="002D0BE0">
            <w:pPr>
              <w:jc w:val="right"/>
              <w:rPr>
                <w:rFonts w:cs="Arial"/>
                <w:color w:val="7F7F7F"/>
                <w:szCs w:val="18"/>
                <w:lang w:eastAsia="en-AU"/>
              </w:rPr>
            </w:pPr>
            <w:r w:rsidRPr="002D0BE0">
              <w:rPr>
                <w:rFonts w:cs="Arial"/>
                <w:color w:val="7F7F7F"/>
                <w:szCs w:val="18"/>
                <w:lang w:eastAsia="en-AU"/>
              </w:rPr>
              <w:t>-24%</w:t>
            </w:r>
          </w:p>
        </w:tc>
        <w:tc>
          <w:tcPr>
            <w:tcW w:w="1183" w:type="dxa"/>
            <w:tcBorders>
              <w:top w:val="nil"/>
              <w:left w:val="nil"/>
              <w:bottom w:val="nil"/>
              <w:right w:val="nil"/>
            </w:tcBorders>
            <w:shd w:val="clear" w:color="auto" w:fill="auto"/>
            <w:noWrap/>
            <w:vAlign w:val="center"/>
            <w:hideMark/>
          </w:tcPr>
          <w:p w:rsidR="002D0BE0" w:rsidRPr="002D0BE0" w:rsidRDefault="002D0BE0" w:rsidP="002D0BE0">
            <w:pPr>
              <w:jc w:val="right"/>
              <w:rPr>
                <w:rFonts w:cs="Arial"/>
                <w:color w:val="7F7F7F"/>
                <w:szCs w:val="18"/>
                <w:lang w:eastAsia="en-AU"/>
              </w:rPr>
            </w:pPr>
            <w:r w:rsidRPr="002D0BE0">
              <w:rPr>
                <w:rFonts w:cs="Arial"/>
                <w:color w:val="7F7F7F"/>
                <w:szCs w:val="18"/>
                <w:lang w:eastAsia="en-AU"/>
              </w:rPr>
              <w:t>-22%</w:t>
            </w:r>
          </w:p>
        </w:tc>
        <w:tc>
          <w:tcPr>
            <w:tcW w:w="1183" w:type="dxa"/>
            <w:tcBorders>
              <w:top w:val="nil"/>
              <w:left w:val="nil"/>
              <w:bottom w:val="nil"/>
              <w:right w:val="nil"/>
            </w:tcBorders>
            <w:shd w:val="clear" w:color="auto" w:fill="auto"/>
            <w:noWrap/>
            <w:vAlign w:val="center"/>
            <w:hideMark/>
          </w:tcPr>
          <w:p w:rsidR="002D0BE0" w:rsidRPr="002D0BE0" w:rsidRDefault="002D0BE0" w:rsidP="002D0BE0">
            <w:pPr>
              <w:jc w:val="right"/>
              <w:rPr>
                <w:rFonts w:cs="Arial"/>
                <w:color w:val="7F7F7F"/>
                <w:szCs w:val="18"/>
                <w:lang w:eastAsia="en-AU"/>
              </w:rPr>
            </w:pPr>
            <w:r w:rsidRPr="002D0BE0">
              <w:rPr>
                <w:rFonts w:cs="Arial"/>
                <w:color w:val="7F7F7F"/>
                <w:szCs w:val="18"/>
                <w:lang w:eastAsia="en-AU"/>
              </w:rPr>
              <w:t>-24%</w:t>
            </w:r>
          </w:p>
        </w:tc>
        <w:tc>
          <w:tcPr>
            <w:tcW w:w="1183" w:type="dxa"/>
            <w:tcBorders>
              <w:top w:val="nil"/>
              <w:left w:val="nil"/>
              <w:bottom w:val="nil"/>
              <w:right w:val="nil"/>
            </w:tcBorders>
            <w:shd w:val="clear" w:color="auto" w:fill="auto"/>
            <w:noWrap/>
            <w:vAlign w:val="center"/>
            <w:hideMark/>
          </w:tcPr>
          <w:p w:rsidR="002D0BE0" w:rsidRPr="002D0BE0" w:rsidRDefault="002D0BE0" w:rsidP="002D0BE0">
            <w:pPr>
              <w:jc w:val="right"/>
              <w:rPr>
                <w:rFonts w:cs="Arial"/>
                <w:color w:val="7F7F7F"/>
                <w:szCs w:val="18"/>
                <w:lang w:eastAsia="en-AU"/>
              </w:rPr>
            </w:pPr>
            <w:r w:rsidRPr="002D0BE0">
              <w:rPr>
                <w:rFonts w:cs="Arial"/>
                <w:color w:val="7F7F7F"/>
                <w:szCs w:val="18"/>
                <w:lang w:eastAsia="en-AU"/>
              </w:rPr>
              <w:t>-3%</w:t>
            </w:r>
          </w:p>
        </w:tc>
        <w:tc>
          <w:tcPr>
            <w:tcW w:w="1183" w:type="dxa"/>
            <w:tcBorders>
              <w:top w:val="nil"/>
              <w:left w:val="nil"/>
              <w:bottom w:val="nil"/>
              <w:right w:val="nil"/>
            </w:tcBorders>
            <w:shd w:val="clear" w:color="auto" w:fill="auto"/>
            <w:noWrap/>
            <w:vAlign w:val="center"/>
            <w:hideMark/>
          </w:tcPr>
          <w:p w:rsidR="002D0BE0" w:rsidRPr="002D0BE0" w:rsidRDefault="002D0BE0" w:rsidP="002D0BE0">
            <w:pPr>
              <w:jc w:val="right"/>
              <w:rPr>
                <w:rFonts w:cs="Arial"/>
                <w:color w:val="7F7F7F"/>
                <w:szCs w:val="18"/>
                <w:lang w:eastAsia="en-AU"/>
              </w:rPr>
            </w:pPr>
            <w:r w:rsidRPr="002D0BE0">
              <w:rPr>
                <w:rFonts w:cs="Arial"/>
                <w:color w:val="7F7F7F"/>
                <w:szCs w:val="18"/>
                <w:lang w:eastAsia="en-AU"/>
              </w:rPr>
              <w:t>-8%</w:t>
            </w:r>
          </w:p>
        </w:tc>
      </w:tr>
      <w:tr w:rsidR="002D0BE0" w:rsidRPr="002D0BE0" w:rsidTr="002D0BE0">
        <w:trPr>
          <w:trHeight w:val="300"/>
        </w:trPr>
        <w:tc>
          <w:tcPr>
            <w:tcW w:w="2180" w:type="dxa"/>
            <w:tcBorders>
              <w:top w:val="nil"/>
              <w:left w:val="nil"/>
              <w:bottom w:val="nil"/>
              <w:right w:val="nil"/>
            </w:tcBorders>
            <w:shd w:val="clear" w:color="auto" w:fill="auto"/>
            <w:noWrap/>
            <w:vAlign w:val="center"/>
            <w:hideMark/>
          </w:tcPr>
          <w:p w:rsidR="002D0BE0" w:rsidRPr="002D0BE0" w:rsidRDefault="002D0BE0" w:rsidP="002D0BE0">
            <w:pPr>
              <w:rPr>
                <w:rFonts w:cs="Arial"/>
                <w:i/>
                <w:iCs/>
                <w:color w:val="7F7F7F"/>
                <w:szCs w:val="18"/>
                <w:lang w:eastAsia="en-AU"/>
              </w:rPr>
            </w:pPr>
            <w:r w:rsidRPr="002D0BE0">
              <w:rPr>
                <w:rFonts w:cs="Arial"/>
                <w:i/>
                <w:iCs/>
                <w:color w:val="7F7F7F"/>
                <w:szCs w:val="18"/>
                <w:lang w:eastAsia="en-AU"/>
              </w:rPr>
              <w:t xml:space="preserve">   At school</w:t>
            </w:r>
          </w:p>
        </w:tc>
        <w:tc>
          <w:tcPr>
            <w:tcW w:w="1183" w:type="dxa"/>
            <w:tcBorders>
              <w:top w:val="nil"/>
              <w:left w:val="nil"/>
              <w:bottom w:val="nil"/>
              <w:right w:val="nil"/>
            </w:tcBorders>
            <w:shd w:val="clear" w:color="auto" w:fill="auto"/>
            <w:noWrap/>
            <w:vAlign w:val="center"/>
            <w:hideMark/>
          </w:tcPr>
          <w:p w:rsidR="002D0BE0" w:rsidRPr="002D0BE0" w:rsidRDefault="002D0BE0" w:rsidP="002D0BE0">
            <w:pPr>
              <w:jc w:val="right"/>
              <w:rPr>
                <w:rFonts w:cs="Arial"/>
                <w:i/>
                <w:iCs/>
                <w:color w:val="7F7F7F"/>
                <w:szCs w:val="18"/>
                <w:lang w:eastAsia="en-AU"/>
              </w:rPr>
            </w:pPr>
            <w:r w:rsidRPr="002D0BE0">
              <w:rPr>
                <w:rFonts w:cs="Arial"/>
                <w:i/>
                <w:iCs/>
                <w:color w:val="7F7F7F"/>
                <w:szCs w:val="18"/>
                <w:lang w:eastAsia="en-AU"/>
              </w:rPr>
              <w:t>-6%</w:t>
            </w:r>
          </w:p>
        </w:tc>
        <w:tc>
          <w:tcPr>
            <w:tcW w:w="1183" w:type="dxa"/>
            <w:tcBorders>
              <w:top w:val="nil"/>
              <w:left w:val="nil"/>
              <w:bottom w:val="nil"/>
              <w:right w:val="nil"/>
            </w:tcBorders>
            <w:shd w:val="clear" w:color="auto" w:fill="auto"/>
            <w:noWrap/>
            <w:vAlign w:val="center"/>
            <w:hideMark/>
          </w:tcPr>
          <w:p w:rsidR="002D0BE0" w:rsidRPr="002D0BE0" w:rsidRDefault="002D0BE0" w:rsidP="002D0BE0">
            <w:pPr>
              <w:jc w:val="right"/>
              <w:rPr>
                <w:rFonts w:cs="Arial"/>
                <w:i/>
                <w:iCs/>
                <w:color w:val="7F7F7F"/>
                <w:szCs w:val="18"/>
                <w:lang w:eastAsia="en-AU"/>
              </w:rPr>
            </w:pPr>
            <w:r w:rsidRPr="002D0BE0">
              <w:rPr>
                <w:rFonts w:cs="Arial"/>
                <w:i/>
                <w:iCs/>
                <w:color w:val="7F7F7F"/>
                <w:szCs w:val="18"/>
                <w:lang w:eastAsia="en-AU"/>
              </w:rPr>
              <w:t>-15%</w:t>
            </w:r>
          </w:p>
        </w:tc>
        <w:tc>
          <w:tcPr>
            <w:tcW w:w="1183" w:type="dxa"/>
            <w:tcBorders>
              <w:top w:val="nil"/>
              <w:left w:val="nil"/>
              <w:bottom w:val="nil"/>
              <w:right w:val="nil"/>
            </w:tcBorders>
            <w:shd w:val="clear" w:color="auto" w:fill="auto"/>
            <w:noWrap/>
            <w:vAlign w:val="center"/>
            <w:hideMark/>
          </w:tcPr>
          <w:p w:rsidR="002D0BE0" w:rsidRPr="002D0BE0" w:rsidRDefault="002D0BE0" w:rsidP="002D0BE0">
            <w:pPr>
              <w:jc w:val="right"/>
              <w:rPr>
                <w:rFonts w:cs="Arial"/>
                <w:i/>
                <w:iCs/>
                <w:color w:val="7F7F7F"/>
                <w:szCs w:val="18"/>
                <w:lang w:eastAsia="en-AU"/>
              </w:rPr>
            </w:pPr>
            <w:r w:rsidRPr="002D0BE0">
              <w:rPr>
                <w:rFonts w:cs="Arial"/>
                <w:i/>
                <w:iCs/>
                <w:color w:val="7F7F7F"/>
                <w:szCs w:val="18"/>
                <w:lang w:eastAsia="en-AU"/>
              </w:rPr>
              <w:t>-17%</w:t>
            </w:r>
          </w:p>
        </w:tc>
        <w:tc>
          <w:tcPr>
            <w:tcW w:w="1183" w:type="dxa"/>
            <w:tcBorders>
              <w:top w:val="nil"/>
              <w:left w:val="nil"/>
              <w:bottom w:val="nil"/>
              <w:right w:val="nil"/>
            </w:tcBorders>
            <w:shd w:val="clear" w:color="auto" w:fill="auto"/>
            <w:noWrap/>
            <w:vAlign w:val="center"/>
            <w:hideMark/>
          </w:tcPr>
          <w:p w:rsidR="002D0BE0" w:rsidRPr="002D0BE0" w:rsidRDefault="002D0BE0" w:rsidP="002D0BE0">
            <w:pPr>
              <w:jc w:val="right"/>
              <w:rPr>
                <w:rFonts w:cs="Arial"/>
                <w:i/>
                <w:iCs/>
                <w:color w:val="7F7F7F"/>
                <w:szCs w:val="18"/>
                <w:lang w:eastAsia="en-AU"/>
              </w:rPr>
            </w:pPr>
            <w:r w:rsidRPr="002D0BE0">
              <w:rPr>
                <w:rFonts w:cs="Arial"/>
                <w:i/>
                <w:iCs/>
                <w:color w:val="7F7F7F"/>
                <w:szCs w:val="18"/>
                <w:lang w:eastAsia="en-AU"/>
              </w:rPr>
              <w:t>-1%</w:t>
            </w:r>
          </w:p>
        </w:tc>
        <w:tc>
          <w:tcPr>
            <w:tcW w:w="1183" w:type="dxa"/>
            <w:tcBorders>
              <w:top w:val="nil"/>
              <w:left w:val="nil"/>
              <w:bottom w:val="nil"/>
              <w:right w:val="nil"/>
            </w:tcBorders>
            <w:shd w:val="clear" w:color="auto" w:fill="auto"/>
            <w:noWrap/>
            <w:vAlign w:val="center"/>
            <w:hideMark/>
          </w:tcPr>
          <w:p w:rsidR="002D0BE0" w:rsidRPr="002D0BE0" w:rsidRDefault="002D0BE0" w:rsidP="002D0BE0">
            <w:pPr>
              <w:jc w:val="right"/>
              <w:rPr>
                <w:rFonts w:cs="Arial"/>
                <w:i/>
                <w:iCs/>
                <w:color w:val="7F7F7F"/>
                <w:szCs w:val="18"/>
                <w:lang w:eastAsia="en-AU"/>
              </w:rPr>
            </w:pPr>
            <w:r w:rsidRPr="002D0BE0">
              <w:rPr>
                <w:rFonts w:cs="Arial"/>
                <w:i/>
                <w:iCs/>
                <w:color w:val="7F7F7F"/>
                <w:szCs w:val="18"/>
                <w:lang w:eastAsia="en-AU"/>
              </w:rPr>
              <w:t>5%</w:t>
            </w:r>
          </w:p>
        </w:tc>
      </w:tr>
      <w:tr w:rsidR="002D0BE0" w:rsidRPr="002D0BE0" w:rsidTr="002D0BE0">
        <w:trPr>
          <w:trHeight w:val="300"/>
        </w:trPr>
        <w:tc>
          <w:tcPr>
            <w:tcW w:w="2180" w:type="dxa"/>
            <w:tcBorders>
              <w:top w:val="nil"/>
              <w:left w:val="nil"/>
              <w:bottom w:val="nil"/>
              <w:right w:val="nil"/>
            </w:tcBorders>
            <w:shd w:val="clear" w:color="auto" w:fill="auto"/>
            <w:noWrap/>
            <w:vAlign w:val="center"/>
            <w:hideMark/>
          </w:tcPr>
          <w:p w:rsidR="002D0BE0" w:rsidRPr="002D0BE0" w:rsidRDefault="002D0BE0" w:rsidP="002D0BE0">
            <w:pPr>
              <w:rPr>
                <w:rFonts w:cs="Arial"/>
                <w:i/>
                <w:iCs/>
                <w:color w:val="7F7F7F"/>
                <w:szCs w:val="18"/>
                <w:lang w:eastAsia="en-AU"/>
              </w:rPr>
            </w:pPr>
            <w:r w:rsidRPr="002D0BE0">
              <w:rPr>
                <w:rFonts w:cs="Arial"/>
                <w:i/>
                <w:iCs/>
                <w:color w:val="7F7F7F"/>
                <w:szCs w:val="18"/>
                <w:lang w:eastAsia="en-AU"/>
              </w:rPr>
              <w:t xml:space="preserve">   Not at School</w:t>
            </w:r>
          </w:p>
        </w:tc>
        <w:tc>
          <w:tcPr>
            <w:tcW w:w="1183" w:type="dxa"/>
            <w:tcBorders>
              <w:top w:val="nil"/>
              <w:left w:val="nil"/>
              <w:bottom w:val="nil"/>
              <w:right w:val="nil"/>
            </w:tcBorders>
            <w:shd w:val="clear" w:color="auto" w:fill="auto"/>
            <w:noWrap/>
            <w:vAlign w:val="center"/>
            <w:hideMark/>
          </w:tcPr>
          <w:p w:rsidR="002D0BE0" w:rsidRPr="002D0BE0" w:rsidRDefault="002D0BE0" w:rsidP="002D0BE0">
            <w:pPr>
              <w:jc w:val="right"/>
              <w:rPr>
                <w:rFonts w:cs="Arial"/>
                <w:i/>
                <w:iCs/>
                <w:color w:val="7F7F7F"/>
                <w:szCs w:val="18"/>
                <w:lang w:eastAsia="en-AU"/>
              </w:rPr>
            </w:pPr>
            <w:r w:rsidRPr="002D0BE0">
              <w:rPr>
                <w:rFonts w:cs="Arial"/>
                <w:i/>
                <w:iCs/>
                <w:color w:val="7F7F7F"/>
                <w:szCs w:val="18"/>
                <w:lang w:eastAsia="en-AU"/>
              </w:rPr>
              <w:t>-53%</w:t>
            </w:r>
          </w:p>
        </w:tc>
        <w:tc>
          <w:tcPr>
            <w:tcW w:w="1183" w:type="dxa"/>
            <w:tcBorders>
              <w:top w:val="nil"/>
              <w:left w:val="nil"/>
              <w:bottom w:val="nil"/>
              <w:right w:val="nil"/>
            </w:tcBorders>
            <w:shd w:val="clear" w:color="auto" w:fill="auto"/>
            <w:noWrap/>
            <w:vAlign w:val="center"/>
            <w:hideMark/>
          </w:tcPr>
          <w:p w:rsidR="002D0BE0" w:rsidRPr="002D0BE0" w:rsidRDefault="002D0BE0" w:rsidP="002D0BE0">
            <w:pPr>
              <w:jc w:val="right"/>
              <w:rPr>
                <w:rFonts w:cs="Arial"/>
                <w:i/>
                <w:iCs/>
                <w:color w:val="7F7F7F"/>
                <w:szCs w:val="18"/>
                <w:lang w:eastAsia="en-AU"/>
              </w:rPr>
            </w:pPr>
            <w:r w:rsidRPr="002D0BE0">
              <w:rPr>
                <w:rFonts w:cs="Arial"/>
                <w:i/>
                <w:iCs/>
                <w:color w:val="7F7F7F"/>
                <w:szCs w:val="18"/>
                <w:lang w:eastAsia="en-AU"/>
              </w:rPr>
              <w:t>-38%</w:t>
            </w:r>
          </w:p>
        </w:tc>
        <w:tc>
          <w:tcPr>
            <w:tcW w:w="1183" w:type="dxa"/>
            <w:tcBorders>
              <w:top w:val="nil"/>
              <w:left w:val="nil"/>
              <w:bottom w:val="nil"/>
              <w:right w:val="nil"/>
            </w:tcBorders>
            <w:shd w:val="clear" w:color="auto" w:fill="auto"/>
            <w:noWrap/>
            <w:vAlign w:val="center"/>
            <w:hideMark/>
          </w:tcPr>
          <w:p w:rsidR="002D0BE0" w:rsidRPr="002D0BE0" w:rsidRDefault="002D0BE0" w:rsidP="002D0BE0">
            <w:pPr>
              <w:jc w:val="right"/>
              <w:rPr>
                <w:rFonts w:cs="Arial"/>
                <w:i/>
                <w:iCs/>
                <w:color w:val="7F7F7F"/>
                <w:szCs w:val="18"/>
                <w:lang w:eastAsia="en-AU"/>
              </w:rPr>
            </w:pPr>
            <w:r w:rsidRPr="002D0BE0">
              <w:rPr>
                <w:rFonts w:cs="Arial"/>
                <w:i/>
                <w:iCs/>
                <w:color w:val="7F7F7F"/>
                <w:szCs w:val="18"/>
                <w:lang w:eastAsia="en-AU"/>
              </w:rPr>
              <w:t>-41%</w:t>
            </w:r>
          </w:p>
        </w:tc>
        <w:tc>
          <w:tcPr>
            <w:tcW w:w="1183" w:type="dxa"/>
            <w:tcBorders>
              <w:top w:val="nil"/>
              <w:left w:val="nil"/>
              <w:bottom w:val="nil"/>
              <w:right w:val="nil"/>
            </w:tcBorders>
            <w:shd w:val="clear" w:color="auto" w:fill="auto"/>
            <w:noWrap/>
            <w:vAlign w:val="center"/>
            <w:hideMark/>
          </w:tcPr>
          <w:p w:rsidR="002D0BE0" w:rsidRPr="002D0BE0" w:rsidRDefault="002D0BE0" w:rsidP="002D0BE0">
            <w:pPr>
              <w:jc w:val="right"/>
              <w:rPr>
                <w:rFonts w:cs="Arial"/>
                <w:i/>
                <w:iCs/>
                <w:color w:val="7F7F7F"/>
                <w:szCs w:val="18"/>
                <w:lang w:eastAsia="en-AU"/>
              </w:rPr>
            </w:pPr>
            <w:r w:rsidRPr="002D0BE0">
              <w:rPr>
                <w:rFonts w:cs="Arial"/>
                <w:i/>
                <w:iCs/>
                <w:color w:val="7F7F7F"/>
                <w:szCs w:val="18"/>
                <w:lang w:eastAsia="en-AU"/>
              </w:rPr>
              <w:t>-8%</w:t>
            </w:r>
          </w:p>
        </w:tc>
        <w:tc>
          <w:tcPr>
            <w:tcW w:w="1183" w:type="dxa"/>
            <w:tcBorders>
              <w:top w:val="nil"/>
              <w:left w:val="nil"/>
              <w:bottom w:val="nil"/>
              <w:right w:val="nil"/>
            </w:tcBorders>
            <w:shd w:val="clear" w:color="auto" w:fill="auto"/>
            <w:noWrap/>
            <w:vAlign w:val="center"/>
            <w:hideMark/>
          </w:tcPr>
          <w:p w:rsidR="002D0BE0" w:rsidRPr="002D0BE0" w:rsidRDefault="002D0BE0" w:rsidP="002D0BE0">
            <w:pPr>
              <w:jc w:val="right"/>
              <w:rPr>
                <w:rFonts w:cs="Arial"/>
                <w:i/>
                <w:iCs/>
                <w:color w:val="7F7F7F"/>
                <w:szCs w:val="18"/>
                <w:lang w:eastAsia="en-AU"/>
              </w:rPr>
            </w:pPr>
            <w:r w:rsidRPr="002D0BE0">
              <w:rPr>
                <w:rFonts w:cs="Arial"/>
                <w:i/>
                <w:iCs/>
                <w:color w:val="7F7F7F"/>
                <w:szCs w:val="18"/>
                <w:lang w:eastAsia="en-AU"/>
              </w:rPr>
              <w:t>-34%</w:t>
            </w:r>
          </w:p>
        </w:tc>
      </w:tr>
      <w:tr w:rsidR="002D0BE0" w:rsidRPr="002D0BE0" w:rsidTr="002D0BE0">
        <w:trPr>
          <w:trHeight w:val="300"/>
        </w:trPr>
        <w:tc>
          <w:tcPr>
            <w:tcW w:w="2180" w:type="dxa"/>
            <w:tcBorders>
              <w:top w:val="nil"/>
              <w:left w:val="nil"/>
              <w:bottom w:val="nil"/>
              <w:right w:val="nil"/>
            </w:tcBorders>
            <w:shd w:val="clear" w:color="auto" w:fill="auto"/>
            <w:noWrap/>
            <w:vAlign w:val="center"/>
            <w:hideMark/>
          </w:tcPr>
          <w:p w:rsidR="002D0BE0" w:rsidRPr="002D0BE0" w:rsidRDefault="002D0BE0" w:rsidP="002D0BE0">
            <w:pPr>
              <w:rPr>
                <w:rFonts w:cs="Arial"/>
                <w:color w:val="7F7F7F"/>
                <w:szCs w:val="18"/>
                <w:lang w:eastAsia="en-AU"/>
              </w:rPr>
            </w:pPr>
            <w:r w:rsidRPr="002D0BE0">
              <w:rPr>
                <w:rFonts w:cs="Arial"/>
                <w:color w:val="7F7F7F"/>
                <w:szCs w:val="18"/>
                <w:lang w:eastAsia="en-AU"/>
              </w:rPr>
              <w:t>20 to 24</w:t>
            </w:r>
          </w:p>
        </w:tc>
        <w:tc>
          <w:tcPr>
            <w:tcW w:w="1183" w:type="dxa"/>
            <w:tcBorders>
              <w:top w:val="nil"/>
              <w:left w:val="nil"/>
              <w:bottom w:val="nil"/>
              <w:right w:val="nil"/>
            </w:tcBorders>
            <w:shd w:val="clear" w:color="auto" w:fill="auto"/>
            <w:noWrap/>
            <w:vAlign w:val="center"/>
            <w:hideMark/>
          </w:tcPr>
          <w:p w:rsidR="002D0BE0" w:rsidRPr="002D0BE0" w:rsidRDefault="002D0BE0" w:rsidP="002D0BE0">
            <w:pPr>
              <w:jc w:val="right"/>
              <w:rPr>
                <w:rFonts w:cs="Arial"/>
                <w:color w:val="7F7F7F"/>
                <w:szCs w:val="18"/>
                <w:lang w:eastAsia="en-AU"/>
              </w:rPr>
            </w:pPr>
            <w:r w:rsidRPr="002D0BE0">
              <w:rPr>
                <w:rFonts w:cs="Arial"/>
                <w:color w:val="7F7F7F"/>
                <w:szCs w:val="18"/>
                <w:lang w:eastAsia="en-AU"/>
              </w:rPr>
              <w:t>-14%</w:t>
            </w:r>
          </w:p>
        </w:tc>
        <w:tc>
          <w:tcPr>
            <w:tcW w:w="1183" w:type="dxa"/>
            <w:tcBorders>
              <w:top w:val="nil"/>
              <w:left w:val="nil"/>
              <w:bottom w:val="nil"/>
              <w:right w:val="nil"/>
            </w:tcBorders>
            <w:shd w:val="clear" w:color="auto" w:fill="auto"/>
            <w:noWrap/>
            <w:vAlign w:val="center"/>
            <w:hideMark/>
          </w:tcPr>
          <w:p w:rsidR="002D0BE0" w:rsidRPr="002D0BE0" w:rsidRDefault="002D0BE0" w:rsidP="002D0BE0">
            <w:pPr>
              <w:jc w:val="right"/>
              <w:rPr>
                <w:rFonts w:cs="Arial"/>
                <w:color w:val="7F7F7F"/>
                <w:szCs w:val="18"/>
                <w:lang w:eastAsia="en-AU"/>
              </w:rPr>
            </w:pPr>
            <w:r w:rsidRPr="002D0BE0">
              <w:rPr>
                <w:rFonts w:cs="Arial"/>
                <w:color w:val="7F7F7F"/>
                <w:szCs w:val="18"/>
                <w:lang w:eastAsia="en-AU"/>
              </w:rPr>
              <w:t>-7%</w:t>
            </w:r>
          </w:p>
        </w:tc>
        <w:tc>
          <w:tcPr>
            <w:tcW w:w="1183" w:type="dxa"/>
            <w:tcBorders>
              <w:top w:val="nil"/>
              <w:left w:val="nil"/>
              <w:bottom w:val="nil"/>
              <w:right w:val="nil"/>
            </w:tcBorders>
            <w:shd w:val="clear" w:color="auto" w:fill="auto"/>
            <w:noWrap/>
            <w:vAlign w:val="center"/>
            <w:hideMark/>
          </w:tcPr>
          <w:p w:rsidR="002D0BE0" w:rsidRPr="002D0BE0" w:rsidRDefault="002D0BE0" w:rsidP="002D0BE0">
            <w:pPr>
              <w:jc w:val="right"/>
              <w:rPr>
                <w:rFonts w:cs="Arial"/>
                <w:color w:val="7F7F7F"/>
                <w:szCs w:val="18"/>
                <w:lang w:eastAsia="en-AU"/>
              </w:rPr>
            </w:pPr>
            <w:r w:rsidRPr="002D0BE0">
              <w:rPr>
                <w:rFonts w:cs="Arial"/>
                <w:color w:val="7F7F7F"/>
                <w:szCs w:val="18"/>
                <w:lang w:eastAsia="en-AU"/>
              </w:rPr>
              <w:t>-17%</w:t>
            </w:r>
          </w:p>
        </w:tc>
        <w:tc>
          <w:tcPr>
            <w:tcW w:w="1183" w:type="dxa"/>
            <w:tcBorders>
              <w:top w:val="nil"/>
              <w:left w:val="nil"/>
              <w:bottom w:val="nil"/>
              <w:right w:val="nil"/>
            </w:tcBorders>
            <w:shd w:val="clear" w:color="auto" w:fill="auto"/>
            <w:noWrap/>
            <w:vAlign w:val="center"/>
            <w:hideMark/>
          </w:tcPr>
          <w:p w:rsidR="002D0BE0" w:rsidRPr="002D0BE0" w:rsidRDefault="002D0BE0" w:rsidP="002D0BE0">
            <w:pPr>
              <w:jc w:val="right"/>
              <w:rPr>
                <w:rFonts w:cs="Arial"/>
                <w:color w:val="7F7F7F"/>
                <w:szCs w:val="18"/>
                <w:lang w:eastAsia="en-AU"/>
              </w:rPr>
            </w:pPr>
            <w:r w:rsidRPr="002D0BE0">
              <w:rPr>
                <w:rFonts w:cs="Arial"/>
                <w:color w:val="7F7F7F"/>
                <w:szCs w:val="18"/>
                <w:lang w:eastAsia="en-AU"/>
              </w:rPr>
              <w:t>-2%</w:t>
            </w:r>
          </w:p>
        </w:tc>
        <w:tc>
          <w:tcPr>
            <w:tcW w:w="1183" w:type="dxa"/>
            <w:tcBorders>
              <w:top w:val="nil"/>
              <w:left w:val="nil"/>
              <w:bottom w:val="nil"/>
              <w:right w:val="nil"/>
            </w:tcBorders>
            <w:shd w:val="clear" w:color="auto" w:fill="auto"/>
            <w:noWrap/>
            <w:vAlign w:val="center"/>
            <w:hideMark/>
          </w:tcPr>
          <w:p w:rsidR="002D0BE0" w:rsidRPr="002D0BE0" w:rsidRDefault="002D0BE0" w:rsidP="002D0BE0">
            <w:pPr>
              <w:jc w:val="right"/>
              <w:rPr>
                <w:rFonts w:cs="Arial"/>
                <w:color w:val="7F7F7F"/>
                <w:szCs w:val="18"/>
                <w:lang w:eastAsia="en-AU"/>
              </w:rPr>
            </w:pPr>
            <w:r w:rsidRPr="002D0BE0">
              <w:rPr>
                <w:rFonts w:cs="Arial"/>
                <w:color w:val="7F7F7F"/>
                <w:szCs w:val="18"/>
                <w:lang w:eastAsia="en-AU"/>
              </w:rPr>
              <w:t>-10%</w:t>
            </w:r>
          </w:p>
        </w:tc>
      </w:tr>
      <w:tr w:rsidR="002D0BE0" w:rsidRPr="002D0BE0" w:rsidTr="002D0BE0">
        <w:trPr>
          <w:trHeight w:val="300"/>
        </w:trPr>
        <w:tc>
          <w:tcPr>
            <w:tcW w:w="2180" w:type="dxa"/>
            <w:tcBorders>
              <w:top w:val="nil"/>
              <w:left w:val="nil"/>
              <w:bottom w:val="nil"/>
              <w:right w:val="nil"/>
            </w:tcBorders>
            <w:shd w:val="clear" w:color="auto" w:fill="auto"/>
            <w:noWrap/>
            <w:vAlign w:val="center"/>
            <w:hideMark/>
          </w:tcPr>
          <w:p w:rsidR="002D0BE0" w:rsidRPr="002D0BE0" w:rsidRDefault="002D0BE0" w:rsidP="002D0BE0">
            <w:pPr>
              <w:rPr>
                <w:rFonts w:cs="Arial"/>
                <w:color w:val="7F7F7F"/>
                <w:szCs w:val="18"/>
                <w:lang w:eastAsia="en-AU"/>
              </w:rPr>
            </w:pPr>
            <w:r w:rsidRPr="002D0BE0">
              <w:rPr>
                <w:rFonts w:cs="Arial"/>
                <w:color w:val="7F7F7F"/>
                <w:szCs w:val="18"/>
                <w:lang w:eastAsia="en-AU"/>
              </w:rPr>
              <w:t>25 to 44</w:t>
            </w:r>
          </w:p>
        </w:tc>
        <w:tc>
          <w:tcPr>
            <w:tcW w:w="1183" w:type="dxa"/>
            <w:tcBorders>
              <w:top w:val="nil"/>
              <w:left w:val="nil"/>
              <w:bottom w:val="nil"/>
              <w:right w:val="nil"/>
            </w:tcBorders>
            <w:shd w:val="clear" w:color="auto" w:fill="auto"/>
            <w:noWrap/>
            <w:vAlign w:val="center"/>
            <w:hideMark/>
          </w:tcPr>
          <w:p w:rsidR="002D0BE0" w:rsidRPr="002D0BE0" w:rsidRDefault="002D0BE0" w:rsidP="002D0BE0">
            <w:pPr>
              <w:jc w:val="right"/>
              <w:rPr>
                <w:rFonts w:cs="Arial"/>
                <w:color w:val="7F7F7F"/>
                <w:szCs w:val="18"/>
                <w:lang w:eastAsia="en-AU"/>
              </w:rPr>
            </w:pPr>
            <w:r w:rsidRPr="002D0BE0">
              <w:rPr>
                <w:rFonts w:cs="Arial"/>
                <w:color w:val="7F7F7F"/>
                <w:szCs w:val="18"/>
                <w:lang w:eastAsia="en-AU"/>
              </w:rPr>
              <w:t>-8%</w:t>
            </w:r>
          </w:p>
        </w:tc>
        <w:tc>
          <w:tcPr>
            <w:tcW w:w="1183" w:type="dxa"/>
            <w:tcBorders>
              <w:top w:val="nil"/>
              <w:left w:val="nil"/>
              <w:bottom w:val="nil"/>
              <w:right w:val="nil"/>
            </w:tcBorders>
            <w:shd w:val="clear" w:color="auto" w:fill="auto"/>
            <w:noWrap/>
            <w:vAlign w:val="center"/>
            <w:hideMark/>
          </w:tcPr>
          <w:p w:rsidR="002D0BE0" w:rsidRPr="002D0BE0" w:rsidRDefault="002D0BE0" w:rsidP="002D0BE0">
            <w:pPr>
              <w:jc w:val="right"/>
              <w:rPr>
                <w:rFonts w:cs="Arial"/>
                <w:color w:val="7F7F7F"/>
                <w:szCs w:val="18"/>
                <w:lang w:eastAsia="en-AU"/>
              </w:rPr>
            </w:pPr>
            <w:r w:rsidRPr="002D0BE0">
              <w:rPr>
                <w:rFonts w:cs="Arial"/>
                <w:color w:val="7F7F7F"/>
                <w:szCs w:val="18"/>
                <w:lang w:eastAsia="en-AU"/>
              </w:rPr>
              <w:t>-1%</w:t>
            </w:r>
          </w:p>
        </w:tc>
        <w:tc>
          <w:tcPr>
            <w:tcW w:w="1183" w:type="dxa"/>
            <w:tcBorders>
              <w:top w:val="nil"/>
              <w:left w:val="nil"/>
              <w:bottom w:val="nil"/>
              <w:right w:val="nil"/>
            </w:tcBorders>
            <w:shd w:val="clear" w:color="auto" w:fill="auto"/>
            <w:noWrap/>
            <w:vAlign w:val="center"/>
            <w:hideMark/>
          </w:tcPr>
          <w:p w:rsidR="002D0BE0" w:rsidRPr="002D0BE0" w:rsidRDefault="002D0BE0" w:rsidP="002D0BE0">
            <w:pPr>
              <w:jc w:val="right"/>
              <w:rPr>
                <w:rFonts w:cs="Arial"/>
                <w:color w:val="7F7F7F"/>
                <w:szCs w:val="18"/>
                <w:lang w:eastAsia="en-AU"/>
              </w:rPr>
            </w:pPr>
            <w:r w:rsidRPr="002D0BE0">
              <w:rPr>
                <w:rFonts w:cs="Arial"/>
                <w:color w:val="7F7F7F"/>
                <w:szCs w:val="18"/>
                <w:lang w:eastAsia="en-AU"/>
              </w:rPr>
              <w:t>-17%</w:t>
            </w:r>
          </w:p>
        </w:tc>
        <w:tc>
          <w:tcPr>
            <w:tcW w:w="1183" w:type="dxa"/>
            <w:tcBorders>
              <w:top w:val="nil"/>
              <w:left w:val="nil"/>
              <w:bottom w:val="nil"/>
              <w:right w:val="nil"/>
            </w:tcBorders>
            <w:shd w:val="clear" w:color="auto" w:fill="auto"/>
            <w:noWrap/>
            <w:vAlign w:val="center"/>
            <w:hideMark/>
          </w:tcPr>
          <w:p w:rsidR="002D0BE0" w:rsidRPr="002D0BE0" w:rsidRDefault="002D0BE0" w:rsidP="002D0BE0">
            <w:pPr>
              <w:jc w:val="right"/>
              <w:rPr>
                <w:rFonts w:cs="Arial"/>
                <w:color w:val="7F7F7F"/>
                <w:szCs w:val="18"/>
                <w:lang w:eastAsia="en-AU"/>
              </w:rPr>
            </w:pPr>
            <w:r w:rsidRPr="002D0BE0">
              <w:rPr>
                <w:rFonts w:cs="Arial"/>
                <w:color w:val="7F7F7F"/>
                <w:szCs w:val="18"/>
                <w:lang w:eastAsia="en-AU"/>
              </w:rPr>
              <w:t>-5%</w:t>
            </w:r>
          </w:p>
        </w:tc>
        <w:tc>
          <w:tcPr>
            <w:tcW w:w="1183" w:type="dxa"/>
            <w:tcBorders>
              <w:top w:val="nil"/>
              <w:left w:val="nil"/>
              <w:bottom w:val="nil"/>
              <w:right w:val="nil"/>
            </w:tcBorders>
            <w:shd w:val="clear" w:color="auto" w:fill="auto"/>
            <w:noWrap/>
            <w:vAlign w:val="center"/>
            <w:hideMark/>
          </w:tcPr>
          <w:p w:rsidR="002D0BE0" w:rsidRPr="002D0BE0" w:rsidRDefault="002D0BE0" w:rsidP="002D0BE0">
            <w:pPr>
              <w:jc w:val="right"/>
              <w:rPr>
                <w:rFonts w:cs="Arial"/>
                <w:color w:val="7F7F7F"/>
                <w:szCs w:val="18"/>
                <w:lang w:eastAsia="en-AU"/>
              </w:rPr>
            </w:pPr>
            <w:r w:rsidRPr="002D0BE0">
              <w:rPr>
                <w:rFonts w:cs="Arial"/>
                <w:color w:val="7F7F7F"/>
                <w:szCs w:val="18"/>
                <w:lang w:eastAsia="en-AU"/>
              </w:rPr>
              <w:t>-11%</w:t>
            </w:r>
          </w:p>
        </w:tc>
      </w:tr>
      <w:tr w:rsidR="002D0BE0" w:rsidRPr="002D0BE0" w:rsidTr="002D0BE0">
        <w:trPr>
          <w:trHeight w:val="300"/>
        </w:trPr>
        <w:tc>
          <w:tcPr>
            <w:tcW w:w="2180" w:type="dxa"/>
            <w:tcBorders>
              <w:top w:val="nil"/>
              <w:left w:val="nil"/>
              <w:bottom w:val="nil"/>
              <w:right w:val="nil"/>
            </w:tcBorders>
            <w:shd w:val="clear" w:color="auto" w:fill="auto"/>
            <w:noWrap/>
            <w:vAlign w:val="center"/>
            <w:hideMark/>
          </w:tcPr>
          <w:p w:rsidR="002D0BE0" w:rsidRPr="002D0BE0" w:rsidRDefault="002D0BE0" w:rsidP="002D0BE0">
            <w:pPr>
              <w:rPr>
                <w:rFonts w:cs="Arial"/>
                <w:color w:val="7F7F7F"/>
                <w:szCs w:val="18"/>
                <w:lang w:eastAsia="en-AU"/>
              </w:rPr>
            </w:pPr>
            <w:r w:rsidRPr="002D0BE0">
              <w:rPr>
                <w:rFonts w:cs="Arial"/>
                <w:color w:val="7F7F7F"/>
                <w:szCs w:val="18"/>
                <w:lang w:eastAsia="en-AU"/>
              </w:rPr>
              <w:t>45 to 64</w:t>
            </w:r>
          </w:p>
        </w:tc>
        <w:tc>
          <w:tcPr>
            <w:tcW w:w="1183" w:type="dxa"/>
            <w:tcBorders>
              <w:top w:val="nil"/>
              <w:left w:val="nil"/>
              <w:bottom w:val="nil"/>
              <w:right w:val="nil"/>
            </w:tcBorders>
            <w:shd w:val="clear" w:color="auto" w:fill="auto"/>
            <w:noWrap/>
            <w:vAlign w:val="center"/>
            <w:hideMark/>
          </w:tcPr>
          <w:p w:rsidR="002D0BE0" w:rsidRPr="002D0BE0" w:rsidRDefault="002D0BE0" w:rsidP="002D0BE0">
            <w:pPr>
              <w:jc w:val="right"/>
              <w:rPr>
                <w:rFonts w:cs="Arial"/>
                <w:color w:val="7F7F7F"/>
                <w:szCs w:val="18"/>
                <w:lang w:eastAsia="en-AU"/>
              </w:rPr>
            </w:pPr>
            <w:r w:rsidRPr="002D0BE0">
              <w:rPr>
                <w:rFonts w:cs="Arial"/>
                <w:color w:val="7F7F7F"/>
                <w:szCs w:val="18"/>
                <w:lang w:eastAsia="en-AU"/>
              </w:rPr>
              <w:t>-32%</w:t>
            </w:r>
          </w:p>
        </w:tc>
        <w:tc>
          <w:tcPr>
            <w:tcW w:w="1183" w:type="dxa"/>
            <w:tcBorders>
              <w:top w:val="nil"/>
              <w:left w:val="nil"/>
              <w:bottom w:val="nil"/>
              <w:right w:val="nil"/>
            </w:tcBorders>
            <w:shd w:val="clear" w:color="auto" w:fill="auto"/>
            <w:noWrap/>
            <w:vAlign w:val="center"/>
            <w:hideMark/>
          </w:tcPr>
          <w:p w:rsidR="002D0BE0" w:rsidRPr="002D0BE0" w:rsidRDefault="002D0BE0" w:rsidP="002D0BE0">
            <w:pPr>
              <w:jc w:val="right"/>
              <w:rPr>
                <w:rFonts w:cs="Arial"/>
                <w:color w:val="7F7F7F"/>
                <w:szCs w:val="18"/>
                <w:lang w:eastAsia="en-AU"/>
              </w:rPr>
            </w:pPr>
            <w:r w:rsidRPr="002D0BE0">
              <w:rPr>
                <w:rFonts w:cs="Arial"/>
                <w:color w:val="7F7F7F"/>
                <w:szCs w:val="18"/>
                <w:lang w:eastAsia="en-AU"/>
              </w:rPr>
              <w:t>-24%</w:t>
            </w:r>
          </w:p>
        </w:tc>
        <w:tc>
          <w:tcPr>
            <w:tcW w:w="1183" w:type="dxa"/>
            <w:tcBorders>
              <w:top w:val="nil"/>
              <w:left w:val="nil"/>
              <w:bottom w:val="nil"/>
              <w:right w:val="nil"/>
            </w:tcBorders>
            <w:shd w:val="clear" w:color="auto" w:fill="auto"/>
            <w:noWrap/>
            <w:vAlign w:val="center"/>
            <w:hideMark/>
          </w:tcPr>
          <w:p w:rsidR="002D0BE0" w:rsidRPr="002D0BE0" w:rsidRDefault="002D0BE0" w:rsidP="002D0BE0">
            <w:pPr>
              <w:jc w:val="right"/>
              <w:rPr>
                <w:rFonts w:cs="Arial"/>
                <w:color w:val="7F7F7F"/>
                <w:szCs w:val="18"/>
                <w:lang w:eastAsia="en-AU"/>
              </w:rPr>
            </w:pPr>
            <w:r w:rsidRPr="002D0BE0">
              <w:rPr>
                <w:rFonts w:cs="Arial"/>
                <w:color w:val="7F7F7F"/>
                <w:szCs w:val="18"/>
                <w:lang w:eastAsia="en-AU"/>
              </w:rPr>
              <w:t>-32%</w:t>
            </w:r>
          </w:p>
        </w:tc>
        <w:tc>
          <w:tcPr>
            <w:tcW w:w="1183" w:type="dxa"/>
            <w:tcBorders>
              <w:top w:val="nil"/>
              <w:left w:val="nil"/>
              <w:bottom w:val="nil"/>
              <w:right w:val="nil"/>
            </w:tcBorders>
            <w:shd w:val="clear" w:color="auto" w:fill="auto"/>
            <w:noWrap/>
            <w:vAlign w:val="center"/>
            <w:hideMark/>
          </w:tcPr>
          <w:p w:rsidR="002D0BE0" w:rsidRPr="002D0BE0" w:rsidRDefault="002D0BE0" w:rsidP="002D0BE0">
            <w:pPr>
              <w:jc w:val="right"/>
              <w:rPr>
                <w:rFonts w:cs="Arial"/>
                <w:color w:val="7F7F7F"/>
                <w:szCs w:val="18"/>
                <w:lang w:eastAsia="en-AU"/>
              </w:rPr>
            </w:pPr>
            <w:r w:rsidRPr="002D0BE0">
              <w:rPr>
                <w:rFonts w:cs="Arial"/>
                <w:color w:val="7F7F7F"/>
                <w:szCs w:val="18"/>
                <w:lang w:eastAsia="en-AU"/>
              </w:rPr>
              <w:t>-14%</w:t>
            </w:r>
          </w:p>
        </w:tc>
        <w:tc>
          <w:tcPr>
            <w:tcW w:w="1183" w:type="dxa"/>
            <w:tcBorders>
              <w:top w:val="nil"/>
              <w:left w:val="nil"/>
              <w:bottom w:val="nil"/>
              <w:right w:val="nil"/>
            </w:tcBorders>
            <w:shd w:val="clear" w:color="auto" w:fill="auto"/>
            <w:noWrap/>
            <w:vAlign w:val="center"/>
            <w:hideMark/>
          </w:tcPr>
          <w:p w:rsidR="002D0BE0" w:rsidRPr="002D0BE0" w:rsidRDefault="002D0BE0" w:rsidP="002D0BE0">
            <w:pPr>
              <w:jc w:val="right"/>
              <w:rPr>
                <w:rFonts w:cs="Arial"/>
                <w:color w:val="7F7F7F"/>
                <w:szCs w:val="18"/>
                <w:lang w:eastAsia="en-AU"/>
              </w:rPr>
            </w:pPr>
            <w:r w:rsidRPr="002D0BE0">
              <w:rPr>
                <w:rFonts w:cs="Arial"/>
                <w:color w:val="7F7F7F"/>
                <w:szCs w:val="18"/>
                <w:lang w:eastAsia="en-AU"/>
              </w:rPr>
              <w:t>-20%</w:t>
            </w:r>
          </w:p>
        </w:tc>
      </w:tr>
      <w:tr w:rsidR="002D0BE0" w:rsidRPr="002D0BE0" w:rsidTr="002D0BE0">
        <w:trPr>
          <w:trHeight w:val="300"/>
        </w:trPr>
        <w:tc>
          <w:tcPr>
            <w:tcW w:w="2180" w:type="dxa"/>
            <w:tcBorders>
              <w:top w:val="nil"/>
              <w:left w:val="nil"/>
              <w:bottom w:val="nil"/>
              <w:right w:val="nil"/>
            </w:tcBorders>
            <w:shd w:val="clear" w:color="auto" w:fill="auto"/>
            <w:noWrap/>
            <w:vAlign w:val="center"/>
            <w:hideMark/>
          </w:tcPr>
          <w:p w:rsidR="002D0BE0" w:rsidRPr="002D0BE0" w:rsidRDefault="002D0BE0" w:rsidP="002D0BE0">
            <w:pPr>
              <w:rPr>
                <w:rFonts w:cs="Arial"/>
                <w:color w:val="7F7F7F"/>
                <w:szCs w:val="18"/>
                <w:lang w:eastAsia="en-AU"/>
              </w:rPr>
            </w:pPr>
            <w:r w:rsidRPr="002D0BE0">
              <w:rPr>
                <w:rFonts w:cs="Arial"/>
                <w:color w:val="7F7F7F"/>
                <w:szCs w:val="18"/>
                <w:lang w:eastAsia="en-AU"/>
              </w:rPr>
              <w:t>Other*</w:t>
            </w:r>
          </w:p>
        </w:tc>
        <w:tc>
          <w:tcPr>
            <w:tcW w:w="1183" w:type="dxa"/>
            <w:tcBorders>
              <w:top w:val="nil"/>
              <w:left w:val="nil"/>
              <w:bottom w:val="nil"/>
              <w:right w:val="nil"/>
            </w:tcBorders>
            <w:shd w:val="clear" w:color="auto" w:fill="auto"/>
            <w:noWrap/>
            <w:vAlign w:val="center"/>
            <w:hideMark/>
          </w:tcPr>
          <w:p w:rsidR="002D0BE0" w:rsidRPr="002D0BE0" w:rsidRDefault="002D0BE0" w:rsidP="002D0BE0">
            <w:pPr>
              <w:jc w:val="right"/>
              <w:rPr>
                <w:rFonts w:cs="Arial"/>
                <w:color w:val="7F7F7F"/>
                <w:szCs w:val="18"/>
                <w:lang w:eastAsia="en-AU"/>
              </w:rPr>
            </w:pPr>
            <w:r w:rsidRPr="002D0BE0">
              <w:rPr>
                <w:rFonts w:cs="Arial"/>
                <w:color w:val="7F7F7F"/>
                <w:szCs w:val="18"/>
                <w:lang w:eastAsia="en-AU"/>
              </w:rPr>
              <w:t>-26%</w:t>
            </w:r>
          </w:p>
        </w:tc>
        <w:tc>
          <w:tcPr>
            <w:tcW w:w="1183" w:type="dxa"/>
            <w:tcBorders>
              <w:top w:val="nil"/>
              <w:left w:val="nil"/>
              <w:bottom w:val="nil"/>
              <w:right w:val="nil"/>
            </w:tcBorders>
            <w:shd w:val="clear" w:color="auto" w:fill="auto"/>
            <w:noWrap/>
            <w:vAlign w:val="center"/>
            <w:hideMark/>
          </w:tcPr>
          <w:p w:rsidR="002D0BE0" w:rsidRPr="002D0BE0" w:rsidRDefault="002D0BE0" w:rsidP="002D0BE0">
            <w:pPr>
              <w:jc w:val="right"/>
              <w:rPr>
                <w:rFonts w:cs="Arial"/>
                <w:color w:val="7F7F7F"/>
                <w:szCs w:val="18"/>
                <w:lang w:eastAsia="en-AU"/>
              </w:rPr>
            </w:pPr>
            <w:r w:rsidRPr="002D0BE0">
              <w:rPr>
                <w:rFonts w:cs="Arial"/>
                <w:color w:val="7F7F7F"/>
                <w:szCs w:val="18"/>
                <w:lang w:eastAsia="en-AU"/>
              </w:rPr>
              <w:t>-31%</w:t>
            </w:r>
          </w:p>
        </w:tc>
        <w:tc>
          <w:tcPr>
            <w:tcW w:w="1183" w:type="dxa"/>
            <w:tcBorders>
              <w:top w:val="nil"/>
              <w:left w:val="nil"/>
              <w:bottom w:val="nil"/>
              <w:right w:val="nil"/>
            </w:tcBorders>
            <w:shd w:val="clear" w:color="auto" w:fill="auto"/>
            <w:noWrap/>
            <w:vAlign w:val="center"/>
            <w:hideMark/>
          </w:tcPr>
          <w:p w:rsidR="002D0BE0" w:rsidRPr="002D0BE0" w:rsidRDefault="002D0BE0" w:rsidP="002D0BE0">
            <w:pPr>
              <w:jc w:val="right"/>
              <w:rPr>
                <w:rFonts w:cs="Arial"/>
                <w:color w:val="7F7F7F"/>
                <w:szCs w:val="18"/>
                <w:lang w:eastAsia="en-AU"/>
              </w:rPr>
            </w:pPr>
            <w:r w:rsidRPr="002D0BE0">
              <w:rPr>
                <w:rFonts w:cs="Arial"/>
                <w:color w:val="7F7F7F"/>
                <w:szCs w:val="18"/>
                <w:lang w:eastAsia="en-AU"/>
              </w:rPr>
              <w:t>-39%</w:t>
            </w:r>
          </w:p>
        </w:tc>
        <w:tc>
          <w:tcPr>
            <w:tcW w:w="1183" w:type="dxa"/>
            <w:tcBorders>
              <w:top w:val="nil"/>
              <w:left w:val="nil"/>
              <w:bottom w:val="nil"/>
              <w:right w:val="nil"/>
            </w:tcBorders>
            <w:shd w:val="clear" w:color="auto" w:fill="auto"/>
            <w:noWrap/>
            <w:vAlign w:val="center"/>
            <w:hideMark/>
          </w:tcPr>
          <w:p w:rsidR="002D0BE0" w:rsidRPr="002D0BE0" w:rsidRDefault="002D0BE0" w:rsidP="002D0BE0">
            <w:pPr>
              <w:jc w:val="right"/>
              <w:rPr>
                <w:rFonts w:cs="Arial"/>
                <w:color w:val="7F7F7F"/>
                <w:szCs w:val="18"/>
                <w:lang w:eastAsia="en-AU"/>
              </w:rPr>
            </w:pPr>
            <w:r w:rsidRPr="002D0BE0">
              <w:rPr>
                <w:rFonts w:cs="Arial"/>
                <w:color w:val="7F7F7F"/>
                <w:szCs w:val="18"/>
                <w:lang w:eastAsia="en-AU"/>
              </w:rPr>
              <w:t>-18%</w:t>
            </w:r>
          </w:p>
        </w:tc>
        <w:tc>
          <w:tcPr>
            <w:tcW w:w="1183" w:type="dxa"/>
            <w:tcBorders>
              <w:top w:val="nil"/>
              <w:left w:val="nil"/>
              <w:bottom w:val="nil"/>
              <w:right w:val="nil"/>
            </w:tcBorders>
            <w:shd w:val="clear" w:color="auto" w:fill="auto"/>
            <w:noWrap/>
            <w:vAlign w:val="center"/>
            <w:hideMark/>
          </w:tcPr>
          <w:p w:rsidR="002D0BE0" w:rsidRPr="002D0BE0" w:rsidRDefault="002D0BE0" w:rsidP="002D0BE0">
            <w:pPr>
              <w:jc w:val="right"/>
              <w:rPr>
                <w:rFonts w:cs="Arial"/>
                <w:color w:val="7F7F7F"/>
                <w:szCs w:val="18"/>
                <w:lang w:eastAsia="en-AU"/>
              </w:rPr>
            </w:pPr>
            <w:r w:rsidRPr="002D0BE0">
              <w:rPr>
                <w:rFonts w:cs="Arial"/>
                <w:color w:val="7F7F7F"/>
                <w:szCs w:val="18"/>
                <w:lang w:eastAsia="en-AU"/>
              </w:rPr>
              <w:t>-21%</w:t>
            </w:r>
          </w:p>
        </w:tc>
      </w:tr>
      <w:tr w:rsidR="002D0BE0" w:rsidRPr="002D0BE0" w:rsidTr="002D0BE0">
        <w:trPr>
          <w:trHeight w:val="300"/>
        </w:trPr>
        <w:tc>
          <w:tcPr>
            <w:tcW w:w="2180" w:type="dxa"/>
            <w:tcBorders>
              <w:top w:val="nil"/>
              <w:left w:val="nil"/>
              <w:bottom w:val="nil"/>
              <w:right w:val="nil"/>
            </w:tcBorders>
            <w:shd w:val="clear" w:color="000000" w:fill="7F7F7F"/>
            <w:noWrap/>
            <w:vAlign w:val="center"/>
            <w:hideMark/>
          </w:tcPr>
          <w:p w:rsidR="002D0BE0" w:rsidRPr="002D0BE0" w:rsidRDefault="002D0BE0" w:rsidP="002D0BE0">
            <w:pPr>
              <w:rPr>
                <w:rFonts w:cs="Arial"/>
                <w:b/>
                <w:bCs/>
                <w:color w:val="FFFFFF"/>
                <w:szCs w:val="18"/>
                <w:lang w:eastAsia="en-AU"/>
              </w:rPr>
            </w:pPr>
            <w:r w:rsidRPr="002D0BE0">
              <w:rPr>
                <w:rFonts w:cs="Arial"/>
                <w:b/>
                <w:bCs/>
                <w:color w:val="FFFFFF"/>
                <w:szCs w:val="18"/>
                <w:lang w:eastAsia="en-AU"/>
              </w:rPr>
              <w:t>Total</w:t>
            </w:r>
          </w:p>
        </w:tc>
        <w:tc>
          <w:tcPr>
            <w:tcW w:w="1183" w:type="dxa"/>
            <w:tcBorders>
              <w:top w:val="nil"/>
              <w:left w:val="nil"/>
              <w:bottom w:val="nil"/>
              <w:right w:val="nil"/>
            </w:tcBorders>
            <w:shd w:val="clear" w:color="000000" w:fill="7F7F7F"/>
            <w:noWrap/>
            <w:vAlign w:val="center"/>
            <w:hideMark/>
          </w:tcPr>
          <w:p w:rsidR="002D0BE0" w:rsidRPr="00794B13" w:rsidRDefault="002D0BE0" w:rsidP="002D0BE0">
            <w:pPr>
              <w:jc w:val="right"/>
              <w:rPr>
                <w:rFonts w:cs="Arial"/>
                <w:b/>
                <w:color w:val="FFFFFF"/>
                <w:szCs w:val="18"/>
                <w:lang w:eastAsia="en-AU"/>
              </w:rPr>
            </w:pPr>
            <w:r w:rsidRPr="00794B13">
              <w:rPr>
                <w:rFonts w:cs="Arial"/>
                <w:b/>
                <w:color w:val="FFFFFF"/>
                <w:szCs w:val="18"/>
                <w:lang w:eastAsia="en-AU"/>
              </w:rPr>
              <w:t>-19%</w:t>
            </w:r>
          </w:p>
        </w:tc>
        <w:tc>
          <w:tcPr>
            <w:tcW w:w="1183" w:type="dxa"/>
            <w:tcBorders>
              <w:top w:val="nil"/>
              <w:left w:val="nil"/>
              <w:bottom w:val="nil"/>
              <w:right w:val="nil"/>
            </w:tcBorders>
            <w:shd w:val="clear" w:color="000000" w:fill="7F7F7F"/>
            <w:noWrap/>
            <w:vAlign w:val="center"/>
            <w:hideMark/>
          </w:tcPr>
          <w:p w:rsidR="002D0BE0" w:rsidRPr="00794B13" w:rsidRDefault="002D0BE0" w:rsidP="002D0BE0">
            <w:pPr>
              <w:jc w:val="right"/>
              <w:rPr>
                <w:rFonts w:cs="Arial"/>
                <w:b/>
                <w:color w:val="FFFFFF"/>
                <w:szCs w:val="18"/>
                <w:lang w:eastAsia="en-AU"/>
              </w:rPr>
            </w:pPr>
            <w:r w:rsidRPr="00794B13">
              <w:rPr>
                <w:rFonts w:cs="Arial"/>
                <w:b/>
                <w:color w:val="FFFFFF"/>
                <w:szCs w:val="18"/>
                <w:lang w:eastAsia="en-AU"/>
              </w:rPr>
              <w:t>-13%</w:t>
            </w:r>
          </w:p>
        </w:tc>
        <w:tc>
          <w:tcPr>
            <w:tcW w:w="1183" w:type="dxa"/>
            <w:tcBorders>
              <w:top w:val="nil"/>
              <w:left w:val="nil"/>
              <w:bottom w:val="nil"/>
              <w:right w:val="nil"/>
            </w:tcBorders>
            <w:shd w:val="clear" w:color="000000" w:fill="7F7F7F"/>
            <w:noWrap/>
            <w:vAlign w:val="center"/>
            <w:hideMark/>
          </w:tcPr>
          <w:p w:rsidR="002D0BE0" w:rsidRPr="00794B13" w:rsidRDefault="002D0BE0" w:rsidP="002D0BE0">
            <w:pPr>
              <w:jc w:val="right"/>
              <w:rPr>
                <w:rFonts w:cs="Arial"/>
                <w:b/>
                <w:color w:val="FFFFFF"/>
                <w:szCs w:val="18"/>
                <w:lang w:eastAsia="en-AU"/>
              </w:rPr>
            </w:pPr>
            <w:r w:rsidRPr="00794B13">
              <w:rPr>
                <w:rFonts w:cs="Arial"/>
                <w:b/>
                <w:color w:val="FFFFFF"/>
                <w:szCs w:val="18"/>
                <w:lang w:eastAsia="en-AU"/>
              </w:rPr>
              <w:t>-22%</w:t>
            </w:r>
          </w:p>
        </w:tc>
        <w:tc>
          <w:tcPr>
            <w:tcW w:w="1183" w:type="dxa"/>
            <w:tcBorders>
              <w:top w:val="nil"/>
              <w:left w:val="nil"/>
              <w:bottom w:val="nil"/>
              <w:right w:val="nil"/>
            </w:tcBorders>
            <w:shd w:val="clear" w:color="000000" w:fill="7F7F7F"/>
            <w:noWrap/>
            <w:vAlign w:val="center"/>
            <w:hideMark/>
          </w:tcPr>
          <w:p w:rsidR="002D0BE0" w:rsidRPr="00794B13" w:rsidRDefault="002D0BE0" w:rsidP="002D0BE0">
            <w:pPr>
              <w:jc w:val="right"/>
              <w:rPr>
                <w:rFonts w:cs="Arial"/>
                <w:b/>
                <w:color w:val="FFFFFF"/>
                <w:szCs w:val="18"/>
                <w:lang w:eastAsia="en-AU"/>
              </w:rPr>
            </w:pPr>
            <w:r w:rsidRPr="00794B13">
              <w:rPr>
                <w:rFonts w:cs="Arial"/>
                <w:b/>
                <w:color w:val="FFFFFF"/>
                <w:szCs w:val="18"/>
                <w:lang w:eastAsia="en-AU"/>
              </w:rPr>
              <w:t>-6%</w:t>
            </w:r>
          </w:p>
        </w:tc>
        <w:tc>
          <w:tcPr>
            <w:tcW w:w="1183" w:type="dxa"/>
            <w:tcBorders>
              <w:top w:val="nil"/>
              <w:left w:val="nil"/>
              <w:bottom w:val="nil"/>
              <w:right w:val="nil"/>
            </w:tcBorders>
            <w:shd w:val="clear" w:color="000000" w:fill="7F7F7F"/>
            <w:noWrap/>
            <w:vAlign w:val="center"/>
            <w:hideMark/>
          </w:tcPr>
          <w:p w:rsidR="002D0BE0" w:rsidRPr="00794B13" w:rsidRDefault="002D0BE0" w:rsidP="002D0BE0">
            <w:pPr>
              <w:jc w:val="right"/>
              <w:rPr>
                <w:rFonts w:cs="Arial"/>
                <w:b/>
                <w:color w:val="FFFFFF"/>
                <w:szCs w:val="18"/>
                <w:lang w:eastAsia="en-AU"/>
              </w:rPr>
            </w:pPr>
            <w:r w:rsidRPr="00794B13">
              <w:rPr>
                <w:rFonts w:cs="Arial"/>
                <w:b/>
                <w:color w:val="FFFFFF"/>
                <w:szCs w:val="18"/>
                <w:lang w:eastAsia="en-AU"/>
              </w:rPr>
              <w:t>-12%</w:t>
            </w:r>
          </w:p>
        </w:tc>
      </w:tr>
    </w:tbl>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4A0" w:firstRow="1" w:lastRow="0" w:firstColumn="1" w:lastColumn="0" w:noHBand="0" w:noVBand="1"/>
      </w:tblPr>
      <w:tblGrid>
        <w:gridCol w:w="431"/>
        <w:gridCol w:w="7649"/>
      </w:tblGrid>
      <w:tr w:rsidR="002D0BE0" w:rsidRPr="00913551" w:rsidTr="002D0BE0">
        <w:tc>
          <w:tcPr>
            <w:tcW w:w="431" w:type="dxa"/>
            <w:tcMar>
              <w:left w:w="0" w:type="dxa"/>
              <w:right w:w="28" w:type="dxa"/>
            </w:tcMar>
          </w:tcPr>
          <w:p w:rsidR="002D0BE0" w:rsidRPr="00913551" w:rsidRDefault="002D0BE0" w:rsidP="002D0BE0">
            <w:pPr>
              <w:spacing w:after="0" w:line="240" w:lineRule="auto"/>
              <w:jc w:val="right"/>
              <w:rPr>
                <w:color w:val="7F7F7F" w:themeColor="text2"/>
                <w:sz w:val="16"/>
                <w:szCs w:val="16"/>
              </w:rPr>
            </w:pPr>
            <w:r w:rsidRPr="00913551">
              <w:rPr>
                <w:color w:val="7F7F7F" w:themeColor="text2"/>
                <w:sz w:val="16"/>
                <w:szCs w:val="16"/>
              </w:rPr>
              <w:t xml:space="preserve">* </w:t>
            </w:r>
          </w:p>
        </w:tc>
        <w:tc>
          <w:tcPr>
            <w:tcW w:w="7649" w:type="dxa"/>
            <w:tcMar>
              <w:left w:w="0" w:type="dxa"/>
              <w:right w:w="28" w:type="dxa"/>
            </w:tcMar>
          </w:tcPr>
          <w:p w:rsidR="002D0BE0" w:rsidRPr="00913551" w:rsidRDefault="002D0BE0" w:rsidP="002D0BE0">
            <w:pPr>
              <w:pStyle w:val="Note"/>
              <w:spacing w:after="0"/>
              <w:rPr>
                <w:i w:val="0"/>
                <w:color w:val="7F7F7F" w:themeColor="text2"/>
              </w:rPr>
            </w:pPr>
            <w:r w:rsidRPr="00913551">
              <w:t>‘Other’ includes age under 15 years old, 65 years and over or not stated.</w:t>
            </w:r>
          </w:p>
        </w:tc>
      </w:tr>
    </w:tbl>
    <w:p w:rsidR="002D0BE0" w:rsidRDefault="002D0BE0" w:rsidP="00ED5B57">
      <w:pPr>
        <w:pStyle w:val="Quote"/>
        <w:rPr>
          <w:b w:val="0"/>
          <w:sz w:val="18"/>
          <w:szCs w:val="18"/>
        </w:rPr>
      </w:pPr>
    </w:p>
    <w:p w:rsidR="002D0BE0" w:rsidRDefault="002D0BE0" w:rsidP="00ED5B57">
      <w:pPr>
        <w:pStyle w:val="Quote"/>
        <w:rPr>
          <w:b w:val="0"/>
          <w:sz w:val="18"/>
          <w:szCs w:val="18"/>
        </w:rPr>
      </w:pPr>
    </w:p>
    <w:p w:rsidR="00202CFC" w:rsidRDefault="00202CFC">
      <w:pPr>
        <w:rPr>
          <w:b/>
          <w:color w:val="7F7F7F" w:themeColor="text2"/>
          <w:sz w:val="19"/>
          <w:szCs w:val="19"/>
        </w:rPr>
      </w:pPr>
      <w:r>
        <w:br w:type="page"/>
      </w: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F901C3" w:rsidTr="00F901C3">
        <w:tc>
          <w:tcPr>
            <w:tcW w:w="1134" w:type="dxa"/>
            <w:tcMar>
              <w:left w:w="0" w:type="dxa"/>
              <w:right w:w="0" w:type="dxa"/>
            </w:tcMar>
          </w:tcPr>
          <w:p w:rsidR="00F901C3" w:rsidRDefault="00F901C3" w:rsidP="005A7424">
            <w:pPr>
              <w:pStyle w:val="Quote"/>
              <w:tabs>
                <w:tab w:val="left" w:pos="1134"/>
              </w:tabs>
              <w:rPr>
                <w:b w:val="0"/>
                <w:color w:val="B41F22" w:themeColor="accent1"/>
              </w:rPr>
            </w:pPr>
            <w:r>
              <w:rPr>
                <w:b w:val="0"/>
                <w:color w:val="B41F22" w:themeColor="accent1"/>
              </w:rPr>
              <w:lastRenderedPageBreak/>
              <w:t>Table 1.3</w:t>
            </w:r>
            <w:r w:rsidR="0084117E">
              <w:rPr>
                <w:b w:val="0"/>
                <w:color w:val="B41F22" w:themeColor="accent1"/>
              </w:rPr>
              <w:t>4</w:t>
            </w:r>
            <w:r>
              <w:rPr>
                <w:b w:val="0"/>
                <w:color w:val="B41F22" w:themeColor="accent1"/>
              </w:rPr>
              <w:t>.1:</w:t>
            </w:r>
          </w:p>
        </w:tc>
        <w:tc>
          <w:tcPr>
            <w:tcW w:w="6946" w:type="dxa"/>
            <w:tcMar>
              <w:left w:w="0" w:type="dxa"/>
              <w:right w:w="0" w:type="dxa"/>
            </w:tcMar>
          </w:tcPr>
          <w:p w:rsidR="00F901C3" w:rsidRDefault="001D22F4" w:rsidP="007E03F8">
            <w:pPr>
              <w:pStyle w:val="Quote"/>
              <w:tabs>
                <w:tab w:val="left" w:pos="1134"/>
              </w:tabs>
              <w:rPr>
                <w:b w:val="0"/>
                <w:color w:val="B41F22" w:themeColor="accent1"/>
              </w:rPr>
            </w:pPr>
            <w:r>
              <w:rPr>
                <w:b w:val="0"/>
                <w:color w:val="B41F22" w:themeColor="accent1"/>
              </w:rPr>
              <w:t>Domestic f</w:t>
            </w:r>
            <w:r w:rsidR="00F901C3" w:rsidRPr="002D0BE0">
              <w:rPr>
                <w:b w:val="0"/>
                <w:color w:val="B41F22" w:themeColor="accent1"/>
              </w:rPr>
              <w:t xml:space="preserve">ee-for-service enrolments </w:t>
            </w:r>
            <w:r w:rsidR="007E03F8">
              <w:rPr>
                <w:b w:val="0"/>
                <w:color w:val="B41F22" w:themeColor="accent1"/>
              </w:rPr>
              <w:t>at</w:t>
            </w:r>
            <w:r w:rsidR="00F901C3" w:rsidRPr="002D0BE0">
              <w:rPr>
                <w:b w:val="0"/>
                <w:color w:val="B41F22" w:themeColor="accent1"/>
              </w:rPr>
              <w:t xml:space="preserve"> TAFE by </w:t>
            </w:r>
            <w:r>
              <w:rPr>
                <w:b w:val="0"/>
                <w:color w:val="B41F22" w:themeColor="accent1"/>
              </w:rPr>
              <w:t>Departmental administrative delivery region</w:t>
            </w:r>
            <w:r w:rsidR="00F901C3" w:rsidRPr="002D0BE0">
              <w:rPr>
                <w:b w:val="0"/>
                <w:color w:val="B41F22" w:themeColor="accent1"/>
              </w:rPr>
              <w:t>, 2010 to 2015 (half year)</w:t>
            </w:r>
          </w:p>
        </w:tc>
      </w:tr>
    </w:tbl>
    <w:tbl>
      <w:tblPr>
        <w:tblW w:w="8095" w:type="dxa"/>
        <w:tblInd w:w="93" w:type="dxa"/>
        <w:tblLayout w:type="fixed"/>
        <w:tblLook w:val="04A0" w:firstRow="1" w:lastRow="0" w:firstColumn="1" w:lastColumn="0" w:noHBand="0" w:noVBand="1"/>
      </w:tblPr>
      <w:tblGrid>
        <w:gridCol w:w="2180"/>
        <w:gridCol w:w="985"/>
        <w:gridCol w:w="986"/>
        <w:gridCol w:w="986"/>
        <w:gridCol w:w="986"/>
        <w:gridCol w:w="986"/>
        <w:gridCol w:w="986"/>
      </w:tblGrid>
      <w:tr w:rsidR="00F901C3" w:rsidRPr="00F901C3" w:rsidTr="00F901C3">
        <w:trPr>
          <w:trHeight w:val="300"/>
        </w:trPr>
        <w:tc>
          <w:tcPr>
            <w:tcW w:w="2180" w:type="dxa"/>
            <w:tcBorders>
              <w:top w:val="nil"/>
              <w:left w:val="nil"/>
              <w:bottom w:val="nil"/>
              <w:right w:val="nil"/>
            </w:tcBorders>
            <w:shd w:val="clear" w:color="000000" w:fill="7F7F7F"/>
            <w:noWrap/>
            <w:vAlign w:val="center"/>
            <w:hideMark/>
          </w:tcPr>
          <w:p w:rsidR="00F901C3" w:rsidRPr="00F901C3" w:rsidRDefault="00F901C3" w:rsidP="00F901C3">
            <w:pPr>
              <w:rPr>
                <w:rFonts w:cs="Arial"/>
                <w:color w:val="FFFFFF"/>
                <w:szCs w:val="18"/>
                <w:lang w:eastAsia="en-AU"/>
              </w:rPr>
            </w:pPr>
            <w:r w:rsidRPr="00F901C3">
              <w:rPr>
                <w:rFonts w:cs="Arial"/>
                <w:color w:val="FFFFFF"/>
                <w:szCs w:val="18"/>
                <w:lang w:eastAsia="en-AU"/>
              </w:rPr>
              <w:t> </w:t>
            </w:r>
          </w:p>
        </w:tc>
        <w:tc>
          <w:tcPr>
            <w:tcW w:w="985" w:type="dxa"/>
            <w:tcBorders>
              <w:top w:val="nil"/>
              <w:left w:val="nil"/>
              <w:bottom w:val="nil"/>
              <w:right w:val="nil"/>
            </w:tcBorders>
            <w:shd w:val="clear" w:color="000000" w:fill="7F7F7F"/>
            <w:noWrap/>
            <w:vAlign w:val="center"/>
            <w:hideMark/>
          </w:tcPr>
          <w:p w:rsidR="00F901C3" w:rsidRPr="00F901C3" w:rsidRDefault="00F901C3" w:rsidP="00F901C3">
            <w:pPr>
              <w:jc w:val="right"/>
              <w:rPr>
                <w:rFonts w:cs="Arial"/>
                <w:b/>
                <w:bCs/>
                <w:color w:val="FFFFFF"/>
                <w:szCs w:val="18"/>
                <w:lang w:eastAsia="en-AU"/>
              </w:rPr>
            </w:pPr>
            <w:r w:rsidRPr="00F901C3">
              <w:rPr>
                <w:rFonts w:cs="Arial"/>
                <w:b/>
                <w:bCs/>
                <w:color w:val="FFFFFF"/>
                <w:szCs w:val="18"/>
                <w:lang w:eastAsia="en-AU"/>
              </w:rPr>
              <w:t>2010</w:t>
            </w:r>
          </w:p>
        </w:tc>
        <w:tc>
          <w:tcPr>
            <w:tcW w:w="986" w:type="dxa"/>
            <w:tcBorders>
              <w:top w:val="nil"/>
              <w:left w:val="nil"/>
              <w:bottom w:val="nil"/>
              <w:right w:val="nil"/>
            </w:tcBorders>
            <w:shd w:val="clear" w:color="000000" w:fill="7F7F7F"/>
            <w:noWrap/>
            <w:vAlign w:val="center"/>
            <w:hideMark/>
          </w:tcPr>
          <w:p w:rsidR="00F901C3" w:rsidRPr="00F901C3" w:rsidRDefault="00F901C3" w:rsidP="00F901C3">
            <w:pPr>
              <w:jc w:val="right"/>
              <w:rPr>
                <w:rFonts w:cs="Arial"/>
                <w:b/>
                <w:bCs/>
                <w:color w:val="FFFFFF"/>
                <w:szCs w:val="18"/>
                <w:lang w:eastAsia="en-AU"/>
              </w:rPr>
            </w:pPr>
            <w:r w:rsidRPr="00F901C3">
              <w:rPr>
                <w:rFonts w:cs="Arial"/>
                <w:b/>
                <w:bCs/>
                <w:color w:val="FFFFFF"/>
                <w:szCs w:val="18"/>
                <w:lang w:eastAsia="en-AU"/>
              </w:rPr>
              <w:t>2011</w:t>
            </w:r>
          </w:p>
        </w:tc>
        <w:tc>
          <w:tcPr>
            <w:tcW w:w="986" w:type="dxa"/>
            <w:tcBorders>
              <w:top w:val="nil"/>
              <w:left w:val="nil"/>
              <w:bottom w:val="nil"/>
              <w:right w:val="nil"/>
            </w:tcBorders>
            <w:shd w:val="clear" w:color="000000" w:fill="7F7F7F"/>
            <w:noWrap/>
            <w:vAlign w:val="center"/>
            <w:hideMark/>
          </w:tcPr>
          <w:p w:rsidR="00F901C3" w:rsidRPr="00F901C3" w:rsidRDefault="00F901C3" w:rsidP="00F901C3">
            <w:pPr>
              <w:jc w:val="right"/>
              <w:rPr>
                <w:rFonts w:cs="Arial"/>
                <w:b/>
                <w:bCs/>
                <w:color w:val="FFFFFF"/>
                <w:szCs w:val="18"/>
                <w:lang w:eastAsia="en-AU"/>
              </w:rPr>
            </w:pPr>
            <w:r w:rsidRPr="00F901C3">
              <w:rPr>
                <w:rFonts w:cs="Arial"/>
                <w:b/>
                <w:bCs/>
                <w:color w:val="FFFFFF"/>
                <w:szCs w:val="18"/>
                <w:lang w:eastAsia="en-AU"/>
              </w:rPr>
              <w:t>2012</w:t>
            </w:r>
          </w:p>
        </w:tc>
        <w:tc>
          <w:tcPr>
            <w:tcW w:w="986" w:type="dxa"/>
            <w:tcBorders>
              <w:top w:val="nil"/>
              <w:left w:val="nil"/>
              <w:bottom w:val="nil"/>
              <w:right w:val="nil"/>
            </w:tcBorders>
            <w:shd w:val="clear" w:color="000000" w:fill="7F7F7F"/>
            <w:noWrap/>
            <w:vAlign w:val="center"/>
            <w:hideMark/>
          </w:tcPr>
          <w:p w:rsidR="00F901C3" w:rsidRPr="00F901C3" w:rsidRDefault="00F901C3" w:rsidP="00F901C3">
            <w:pPr>
              <w:jc w:val="right"/>
              <w:rPr>
                <w:rFonts w:cs="Arial"/>
                <w:b/>
                <w:bCs/>
                <w:color w:val="FFFFFF"/>
                <w:szCs w:val="18"/>
                <w:lang w:eastAsia="en-AU"/>
              </w:rPr>
            </w:pPr>
            <w:r w:rsidRPr="00F901C3">
              <w:rPr>
                <w:rFonts w:cs="Arial"/>
                <w:b/>
                <w:bCs/>
                <w:color w:val="FFFFFF"/>
                <w:szCs w:val="18"/>
                <w:lang w:eastAsia="en-AU"/>
              </w:rPr>
              <w:t>2013</w:t>
            </w:r>
          </w:p>
        </w:tc>
        <w:tc>
          <w:tcPr>
            <w:tcW w:w="986" w:type="dxa"/>
            <w:tcBorders>
              <w:top w:val="nil"/>
              <w:left w:val="nil"/>
              <w:bottom w:val="nil"/>
              <w:right w:val="nil"/>
            </w:tcBorders>
            <w:shd w:val="clear" w:color="000000" w:fill="7F7F7F"/>
            <w:noWrap/>
            <w:vAlign w:val="center"/>
            <w:hideMark/>
          </w:tcPr>
          <w:p w:rsidR="00F901C3" w:rsidRPr="00F901C3" w:rsidRDefault="00F901C3" w:rsidP="00F901C3">
            <w:pPr>
              <w:jc w:val="right"/>
              <w:rPr>
                <w:rFonts w:cs="Arial"/>
                <w:b/>
                <w:bCs/>
                <w:color w:val="FFFFFF"/>
                <w:szCs w:val="18"/>
                <w:lang w:eastAsia="en-AU"/>
              </w:rPr>
            </w:pPr>
            <w:r w:rsidRPr="00F901C3">
              <w:rPr>
                <w:rFonts w:cs="Arial"/>
                <w:b/>
                <w:bCs/>
                <w:color w:val="FFFFFF"/>
                <w:szCs w:val="18"/>
                <w:lang w:eastAsia="en-AU"/>
              </w:rPr>
              <w:t>2014</w:t>
            </w:r>
          </w:p>
        </w:tc>
        <w:tc>
          <w:tcPr>
            <w:tcW w:w="986" w:type="dxa"/>
            <w:tcBorders>
              <w:top w:val="nil"/>
              <w:left w:val="nil"/>
              <w:bottom w:val="nil"/>
              <w:right w:val="nil"/>
            </w:tcBorders>
            <w:shd w:val="clear" w:color="000000" w:fill="7F7F7F"/>
            <w:noWrap/>
            <w:vAlign w:val="center"/>
            <w:hideMark/>
          </w:tcPr>
          <w:p w:rsidR="00F901C3" w:rsidRPr="00F901C3" w:rsidRDefault="00F901C3" w:rsidP="00F901C3">
            <w:pPr>
              <w:jc w:val="right"/>
              <w:rPr>
                <w:rFonts w:cs="Arial"/>
                <w:b/>
                <w:bCs/>
                <w:color w:val="FFFFFF"/>
                <w:szCs w:val="18"/>
                <w:lang w:eastAsia="en-AU"/>
              </w:rPr>
            </w:pPr>
            <w:r w:rsidRPr="00F901C3">
              <w:rPr>
                <w:rFonts w:cs="Arial"/>
                <w:b/>
                <w:bCs/>
                <w:color w:val="FFFFFF"/>
                <w:szCs w:val="18"/>
                <w:lang w:eastAsia="en-AU"/>
              </w:rPr>
              <w:t>2015</w:t>
            </w:r>
          </w:p>
        </w:tc>
      </w:tr>
      <w:tr w:rsidR="00F901C3" w:rsidRPr="00F901C3" w:rsidTr="00F901C3">
        <w:trPr>
          <w:trHeight w:val="300"/>
        </w:trPr>
        <w:tc>
          <w:tcPr>
            <w:tcW w:w="2180" w:type="dxa"/>
            <w:tcBorders>
              <w:top w:val="nil"/>
              <w:left w:val="nil"/>
              <w:bottom w:val="nil"/>
              <w:right w:val="nil"/>
            </w:tcBorders>
            <w:shd w:val="clear" w:color="auto" w:fill="auto"/>
            <w:noWrap/>
            <w:vAlign w:val="center"/>
            <w:hideMark/>
          </w:tcPr>
          <w:p w:rsidR="00F901C3" w:rsidRPr="00F901C3" w:rsidRDefault="00F901C3" w:rsidP="00F901C3">
            <w:pPr>
              <w:rPr>
                <w:rFonts w:cs="Arial"/>
                <w:color w:val="7F7F7F"/>
                <w:szCs w:val="18"/>
                <w:lang w:eastAsia="en-AU"/>
              </w:rPr>
            </w:pPr>
            <w:r w:rsidRPr="00F901C3">
              <w:rPr>
                <w:rFonts w:cs="Arial"/>
                <w:color w:val="7F7F7F"/>
                <w:szCs w:val="18"/>
                <w:lang w:eastAsia="en-AU"/>
              </w:rPr>
              <w:t>North-Eastern Victoria</w:t>
            </w:r>
          </w:p>
        </w:tc>
        <w:tc>
          <w:tcPr>
            <w:tcW w:w="985" w:type="dxa"/>
            <w:tcBorders>
              <w:top w:val="nil"/>
              <w:left w:val="nil"/>
              <w:bottom w:val="nil"/>
              <w:right w:val="nil"/>
            </w:tcBorders>
            <w:shd w:val="clear" w:color="auto" w:fill="auto"/>
            <w:noWrap/>
            <w:vAlign w:val="center"/>
            <w:hideMark/>
          </w:tcPr>
          <w:p w:rsidR="00F901C3" w:rsidRPr="00F901C3" w:rsidRDefault="00F901C3" w:rsidP="00F901C3">
            <w:pPr>
              <w:jc w:val="right"/>
              <w:rPr>
                <w:rFonts w:cs="Arial"/>
                <w:color w:val="7F7F7F"/>
                <w:szCs w:val="18"/>
                <w:lang w:eastAsia="en-AU"/>
              </w:rPr>
            </w:pPr>
            <w:r w:rsidRPr="00F901C3">
              <w:rPr>
                <w:rFonts w:cs="Arial"/>
                <w:color w:val="7F7F7F"/>
                <w:szCs w:val="18"/>
                <w:lang w:eastAsia="en-AU"/>
              </w:rPr>
              <w:t>14,843</w:t>
            </w:r>
          </w:p>
        </w:tc>
        <w:tc>
          <w:tcPr>
            <w:tcW w:w="986" w:type="dxa"/>
            <w:tcBorders>
              <w:top w:val="nil"/>
              <w:left w:val="nil"/>
              <w:bottom w:val="nil"/>
              <w:right w:val="nil"/>
            </w:tcBorders>
            <w:shd w:val="clear" w:color="auto" w:fill="auto"/>
            <w:noWrap/>
            <w:vAlign w:val="center"/>
            <w:hideMark/>
          </w:tcPr>
          <w:p w:rsidR="00F901C3" w:rsidRPr="00F901C3" w:rsidRDefault="00F901C3" w:rsidP="00F901C3">
            <w:pPr>
              <w:jc w:val="right"/>
              <w:rPr>
                <w:rFonts w:cs="Arial"/>
                <w:color w:val="7F7F7F"/>
                <w:szCs w:val="18"/>
                <w:lang w:eastAsia="en-AU"/>
              </w:rPr>
            </w:pPr>
            <w:r w:rsidRPr="00F901C3">
              <w:rPr>
                <w:rFonts w:cs="Arial"/>
                <w:color w:val="7F7F7F"/>
                <w:szCs w:val="18"/>
                <w:lang w:eastAsia="en-AU"/>
              </w:rPr>
              <w:t>13,158</w:t>
            </w:r>
          </w:p>
        </w:tc>
        <w:tc>
          <w:tcPr>
            <w:tcW w:w="986" w:type="dxa"/>
            <w:tcBorders>
              <w:top w:val="nil"/>
              <w:left w:val="nil"/>
              <w:bottom w:val="nil"/>
              <w:right w:val="nil"/>
            </w:tcBorders>
            <w:shd w:val="clear" w:color="auto" w:fill="auto"/>
            <w:noWrap/>
            <w:vAlign w:val="center"/>
            <w:hideMark/>
          </w:tcPr>
          <w:p w:rsidR="00F901C3" w:rsidRPr="00F901C3" w:rsidRDefault="00F901C3" w:rsidP="00F901C3">
            <w:pPr>
              <w:jc w:val="right"/>
              <w:rPr>
                <w:rFonts w:cs="Arial"/>
                <w:color w:val="7F7F7F"/>
                <w:szCs w:val="18"/>
                <w:lang w:eastAsia="en-AU"/>
              </w:rPr>
            </w:pPr>
            <w:r w:rsidRPr="00F901C3">
              <w:rPr>
                <w:rFonts w:cs="Arial"/>
                <w:color w:val="7F7F7F"/>
                <w:szCs w:val="18"/>
                <w:lang w:eastAsia="en-AU"/>
              </w:rPr>
              <w:t>14,663</w:t>
            </w:r>
          </w:p>
        </w:tc>
        <w:tc>
          <w:tcPr>
            <w:tcW w:w="986" w:type="dxa"/>
            <w:tcBorders>
              <w:top w:val="nil"/>
              <w:left w:val="nil"/>
              <w:bottom w:val="nil"/>
              <w:right w:val="nil"/>
            </w:tcBorders>
            <w:shd w:val="clear" w:color="auto" w:fill="auto"/>
            <w:noWrap/>
            <w:vAlign w:val="center"/>
            <w:hideMark/>
          </w:tcPr>
          <w:p w:rsidR="00F901C3" w:rsidRPr="00F901C3" w:rsidRDefault="00F901C3" w:rsidP="00F901C3">
            <w:pPr>
              <w:jc w:val="right"/>
              <w:rPr>
                <w:rFonts w:cs="Arial"/>
                <w:color w:val="7F7F7F"/>
                <w:szCs w:val="18"/>
                <w:lang w:eastAsia="en-AU"/>
              </w:rPr>
            </w:pPr>
            <w:r w:rsidRPr="00F901C3">
              <w:rPr>
                <w:rFonts w:cs="Arial"/>
                <w:color w:val="7F7F7F"/>
                <w:szCs w:val="18"/>
                <w:lang w:eastAsia="en-AU"/>
              </w:rPr>
              <w:t>13,582</w:t>
            </w:r>
          </w:p>
        </w:tc>
        <w:tc>
          <w:tcPr>
            <w:tcW w:w="986" w:type="dxa"/>
            <w:tcBorders>
              <w:top w:val="nil"/>
              <w:left w:val="nil"/>
              <w:bottom w:val="nil"/>
              <w:right w:val="nil"/>
            </w:tcBorders>
            <w:shd w:val="clear" w:color="auto" w:fill="auto"/>
            <w:noWrap/>
            <w:vAlign w:val="center"/>
            <w:hideMark/>
          </w:tcPr>
          <w:p w:rsidR="00F901C3" w:rsidRPr="00F901C3" w:rsidRDefault="00F901C3" w:rsidP="00F901C3">
            <w:pPr>
              <w:jc w:val="right"/>
              <w:rPr>
                <w:rFonts w:cs="Arial"/>
                <w:color w:val="7F7F7F"/>
                <w:szCs w:val="18"/>
                <w:lang w:eastAsia="en-AU"/>
              </w:rPr>
            </w:pPr>
            <w:r w:rsidRPr="00F901C3">
              <w:rPr>
                <w:rFonts w:cs="Arial"/>
                <w:color w:val="7F7F7F"/>
                <w:szCs w:val="18"/>
                <w:lang w:eastAsia="en-AU"/>
              </w:rPr>
              <w:t>12,986</w:t>
            </w:r>
          </w:p>
        </w:tc>
        <w:tc>
          <w:tcPr>
            <w:tcW w:w="986" w:type="dxa"/>
            <w:tcBorders>
              <w:top w:val="nil"/>
              <w:left w:val="nil"/>
              <w:bottom w:val="nil"/>
              <w:right w:val="nil"/>
            </w:tcBorders>
            <w:shd w:val="clear" w:color="auto" w:fill="auto"/>
            <w:noWrap/>
            <w:vAlign w:val="center"/>
            <w:hideMark/>
          </w:tcPr>
          <w:p w:rsidR="00F901C3" w:rsidRPr="00F901C3" w:rsidRDefault="00F901C3" w:rsidP="00F901C3">
            <w:pPr>
              <w:jc w:val="right"/>
              <w:rPr>
                <w:rFonts w:cs="Arial"/>
                <w:color w:val="7F7F7F"/>
                <w:szCs w:val="18"/>
                <w:lang w:eastAsia="en-AU"/>
              </w:rPr>
            </w:pPr>
            <w:r w:rsidRPr="00F901C3">
              <w:rPr>
                <w:rFonts w:cs="Arial"/>
                <w:color w:val="7F7F7F"/>
                <w:szCs w:val="18"/>
                <w:lang w:eastAsia="en-AU"/>
              </w:rPr>
              <w:t>13,440</w:t>
            </w:r>
          </w:p>
        </w:tc>
      </w:tr>
      <w:tr w:rsidR="00F901C3" w:rsidRPr="00F901C3" w:rsidTr="00F901C3">
        <w:trPr>
          <w:trHeight w:val="300"/>
        </w:trPr>
        <w:tc>
          <w:tcPr>
            <w:tcW w:w="2180" w:type="dxa"/>
            <w:tcBorders>
              <w:top w:val="nil"/>
              <w:left w:val="nil"/>
              <w:bottom w:val="nil"/>
              <w:right w:val="nil"/>
            </w:tcBorders>
            <w:shd w:val="clear" w:color="auto" w:fill="auto"/>
            <w:noWrap/>
            <w:vAlign w:val="center"/>
            <w:hideMark/>
          </w:tcPr>
          <w:p w:rsidR="00F901C3" w:rsidRPr="00F901C3" w:rsidRDefault="00F901C3" w:rsidP="00F901C3">
            <w:pPr>
              <w:rPr>
                <w:rFonts w:cs="Arial"/>
                <w:color w:val="7F7F7F"/>
                <w:szCs w:val="18"/>
                <w:lang w:eastAsia="en-AU"/>
              </w:rPr>
            </w:pPr>
            <w:r w:rsidRPr="00F901C3">
              <w:rPr>
                <w:rFonts w:cs="Arial"/>
                <w:color w:val="7F7F7F"/>
                <w:szCs w:val="18"/>
                <w:lang w:eastAsia="en-AU"/>
              </w:rPr>
              <w:t>North-Western Victoria</w:t>
            </w:r>
          </w:p>
        </w:tc>
        <w:tc>
          <w:tcPr>
            <w:tcW w:w="985" w:type="dxa"/>
            <w:tcBorders>
              <w:top w:val="nil"/>
              <w:left w:val="nil"/>
              <w:bottom w:val="nil"/>
              <w:right w:val="nil"/>
            </w:tcBorders>
            <w:shd w:val="clear" w:color="auto" w:fill="auto"/>
            <w:noWrap/>
            <w:vAlign w:val="center"/>
            <w:hideMark/>
          </w:tcPr>
          <w:p w:rsidR="00F901C3" w:rsidRPr="00F901C3" w:rsidRDefault="00F901C3" w:rsidP="00F901C3">
            <w:pPr>
              <w:jc w:val="right"/>
              <w:rPr>
                <w:rFonts w:cs="Arial"/>
                <w:color w:val="7F7F7F"/>
                <w:szCs w:val="18"/>
                <w:lang w:eastAsia="en-AU"/>
              </w:rPr>
            </w:pPr>
            <w:r w:rsidRPr="00F901C3">
              <w:rPr>
                <w:rFonts w:cs="Arial"/>
                <w:color w:val="7F7F7F"/>
                <w:szCs w:val="18"/>
                <w:lang w:eastAsia="en-AU"/>
              </w:rPr>
              <w:t>14,174</w:t>
            </w:r>
          </w:p>
        </w:tc>
        <w:tc>
          <w:tcPr>
            <w:tcW w:w="986" w:type="dxa"/>
            <w:tcBorders>
              <w:top w:val="nil"/>
              <w:left w:val="nil"/>
              <w:bottom w:val="nil"/>
              <w:right w:val="nil"/>
            </w:tcBorders>
            <w:shd w:val="clear" w:color="auto" w:fill="auto"/>
            <w:noWrap/>
            <w:vAlign w:val="center"/>
            <w:hideMark/>
          </w:tcPr>
          <w:p w:rsidR="00F901C3" w:rsidRPr="00F901C3" w:rsidRDefault="00F901C3" w:rsidP="00F901C3">
            <w:pPr>
              <w:jc w:val="right"/>
              <w:rPr>
                <w:rFonts w:cs="Arial"/>
                <w:color w:val="7F7F7F"/>
                <w:szCs w:val="18"/>
                <w:lang w:eastAsia="en-AU"/>
              </w:rPr>
            </w:pPr>
            <w:r w:rsidRPr="00F901C3">
              <w:rPr>
                <w:rFonts w:cs="Arial"/>
                <w:color w:val="7F7F7F"/>
                <w:szCs w:val="18"/>
                <w:lang w:eastAsia="en-AU"/>
              </w:rPr>
              <w:t>13,112</w:t>
            </w:r>
          </w:p>
        </w:tc>
        <w:tc>
          <w:tcPr>
            <w:tcW w:w="986" w:type="dxa"/>
            <w:tcBorders>
              <w:top w:val="nil"/>
              <w:left w:val="nil"/>
              <w:bottom w:val="nil"/>
              <w:right w:val="nil"/>
            </w:tcBorders>
            <w:shd w:val="clear" w:color="auto" w:fill="auto"/>
            <w:noWrap/>
            <w:vAlign w:val="center"/>
            <w:hideMark/>
          </w:tcPr>
          <w:p w:rsidR="00F901C3" w:rsidRPr="00F901C3" w:rsidRDefault="00F901C3" w:rsidP="00F901C3">
            <w:pPr>
              <w:jc w:val="right"/>
              <w:rPr>
                <w:rFonts w:cs="Arial"/>
                <w:color w:val="7F7F7F"/>
                <w:szCs w:val="18"/>
                <w:lang w:eastAsia="en-AU"/>
              </w:rPr>
            </w:pPr>
            <w:r w:rsidRPr="00F901C3">
              <w:rPr>
                <w:rFonts w:cs="Arial"/>
                <w:color w:val="7F7F7F"/>
                <w:szCs w:val="18"/>
                <w:lang w:eastAsia="en-AU"/>
              </w:rPr>
              <w:t>14,664</w:t>
            </w:r>
          </w:p>
        </w:tc>
        <w:tc>
          <w:tcPr>
            <w:tcW w:w="986" w:type="dxa"/>
            <w:tcBorders>
              <w:top w:val="nil"/>
              <w:left w:val="nil"/>
              <w:bottom w:val="nil"/>
              <w:right w:val="nil"/>
            </w:tcBorders>
            <w:shd w:val="clear" w:color="auto" w:fill="auto"/>
            <w:noWrap/>
            <w:vAlign w:val="center"/>
            <w:hideMark/>
          </w:tcPr>
          <w:p w:rsidR="00F901C3" w:rsidRPr="00F901C3" w:rsidRDefault="00F901C3" w:rsidP="00F901C3">
            <w:pPr>
              <w:jc w:val="right"/>
              <w:rPr>
                <w:rFonts w:cs="Arial"/>
                <w:color w:val="7F7F7F"/>
                <w:szCs w:val="18"/>
                <w:lang w:eastAsia="en-AU"/>
              </w:rPr>
            </w:pPr>
            <w:r w:rsidRPr="00F901C3">
              <w:rPr>
                <w:rFonts w:cs="Arial"/>
                <w:color w:val="7F7F7F"/>
                <w:szCs w:val="18"/>
                <w:lang w:eastAsia="en-AU"/>
              </w:rPr>
              <w:t>15,413</w:t>
            </w:r>
          </w:p>
        </w:tc>
        <w:tc>
          <w:tcPr>
            <w:tcW w:w="986" w:type="dxa"/>
            <w:tcBorders>
              <w:top w:val="nil"/>
              <w:left w:val="nil"/>
              <w:bottom w:val="nil"/>
              <w:right w:val="nil"/>
            </w:tcBorders>
            <w:shd w:val="clear" w:color="auto" w:fill="auto"/>
            <w:noWrap/>
            <w:vAlign w:val="center"/>
            <w:hideMark/>
          </w:tcPr>
          <w:p w:rsidR="00F901C3" w:rsidRPr="00F901C3" w:rsidRDefault="00F901C3" w:rsidP="00F901C3">
            <w:pPr>
              <w:jc w:val="right"/>
              <w:rPr>
                <w:rFonts w:cs="Arial"/>
                <w:color w:val="7F7F7F"/>
                <w:szCs w:val="18"/>
                <w:lang w:eastAsia="en-AU"/>
              </w:rPr>
            </w:pPr>
            <w:r w:rsidRPr="00F901C3">
              <w:rPr>
                <w:rFonts w:cs="Arial"/>
                <w:color w:val="7F7F7F"/>
                <w:szCs w:val="18"/>
                <w:lang w:eastAsia="en-AU"/>
              </w:rPr>
              <w:t>14,874</w:t>
            </w:r>
          </w:p>
        </w:tc>
        <w:tc>
          <w:tcPr>
            <w:tcW w:w="986" w:type="dxa"/>
            <w:tcBorders>
              <w:top w:val="nil"/>
              <w:left w:val="nil"/>
              <w:bottom w:val="nil"/>
              <w:right w:val="nil"/>
            </w:tcBorders>
            <w:shd w:val="clear" w:color="auto" w:fill="auto"/>
            <w:noWrap/>
            <w:vAlign w:val="center"/>
            <w:hideMark/>
          </w:tcPr>
          <w:p w:rsidR="00F901C3" w:rsidRPr="00F901C3" w:rsidRDefault="00F901C3" w:rsidP="00F901C3">
            <w:pPr>
              <w:jc w:val="right"/>
              <w:rPr>
                <w:rFonts w:cs="Arial"/>
                <w:color w:val="7F7F7F"/>
                <w:szCs w:val="18"/>
                <w:lang w:eastAsia="en-AU"/>
              </w:rPr>
            </w:pPr>
            <w:r w:rsidRPr="00F901C3">
              <w:rPr>
                <w:rFonts w:cs="Arial"/>
                <w:color w:val="7F7F7F"/>
                <w:szCs w:val="18"/>
                <w:lang w:eastAsia="en-AU"/>
              </w:rPr>
              <w:t>14,049</w:t>
            </w:r>
          </w:p>
        </w:tc>
      </w:tr>
      <w:tr w:rsidR="00F901C3" w:rsidRPr="00F901C3" w:rsidTr="00F901C3">
        <w:trPr>
          <w:trHeight w:val="300"/>
        </w:trPr>
        <w:tc>
          <w:tcPr>
            <w:tcW w:w="2180" w:type="dxa"/>
            <w:tcBorders>
              <w:top w:val="nil"/>
              <w:left w:val="nil"/>
              <w:bottom w:val="nil"/>
              <w:right w:val="nil"/>
            </w:tcBorders>
            <w:shd w:val="clear" w:color="auto" w:fill="auto"/>
            <w:noWrap/>
            <w:vAlign w:val="center"/>
            <w:hideMark/>
          </w:tcPr>
          <w:p w:rsidR="00F901C3" w:rsidRPr="00F901C3" w:rsidRDefault="00F901C3" w:rsidP="00F901C3">
            <w:pPr>
              <w:rPr>
                <w:rFonts w:cs="Arial"/>
                <w:color w:val="7F7F7F"/>
                <w:szCs w:val="18"/>
                <w:lang w:eastAsia="en-AU"/>
              </w:rPr>
            </w:pPr>
            <w:r w:rsidRPr="00F901C3">
              <w:rPr>
                <w:rFonts w:cs="Arial"/>
                <w:color w:val="7F7F7F"/>
                <w:szCs w:val="18"/>
                <w:lang w:eastAsia="en-AU"/>
              </w:rPr>
              <w:t>South-Eastern Victoria</w:t>
            </w:r>
          </w:p>
        </w:tc>
        <w:tc>
          <w:tcPr>
            <w:tcW w:w="985" w:type="dxa"/>
            <w:tcBorders>
              <w:top w:val="nil"/>
              <w:left w:val="nil"/>
              <w:bottom w:val="nil"/>
              <w:right w:val="nil"/>
            </w:tcBorders>
            <w:shd w:val="clear" w:color="auto" w:fill="auto"/>
            <w:noWrap/>
            <w:vAlign w:val="center"/>
            <w:hideMark/>
          </w:tcPr>
          <w:p w:rsidR="00F901C3" w:rsidRPr="00F901C3" w:rsidRDefault="00F901C3" w:rsidP="00F901C3">
            <w:pPr>
              <w:jc w:val="right"/>
              <w:rPr>
                <w:rFonts w:cs="Arial"/>
                <w:color w:val="7F7F7F"/>
                <w:szCs w:val="18"/>
                <w:lang w:eastAsia="en-AU"/>
              </w:rPr>
            </w:pPr>
            <w:r w:rsidRPr="00F901C3">
              <w:rPr>
                <w:rFonts w:cs="Arial"/>
                <w:color w:val="7F7F7F"/>
                <w:szCs w:val="18"/>
                <w:lang w:eastAsia="en-AU"/>
              </w:rPr>
              <w:t>22,696</w:t>
            </w:r>
          </w:p>
        </w:tc>
        <w:tc>
          <w:tcPr>
            <w:tcW w:w="986" w:type="dxa"/>
            <w:tcBorders>
              <w:top w:val="nil"/>
              <w:left w:val="nil"/>
              <w:bottom w:val="nil"/>
              <w:right w:val="nil"/>
            </w:tcBorders>
            <w:shd w:val="clear" w:color="auto" w:fill="auto"/>
            <w:noWrap/>
            <w:vAlign w:val="center"/>
            <w:hideMark/>
          </w:tcPr>
          <w:p w:rsidR="00F901C3" w:rsidRPr="00F901C3" w:rsidRDefault="00F901C3" w:rsidP="00F901C3">
            <w:pPr>
              <w:jc w:val="right"/>
              <w:rPr>
                <w:rFonts w:cs="Arial"/>
                <w:color w:val="7F7F7F"/>
                <w:szCs w:val="18"/>
                <w:lang w:eastAsia="en-AU"/>
              </w:rPr>
            </w:pPr>
            <w:r w:rsidRPr="00F901C3">
              <w:rPr>
                <w:rFonts w:cs="Arial"/>
                <w:color w:val="7F7F7F"/>
                <w:szCs w:val="18"/>
                <w:lang w:eastAsia="en-AU"/>
              </w:rPr>
              <w:t>23,136</w:t>
            </w:r>
          </w:p>
        </w:tc>
        <w:tc>
          <w:tcPr>
            <w:tcW w:w="986" w:type="dxa"/>
            <w:tcBorders>
              <w:top w:val="nil"/>
              <w:left w:val="nil"/>
              <w:bottom w:val="nil"/>
              <w:right w:val="nil"/>
            </w:tcBorders>
            <w:shd w:val="clear" w:color="auto" w:fill="auto"/>
            <w:noWrap/>
            <w:vAlign w:val="center"/>
            <w:hideMark/>
          </w:tcPr>
          <w:p w:rsidR="00F901C3" w:rsidRPr="00F901C3" w:rsidRDefault="00F901C3" w:rsidP="00F901C3">
            <w:pPr>
              <w:jc w:val="right"/>
              <w:rPr>
                <w:rFonts w:cs="Arial"/>
                <w:color w:val="7F7F7F"/>
                <w:szCs w:val="18"/>
                <w:lang w:eastAsia="en-AU"/>
              </w:rPr>
            </w:pPr>
            <w:r w:rsidRPr="00F901C3">
              <w:rPr>
                <w:rFonts w:cs="Arial"/>
                <w:color w:val="7F7F7F"/>
                <w:szCs w:val="18"/>
                <w:lang w:eastAsia="en-AU"/>
              </w:rPr>
              <w:t>24,551</w:t>
            </w:r>
          </w:p>
        </w:tc>
        <w:tc>
          <w:tcPr>
            <w:tcW w:w="986" w:type="dxa"/>
            <w:tcBorders>
              <w:top w:val="nil"/>
              <w:left w:val="nil"/>
              <w:bottom w:val="nil"/>
              <w:right w:val="nil"/>
            </w:tcBorders>
            <w:shd w:val="clear" w:color="auto" w:fill="auto"/>
            <w:noWrap/>
            <w:vAlign w:val="center"/>
            <w:hideMark/>
          </w:tcPr>
          <w:p w:rsidR="00F901C3" w:rsidRPr="00F901C3" w:rsidRDefault="00F901C3" w:rsidP="00F901C3">
            <w:pPr>
              <w:jc w:val="right"/>
              <w:rPr>
                <w:rFonts w:cs="Arial"/>
                <w:color w:val="7F7F7F"/>
                <w:szCs w:val="18"/>
                <w:lang w:eastAsia="en-AU"/>
              </w:rPr>
            </w:pPr>
            <w:r w:rsidRPr="00F901C3">
              <w:rPr>
                <w:rFonts w:cs="Arial"/>
                <w:color w:val="7F7F7F"/>
                <w:szCs w:val="18"/>
                <w:lang w:eastAsia="en-AU"/>
              </w:rPr>
              <w:t>15,883</w:t>
            </w:r>
          </w:p>
        </w:tc>
        <w:tc>
          <w:tcPr>
            <w:tcW w:w="986" w:type="dxa"/>
            <w:tcBorders>
              <w:top w:val="nil"/>
              <w:left w:val="nil"/>
              <w:bottom w:val="nil"/>
              <w:right w:val="nil"/>
            </w:tcBorders>
            <w:shd w:val="clear" w:color="auto" w:fill="auto"/>
            <w:noWrap/>
            <w:vAlign w:val="center"/>
            <w:hideMark/>
          </w:tcPr>
          <w:p w:rsidR="00F901C3" w:rsidRPr="00F901C3" w:rsidRDefault="00F901C3" w:rsidP="00F901C3">
            <w:pPr>
              <w:jc w:val="right"/>
              <w:rPr>
                <w:rFonts w:cs="Arial"/>
                <w:color w:val="7F7F7F"/>
                <w:szCs w:val="18"/>
                <w:lang w:eastAsia="en-AU"/>
              </w:rPr>
            </w:pPr>
            <w:r w:rsidRPr="00F901C3">
              <w:rPr>
                <w:rFonts w:cs="Arial"/>
                <w:color w:val="7F7F7F"/>
                <w:szCs w:val="18"/>
                <w:lang w:eastAsia="en-AU"/>
              </w:rPr>
              <w:t>20,133</w:t>
            </w:r>
          </w:p>
        </w:tc>
        <w:tc>
          <w:tcPr>
            <w:tcW w:w="986" w:type="dxa"/>
            <w:tcBorders>
              <w:top w:val="nil"/>
              <w:left w:val="nil"/>
              <w:bottom w:val="nil"/>
              <w:right w:val="nil"/>
            </w:tcBorders>
            <w:shd w:val="clear" w:color="auto" w:fill="auto"/>
            <w:noWrap/>
            <w:vAlign w:val="center"/>
            <w:hideMark/>
          </w:tcPr>
          <w:p w:rsidR="00F901C3" w:rsidRPr="00F901C3" w:rsidRDefault="00F901C3" w:rsidP="00F901C3">
            <w:pPr>
              <w:jc w:val="right"/>
              <w:rPr>
                <w:rFonts w:cs="Arial"/>
                <w:color w:val="7F7F7F"/>
                <w:szCs w:val="18"/>
                <w:lang w:eastAsia="en-AU"/>
              </w:rPr>
            </w:pPr>
            <w:r w:rsidRPr="00F901C3">
              <w:rPr>
                <w:rFonts w:cs="Arial"/>
                <w:color w:val="7F7F7F"/>
                <w:szCs w:val="18"/>
                <w:lang w:eastAsia="en-AU"/>
              </w:rPr>
              <w:t>17,794</w:t>
            </w:r>
          </w:p>
        </w:tc>
      </w:tr>
      <w:tr w:rsidR="00F901C3" w:rsidRPr="00F901C3" w:rsidTr="00F901C3">
        <w:trPr>
          <w:trHeight w:val="300"/>
        </w:trPr>
        <w:tc>
          <w:tcPr>
            <w:tcW w:w="2180" w:type="dxa"/>
            <w:tcBorders>
              <w:top w:val="nil"/>
              <w:left w:val="nil"/>
              <w:bottom w:val="nil"/>
              <w:right w:val="nil"/>
            </w:tcBorders>
            <w:shd w:val="clear" w:color="auto" w:fill="auto"/>
            <w:noWrap/>
            <w:vAlign w:val="center"/>
            <w:hideMark/>
          </w:tcPr>
          <w:p w:rsidR="00F901C3" w:rsidRPr="00F901C3" w:rsidRDefault="00F901C3" w:rsidP="00794B13">
            <w:pPr>
              <w:rPr>
                <w:rFonts w:cs="Arial"/>
                <w:color w:val="7F7F7F"/>
                <w:szCs w:val="18"/>
                <w:lang w:eastAsia="en-AU"/>
              </w:rPr>
            </w:pPr>
            <w:r w:rsidRPr="00F901C3">
              <w:rPr>
                <w:rFonts w:cs="Arial"/>
                <w:color w:val="7F7F7F"/>
                <w:szCs w:val="18"/>
                <w:lang w:eastAsia="en-AU"/>
              </w:rPr>
              <w:t>South</w:t>
            </w:r>
            <w:r w:rsidR="00794B13">
              <w:rPr>
                <w:rFonts w:cs="Arial"/>
                <w:color w:val="7F7F7F"/>
                <w:szCs w:val="18"/>
                <w:lang w:eastAsia="en-AU"/>
              </w:rPr>
              <w:t>-</w:t>
            </w:r>
            <w:r w:rsidRPr="00F901C3">
              <w:rPr>
                <w:rFonts w:cs="Arial"/>
                <w:color w:val="7F7F7F"/>
                <w:szCs w:val="18"/>
                <w:lang w:eastAsia="en-AU"/>
              </w:rPr>
              <w:t>Western Victoria</w:t>
            </w:r>
          </w:p>
        </w:tc>
        <w:tc>
          <w:tcPr>
            <w:tcW w:w="985" w:type="dxa"/>
            <w:tcBorders>
              <w:top w:val="nil"/>
              <w:left w:val="nil"/>
              <w:bottom w:val="nil"/>
              <w:right w:val="nil"/>
            </w:tcBorders>
            <w:shd w:val="clear" w:color="auto" w:fill="auto"/>
            <w:noWrap/>
            <w:vAlign w:val="center"/>
            <w:hideMark/>
          </w:tcPr>
          <w:p w:rsidR="00F901C3" w:rsidRPr="00F901C3" w:rsidRDefault="00F901C3" w:rsidP="00F901C3">
            <w:pPr>
              <w:jc w:val="right"/>
              <w:rPr>
                <w:rFonts w:cs="Arial"/>
                <w:color w:val="7F7F7F"/>
                <w:szCs w:val="18"/>
                <w:lang w:eastAsia="en-AU"/>
              </w:rPr>
            </w:pPr>
            <w:r w:rsidRPr="00F901C3">
              <w:rPr>
                <w:rFonts w:cs="Arial"/>
                <w:color w:val="7F7F7F"/>
                <w:szCs w:val="18"/>
                <w:lang w:eastAsia="en-AU"/>
              </w:rPr>
              <w:t>20,911</w:t>
            </w:r>
          </w:p>
        </w:tc>
        <w:tc>
          <w:tcPr>
            <w:tcW w:w="986" w:type="dxa"/>
            <w:tcBorders>
              <w:top w:val="nil"/>
              <w:left w:val="nil"/>
              <w:bottom w:val="nil"/>
              <w:right w:val="nil"/>
            </w:tcBorders>
            <w:shd w:val="clear" w:color="auto" w:fill="auto"/>
            <w:noWrap/>
            <w:vAlign w:val="center"/>
            <w:hideMark/>
          </w:tcPr>
          <w:p w:rsidR="00F901C3" w:rsidRPr="00F901C3" w:rsidRDefault="00F901C3" w:rsidP="00F901C3">
            <w:pPr>
              <w:jc w:val="right"/>
              <w:rPr>
                <w:rFonts w:cs="Arial"/>
                <w:color w:val="7F7F7F"/>
                <w:szCs w:val="18"/>
                <w:lang w:eastAsia="en-AU"/>
              </w:rPr>
            </w:pPr>
            <w:r w:rsidRPr="00F901C3">
              <w:rPr>
                <w:rFonts w:cs="Arial"/>
                <w:color w:val="7F7F7F"/>
                <w:szCs w:val="18"/>
                <w:lang w:eastAsia="en-AU"/>
              </w:rPr>
              <w:t>18,044</w:t>
            </w:r>
          </w:p>
        </w:tc>
        <w:tc>
          <w:tcPr>
            <w:tcW w:w="986" w:type="dxa"/>
            <w:tcBorders>
              <w:top w:val="nil"/>
              <w:left w:val="nil"/>
              <w:bottom w:val="nil"/>
              <w:right w:val="nil"/>
            </w:tcBorders>
            <w:shd w:val="clear" w:color="auto" w:fill="auto"/>
            <w:noWrap/>
            <w:vAlign w:val="center"/>
            <w:hideMark/>
          </w:tcPr>
          <w:p w:rsidR="00F901C3" w:rsidRPr="00F901C3" w:rsidRDefault="00F901C3" w:rsidP="00F901C3">
            <w:pPr>
              <w:jc w:val="right"/>
              <w:rPr>
                <w:rFonts w:cs="Arial"/>
                <w:color w:val="7F7F7F"/>
                <w:szCs w:val="18"/>
                <w:lang w:eastAsia="en-AU"/>
              </w:rPr>
            </w:pPr>
            <w:r w:rsidRPr="00F901C3">
              <w:rPr>
                <w:rFonts w:cs="Arial"/>
                <w:color w:val="7F7F7F"/>
                <w:szCs w:val="18"/>
                <w:lang w:eastAsia="en-AU"/>
              </w:rPr>
              <w:t>23,038</w:t>
            </w:r>
          </w:p>
        </w:tc>
        <w:tc>
          <w:tcPr>
            <w:tcW w:w="986" w:type="dxa"/>
            <w:tcBorders>
              <w:top w:val="nil"/>
              <w:left w:val="nil"/>
              <w:bottom w:val="nil"/>
              <w:right w:val="nil"/>
            </w:tcBorders>
            <w:shd w:val="clear" w:color="auto" w:fill="auto"/>
            <w:noWrap/>
            <w:vAlign w:val="center"/>
            <w:hideMark/>
          </w:tcPr>
          <w:p w:rsidR="00F901C3" w:rsidRPr="00F901C3" w:rsidRDefault="00F901C3" w:rsidP="00F901C3">
            <w:pPr>
              <w:jc w:val="right"/>
              <w:rPr>
                <w:rFonts w:cs="Arial"/>
                <w:color w:val="7F7F7F"/>
                <w:szCs w:val="18"/>
                <w:lang w:eastAsia="en-AU"/>
              </w:rPr>
            </w:pPr>
            <w:r w:rsidRPr="00F901C3">
              <w:rPr>
                <w:rFonts w:cs="Arial"/>
                <w:color w:val="7F7F7F"/>
                <w:szCs w:val="18"/>
                <w:lang w:eastAsia="en-AU"/>
              </w:rPr>
              <w:t>16,793</w:t>
            </w:r>
          </w:p>
        </w:tc>
        <w:tc>
          <w:tcPr>
            <w:tcW w:w="986" w:type="dxa"/>
            <w:tcBorders>
              <w:top w:val="nil"/>
              <w:left w:val="nil"/>
              <w:bottom w:val="nil"/>
              <w:right w:val="nil"/>
            </w:tcBorders>
            <w:shd w:val="clear" w:color="auto" w:fill="auto"/>
            <w:noWrap/>
            <w:vAlign w:val="center"/>
            <w:hideMark/>
          </w:tcPr>
          <w:p w:rsidR="00F901C3" w:rsidRPr="00F901C3" w:rsidRDefault="00F901C3" w:rsidP="00F901C3">
            <w:pPr>
              <w:jc w:val="right"/>
              <w:rPr>
                <w:rFonts w:cs="Arial"/>
                <w:color w:val="7F7F7F"/>
                <w:szCs w:val="18"/>
                <w:lang w:eastAsia="en-AU"/>
              </w:rPr>
            </w:pPr>
            <w:r w:rsidRPr="00F901C3">
              <w:rPr>
                <w:rFonts w:cs="Arial"/>
                <w:color w:val="7F7F7F"/>
                <w:szCs w:val="18"/>
                <w:lang w:eastAsia="en-AU"/>
              </w:rPr>
              <w:t>23,184</w:t>
            </w:r>
          </w:p>
        </w:tc>
        <w:tc>
          <w:tcPr>
            <w:tcW w:w="986" w:type="dxa"/>
            <w:tcBorders>
              <w:top w:val="nil"/>
              <w:left w:val="nil"/>
              <w:bottom w:val="nil"/>
              <w:right w:val="nil"/>
            </w:tcBorders>
            <w:shd w:val="clear" w:color="auto" w:fill="auto"/>
            <w:noWrap/>
            <w:vAlign w:val="center"/>
            <w:hideMark/>
          </w:tcPr>
          <w:p w:rsidR="00F901C3" w:rsidRPr="00F901C3" w:rsidRDefault="00F901C3" w:rsidP="00F901C3">
            <w:pPr>
              <w:jc w:val="right"/>
              <w:rPr>
                <w:rFonts w:cs="Arial"/>
                <w:color w:val="7F7F7F"/>
                <w:szCs w:val="18"/>
                <w:lang w:eastAsia="en-AU"/>
              </w:rPr>
            </w:pPr>
            <w:r w:rsidRPr="00F901C3">
              <w:rPr>
                <w:rFonts w:cs="Arial"/>
                <w:color w:val="7F7F7F"/>
                <w:szCs w:val="18"/>
                <w:lang w:eastAsia="en-AU"/>
              </w:rPr>
              <w:t>17,543</w:t>
            </w:r>
          </w:p>
        </w:tc>
      </w:tr>
      <w:tr w:rsidR="00F901C3" w:rsidRPr="00F901C3" w:rsidTr="00F901C3">
        <w:trPr>
          <w:trHeight w:val="300"/>
        </w:trPr>
        <w:tc>
          <w:tcPr>
            <w:tcW w:w="2180" w:type="dxa"/>
            <w:tcBorders>
              <w:top w:val="nil"/>
              <w:left w:val="nil"/>
              <w:bottom w:val="nil"/>
              <w:right w:val="nil"/>
            </w:tcBorders>
            <w:shd w:val="clear" w:color="auto" w:fill="auto"/>
            <w:noWrap/>
            <w:vAlign w:val="center"/>
            <w:hideMark/>
          </w:tcPr>
          <w:p w:rsidR="00F901C3" w:rsidRPr="00F901C3" w:rsidRDefault="00F901C3" w:rsidP="00F901C3">
            <w:pPr>
              <w:rPr>
                <w:rFonts w:cs="Arial"/>
                <w:color w:val="7F7F7F"/>
                <w:szCs w:val="18"/>
                <w:lang w:eastAsia="en-AU"/>
              </w:rPr>
            </w:pPr>
            <w:r w:rsidRPr="00F901C3">
              <w:rPr>
                <w:rFonts w:cs="Arial"/>
                <w:color w:val="7F7F7F"/>
                <w:szCs w:val="18"/>
                <w:lang w:eastAsia="en-AU"/>
              </w:rPr>
              <w:t>Interstate</w:t>
            </w:r>
          </w:p>
        </w:tc>
        <w:tc>
          <w:tcPr>
            <w:tcW w:w="985" w:type="dxa"/>
            <w:tcBorders>
              <w:top w:val="nil"/>
              <w:left w:val="nil"/>
              <w:bottom w:val="nil"/>
              <w:right w:val="nil"/>
            </w:tcBorders>
            <w:shd w:val="clear" w:color="auto" w:fill="auto"/>
            <w:noWrap/>
            <w:vAlign w:val="center"/>
            <w:hideMark/>
          </w:tcPr>
          <w:p w:rsidR="00F901C3" w:rsidRPr="00F901C3" w:rsidRDefault="00F901C3" w:rsidP="00F901C3">
            <w:pPr>
              <w:jc w:val="right"/>
              <w:rPr>
                <w:rFonts w:cs="Arial"/>
                <w:color w:val="7F7F7F"/>
                <w:szCs w:val="18"/>
                <w:lang w:eastAsia="en-AU"/>
              </w:rPr>
            </w:pPr>
            <w:r w:rsidRPr="00F901C3">
              <w:rPr>
                <w:rFonts w:cs="Arial"/>
                <w:color w:val="7F7F7F"/>
                <w:szCs w:val="18"/>
                <w:lang w:eastAsia="en-AU"/>
              </w:rPr>
              <w:t>114</w:t>
            </w:r>
          </w:p>
        </w:tc>
        <w:tc>
          <w:tcPr>
            <w:tcW w:w="986" w:type="dxa"/>
            <w:tcBorders>
              <w:top w:val="nil"/>
              <w:left w:val="nil"/>
              <w:bottom w:val="nil"/>
              <w:right w:val="nil"/>
            </w:tcBorders>
            <w:shd w:val="clear" w:color="auto" w:fill="auto"/>
            <w:noWrap/>
            <w:vAlign w:val="center"/>
            <w:hideMark/>
          </w:tcPr>
          <w:p w:rsidR="00F901C3" w:rsidRPr="00F901C3" w:rsidRDefault="00F901C3" w:rsidP="00F901C3">
            <w:pPr>
              <w:jc w:val="right"/>
              <w:rPr>
                <w:rFonts w:cs="Arial"/>
                <w:color w:val="7F7F7F"/>
                <w:szCs w:val="18"/>
                <w:lang w:eastAsia="en-AU"/>
              </w:rPr>
            </w:pPr>
            <w:r w:rsidRPr="00F901C3">
              <w:rPr>
                <w:rFonts w:cs="Arial"/>
                <w:color w:val="7F7F7F"/>
                <w:szCs w:val="18"/>
                <w:lang w:eastAsia="en-AU"/>
              </w:rPr>
              <w:t>110</w:t>
            </w:r>
          </w:p>
        </w:tc>
        <w:tc>
          <w:tcPr>
            <w:tcW w:w="986" w:type="dxa"/>
            <w:tcBorders>
              <w:top w:val="nil"/>
              <w:left w:val="nil"/>
              <w:bottom w:val="nil"/>
              <w:right w:val="nil"/>
            </w:tcBorders>
            <w:shd w:val="clear" w:color="auto" w:fill="auto"/>
            <w:noWrap/>
            <w:vAlign w:val="center"/>
            <w:hideMark/>
          </w:tcPr>
          <w:p w:rsidR="00F901C3" w:rsidRPr="00F901C3" w:rsidRDefault="00F901C3" w:rsidP="00F901C3">
            <w:pPr>
              <w:jc w:val="right"/>
              <w:rPr>
                <w:rFonts w:cs="Arial"/>
                <w:color w:val="7F7F7F"/>
                <w:szCs w:val="18"/>
                <w:lang w:eastAsia="en-AU"/>
              </w:rPr>
            </w:pPr>
            <w:r w:rsidRPr="00F901C3">
              <w:rPr>
                <w:rFonts w:cs="Arial"/>
                <w:color w:val="7F7F7F"/>
                <w:szCs w:val="18"/>
                <w:lang w:eastAsia="en-AU"/>
              </w:rPr>
              <w:t>153</w:t>
            </w:r>
          </w:p>
        </w:tc>
        <w:tc>
          <w:tcPr>
            <w:tcW w:w="986" w:type="dxa"/>
            <w:tcBorders>
              <w:top w:val="nil"/>
              <w:left w:val="nil"/>
              <w:bottom w:val="nil"/>
              <w:right w:val="nil"/>
            </w:tcBorders>
            <w:shd w:val="clear" w:color="auto" w:fill="auto"/>
            <w:noWrap/>
            <w:vAlign w:val="center"/>
            <w:hideMark/>
          </w:tcPr>
          <w:p w:rsidR="00F901C3" w:rsidRPr="00F901C3" w:rsidRDefault="00F901C3" w:rsidP="00F901C3">
            <w:pPr>
              <w:jc w:val="right"/>
              <w:rPr>
                <w:rFonts w:cs="Arial"/>
                <w:color w:val="7F7F7F"/>
                <w:szCs w:val="18"/>
                <w:lang w:eastAsia="en-AU"/>
              </w:rPr>
            </w:pPr>
            <w:r w:rsidRPr="00F901C3">
              <w:rPr>
                <w:rFonts w:cs="Arial"/>
                <w:color w:val="7F7F7F"/>
                <w:szCs w:val="18"/>
                <w:lang w:eastAsia="en-AU"/>
              </w:rPr>
              <w:t>1,094</w:t>
            </w:r>
          </w:p>
        </w:tc>
        <w:tc>
          <w:tcPr>
            <w:tcW w:w="986" w:type="dxa"/>
            <w:tcBorders>
              <w:top w:val="nil"/>
              <w:left w:val="nil"/>
              <w:bottom w:val="nil"/>
              <w:right w:val="nil"/>
            </w:tcBorders>
            <w:shd w:val="clear" w:color="auto" w:fill="auto"/>
            <w:noWrap/>
            <w:vAlign w:val="center"/>
            <w:hideMark/>
          </w:tcPr>
          <w:p w:rsidR="00F901C3" w:rsidRPr="00F901C3" w:rsidRDefault="00F901C3" w:rsidP="00F901C3">
            <w:pPr>
              <w:jc w:val="right"/>
              <w:rPr>
                <w:rFonts w:cs="Arial"/>
                <w:color w:val="7F7F7F"/>
                <w:szCs w:val="18"/>
                <w:lang w:eastAsia="en-AU"/>
              </w:rPr>
            </w:pPr>
            <w:r w:rsidRPr="00F901C3">
              <w:rPr>
                <w:rFonts w:cs="Arial"/>
                <w:color w:val="7F7F7F"/>
                <w:szCs w:val="18"/>
                <w:lang w:eastAsia="en-AU"/>
              </w:rPr>
              <w:t>1,339</w:t>
            </w:r>
          </w:p>
        </w:tc>
        <w:tc>
          <w:tcPr>
            <w:tcW w:w="986" w:type="dxa"/>
            <w:tcBorders>
              <w:top w:val="nil"/>
              <w:left w:val="nil"/>
              <w:bottom w:val="nil"/>
              <w:right w:val="nil"/>
            </w:tcBorders>
            <w:shd w:val="clear" w:color="auto" w:fill="auto"/>
            <w:noWrap/>
            <w:vAlign w:val="center"/>
            <w:hideMark/>
          </w:tcPr>
          <w:p w:rsidR="00F901C3" w:rsidRPr="00F901C3" w:rsidRDefault="00F901C3" w:rsidP="00F901C3">
            <w:pPr>
              <w:jc w:val="right"/>
              <w:rPr>
                <w:rFonts w:cs="Arial"/>
                <w:color w:val="7F7F7F"/>
                <w:szCs w:val="18"/>
                <w:lang w:eastAsia="en-AU"/>
              </w:rPr>
            </w:pPr>
            <w:r w:rsidRPr="00F901C3">
              <w:rPr>
                <w:rFonts w:cs="Arial"/>
                <w:color w:val="7F7F7F"/>
                <w:szCs w:val="18"/>
                <w:lang w:eastAsia="en-AU"/>
              </w:rPr>
              <w:t>1,807</w:t>
            </w:r>
          </w:p>
        </w:tc>
      </w:tr>
      <w:tr w:rsidR="00F901C3" w:rsidRPr="00F901C3" w:rsidTr="00F901C3">
        <w:trPr>
          <w:trHeight w:val="300"/>
        </w:trPr>
        <w:tc>
          <w:tcPr>
            <w:tcW w:w="2180" w:type="dxa"/>
            <w:tcBorders>
              <w:top w:val="nil"/>
              <w:left w:val="nil"/>
              <w:bottom w:val="nil"/>
              <w:right w:val="nil"/>
            </w:tcBorders>
            <w:shd w:val="clear" w:color="auto" w:fill="auto"/>
            <w:noWrap/>
            <w:vAlign w:val="center"/>
            <w:hideMark/>
          </w:tcPr>
          <w:p w:rsidR="00F901C3" w:rsidRPr="00F901C3" w:rsidRDefault="00F901C3" w:rsidP="00F901C3">
            <w:pPr>
              <w:rPr>
                <w:rFonts w:cs="Arial"/>
                <w:color w:val="7F7F7F"/>
                <w:szCs w:val="18"/>
                <w:lang w:eastAsia="en-AU"/>
              </w:rPr>
            </w:pPr>
            <w:r w:rsidRPr="00F901C3">
              <w:rPr>
                <w:rFonts w:cs="Arial"/>
                <w:color w:val="7F7F7F"/>
                <w:szCs w:val="18"/>
                <w:lang w:eastAsia="en-AU"/>
              </w:rPr>
              <w:t>Other</w:t>
            </w:r>
          </w:p>
        </w:tc>
        <w:tc>
          <w:tcPr>
            <w:tcW w:w="985" w:type="dxa"/>
            <w:tcBorders>
              <w:top w:val="nil"/>
              <w:left w:val="nil"/>
              <w:bottom w:val="nil"/>
              <w:right w:val="nil"/>
            </w:tcBorders>
            <w:shd w:val="clear" w:color="auto" w:fill="auto"/>
            <w:noWrap/>
            <w:vAlign w:val="center"/>
            <w:hideMark/>
          </w:tcPr>
          <w:p w:rsidR="00F901C3" w:rsidRPr="00F901C3" w:rsidRDefault="00F901C3" w:rsidP="00F901C3">
            <w:pPr>
              <w:jc w:val="right"/>
              <w:rPr>
                <w:rFonts w:cs="Arial"/>
                <w:color w:val="7F7F7F"/>
                <w:szCs w:val="18"/>
                <w:lang w:eastAsia="en-AU"/>
              </w:rPr>
            </w:pPr>
            <w:r w:rsidRPr="00F901C3">
              <w:rPr>
                <w:rFonts w:cs="Arial"/>
                <w:color w:val="7F7F7F"/>
                <w:szCs w:val="18"/>
                <w:lang w:eastAsia="en-AU"/>
              </w:rPr>
              <w:t>6,672</w:t>
            </w:r>
          </w:p>
        </w:tc>
        <w:tc>
          <w:tcPr>
            <w:tcW w:w="986" w:type="dxa"/>
            <w:tcBorders>
              <w:top w:val="nil"/>
              <w:left w:val="nil"/>
              <w:bottom w:val="nil"/>
              <w:right w:val="nil"/>
            </w:tcBorders>
            <w:shd w:val="clear" w:color="auto" w:fill="auto"/>
            <w:noWrap/>
            <w:vAlign w:val="center"/>
            <w:hideMark/>
          </w:tcPr>
          <w:p w:rsidR="00F901C3" w:rsidRPr="00F901C3" w:rsidRDefault="00F901C3" w:rsidP="00F901C3">
            <w:pPr>
              <w:jc w:val="right"/>
              <w:rPr>
                <w:rFonts w:cs="Arial"/>
                <w:color w:val="7F7F7F"/>
                <w:szCs w:val="18"/>
                <w:lang w:eastAsia="en-AU"/>
              </w:rPr>
            </w:pPr>
            <w:r w:rsidRPr="00F901C3">
              <w:rPr>
                <w:rFonts w:cs="Arial"/>
                <w:color w:val="7F7F7F"/>
                <w:szCs w:val="18"/>
                <w:lang w:eastAsia="en-AU"/>
              </w:rPr>
              <w:t>6,491</w:t>
            </w:r>
          </w:p>
        </w:tc>
        <w:tc>
          <w:tcPr>
            <w:tcW w:w="986" w:type="dxa"/>
            <w:tcBorders>
              <w:top w:val="nil"/>
              <w:left w:val="nil"/>
              <w:bottom w:val="nil"/>
              <w:right w:val="nil"/>
            </w:tcBorders>
            <w:shd w:val="clear" w:color="auto" w:fill="auto"/>
            <w:noWrap/>
            <w:vAlign w:val="center"/>
            <w:hideMark/>
          </w:tcPr>
          <w:p w:rsidR="00F901C3" w:rsidRPr="00F901C3" w:rsidRDefault="00F901C3" w:rsidP="00F901C3">
            <w:pPr>
              <w:jc w:val="right"/>
              <w:rPr>
                <w:rFonts w:cs="Arial"/>
                <w:color w:val="7F7F7F"/>
                <w:szCs w:val="18"/>
                <w:lang w:eastAsia="en-AU"/>
              </w:rPr>
            </w:pPr>
            <w:r w:rsidRPr="00F901C3">
              <w:rPr>
                <w:rFonts w:cs="Arial"/>
                <w:color w:val="7F7F7F"/>
                <w:szCs w:val="18"/>
                <w:lang w:eastAsia="en-AU"/>
              </w:rPr>
              <w:t>6,260</w:t>
            </w:r>
          </w:p>
        </w:tc>
        <w:tc>
          <w:tcPr>
            <w:tcW w:w="986" w:type="dxa"/>
            <w:tcBorders>
              <w:top w:val="nil"/>
              <w:left w:val="nil"/>
              <w:bottom w:val="nil"/>
              <w:right w:val="nil"/>
            </w:tcBorders>
            <w:shd w:val="clear" w:color="auto" w:fill="auto"/>
            <w:noWrap/>
            <w:vAlign w:val="center"/>
            <w:hideMark/>
          </w:tcPr>
          <w:p w:rsidR="00F901C3" w:rsidRPr="00F901C3" w:rsidRDefault="00F901C3" w:rsidP="00F901C3">
            <w:pPr>
              <w:jc w:val="right"/>
              <w:rPr>
                <w:rFonts w:cs="Arial"/>
                <w:color w:val="7F7F7F"/>
                <w:szCs w:val="18"/>
                <w:lang w:eastAsia="en-AU"/>
              </w:rPr>
            </w:pPr>
            <w:r w:rsidRPr="00F901C3">
              <w:rPr>
                <w:rFonts w:cs="Arial"/>
                <w:color w:val="7F7F7F"/>
                <w:szCs w:val="18"/>
                <w:lang w:eastAsia="en-AU"/>
              </w:rPr>
              <w:t>6,006</w:t>
            </w:r>
          </w:p>
        </w:tc>
        <w:tc>
          <w:tcPr>
            <w:tcW w:w="986" w:type="dxa"/>
            <w:tcBorders>
              <w:top w:val="nil"/>
              <w:left w:val="nil"/>
              <w:bottom w:val="nil"/>
              <w:right w:val="nil"/>
            </w:tcBorders>
            <w:shd w:val="clear" w:color="auto" w:fill="auto"/>
            <w:noWrap/>
            <w:vAlign w:val="center"/>
            <w:hideMark/>
          </w:tcPr>
          <w:p w:rsidR="00F901C3" w:rsidRPr="00F901C3" w:rsidRDefault="00F901C3" w:rsidP="00F901C3">
            <w:pPr>
              <w:jc w:val="right"/>
              <w:rPr>
                <w:rFonts w:cs="Arial"/>
                <w:color w:val="7F7F7F"/>
                <w:szCs w:val="18"/>
                <w:lang w:eastAsia="en-AU"/>
              </w:rPr>
            </w:pPr>
            <w:r w:rsidRPr="00F901C3">
              <w:rPr>
                <w:rFonts w:cs="Arial"/>
                <w:color w:val="7F7F7F"/>
                <w:szCs w:val="18"/>
                <w:lang w:eastAsia="en-AU"/>
              </w:rPr>
              <w:t>979</w:t>
            </w:r>
          </w:p>
        </w:tc>
        <w:tc>
          <w:tcPr>
            <w:tcW w:w="986" w:type="dxa"/>
            <w:tcBorders>
              <w:top w:val="nil"/>
              <w:left w:val="nil"/>
              <w:bottom w:val="nil"/>
              <w:right w:val="nil"/>
            </w:tcBorders>
            <w:shd w:val="clear" w:color="auto" w:fill="auto"/>
            <w:noWrap/>
            <w:vAlign w:val="center"/>
            <w:hideMark/>
          </w:tcPr>
          <w:p w:rsidR="00F901C3" w:rsidRPr="00F901C3" w:rsidRDefault="00F901C3" w:rsidP="00F901C3">
            <w:pPr>
              <w:jc w:val="right"/>
              <w:rPr>
                <w:rFonts w:cs="Arial"/>
                <w:color w:val="7F7F7F"/>
                <w:szCs w:val="18"/>
                <w:lang w:eastAsia="en-AU"/>
              </w:rPr>
            </w:pPr>
            <w:r w:rsidRPr="00F901C3">
              <w:rPr>
                <w:rFonts w:cs="Arial"/>
                <w:color w:val="7F7F7F"/>
                <w:szCs w:val="18"/>
                <w:lang w:eastAsia="en-AU"/>
              </w:rPr>
              <w:t>0</w:t>
            </w:r>
          </w:p>
        </w:tc>
      </w:tr>
      <w:tr w:rsidR="00F901C3" w:rsidRPr="00F901C3" w:rsidTr="00F901C3">
        <w:trPr>
          <w:trHeight w:val="300"/>
        </w:trPr>
        <w:tc>
          <w:tcPr>
            <w:tcW w:w="2180" w:type="dxa"/>
            <w:tcBorders>
              <w:top w:val="nil"/>
              <w:left w:val="nil"/>
              <w:bottom w:val="nil"/>
              <w:right w:val="nil"/>
            </w:tcBorders>
            <w:shd w:val="clear" w:color="000000" w:fill="7F7F7F"/>
            <w:noWrap/>
            <w:vAlign w:val="center"/>
            <w:hideMark/>
          </w:tcPr>
          <w:p w:rsidR="00F901C3" w:rsidRPr="00F901C3" w:rsidRDefault="00F901C3" w:rsidP="00F901C3">
            <w:pPr>
              <w:rPr>
                <w:rFonts w:cs="Arial"/>
                <w:b/>
                <w:bCs/>
                <w:color w:val="FFFFFF"/>
                <w:szCs w:val="18"/>
                <w:lang w:eastAsia="en-AU"/>
              </w:rPr>
            </w:pPr>
            <w:r w:rsidRPr="00F901C3">
              <w:rPr>
                <w:rFonts w:cs="Arial"/>
                <w:b/>
                <w:bCs/>
                <w:color w:val="FFFFFF"/>
                <w:szCs w:val="18"/>
                <w:lang w:eastAsia="en-AU"/>
              </w:rPr>
              <w:t>Total*</w:t>
            </w:r>
          </w:p>
        </w:tc>
        <w:tc>
          <w:tcPr>
            <w:tcW w:w="985" w:type="dxa"/>
            <w:tcBorders>
              <w:top w:val="nil"/>
              <w:left w:val="nil"/>
              <w:bottom w:val="nil"/>
              <w:right w:val="nil"/>
            </w:tcBorders>
            <w:shd w:val="clear" w:color="000000" w:fill="7F7F7F"/>
            <w:noWrap/>
            <w:vAlign w:val="center"/>
            <w:hideMark/>
          </w:tcPr>
          <w:p w:rsidR="00F901C3" w:rsidRPr="00F901C3" w:rsidRDefault="00F901C3" w:rsidP="00F901C3">
            <w:pPr>
              <w:jc w:val="right"/>
              <w:rPr>
                <w:rFonts w:cs="Arial"/>
                <w:b/>
                <w:bCs/>
                <w:color w:val="FFFFFF"/>
                <w:szCs w:val="18"/>
                <w:lang w:eastAsia="en-AU"/>
              </w:rPr>
            </w:pPr>
            <w:r w:rsidRPr="00F901C3">
              <w:rPr>
                <w:rFonts w:cs="Arial"/>
                <w:b/>
                <w:bCs/>
                <w:color w:val="FFFFFF"/>
                <w:szCs w:val="18"/>
                <w:lang w:eastAsia="en-AU"/>
              </w:rPr>
              <w:t>79,378</w:t>
            </w:r>
          </w:p>
        </w:tc>
        <w:tc>
          <w:tcPr>
            <w:tcW w:w="986" w:type="dxa"/>
            <w:tcBorders>
              <w:top w:val="nil"/>
              <w:left w:val="nil"/>
              <w:bottom w:val="nil"/>
              <w:right w:val="nil"/>
            </w:tcBorders>
            <w:shd w:val="clear" w:color="000000" w:fill="7F7F7F"/>
            <w:noWrap/>
            <w:vAlign w:val="center"/>
            <w:hideMark/>
          </w:tcPr>
          <w:p w:rsidR="00F901C3" w:rsidRPr="00F901C3" w:rsidRDefault="00F901C3" w:rsidP="00F901C3">
            <w:pPr>
              <w:jc w:val="right"/>
              <w:rPr>
                <w:rFonts w:cs="Arial"/>
                <w:b/>
                <w:bCs/>
                <w:color w:val="FFFFFF"/>
                <w:szCs w:val="18"/>
                <w:lang w:eastAsia="en-AU"/>
              </w:rPr>
            </w:pPr>
            <w:r w:rsidRPr="00F901C3">
              <w:rPr>
                <w:rFonts w:cs="Arial"/>
                <w:b/>
                <w:bCs/>
                <w:color w:val="FFFFFF"/>
                <w:szCs w:val="18"/>
                <w:lang w:eastAsia="en-AU"/>
              </w:rPr>
              <w:t>74,017</w:t>
            </w:r>
          </w:p>
        </w:tc>
        <w:tc>
          <w:tcPr>
            <w:tcW w:w="986" w:type="dxa"/>
            <w:tcBorders>
              <w:top w:val="nil"/>
              <w:left w:val="nil"/>
              <w:bottom w:val="nil"/>
              <w:right w:val="nil"/>
            </w:tcBorders>
            <w:shd w:val="clear" w:color="000000" w:fill="7F7F7F"/>
            <w:noWrap/>
            <w:vAlign w:val="center"/>
            <w:hideMark/>
          </w:tcPr>
          <w:p w:rsidR="00F901C3" w:rsidRPr="00F901C3" w:rsidRDefault="00F901C3" w:rsidP="00F901C3">
            <w:pPr>
              <w:jc w:val="right"/>
              <w:rPr>
                <w:rFonts w:cs="Arial"/>
                <w:b/>
                <w:bCs/>
                <w:color w:val="FFFFFF"/>
                <w:szCs w:val="18"/>
                <w:lang w:eastAsia="en-AU"/>
              </w:rPr>
            </w:pPr>
            <w:r w:rsidRPr="00F901C3">
              <w:rPr>
                <w:rFonts w:cs="Arial"/>
                <w:b/>
                <w:bCs/>
                <w:color w:val="FFFFFF"/>
                <w:szCs w:val="18"/>
                <w:lang w:eastAsia="en-AU"/>
              </w:rPr>
              <w:t>83,137</w:t>
            </w:r>
          </w:p>
        </w:tc>
        <w:tc>
          <w:tcPr>
            <w:tcW w:w="986" w:type="dxa"/>
            <w:tcBorders>
              <w:top w:val="nil"/>
              <w:left w:val="nil"/>
              <w:bottom w:val="nil"/>
              <w:right w:val="nil"/>
            </w:tcBorders>
            <w:shd w:val="clear" w:color="000000" w:fill="7F7F7F"/>
            <w:noWrap/>
            <w:vAlign w:val="center"/>
            <w:hideMark/>
          </w:tcPr>
          <w:p w:rsidR="00F901C3" w:rsidRPr="00F901C3" w:rsidRDefault="00F901C3" w:rsidP="00F901C3">
            <w:pPr>
              <w:jc w:val="right"/>
              <w:rPr>
                <w:rFonts w:cs="Arial"/>
                <w:b/>
                <w:bCs/>
                <w:color w:val="FFFFFF"/>
                <w:szCs w:val="18"/>
                <w:lang w:eastAsia="en-AU"/>
              </w:rPr>
            </w:pPr>
            <w:r w:rsidRPr="00F901C3">
              <w:rPr>
                <w:rFonts w:cs="Arial"/>
                <w:b/>
                <w:bCs/>
                <w:color w:val="FFFFFF"/>
                <w:szCs w:val="18"/>
                <w:lang w:eastAsia="en-AU"/>
              </w:rPr>
              <w:t>68,622</w:t>
            </w:r>
          </w:p>
        </w:tc>
        <w:tc>
          <w:tcPr>
            <w:tcW w:w="986" w:type="dxa"/>
            <w:tcBorders>
              <w:top w:val="nil"/>
              <w:left w:val="nil"/>
              <w:bottom w:val="nil"/>
              <w:right w:val="nil"/>
            </w:tcBorders>
            <w:shd w:val="clear" w:color="000000" w:fill="7F7F7F"/>
            <w:noWrap/>
            <w:vAlign w:val="center"/>
            <w:hideMark/>
          </w:tcPr>
          <w:p w:rsidR="00F901C3" w:rsidRPr="00F901C3" w:rsidRDefault="00F901C3" w:rsidP="00F901C3">
            <w:pPr>
              <w:jc w:val="right"/>
              <w:rPr>
                <w:rFonts w:cs="Arial"/>
                <w:b/>
                <w:bCs/>
                <w:color w:val="FFFFFF"/>
                <w:szCs w:val="18"/>
                <w:lang w:eastAsia="en-AU"/>
              </w:rPr>
            </w:pPr>
            <w:r w:rsidRPr="00F901C3">
              <w:rPr>
                <w:rFonts w:cs="Arial"/>
                <w:b/>
                <w:bCs/>
                <w:color w:val="FFFFFF"/>
                <w:szCs w:val="18"/>
                <w:lang w:eastAsia="en-AU"/>
              </w:rPr>
              <w:t>73,343</w:t>
            </w:r>
          </w:p>
        </w:tc>
        <w:tc>
          <w:tcPr>
            <w:tcW w:w="986" w:type="dxa"/>
            <w:tcBorders>
              <w:top w:val="nil"/>
              <w:left w:val="nil"/>
              <w:bottom w:val="nil"/>
              <w:right w:val="nil"/>
            </w:tcBorders>
            <w:shd w:val="clear" w:color="000000" w:fill="7F7F7F"/>
            <w:noWrap/>
            <w:vAlign w:val="center"/>
            <w:hideMark/>
          </w:tcPr>
          <w:p w:rsidR="00F901C3" w:rsidRPr="00F901C3" w:rsidRDefault="00F901C3" w:rsidP="00F901C3">
            <w:pPr>
              <w:jc w:val="right"/>
              <w:rPr>
                <w:rFonts w:cs="Arial"/>
                <w:b/>
                <w:bCs/>
                <w:color w:val="FFFFFF"/>
                <w:szCs w:val="18"/>
                <w:lang w:eastAsia="en-AU"/>
              </w:rPr>
            </w:pPr>
            <w:r w:rsidRPr="00F901C3">
              <w:rPr>
                <w:rFonts w:cs="Arial"/>
                <w:b/>
                <w:bCs/>
                <w:color w:val="FFFFFF"/>
                <w:szCs w:val="18"/>
                <w:lang w:eastAsia="en-AU"/>
              </w:rPr>
              <w:t>64,514</w:t>
            </w:r>
          </w:p>
        </w:tc>
      </w:tr>
    </w:tbl>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4A0" w:firstRow="1" w:lastRow="0" w:firstColumn="1" w:lastColumn="0" w:noHBand="0" w:noVBand="1"/>
      </w:tblPr>
      <w:tblGrid>
        <w:gridCol w:w="431"/>
        <w:gridCol w:w="7649"/>
      </w:tblGrid>
      <w:tr w:rsidR="00F901C3" w:rsidRPr="00913551" w:rsidTr="00F901C3">
        <w:tc>
          <w:tcPr>
            <w:tcW w:w="431" w:type="dxa"/>
            <w:tcMar>
              <w:left w:w="0" w:type="dxa"/>
              <w:right w:w="28" w:type="dxa"/>
            </w:tcMar>
          </w:tcPr>
          <w:p w:rsidR="00F901C3" w:rsidRPr="00913551" w:rsidRDefault="00F901C3" w:rsidP="00F901C3">
            <w:pPr>
              <w:spacing w:after="0" w:line="240" w:lineRule="auto"/>
              <w:jc w:val="right"/>
              <w:rPr>
                <w:color w:val="7F7F7F" w:themeColor="text2"/>
                <w:sz w:val="16"/>
                <w:szCs w:val="16"/>
              </w:rPr>
            </w:pPr>
            <w:r w:rsidRPr="00913551">
              <w:rPr>
                <w:color w:val="7F7F7F" w:themeColor="text2"/>
                <w:sz w:val="16"/>
                <w:szCs w:val="16"/>
              </w:rPr>
              <w:t xml:space="preserve">* </w:t>
            </w:r>
          </w:p>
        </w:tc>
        <w:tc>
          <w:tcPr>
            <w:tcW w:w="7649" w:type="dxa"/>
            <w:tcMar>
              <w:left w:w="0" w:type="dxa"/>
              <w:right w:w="28" w:type="dxa"/>
            </w:tcMar>
          </w:tcPr>
          <w:p w:rsidR="00F901C3" w:rsidRPr="001A6F4D" w:rsidRDefault="001A6F4D" w:rsidP="00F901C3">
            <w:pPr>
              <w:pStyle w:val="Note"/>
              <w:spacing w:after="0"/>
              <w:rPr>
                <w:color w:val="7F7F7F" w:themeColor="text2"/>
              </w:rPr>
            </w:pPr>
            <w:r w:rsidRPr="001A6F4D">
              <w:t xml:space="preserve">Where a course </w:t>
            </w:r>
            <w:proofErr w:type="gramStart"/>
            <w:r w:rsidRPr="001A6F4D">
              <w:t>was delivered</w:t>
            </w:r>
            <w:proofErr w:type="gramEnd"/>
            <w:r w:rsidRPr="001A6F4D">
              <w:t xml:space="preserve"> across more than one region, an enrolment in this course is also counted in more than one region. The total has eliminated any duplicates.</w:t>
            </w:r>
          </w:p>
        </w:tc>
      </w:tr>
    </w:tbl>
    <w:p w:rsidR="00F901C3" w:rsidRDefault="00F901C3" w:rsidP="00001B69">
      <w:pPr>
        <w:pStyle w:val="Quote"/>
        <w:rPr>
          <w:b w:val="0"/>
          <w:sz w:val="18"/>
          <w:szCs w:val="18"/>
        </w:rPr>
      </w:pPr>
    </w:p>
    <w:p w:rsidR="00F901C3" w:rsidRDefault="00F901C3" w:rsidP="00001B69">
      <w:pPr>
        <w:pStyle w:val="Quote"/>
        <w:rPr>
          <w:b w:val="0"/>
          <w:sz w:val="18"/>
          <w:szCs w:val="18"/>
        </w:rPr>
      </w:pP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240FAD" w:rsidTr="00D10E9D">
        <w:tc>
          <w:tcPr>
            <w:tcW w:w="1134" w:type="dxa"/>
            <w:tcMar>
              <w:left w:w="0" w:type="dxa"/>
              <w:right w:w="0" w:type="dxa"/>
            </w:tcMar>
          </w:tcPr>
          <w:p w:rsidR="00240FAD" w:rsidRDefault="00240FAD" w:rsidP="0084117E">
            <w:pPr>
              <w:pStyle w:val="Quote"/>
              <w:tabs>
                <w:tab w:val="left" w:pos="1134"/>
              </w:tabs>
              <w:rPr>
                <w:b w:val="0"/>
                <w:color w:val="B41F22" w:themeColor="accent1"/>
              </w:rPr>
            </w:pPr>
            <w:r>
              <w:rPr>
                <w:b w:val="0"/>
                <w:color w:val="B41F22" w:themeColor="accent1"/>
              </w:rPr>
              <w:t>Table 1.3</w:t>
            </w:r>
            <w:r w:rsidR="0084117E">
              <w:rPr>
                <w:b w:val="0"/>
                <w:color w:val="B41F22" w:themeColor="accent1"/>
              </w:rPr>
              <w:t>4</w:t>
            </w:r>
            <w:r>
              <w:rPr>
                <w:b w:val="0"/>
                <w:color w:val="B41F22" w:themeColor="accent1"/>
              </w:rPr>
              <w:t>.2:</w:t>
            </w:r>
          </w:p>
        </w:tc>
        <w:tc>
          <w:tcPr>
            <w:tcW w:w="6946" w:type="dxa"/>
            <w:tcMar>
              <w:left w:w="0" w:type="dxa"/>
              <w:right w:w="0" w:type="dxa"/>
            </w:tcMar>
          </w:tcPr>
          <w:p w:rsidR="00240FAD" w:rsidRDefault="00240FAD" w:rsidP="007E03F8">
            <w:pPr>
              <w:pStyle w:val="Quote"/>
              <w:tabs>
                <w:tab w:val="left" w:pos="1134"/>
              </w:tabs>
              <w:rPr>
                <w:b w:val="0"/>
                <w:color w:val="B41F22" w:themeColor="accent1"/>
              </w:rPr>
            </w:pPr>
            <w:r w:rsidRPr="00240FAD">
              <w:rPr>
                <w:b w:val="0"/>
                <w:color w:val="B41F22" w:themeColor="accent1"/>
              </w:rPr>
              <w:t xml:space="preserve">Change in number of </w:t>
            </w:r>
            <w:r w:rsidR="001D22F4">
              <w:rPr>
                <w:b w:val="0"/>
                <w:color w:val="B41F22" w:themeColor="accent1"/>
              </w:rPr>
              <w:t xml:space="preserve">domestic </w:t>
            </w:r>
            <w:r w:rsidRPr="00240FAD">
              <w:rPr>
                <w:b w:val="0"/>
                <w:color w:val="B41F22" w:themeColor="accent1"/>
              </w:rPr>
              <w:t xml:space="preserve">fee-for-service enrolments </w:t>
            </w:r>
            <w:r w:rsidR="007E03F8">
              <w:rPr>
                <w:b w:val="0"/>
                <w:color w:val="B41F22" w:themeColor="accent1"/>
              </w:rPr>
              <w:t>at</w:t>
            </w:r>
            <w:r w:rsidRPr="00240FAD">
              <w:rPr>
                <w:b w:val="0"/>
                <w:color w:val="B41F22" w:themeColor="accent1"/>
              </w:rPr>
              <w:t xml:space="preserve"> TAFE by Departmental administrative delivery region (half year)</w:t>
            </w:r>
          </w:p>
        </w:tc>
      </w:tr>
    </w:tbl>
    <w:tbl>
      <w:tblPr>
        <w:tblW w:w="8095" w:type="dxa"/>
        <w:tblInd w:w="93" w:type="dxa"/>
        <w:tblLayout w:type="fixed"/>
        <w:tblLook w:val="04A0" w:firstRow="1" w:lastRow="0" w:firstColumn="1" w:lastColumn="0" w:noHBand="0" w:noVBand="1"/>
      </w:tblPr>
      <w:tblGrid>
        <w:gridCol w:w="2180"/>
        <w:gridCol w:w="1183"/>
        <w:gridCol w:w="1183"/>
        <w:gridCol w:w="1183"/>
        <w:gridCol w:w="1183"/>
        <w:gridCol w:w="1183"/>
      </w:tblGrid>
      <w:tr w:rsidR="00240FAD" w:rsidRPr="00240FAD" w:rsidTr="00240FAD">
        <w:trPr>
          <w:trHeight w:val="720"/>
        </w:trPr>
        <w:tc>
          <w:tcPr>
            <w:tcW w:w="2180" w:type="dxa"/>
            <w:tcBorders>
              <w:top w:val="nil"/>
              <w:left w:val="nil"/>
              <w:bottom w:val="nil"/>
              <w:right w:val="nil"/>
            </w:tcBorders>
            <w:shd w:val="clear" w:color="000000" w:fill="7F7F7F"/>
            <w:noWrap/>
            <w:vAlign w:val="center"/>
            <w:hideMark/>
          </w:tcPr>
          <w:p w:rsidR="00240FAD" w:rsidRPr="00240FAD" w:rsidRDefault="00240FAD" w:rsidP="00240FAD">
            <w:pPr>
              <w:rPr>
                <w:rFonts w:cs="Arial"/>
                <w:color w:val="FFFFFF"/>
                <w:szCs w:val="18"/>
                <w:lang w:eastAsia="en-AU"/>
              </w:rPr>
            </w:pPr>
            <w:r w:rsidRPr="00240FAD">
              <w:rPr>
                <w:rFonts w:cs="Arial"/>
                <w:color w:val="FFFFFF"/>
                <w:szCs w:val="18"/>
                <w:lang w:eastAsia="en-AU"/>
              </w:rPr>
              <w:t> </w:t>
            </w:r>
          </w:p>
        </w:tc>
        <w:tc>
          <w:tcPr>
            <w:tcW w:w="1183" w:type="dxa"/>
            <w:tcBorders>
              <w:top w:val="nil"/>
              <w:left w:val="nil"/>
              <w:bottom w:val="nil"/>
              <w:right w:val="nil"/>
            </w:tcBorders>
            <w:shd w:val="clear" w:color="000000" w:fill="7F7F7F"/>
            <w:vAlign w:val="center"/>
            <w:hideMark/>
          </w:tcPr>
          <w:p w:rsidR="00240FAD" w:rsidRPr="00240FAD" w:rsidRDefault="00240FAD" w:rsidP="00240FAD">
            <w:pPr>
              <w:jc w:val="right"/>
              <w:rPr>
                <w:rFonts w:cs="Arial"/>
                <w:b/>
                <w:bCs/>
                <w:color w:val="FFFFFF"/>
                <w:szCs w:val="18"/>
                <w:lang w:eastAsia="en-AU"/>
              </w:rPr>
            </w:pPr>
            <w:r w:rsidRPr="00240FAD">
              <w:rPr>
                <w:rFonts w:cs="Arial"/>
                <w:b/>
                <w:bCs/>
                <w:color w:val="FFFFFF"/>
                <w:szCs w:val="18"/>
                <w:lang w:eastAsia="en-AU"/>
              </w:rPr>
              <w:t>% change 2010 to 2015</w:t>
            </w:r>
          </w:p>
        </w:tc>
        <w:tc>
          <w:tcPr>
            <w:tcW w:w="1183" w:type="dxa"/>
            <w:tcBorders>
              <w:top w:val="nil"/>
              <w:left w:val="nil"/>
              <w:bottom w:val="nil"/>
              <w:right w:val="nil"/>
            </w:tcBorders>
            <w:shd w:val="clear" w:color="000000" w:fill="7F7F7F"/>
            <w:vAlign w:val="center"/>
            <w:hideMark/>
          </w:tcPr>
          <w:p w:rsidR="00240FAD" w:rsidRPr="00240FAD" w:rsidRDefault="00240FAD" w:rsidP="00240FAD">
            <w:pPr>
              <w:jc w:val="right"/>
              <w:rPr>
                <w:rFonts w:cs="Arial"/>
                <w:b/>
                <w:bCs/>
                <w:color w:val="FFFFFF"/>
                <w:szCs w:val="18"/>
                <w:lang w:eastAsia="en-AU"/>
              </w:rPr>
            </w:pPr>
            <w:r w:rsidRPr="00240FAD">
              <w:rPr>
                <w:rFonts w:cs="Arial"/>
                <w:b/>
                <w:bCs/>
                <w:color w:val="FFFFFF"/>
                <w:szCs w:val="18"/>
                <w:lang w:eastAsia="en-AU"/>
              </w:rPr>
              <w:t>% change 2011 to 2015</w:t>
            </w:r>
          </w:p>
        </w:tc>
        <w:tc>
          <w:tcPr>
            <w:tcW w:w="1183" w:type="dxa"/>
            <w:tcBorders>
              <w:top w:val="nil"/>
              <w:left w:val="nil"/>
              <w:bottom w:val="nil"/>
              <w:right w:val="nil"/>
            </w:tcBorders>
            <w:shd w:val="clear" w:color="000000" w:fill="7F7F7F"/>
            <w:vAlign w:val="center"/>
            <w:hideMark/>
          </w:tcPr>
          <w:p w:rsidR="00240FAD" w:rsidRPr="00240FAD" w:rsidRDefault="00240FAD" w:rsidP="00240FAD">
            <w:pPr>
              <w:jc w:val="right"/>
              <w:rPr>
                <w:rFonts w:cs="Arial"/>
                <w:b/>
                <w:bCs/>
                <w:color w:val="FFFFFF"/>
                <w:szCs w:val="18"/>
                <w:lang w:eastAsia="en-AU"/>
              </w:rPr>
            </w:pPr>
            <w:r w:rsidRPr="00240FAD">
              <w:rPr>
                <w:rFonts w:cs="Arial"/>
                <w:b/>
                <w:bCs/>
                <w:color w:val="FFFFFF"/>
                <w:szCs w:val="18"/>
                <w:lang w:eastAsia="en-AU"/>
              </w:rPr>
              <w:t>% change 2012 to 2015</w:t>
            </w:r>
          </w:p>
        </w:tc>
        <w:tc>
          <w:tcPr>
            <w:tcW w:w="1183" w:type="dxa"/>
            <w:tcBorders>
              <w:top w:val="nil"/>
              <w:left w:val="nil"/>
              <w:bottom w:val="nil"/>
              <w:right w:val="nil"/>
            </w:tcBorders>
            <w:shd w:val="clear" w:color="000000" w:fill="7F7F7F"/>
            <w:vAlign w:val="center"/>
            <w:hideMark/>
          </w:tcPr>
          <w:p w:rsidR="00240FAD" w:rsidRPr="00240FAD" w:rsidRDefault="00240FAD" w:rsidP="00240FAD">
            <w:pPr>
              <w:jc w:val="right"/>
              <w:rPr>
                <w:rFonts w:cs="Arial"/>
                <w:b/>
                <w:bCs/>
                <w:color w:val="FFFFFF"/>
                <w:szCs w:val="18"/>
                <w:lang w:eastAsia="en-AU"/>
              </w:rPr>
            </w:pPr>
            <w:r w:rsidRPr="00240FAD">
              <w:rPr>
                <w:rFonts w:cs="Arial"/>
                <w:b/>
                <w:bCs/>
                <w:color w:val="FFFFFF"/>
                <w:szCs w:val="18"/>
                <w:lang w:eastAsia="en-AU"/>
              </w:rPr>
              <w:t>% change 2013 to 2015</w:t>
            </w:r>
          </w:p>
        </w:tc>
        <w:tc>
          <w:tcPr>
            <w:tcW w:w="1183" w:type="dxa"/>
            <w:tcBorders>
              <w:top w:val="nil"/>
              <w:left w:val="nil"/>
              <w:bottom w:val="nil"/>
              <w:right w:val="nil"/>
            </w:tcBorders>
            <w:shd w:val="clear" w:color="000000" w:fill="7F7F7F"/>
            <w:vAlign w:val="center"/>
            <w:hideMark/>
          </w:tcPr>
          <w:p w:rsidR="00240FAD" w:rsidRPr="00240FAD" w:rsidRDefault="00240FAD" w:rsidP="00240FAD">
            <w:pPr>
              <w:jc w:val="right"/>
              <w:rPr>
                <w:rFonts w:cs="Arial"/>
                <w:b/>
                <w:bCs/>
                <w:color w:val="FFFFFF"/>
                <w:szCs w:val="18"/>
                <w:lang w:eastAsia="en-AU"/>
              </w:rPr>
            </w:pPr>
            <w:r w:rsidRPr="00240FAD">
              <w:rPr>
                <w:rFonts w:cs="Arial"/>
                <w:b/>
                <w:bCs/>
                <w:color w:val="FFFFFF"/>
                <w:szCs w:val="18"/>
                <w:lang w:eastAsia="en-AU"/>
              </w:rPr>
              <w:t>% change 2014 to 2015</w:t>
            </w:r>
          </w:p>
        </w:tc>
      </w:tr>
      <w:tr w:rsidR="00240FAD" w:rsidRPr="00240FAD" w:rsidTr="00240FAD">
        <w:trPr>
          <w:trHeight w:val="300"/>
        </w:trPr>
        <w:tc>
          <w:tcPr>
            <w:tcW w:w="2180" w:type="dxa"/>
            <w:tcBorders>
              <w:top w:val="nil"/>
              <w:left w:val="nil"/>
              <w:bottom w:val="nil"/>
              <w:right w:val="nil"/>
            </w:tcBorders>
            <w:shd w:val="clear" w:color="auto" w:fill="auto"/>
            <w:noWrap/>
            <w:vAlign w:val="center"/>
            <w:hideMark/>
          </w:tcPr>
          <w:p w:rsidR="00240FAD" w:rsidRPr="00240FAD" w:rsidRDefault="00240FAD" w:rsidP="00240FAD">
            <w:pPr>
              <w:rPr>
                <w:rFonts w:cs="Arial"/>
                <w:color w:val="7F7F7F"/>
                <w:szCs w:val="18"/>
                <w:lang w:eastAsia="en-AU"/>
              </w:rPr>
            </w:pPr>
            <w:r w:rsidRPr="00240FAD">
              <w:rPr>
                <w:rFonts w:cs="Arial"/>
                <w:color w:val="7F7F7F"/>
                <w:szCs w:val="18"/>
                <w:lang w:eastAsia="en-AU"/>
              </w:rPr>
              <w:t>North-Eastern Victoria</w:t>
            </w:r>
          </w:p>
        </w:tc>
        <w:tc>
          <w:tcPr>
            <w:tcW w:w="1183" w:type="dxa"/>
            <w:tcBorders>
              <w:top w:val="nil"/>
              <w:left w:val="nil"/>
              <w:bottom w:val="nil"/>
              <w:right w:val="nil"/>
            </w:tcBorders>
            <w:shd w:val="clear" w:color="auto" w:fill="auto"/>
            <w:noWrap/>
            <w:vAlign w:val="center"/>
            <w:hideMark/>
          </w:tcPr>
          <w:p w:rsidR="00240FAD" w:rsidRPr="00240FAD" w:rsidRDefault="00240FAD" w:rsidP="00240FAD">
            <w:pPr>
              <w:jc w:val="right"/>
              <w:rPr>
                <w:rFonts w:cs="Arial"/>
                <w:color w:val="7F7F7F"/>
                <w:szCs w:val="18"/>
                <w:lang w:eastAsia="en-AU"/>
              </w:rPr>
            </w:pPr>
            <w:r w:rsidRPr="00240FAD">
              <w:rPr>
                <w:rFonts w:cs="Arial"/>
                <w:color w:val="7F7F7F"/>
                <w:szCs w:val="18"/>
                <w:lang w:eastAsia="en-AU"/>
              </w:rPr>
              <w:t>-9%</w:t>
            </w:r>
          </w:p>
        </w:tc>
        <w:tc>
          <w:tcPr>
            <w:tcW w:w="1183" w:type="dxa"/>
            <w:tcBorders>
              <w:top w:val="nil"/>
              <w:left w:val="nil"/>
              <w:bottom w:val="nil"/>
              <w:right w:val="nil"/>
            </w:tcBorders>
            <w:shd w:val="clear" w:color="auto" w:fill="auto"/>
            <w:noWrap/>
            <w:vAlign w:val="center"/>
            <w:hideMark/>
          </w:tcPr>
          <w:p w:rsidR="00240FAD" w:rsidRPr="00240FAD" w:rsidRDefault="00240FAD" w:rsidP="00240FAD">
            <w:pPr>
              <w:jc w:val="right"/>
              <w:rPr>
                <w:rFonts w:cs="Arial"/>
                <w:color w:val="7F7F7F"/>
                <w:szCs w:val="18"/>
                <w:lang w:eastAsia="en-AU"/>
              </w:rPr>
            </w:pPr>
            <w:r w:rsidRPr="00240FAD">
              <w:rPr>
                <w:rFonts w:cs="Arial"/>
                <w:color w:val="7F7F7F"/>
                <w:szCs w:val="18"/>
                <w:lang w:eastAsia="en-AU"/>
              </w:rPr>
              <w:t>2%</w:t>
            </w:r>
          </w:p>
        </w:tc>
        <w:tc>
          <w:tcPr>
            <w:tcW w:w="1183" w:type="dxa"/>
            <w:tcBorders>
              <w:top w:val="nil"/>
              <w:left w:val="nil"/>
              <w:bottom w:val="nil"/>
              <w:right w:val="nil"/>
            </w:tcBorders>
            <w:shd w:val="clear" w:color="auto" w:fill="auto"/>
            <w:noWrap/>
            <w:vAlign w:val="center"/>
            <w:hideMark/>
          </w:tcPr>
          <w:p w:rsidR="00240FAD" w:rsidRPr="00240FAD" w:rsidRDefault="00240FAD" w:rsidP="00240FAD">
            <w:pPr>
              <w:jc w:val="right"/>
              <w:rPr>
                <w:rFonts w:cs="Arial"/>
                <w:color w:val="7F7F7F"/>
                <w:szCs w:val="18"/>
                <w:lang w:eastAsia="en-AU"/>
              </w:rPr>
            </w:pPr>
            <w:r w:rsidRPr="00240FAD">
              <w:rPr>
                <w:rFonts w:cs="Arial"/>
                <w:color w:val="7F7F7F"/>
                <w:szCs w:val="18"/>
                <w:lang w:eastAsia="en-AU"/>
              </w:rPr>
              <w:t>-8%</w:t>
            </w:r>
          </w:p>
        </w:tc>
        <w:tc>
          <w:tcPr>
            <w:tcW w:w="1183" w:type="dxa"/>
            <w:tcBorders>
              <w:top w:val="nil"/>
              <w:left w:val="nil"/>
              <w:bottom w:val="nil"/>
              <w:right w:val="nil"/>
            </w:tcBorders>
            <w:shd w:val="clear" w:color="auto" w:fill="auto"/>
            <w:noWrap/>
            <w:vAlign w:val="center"/>
            <w:hideMark/>
          </w:tcPr>
          <w:p w:rsidR="00240FAD" w:rsidRPr="00240FAD" w:rsidRDefault="00240FAD" w:rsidP="00240FAD">
            <w:pPr>
              <w:jc w:val="right"/>
              <w:rPr>
                <w:rFonts w:cs="Arial"/>
                <w:color w:val="7F7F7F"/>
                <w:szCs w:val="18"/>
                <w:lang w:eastAsia="en-AU"/>
              </w:rPr>
            </w:pPr>
            <w:r w:rsidRPr="00240FAD">
              <w:rPr>
                <w:rFonts w:cs="Arial"/>
                <w:color w:val="7F7F7F"/>
                <w:szCs w:val="18"/>
                <w:lang w:eastAsia="en-AU"/>
              </w:rPr>
              <w:t>-1%</w:t>
            </w:r>
          </w:p>
        </w:tc>
        <w:tc>
          <w:tcPr>
            <w:tcW w:w="1183" w:type="dxa"/>
            <w:tcBorders>
              <w:top w:val="nil"/>
              <w:left w:val="nil"/>
              <w:bottom w:val="nil"/>
              <w:right w:val="nil"/>
            </w:tcBorders>
            <w:shd w:val="clear" w:color="auto" w:fill="auto"/>
            <w:noWrap/>
            <w:vAlign w:val="center"/>
            <w:hideMark/>
          </w:tcPr>
          <w:p w:rsidR="00240FAD" w:rsidRPr="00240FAD" w:rsidRDefault="00240FAD" w:rsidP="00240FAD">
            <w:pPr>
              <w:jc w:val="right"/>
              <w:rPr>
                <w:rFonts w:cs="Arial"/>
                <w:color w:val="7F7F7F"/>
                <w:szCs w:val="18"/>
                <w:lang w:eastAsia="en-AU"/>
              </w:rPr>
            </w:pPr>
            <w:r w:rsidRPr="00240FAD">
              <w:rPr>
                <w:rFonts w:cs="Arial"/>
                <w:color w:val="7F7F7F"/>
                <w:szCs w:val="18"/>
                <w:lang w:eastAsia="en-AU"/>
              </w:rPr>
              <w:t>3%</w:t>
            </w:r>
          </w:p>
        </w:tc>
      </w:tr>
      <w:tr w:rsidR="00240FAD" w:rsidRPr="00240FAD" w:rsidTr="00240FAD">
        <w:trPr>
          <w:trHeight w:val="300"/>
        </w:trPr>
        <w:tc>
          <w:tcPr>
            <w:tcW w:w="2180" w:type="dxa"/>
            <w:tcBorders>
              <w:top w:val="nil"/>
              <w:left w:val="nil"/>
              <w:bottom w:val="nil"/>
              <w:right w:val="nil"/>
            </w:tcBorders>
            <w:shd w:val="clear" w:color="auto" w:fill="auto"/>
            <w:noWrap/>
            <w:vAlign w:val="center"/>
            <w:hideMark/>
          </w:tcPr>
          <w:p w:rsidR="00240FAD" w:rsidRPr="00240FAD" w:rsidRDefault="00240FAD" w:rsidP="00240FAD">
            <w:pPr>
              <w:rPr>
                <w:rFonts w:cs="Arial"/>
                <w:color w:val="7F7F7F"/>
                <w:szCs w:val="18"/>
                <w:lang w:eastAsia="en-AU"/>
              </w:rPr>
            </w:pPr>
            <w:r w:rsidRPr="00240FAD">
              <w:rPr>
                <w:rFonts w:cs="Arial"/>
                <w:color w:val="7F7F7F"/>
                <w:szCs w:val="18"/>
                <w:lang w:eastAsia="en-AU"/>
              </w:rPr>
              <w:t>North-Western Victoria</w:t>
            </w:r>
          </w:p>
        </w:tc>
        <w:tc>
          <w:tcPr>
            <w:tcW w:w="1183" w:type="dxa"/>
            <w:tcBorders>
              <w:top w:val="nil"/>
              <w:left w:val="nil"/>
              <w:bottom w:val="nil"/>
              <w:right w:val="nil"/>
            </w:tcBorders>
            <w:shd w:val="clear" w:color="auto" w:fill="auto"/>
            <w:noWrap/>
            <w:vAlign w:val="center"/>
            <w:hideMark/>
          </w:tcPr>
          <w:p w:rsidR="00240FAD" w:rsidRPr="00240FAD" w:rsidRDefault="00240FAD" w:rsidP="00240FAD">
            <w:pPr>
              <w:jc w:val="right"/>
              <w:rPr>
                <w:rFonts w:cs="Arial"/>
                <w:color w:val="7F7F7F"/>
                <w:szCs w:val="18"/>
                <w:lang w:eastAsia="en-AU"/>
              </w:rPr>
            </w:pPr>
            <w:r w:rsidRPr="00240FAD">
              <w:rPr>
                <w:rFonts w:cs="Arial"/>
                <w:color w:val="7F7F7F"/>
                <w:szCs w:val="18"/>
                <w:lang w:eastAsia="en-AU"/>
              </w:rPr>
              <w:t>-1%</w:t>
            </w:r>
          </w:p>
        </w:tc>
        <w:tc>
          <w:tcPr>
            <w:tcW w:w="1183" w:type="dxa"/>
            <w:tcBorders>
              <w:top w:val="nil"/>
              <w:left w:val="nil"/>
              <w:bottom w:val="nil"/>
              <w:right w:val="nil"/>
            </w:tcBorders>
            <w:shd w:val="clear" w:color="auto" w:fill="auto"/>
            <w:noWrap/>
            <w:vAlign w:val="center"/>
            <w:hideMark/>
          </w:tcPr>
          <w:p w:rsidR="00240FAD" w:rsidRPr="00240FAD" w:rsidRDefault="00240FAD" w:rsidP="00240FAD">
            <w:pPr>
              <w:jc w:val="right"/>
              <w:rPr>
                <w:rFonts w:cs="Arial"/>
                <w:color w:val="7F7F7F"/>
                <w:szCs w:val="18"/>
                <w:lang w:eastAsia="en-AU"/>
              </w:rPr>
            </w:pPr>
            <w:r w:rsidRPr="00240FAD">
              <w:rPr>
                <w:rFonts w:cs="Arial"/>
                <w:color w:val="7F7F7F"/>
                <w:szCs w:val="18"/>
                <w:lang w:eastAsia="en-AU"/>
              </w:rPr>
              <w:t>7%</w:t>
            </w:r>
          </w:p>
        </w:tc>
        <w:tc>
          <w:tcPr>
            <w:tcW w:w="1183" w:type="dxa"/>
            <w:tcBorders>
              <w:top w:val="nil"/>
              <w:left w:val="nil"/>
              <w:bottom w:val="nil"/>
              <w:right w:val="nil"/>
            </w:tcBorders>
            <w:shd w:val="clear" w:color="auto" w:fill="auto"/>
            <w:noWrap/>
            <w:vAlign w:val="center"/>
            <w:hideMark/>
          </w:tcPr>
          <w:p w:rsidR="00240FAD" w:rsidRPr="00240FAD" w:rsidRDefault="00240FAD" w:rsidP="00240FAD">
            <w:pPr>
              <w:jc w:val="right"/>
              <w:rPr>
                <w:rFonts w:cs="Arial"/>
                <w:color w:val="7F7F7F"/>
                <w:szCs w:val="18"/>
                <w:lang w:eastAsia="en-AU"/>
              </w:rPr>
            </w:pPr>
            <w:r w:rsidRPr="00240FAD">
              <w:rPr>
                <w:rFonts w:cs="Arial"/>
                <w:color w:val="7F7F7F"/>
                <w:szCs w:val="18"/>
                <w:lang w:eastAsia="en-AU"/>
              </w:rPr>
              <w:t>-4%</w:t>
            </w:r>
          </w:p>
        </w:tc>
        <w:tc>
          <w:tcPr>
            <w:tcW w:w="1183" w:type="dxa"/>
            <w:tcBorders>
              <w:top w:val="nil"/>
              <w:left w:val="nil"/>
              <w:bottom w:val="nil"/>
              <w:right w:val="nil"/>
            </w:tcBorders>
            <w:shd w:val="clear" w:color="auto" w:fill="auto"/>
            <w:noWrap/>
            <w:vAlign w:val="center"/>
            <w:hideMark/>
          </w:tcPr>
          <w:p w:rsidR="00240FAD" w:rsidRPr="00240FAD" w:rsidRDefault="00240FAD" w:rsidP="00240FAD">
            <w:pPr>
              <w:jc w:val="right"/>
              <w:rPr>
                <w:rFonts w:cs="Arial"/>
                <w:color w:val="7F7F7F"/>
                <w:szCs w:val="18"/>
                <w:lang w:eastAsia="en-AU"/>
              </w:rPr>
            </w:pPr>
            <w:r w:rsidRPr="00240FAD">
              <w:rPr>
                <w:rFonts w:cs="Arial"/>
                <w:color w:val="7F7F7F"/>
                <w:szCs w:val="18"/>
                <w:lang w:eastAsia="en-AU"/>
              </w:rPr>
              <w:t>-9%</w:t>
            </w:r>
          </w:p>
        </w:tc>
        <w:tc>
          <w:tcPr>
            <w:tcW w:w="1183" w:type="dxa"/>
            <w:tcBorders>
              <w:top w:val="nil"/>
              <w:left w:val="nil"/>
              <w:bottom w:val="nil"/>
              <w:right w:val="nil"/>
            </w:tcBorders>
            <w:shd w:val="clear" w:color="auto" w:fill="auto"/>
            <w:noWrap/>
            <w:vAlign w:val="center"/>
            <w:hideMark/>
          </w:tcPr>
          <w:p w:rsidR="00240FAD" w:rsidRPr="00240FAD" w:rsidRDefault="00240FAD" w:rsidP="00240FAD">
            <w:pPr>
              <w:jc w:val="right"/>
              <w:rPr>
                <w:rFonts w:cs="Arial"/>
                <w:color w:val="7F7F7F"/>
                <w:szCs w:val="18"/>
                <w:lang w:eastAsia="en-AU"/>
              </w:rPr>
            </w:pPr>
            <w:r w:rsidRPr="00240FAD">
              <w:rPr>
                <w:rFonts w:cs="Arial"/>
                <w:color w:val="7F7F7F"/>
                <w:szCs w:val="18"/>
                <w:lang w:eastAsia="en-AU"/>
              </w:rPr>
              <w:t>-6%</w:t>
            </w:r>
          </w:p>
        </w:tc>
      </w:tr>
      <w:tr w:rsidR="00240FAD" w:rsidRPr="00240FAD" w:rsidTr="00240FAD">
        <w:trPr>
          <w:trHeight w:val="300"/>
        </w:trPr>
        <w:tc>
          <w:tcPr>
            <w:tcW w:w="2180" w:type="dxa"/>
            <w:tcBorders>
              <w:top w:val="nil"/>
              <w:left w:val="nil"/>
              <w:bottom w:val="nil"/>
              <w:right w:val="nil"/>
            </w:tcBorders>
            <w:shd w:val="clear" w:color="auto" w:fill="auto"/>
            <w:noWrap/>
            <w:vAlign w:val="center"/>
            <w:hideMark/>
          </w:tcPr>
          <w:p w:rsidR="00240FAD" w:rsidRPr="00240FAD" w:rsidRDefault="00240FAD" w:rsidP="00240FAD">
            <w:pPr>
              <w:rPr>
                <w:rFonts w:cs="Arial"/>
                <w:color w:val="7F7F7F"/>
                <w:szCs w:val="18"/>
                <w:lang w:eastAsia="en-AU"/>
              </w:rPr>
            </w:pPr>
            <w:r w:rsidRPr="00240FAD">
              <w:rPr>
                <w:rFonts w:cs="Arial"/>
                <w:color w:val="7F7F7F"/>
                <w:szCs w:val="18"/>
                <w:lang w:eastAsia="en-AU"/>
              </w:rPr>
              <w:t>South-Eastern Victoria</w:t>
            </w:r>
          </w:p>
        </w:tc>
        <w:tc>
          <w:tcPr>
            <w:tcW w:w="1183" w:type="dxa"/>
            <w:tcBorders>
              <w:top w:val="nil"/>
              <w:left w:val="nil"/>
              <w:bottom w:val="nil"/>
              <w:right w:val="nil"/>
            </w:tcBorders>
            <w:shd w:val="clear" w:color="auto" w:fill="auto"/>
            <w:noWrap/>
            <w:vAlign w:val="center"/>
            <w:hideMark/>
          </w:tcPr>
          <w:p w:rsidR="00240FAD" w:rsidRPr="00240FAD" w:rsidRDefault="00240FAD" w:rsidP="00240FAD">
            <w:pPr>
              <w:jc w:val="right"/>
              <w:rPr>
                <w:rFonts w:cs="Arial"/>
                <w:color w:val="7F7F7F"/>
                <w:szCs w:val="18"/>
                <w:lang w:eastAsia="en-AU"/>
              </w:rPr>
            </w:pPr>
            <w:r w:rsidRPr="00240FAD">
              <w:rPr>
                <w:rFonts w:cs="Arial"/>
                <w:color w:val="7F7F7F"/>
                <w:szCs w:val="18"/>
                <w:lang w:eastAsia="en-AU"/>
              </w:rPr>
              <w:t>-22%</w:t>
            </w:r>
          </w:p>
        </w:tc>
        <w:tc>
          <w:tcPr>
            <w:tcW w:w="1183" w:type="dxa"/>
            <w:tcBorders>
              <w:top w:val="nil"/>
              <w:left w:val="nil"/>
              <w:bottom w:val="nil"/>
              <w:right w:val="nil"/>
            </w:tcBorders>
            <w:shd w:val="clear" w:color="auto" w:fill="auto"/>
            <w:noWrap/>
            <w:vAlign w:val="center"/>
            <w:hideMark/>
          </w:tcPr>
          <w:p w:rsidR="00240FAD" w:rsidRPr="00240FAD" w:rsidRDefault="00240FAD" w:rsidP="00240FAD">
            <w:pPr>
              <w:jc w:val="right"/>
              <w:rPr>
                <w:rFonts w:cs="Arial"/>
                <w:color w:val="7F7F7F"/>
                <w:szCs w:val="18"/>
                <w:lang w:eastAsia="en-AU"/>
              </w:rPr>
            </w:pPr>
            <w:r w:rsidRPr="00240FAD">
              <w:rPr>
                <w:rFonts w:cs="Arial"/>
                <w:color w:val="7F7F7F"/>
                <w:szCs w:val="18"/>
                <w:lang w:eastAsia="en-AU"/>
              </w:rPr>
              <w:t>-23%</w:t>
            </w:r>
          </w:p>
        </w:tc>
        <w:tc>
          <w:tcPr>
            <w:tcW w:w="1183" w:type="dxa"/>
            <w:tcBorders>
              <w:top w:val="nil"/>
              <w:left w:val="nil"/>
              <w:bottom w:val="nil"/>
              <w:right w:val="nil"/>
            </w:tcBorders>
            <w:shd w:val="clear" w:color="auto" w:fill="auto"/>
            <w:noWrap/>
            <w:vAlign w:val="center"/>
            <w:hideMark/>
          </w:tcPr>
          <w:p w:rsidR="00240FAD" w:rsidRPr="00240FAD" w:rsidRDefault="00240FAD" w:rsidP="00240FAD">
            <w:pPr>
              <w:jc w:val="right"/>
              <w:rPr>
                <w:rFonts w:cs="Arial"/>
                <w:color w:val="7F7F7F"/>
                <w:szCs w:val="18"/>
                <w:lang w:eastAsia="en-AU"/>
              </w:rPr>
            </w:pPr>
            <w:r w:rsidRPr="00240FAD">
              <w:rPr>
                <w:rFonts w:cs="Arial"/>
                <w:color w:val="7F7F7F"/>
                <w:szCs w:val="18"/>
                <w:lang w:eastAsia="en-AU"/>
              </w:rPr>
              <w:t>-28%</w:t>
            </w:r>
          </w:p>
        </w:tc>
        <w:tc>
          <w:tcPr>
            <w:tcW w:w="1183" w:type="dxa"/>
            <w:tcBorders>
              <w:top w:val="nil"/>
              <w:left w:val="nil"/>
              <w:bottom w:val="nil"/>
              <w:right w:val="nil"/>
            </w:tcBorders>
            <w:shd w:val="clear" w:color="auto" w:fill="auto"/>
            <w:noWrap/>
            <w:vAlign w:val="center"/>
            <w:hideMark/>
          </w:tcPr>
          <w:p w:rsidR="00240FAD" w:rsidRPr="00240FAD" w:rsidRDefault="00240FAD" w:rsidP="00240FAD">
            <w:pPr>
              <w:jc w:val="right"/>
              <w:rPr>
                <w:rFonts w:cs="Arial"/>
                <w:color w:val="7F7F7F"/>
                <w:szCs w:val="18"/>
                <w:lang w:eastAsia="en-AU"/>
              </w:rPr>
            </w:pPr>
            <w:r w:rsidRPr="00240FAD">
              <w:rPr>
                <w:rFonts w:cs="Arial"/>
                <w:color w:val="7F7F7F"/>
                <w:szCs w:val="18"/>
                <w:lang w:eastAsia="en-AU"/>
              </w:rPr>
              <w:t>12%</w:t>
            </w:r>
          </w:p>
        </w:tc>
        <w:tc>
          <w:tcPr>
            <w:tcW w:w="1183" w:type="dxa"/>
            <w:tcBorders>
              <w:top w:val="nil"/>
              <w:left w:val="nil"/>
              <w:bottom w:val="nil"/>
              <w:right w:val="nil"/>
            </w:tcBorders>
            <w:shd w:val="clear" w:color="auto" w:fill="auto"/>
            <w:noWrap/>
            <w:vAlign w:val="center"/>
            <w:hideMark/>
          </w:tcPr>
          <w:p w:rsidR="00240FAD" w:rsidRPr="00240FAD" w:rsidRDefault="00240FAD" w:rsidP="00240FAD">
            <w:pPr>
              <w:jc w:val="right"/>
              <w:rPr>
                <w:rFonts w:cs="Arial"/>
                <w:color w:val="7F7F7F"/>
                <w:szCs w:val="18"/>
                <w:lang w:eastAsia="en-AU"/>
              </w:rPr>
            </w:pPr>
            <w:r w:rsidRPr="00240FAD">
              <w:rPr>
                <w:rFonts w:cs="Arial"/>
                <w:color w:val="7F7F7F"/>
                <w:szCs w:val="18"/>
                <w:lang w:eastAsia="en-AU"/>
              </w:rPr>
              <w:t>-12%</w:t>
            </w:r>
          </w:p>
        </w:tc>
      </w:tr>
      <w:tr w:rsidR="00240FAD" w:rsidRPr="00240FAD" w:rsidTr="00240FAD">
        <w:trPr>
          <w:trHeight w:val="300"/>
        </w:trPr>
        <w:tc>
          <w:tcPr>
            <w:tcW w:w="2180" w:type="dxa"/>
            <w:tcBorders>
              <w:top w:val="nil"/>
              <w:left w:val="nil"/>
              <w:bottom w:val="nil"/>
              <w:right w:val="nil"/>
            </w:tcBorders>
            <w:shd w:val="clear" w:color="auto" w:fill="auto"/>
            <w:noWrap/>
            <w:vAlign w:val="center"/>
            <w:hideMark/>
          </w:tcPr>
          <w:p w:rsidR="00240FAD" w:rsidRPr="00240FAD" w:rsidRDefault="00240FAD" w:rsidP="00794B13">
            <w:pPr>
              <w:rPr>
                <w:rFonts w:cs="Arial"/>
                <w:color w:val="7F7F7F"/>
                <w:szCs w:val="18"/>
                <w:lang w:eastAsia="en-AU"/>
              </w:rPr>
            </w:pPr>
            <w:r w:rsidRPr="00240FAD">
              <w:rPr>
                <w:rFonts w:cs="Arial"/>
                <w:color w:val="7F7F7F"/>
                <w:szCs w:val="18"/>
                <w:lang w:eastAsia="en-AU"/>
              </w:rPr>
              <w:t>South</w:t>
            </w:r>
            <w:r w:rsidR="00794B13">
              <w:rPr>
                <w:rFonts w:cs="Arial"/>
                <w:color w:val="7F7F7F"/>
                <w:szCs w:val="18"/>
                <w:lang w:eastAsia="en-AU"/>
              </w:rPr>
              <w:t>-</w:t>
            </w:r>
            <w:r w:rsidRPr="00240FAD">
              <w:rPr>
                <w:rFonts w:cs="Arial"/>
                <w:color w:val="7F7F7F"/>
                <w:szCs w:val="18"/>
                <w:lang w:eastAsia="en-AU"/>
              </w:rPr>
              <w:t>Western Victoria</w:t>
            </w:r>
          </w:p>
        </w:tc>
        <w:tc>
          <w:tcPr>
            <w:tcW w:w="1183" w:type="dxa"/>
            <w:tcBorders>
              <w:top w:val="nil"/>
              <w:left w:val="nil"/>
              <w:bottom w:val="nil"/>
              <w:right w:val="nil"/>
            </w:tcBorders>
            <w:shd w:val="clear" w:color="auto" w:fill="auto"/>
            <w:noWrap/>
            <w:vAlign w:val="center"/>
            <w:hideMark/>
          </w:tcPr>
          <w:p w:rsidR="00240FAD" w:rsidRPr="00240FAD" w:rsidRDefault="00240FAD" w:rsidP="00240FAD">
            <w:pPr>
              <w:jc w:val="right"/>
              <w:rPr>
                <w:rFonts w:cs="Arial"/>
                <w:color w:val="7F7F7F"/>
                <w:szCs w:val="18"/>
                <w:lang w:eastAsia="en-AU"/>
              </w:rPr>
            </w:pPr>
            <w:r w:rsidRPr="00240FAD">
              <w:rPr>
                <w:rFonts w:cs="Arial"/>
                <w:color w:val="7F7F7F"/>
                <w:szCs w:val="18"/>
                <w:lang w:eastAsia="en-AU"/>
              </w:rPr>
              <w:t>-16%</w:t>
            </w:r>
          </w:p>
        </w:tc>
        <w:tc>
          <w:tcPr>
            <w:tcW w:w="1183" w:type="dxa"/>
            <w:tcBorders>
              <w:top w:val="nil"/>
              <w:left w:val="nil"/>
              <w:bottom w:val="nil"/>
              <w:right w:val="nil"/>
            </w:tcBorders>
            <w:shd w:val="clear" w:color="auto" w:fill="auto"/>
            <w:noWrap/>
            <w:vAlign w:val="center"/>
            <w:hideMark/>
          </w:tcPr>
          <w:p w:rsidR="00240FAD" w:rsidRPr="00240FAD" w:rsidRDefault="00240FAD" w:rsidP="00240FAD">
            <w:pPr>
              <w:jc w:val="right"/>
              <w:rPr>
                <w:rFonts w:cs="Arial"/>
                <w:color w:val="7F7F7F"/>
                <w:szCs w:val="18"/>
                <w:lang w:eastAsia="en-AU"/>
              </w:rPr>
            </w:pPr>
            <w:r w:rsidRPr="00240FAD">
              <w:rPr>
                <w:rFonts w:cs="Arial"/>
                <w:color w:val="7F7F7F"/>
                <w:szCs w:val="18"/>
                <w:lang w:eastAsia="en-AU"/>
              </w:rPr>
              <w:t>-3%</w:t>
            </w:r>
          </w:p>
        </w:tc>
        <w:tc>
          <w:tcPr>
            <w:tcW w:w="1183" w:type="dxa"/>
            <w:tcBorders>
              <w:top w:val="nil"/>
              <w:left w:val="nil"/>
              <w:bottom w:val="nil"/>
              <w:right w:val="nil"/>
            </w:tcBorders>
            <w:shd w:val="clear" w:color="auto" w:fill="auto"/>
            <w:noWrap/>
            <w:vAlign w:val="center"/>
            <w:hideMark/>
          </w:tcPr>
          <w:p w:rsidR="00240FAD" w:rsidRPr="00240FAD" w:rsidRDefault="00240FAD" w:rsidP="00240FAD">
            <w:pPr>
              <w:jc w:val="right"/>
              <w:rPr>
                <w:rFonts w:cs="Arial"/>
                <w:color w:val="7F7F7F"/>
                <w:szCs w:val="18"/>
                <w:lang w:eastAsia="en-AU"/>
              </w:rPr>
            </w:pPr>
            <w:r w:rsidRPr="00240FAD">
              <w:rPr>
                <w:rFonts w:cs="Arial"/>
                <w:color w:val="7F7F7F"/>
                <w:szCs w:val="18"/>
                <w:lang w:eastAsia="en-AU"/>
              </w:rPr>
              <w:t>-24%</w:t>
            </w:r>
          </w:p>
        </w:tc>
        <w:tc>
          <w:tcPr>
            <w:tcW w:w="1183" w:type="dxa"/>
            <w:tcBorders>
              <w:top w:val="nil"/>
              <w:left w:val="nil"/>
              <w:bottom w:val="nil"/>
              <w:right w:val="nil"/>
            </w:tcBorders>
            <w:shd w:val="clear" w:color="auto" w:fill="auto"/>
            <w:noWrap/>
            <w:vAlign w:val="center"/>
            <w:hideMark/>
          </w:tcPr>
          <w:p w:rsidR="00240FAD" w:rsidRPr="00240FAD" w:rsidRDefault="00240FAD" w:rsidP="00240FAD">
            <w:pPr>
              <w:jc w:val="right"/>
              <w:rPr>
                <w:rFonts w:cs="Arial"/>
                <w:color w:val="7F7F7F"/>
                <w:szCs w:val="18"/>
                <w:lang w:eastAsia="en-AU"/>
              </w:rPr>
            </w:pPr>
            <w:r w:rsidRPr="00240FAD">
              <w:rPr>
                <w:rFonts w:cs="Arial"/>
                <w:color w:val="7F7F7F"/>
                <w:szCs w:val="18"/>
                <w:lang w:eastAsia="en-AU"/>
              </w:rPr>
              <w:t>4%</w:t>
            </w:r>
          </w:p>
        </w:tc>
        <w:tc>
          <w:tcPr>
            <w:tcW w:w="1183" w:type="dxa"/>
            <w:tcBorders>
              <w:top w:val="nil"/>
              <w:left w:val="nil"/>
              <w:bottom w:val="nil"/>
              <w:right w:val="nil"/>
            </w:tcBorders>
            <w:shd w:val="clear" w:color="auto" w:fill="auto"/>
            <w:noWrap/>
            <w:vAlign w:val="center"/>
            <w:hideMark/>
          </w:tcPr>
          <w:p w:rsidR="00240FAD" w:rsidRPr="00240FAD" w:rsidRDefault="00240FAD" w:rsidP="00240FAD">
            <w:pPr>
              <w:jc w:val="right"/>
              <w:rPr>
                <w:rFonts w:cs="Arial"/>
                <w:color w:val="7F7F7F"/>
                <w:szCs w:val="18"/>
                <w:lang w:eastAsia="en-AU"/>
              </w:rPr>
            </w:pPr>
            <w:r w:rsidRPr="00240FAD">
              <w:rPr>
                <w:rFonts w:cs="Arial"/>
                <w:color w:val="7F7F7F"/>
                <w:szCs w:val="18"/>
                <w:lang w:eastAsia="en-AU"/>
              </w:rPr>
              <w:t>-24%</w:t>
            </w:r>
          </w:p>
        </w:tc>
      </w:tr>
      <w:tr w:rsidR="00240FAD" w:rsidRPr="00240FAD" w:rsidTr="00240FAD">
        <w:trPr>
          <w:trHeight w:val="300"/>
        </w:trPr>
        <w:tc>
          <w:tcPr>
            <w:tcW w:w="2180" w:type="dxa"/>
            <w:tcBorders>
              <w:top w:val="nil"/>
              <w:left w:val="nil"/>
              <w:bottom w:val="nil"/>
              <w:right w:val="nil"/>
            </w:tcBorders>
            <w:shd w:val="clear" w:color="auto" w:fill="auto"/>
            <w:noWrap/>
            <w:vAlign w:val="center"/>
            <w:hideMark/>
          </w:tcPr>
          <w:p w:rsidR="00240FAD" w:rsidRPr="00240FAD" w:rsidRDefault="00240FAD" w:rsidP="00240FAD">
            <w:pPr>
              <w:rPr>
                <w:rFonts w:cs="Arial"/>
                <w:color w:val="7F7F7F"/>
                <w:szCs w:val="18"/>
                <w:lang w:eastAsia="en-AU"/>
              </w:rPr>
            </w:pPr>
            <w:r w:rsidRPr="00240FAD">
              <w:rPr>
                <w:rFonts w:cs="Arial"/>
                <w:color w:val="7F7F7F"/>
                <w:szCs w:val="18"/>
                <w:lang w:eastAsia="en-AU"/>
              </w:rPr>
              <w:t>Interstate</w:t>
            </w:r>
          </w:p>
        </w:tc>
        <w:tc>
          <w:tcPr>
            <w:tcW w:w="1183" w:type="dxa"/>
            <w:tcBorders>
              <w:top w:val="nil"/>
              <w:left w:val="nil"/>
              <w:bottom w:val="nil"/>
              <w:right w:val="nil"/>
            </w:tcBorders>
            <w:shd w:val="clear" w:color="auto" w:fill="auto"/>
            <w:noWrap/>
            <w:vAlign w:val="center"/>
            <w:hideMark/>
          </w:tcPr>
          <w:p w:rsidR="00240FAD" w:rsidRPr="00240FAD" w:rsidRDefault="00240FAD" w:rsidP="00240FAD">
            <w:pPr>
              <w:jc w:val="right"/>
              <w:rPr>
                <w:rFonts w:cs="Arial"/>
                <w:color w:val="7F7F7F"/>
                <w:szCs w:val="18"/>
                <w:lang w:eastAsia="en-AU"/>
              </w:rPr>
            </w:pPr>
            <w:r w:rsidRPr="00240FAD">
              <w:rPr>
                <w:rFonts w:cs="Arial"/>
                <w:color w:val="7F7F7F"/>
                <w:szCs w:val="18"/>
                <w:lang w:eastAsia="en-AU"/>
              </w:rPr>
              <w:t>1,485%</w:t>
            </w:r>
          </w:p>
        </w:tc>
        <w:tc>
          <w:tcPr>
            <w:tcW w:w="1183" w:type="dxa"/>
            <w:tcBorders>
              <w:top w:val="nil"/>
              <w:left w:val="nil"/>
              <w:bottom w:val="nil"/>
              <w:right w:val="nil"/>
            </w:tcBorders>
            <w:shd w:val="clear" w:color="auto" w:fill="auto"/>
            <w:noWrap/>
            <w:vAlign w:val="center"/>
            <w:hideMark/>
          </w:tcPr>
          <w:p w:rsidR="00240FAD" w:rsidRPr="00240FAD" w:rsidRDefault="00240FAD" w:rsidP="00240FAD">
            <w:pPr>
              <w:jc w:val="right"/>
              <w:rPr>
                <w:rFonts w:cs="Arial"/>
                <w:color w:val="7F7F7F"/>
                <w:szCs w:val="18"/>
                <w:lang w:eastAsia="en-AU"/>
              </w:rPr>
            </w:pPr>
            <w:r w:rsidRPr="00240FAD">
              <w:rPr>
                <w:rFonts w:cs="Arial"/>
                <w:color w:val="7F7F7F"/>
                <w:szCs w:val="18"/>
                <w:lang w:eastAsia="en-AU"/>
              </w:rPr>
              <w:t>1,543%</w:t>
            </w:r>
          </w:p>
        </w:tc>
        <w:tc>
          <w:tcPr>
            <w:tcW w:w="1183" w:type="dxa"/>
            <w:tcBorders>
              <w:top w:val="nil"/>
              <w:left w:val="nil"/>
              <w:bottom w:val="nil"/>
              <w:right w:val="nil"/>
            </w:tcBorders>
            <w:shd w:val="clear" w:color="auto" w:fill="auto"/>
            <w:noWrap/>
            <w:vAlign w:val="center"/>
            <w:hideMark/>
          </w:tcPr>
          <w:p w:rsidR="00240FAD" w:rsidRPr="00240FAD" w:rsidRDefault="00240FAD" w:rsidP="00240FAD">
            <w:pPr>
              <w:jc w:val="right"/>
              <w:rPr>
                <w:rFonts w:cs="Arial"/>
                <w:color w:val="7F7F7F"/>
                <w:szCs w:val="18"/>
                <w:lang w:eastAsia="en-AU"/>
              </w:rPr>
            </w:pPr>
            <w:r w:rsidRPr="00240FAD">
              <w:rPr>
                <w:rFonts w:cs="Arial"/>
                <w:color w:val="7F7F7F"/>
                <w:szCs w:val="18"/>
                <w:lang w:eastAsia="en-AU"/>
              </w:rPr>
              <w:t>1,081%</w:t>
            </w:r>
          </w:p>
        </w:tc>
        <w:tc>
          <w:tcPr>
            <w:tcW w:w="1183" w:type="dxa"/>
            <w:tcBorders>
              <w:top w:val="nil"/>
              <w:left w:val="nil"/>
              <w:bottom w:val="nil"/>
              <w:right w:val="nil"/>
            </w:tcBorders>
            <w:shd w:val="clear" w:color="auto" w:fill="auto"/>
            <w:noWrap/>
            <w:vAlign w:val="center"/>
            <w:hideMark/>
          </w:tcPr>
          <w:p w:rsidR="00240FAD" w:rsidRPr="00240FAD" w:rsidRDefault="00240FAD" w:rsidP="00240FAD">
            <w:pPr>
              <w:jc w:val="right"/>
              <w:rPr>
                <w:rFonts w:cs="Arial"/>
                <w:color w:val="7F7F7F"/>
                <w:szCs w:val="18"/>
                <w:lang w:eastAsia="en-AU"/>
              </w:rPr>
            </w:pPr>
            <w:r w:rsidRPr="00240FAD">
              <w:rPr>
                <w:rFonts w:cs="Arial"/>
                <w:color w:val="7F7F7F"/>
                <w:szCs w:val="18"/>
                <w:lang w:eastAsia="en-AU"/>
              </w:rPr>
              <w:t>65%</w:t>
            </w:r>
          </w:p>
        </w:tc>
        <w:tc>
          <w:tcPr>
            <w:tcW w:w="1183" w:type="dxa"/>
            <w:tcBorders>
              <w:top w:val="nil"/>
              <w:left w:val="nil"/>
              <w:bottom w:val="nil"/>
              <w:right w:val="nil"/>
            </w:tcBorders>
            <w:shd w:val="clear" w:color="auto" w:fill="auto"/>
            <w:noWrap/>
            <w:vAlign w:val="center"/>
            <w:hideMark/>
          </w:tcPr>
          <w:p w:rsidR="00240FAD" w:rsidRPr="00240FAD" w:rsidRDefault="00240FAD" w:rsidP="00240FAD">
            <w:pPr>
              <w:jc w:val="right"/>
              <w:rPr>
                <w:rFonts w:cs="Arial"/>
                <w:color w:val="7F7F7F"/>
                <w:szCs w:val="18"/>
                <w:lang w:eastAsia="en-AU"/>
              </w:rPr>
            </w:pPr>
            <w:r w:rsidRPr="00240FAD">
              <w:rPr>
                <w:rFonts w:cs="Arial"/>
                <w:color w:val="7F7F7F"/>
                <w:szCs w:val="18"/>
                <w:lang w:eastAsia="en-AU"/>
              </w:rPr>
              <w:t>35%</w:t>
            </w:r>
          </w:p>
        </w:tc>
      </w:tr>
      <w:tr w:rsidR="00240FAD" w:rsidRPr="00240FAD" w:rsidTr="00240FAD">
        <w:trPr>
          <w:trHeight w:val="300"/>
        </w:trPr>
        <w:tc>
          <w:tcPr>
            <w:tcW w:w="2180" w:type="dxa"/>
            <w:tcBorders>
              <w:top w:val="nil"/>
              <w:left w:val="nil"/>
              <w:bottom w:val="nil"/>
              <w:right w:val="nil"/>
            </w:tcBorders>
            <w:shd w:val="clear" w:color="auto" w:fill="auto"/>
            <w:noWrap/>
            <w:vAlign w:val="center"/>
            <w:hideMark/>
          </w:tcPr>
          <w:p w:rsidR="00240FAD" w:rsidRPr="00240FAD" w:rsidRDefault="00240FAD" w:rsidP="00240FAD">
            <w:pPr>
              <w:rPr>
                <w:rFonts w:cs="Arial"/>
                <w:color w:val="7F7F7F"/>
                <w:szCs w:val="18"/>
                <w:lang w:eastAsia="en-AU"/>
              </w:rPr>
            </w:pPr>
            <w:r w:rsidRPr="00240FAD">
              <w:rPr>
                <w:rFonts w:cs="Arial"/>
                <w:color w:val="7F7F7F"/>
                <w:szCs w:val="18"/>
                <w:lang w:eastAsia="en-AU"/>
              </w:rPr>
              <w:t>Other</w:t>
            </w:r>
          </w:p>
        </w:tc>
        <w:tc>
          <w:tcPr>
            <w:tcW w:w="1183" w:type="dxa"/>
            <w:tcBorders>
              <w:top w:val="nil"/>
              <w:left w:val="nil"/>
              <w:bottom w:val="nil"/>
              <w:right w:val="nil"/>
            </w:tcBorders>
            <w:shd w:val="clear" w:color="auto" w:fill="auto"/>
            <w:noWrap/>
            <w:vAlign w:val="center"/>
            <w:hideMark/>
          </w:tcPr>
          <w:p w:rsidR="00240FAD" w:rsidRPr="00240FAD" w:rsidRDefault="00240FAD" w:rsidP="00240FAD">
            <w:pPr>
              <w:jc w:val="right"/>
              <w:rPr>
                <w:rFonts w:cs="Arial"/>
                <w:color w:val="7F7F7F"/>
                <w:szCs w:val="18"/>
                <w:lang w:eastAsia="en-AU"/>
              </w:rPr>
            </w:pPr>
            <w:r w:rsidRPr="00240FAD">
              <w:rPr>
                <w:rFonts w:cs="Arial"/>
                <w:color w:val="7F7F7F"/>
                <w:szCs w:val="18"/>
                <w:lang w:eastAsia="en-AU"/>
              </w:rPr>
              <w:t>-100%</w:t>
            </w:r>
          </w:p>
        </w:tc>
        <w:tc>
          <w:tcPr>
            <w:tcW w:w="1183" w:type="dxa"/>
            <w:tcBorders>
              <w:top w:val="nil"/>
              <w:left w:val="nil"/>
              <w:bottom w:val="nil"/>
              <w:right w:val="nil"/>
            </w:tcBorders>
            <w:shd w:val="clear" w:color="auto" w:fill="auto"/>
            <w:noWrap/>
            <w:vAlign w:val="center"/>
            <w:hideMark/>
          </w:tcPr>
          <w:p w:rsidR="00240FAD" w:rsidRPr="00240FAD" w:rsidRDefault="00240FAD" w:rsidP="00240FAD">
            <w:pPr>
              <w:jc w:val="right"/>
              <w:rPr>
                <w:rFonts w:cs="Arial"/>
                <w:color w:val="7F7F7F"/>
                <w:szCs w:val="18"/>
                <w:lang w:eastAsia="en-AU"/>
              </w:rPr>
            </w:pPr>
            <w:r w:rsidRPr="00240FAD">
              <w:rPr>
                <w:rFonts w:cs="Arial"/>
                <w:color w:val="7F7F7F"/>
                <w:szCs w:val="18"/>
                <w:lang w:eastAsia="en-AU"/>
              </w:rPr>
              <w:t>-100%</w:t>
            </w:r>
          </w:p>
        </w:tc>
        <w:tc>
          <w:tcPr>
            <w:tcW w:w="1183" w:type="dxa"/>
            <w:tcBorders>
              <w:top w:val="nil"/>
              <w:left w:val="nil"/>
              <w:bottom w:val="nil"/>
              <w:right w:val="nil"/>
            </w:tcBorders>
            <w:shd w:val="clear" w:color="auto" w:fill="auto"/>
            <w:noWrap/>
            <w:vAlign w:val="center"/>
            <w:hideMark/>
          </w:tcPr>
          <w:p w:rsidR="00240FAD" w:rsidRPr="00240FAD" w:rsidRDefault="00240FAD" w:rsidP="00240FAD">
            <w:pPr>
              <w:jc w:val="right"/>
              <w:rPr>
                <w:rFonts w:cs="Arial"/>
                <w:color w:val="7F7F7F"/>
                <w:szCs w:val="18"/>
                <w:lang w:eastAsia="en-AU"/>
              </w:rPr>
            </w:pPr>
            <w:r w:rsidRPr="00240FAD">
              <w:rPr>
                <w:rFonts w:cs="Arial"/>
                <w:color w:val="7F7F7F"/>
                <w:szCs w:val="18"/>
                <w:lang w:eastAsia="en-AU"/>
              </w:rPr>
              <w:t>-100%</w:t>
            </w:r>
          </w:p>
        </w:tc>
        <w:tc>
          <w:tcPr>
            <w:tcW w:w="1183" w:type="dxa"/>
            <w:tcBorders>
              <w:top w:val="nil"/>
              <w:left w:val="nil"/>
              <w:bottom w:val="nil"/>
              <w:right w:val="nil"/>
            </w:tcBorders>
            <w:shd w:val="clear" w:color="auto" w:fill="auto"/>
            <w:noWrap/>
            <w:vAlign w:val="center"/>
            <w:hideMark/>
          </w:tcPr>
          <w:p w:rsidR="00240FAD" w:rsidRPr="00240FAD" w:rsidRDefault="00240FAD" w:rsidP="00240FAD">
            <w:pPr>
              <w:jc w:val="right"/>
              <w:rPr>
                <w:rFonts w:cs="Arial"/>
                <w:color w:val="7F7F7F"/>
                <w:szCs w:val="18"/>
                <w:lang w:eastAsia="en-AU"/>
              </w:rPr>
            </w:pPr>
            <w:r w:rsidRPr="00240FAD">
              <w:rPr>
                <w:rFonts w:cs="Arial"/>
                <w:color w:val="7F7F7F"/>
                <w:szCs w:val="18"/>
                <w:lang w:eastAsia="en-AU"/>
              </w:rPr>
              <w:t>-100%</w:t>
            </w:r>
          </w:p>
        </w:tc>
        <w:tc>
          <w:tcPr>
            <w:tcW w:w="1183" w:type="dxa"/>
            <w:tcBorders>
              <w:top w:val="nil"/>
              <w:left w:val="nil"/>
              <w:bottom w:val="nil"/>
              <w:right w:val="nil"/>
            </w:tcBorders>
            <w:shd w:val="clear" w:color="auto" w:fill="auto"/>
            <w:noWrap/>
            <w:vAlign w:val="center"/>
            <w:hideMark/>
          </w:tcPr>
          <w:p w:rsidR="00240FAD" w:rsidRPr="00240FAD" w:rsidRDefault="00240FAD" w:rsidP="00240FAD">
            <w:pPr>
              <w:jc w:val="right"/>
              <w:rPr>
                <w:rFonts w:cs="Arial"/>
                <w:color w:val="7F7F7F"/>
                <w:szCs w:val="18"/>
                <w:lang w:eastAsia="en-AU"/>
              </w:rPr>
            </w:pPr>
            <w:r w:rsidRPr="00240FAD">
              <w:rPr>
                <w:rFonts w:cs="Arial"/>
                <w:color w:val="7F7F7F"/>
                <w:szCs w:val="18"/>
                <w:lang w:eastAsia="en-AU"/>
              </w:rPr>
              <w:t>-100%</w:t>
            </w:r>
          </w:p>
        </w:tc>
      </w:tr>
      <w:tr w:rsidR="00240FAD" w:rsidRPr="00240FAD" w:rsidTr="00240FAD">
        <w:trPr>
          <w:trHeight w:val="300"/>
        </w:trPr>
        <w:tc>
          <w:tcPr>
            <w:tcW w:w="2180" w:type="dxa"/>
            <w:tcBorders>
              <w:top w:val="nil"/>
              <w:left w:val="nil"/>
              <w:bottom w:val="nil"/>
              <w:right w:val="nil"/>
            </w:tcBorders>
            <w:shd w:val="clear" w:color="000000" w:fill="7F7F7F"/>
            <w:noWrap/>
            <w:vAlign w:val="center"/>
            <w:hideMark/>
          </w:tcPr>
          <w:p w:rsidR="00240FAD" w:rsidRPr="00240FAD" w:rsidRDefault="00240FAD" w:rsidP="00240FAD">
            <w:pPr>
              <w:rPr>
                <w:rFonts w:cs="Arial"/>
                <w:b/>
                <w:bCs/>
                <w:color w:val="FFFFFF"/>
                <w:szCs w:val="18"/>
                <w:lang w:eastAsia="en-AU"/>
              </w:rPr>
            </w:pPr>
            <w:r w:rsidRPr="00240FAD">
              <w:rPr>
                <w:rFonts w:cs="Arial"/>
                <w:b/>
                <w:bCs/>
                <w:color w:val="FFFFFF"/>
                <w:szCs w:val="18"/>
                <w:lang w:eastAsia="en-AU"/>
              </w:rPr>
              <w:t>Total</w:t>
            </w:r>
          </w:p>
        </w:tc>
        <w:tc>
          <w:tcPr>
            <w:tcW w:w="1183" w:type="dxa"/>
            <w:tcBorders>
              <w:top w:val="nil"/>
              <w:left w:val="nil"/>
              <w:bottom w:val="nil"/>
              <w:right w:val="nil"/>
            </w:tcBorders>
            <w:shd w:val="clear" w:color="000000" w:fill="7F7F7F"/>
            <w:noWrap/>
            <w:vAlign w:val="center"/>
            <w:hideMark/>
          </w:tcPr>
          <w:p w:rsidR="00240FAD" w:rsidRPr="00794B13" w:rsidRDefault="00240FAD" w:rsidP="00240FAD">
            <w:pPr>
              <w:jc w:val="right"/>
              <w:rPr>
                <w:rFonts w:cs="Arial"/>
                <w:b/>
                <w:color w:val="FFFFFF"/>
                <w:szCs w:val="18"/>
                <w:lang w:eastAsia="en-AU"/>
              </w:rPr>
            </w:pPr>
            <w:r w:rsidRPr="00794B13">
              <w:rPr>
                <w:rFonts w:cs="Arial"/>
                <w:b/>
                <w:color w:val="FFFFFF"/>
                <w:szCs w:val="18"/>
                <w:lang w:eastAsia="en-AU"/>
              </w:rPr>
              <w:t>-19%</w:t>
            </w:r>
          </w:p>
        </w:tc>
        <w:tc>
          <w:tcPr>
            <w:tcW w:w="1183" w:type="dxa"/>
            <w:tcBorders>
              <w:top w:val="nil"/>
              <w:left w:val="nil"/>
              <w:bottom w:val="nil"/>
              <w:right w:val="nil"/>
            </w:tcBorders>
            <w:shd w:val="clear" w:color="000000" w:fill="7F7F7F"/>
            <w:noWrap/>
            <w:vAlign w:val="center"/>
            <w:hideMark/>
          </w:tcPr>
          <w:p w:rsidR="00240FAD" w:rsidRPr="00794B13" w:rsidRDefault="00240FAD" w:rsidP="00240FAD">
            <w:pPr>
              <w:jc w:val="right"/>
              <w:rPr>
                <w:rFonts w:cs="Arial"/>
                <w:b/>
                <w:color w:val="FFFFFF"/>
                <w:szCs w:val="18"/>
                <w:lang w:eastAsia="en-AU"/>
              </w:rPr>
            </w:pPr>
            <w:r w:rsidRPr="00794B13">
              <w:rPr>
                <w:rFonts w:cs="Arial"/>
                <w:b/>
                <w:color w:val="FFFFFF"/>
                <w:szCs w:val="18"/>
                <w:lang w:eastAsia="en-AU"/>
              </w:rPr>
              <w:t>-13%</w:t>
            </w:r>
          </w:p>
        </w:tc>
        <w:tc>
          <w:tcPr>
            <w:tcW w:w="1183" w:type="dxa"/>
            <w:tcBorders>
              <w:top w:val="nil"/>
              <w:left w:val="nil"/>
              <w:bottom w:val="nil"/>
              <w:right w:val="nil"/>
            </w:tcBorders>
            <w:shd w:val="clear" w:color="000000" w:fill="7F7F7F"/>
            <w:noWrap/>
            <w:vAlign w:val="center"/>
            <w:hideMark/>
          </w:tcPr>
          <w:p w:rsidR="00240FAD" w:rsidRPr="00794B13" w:rsidRDefault="00240FAD" w:rsidP="00240FAD">
            <w:pPr>
              <w:jc w:val="right"/>
              <w:rPr>
                <w:rFonts w:cs="Arial"/>
                <w:b/>
                <w:color w:val="FFFFFF"/>
                <w:szCs w:val="18"/>
                <w:lang w:eastAsia="en-AU"/>
              </w:rPr>
            </w:pPr>
            <w:r w:rsidRPr="00794B13">
              <w:rPr>
                <w:rFonts w:cs="Arial"/>
                <w:b/>
                <w:color w:val="FFFFFF"/>
                <w:szCs w:val="18"/>
                <w:lang w:eastAsia="en-AU"/>
              </w:rPr>
              <w:t>-22%</w:t>
            </w:r>
          </w:p>
        </w:tc>
        <w:tc>
          <w:tcPr>
            <w:tcW w:w="1183" w:type="dxa"/>
            <w:tcBorders>
              <w:top w:val="nil"/>
              <w:left w:val="nil"/>
              <w:bottom w:val="nil"/>
              <w:right w:val="nil"/>
            </w:tcBorders>
            <w:shd w:val="clear" w:color="000000" w:fill="7F7F7F"/>
            <w:noWrap/>
            <w:vAlign w:val="center"/>
            <w:hideMark/>
          </w:tcPr>
          <w:p w:rsidR="00240FAD" w:rsidRPr="00794B13" w:rsidRDefault="00240FAD" w:rsidP="00240FAD">
            <w:pPr>
              <w:jc w:val="right"/>
              <w:rPr>
                <w:rFonts w:cs="Arial"/>
                <w:b/>
                <w:color w:val="FFFFFF"/>
                <w:szCs w:val="18"/>
                <w:lang w:eastAsia="en-AU"/>
              </w:rPr>
            </w:pPr>
            <w:r w:rsidRPr="00794B13">
              <w:rPr>
                <w:rFonts w:cs="Arial"/>
                <w:b/>
                <w:color w:val="FFFFFF"/>
                <w:szCs w:val="18"/>
                <w:lang w:eastAsia="en-AU"/>
              </w:rPr>
              <w:t>-6%</w:t>
            </w:r>
          </w:p>
        </w:tc>
        <w:tc>
          <w:tcPr>
            <w:tcW w:w="1183" w:type="dxa"/>
            <w:tcBorders>
              <w:top w:val="nil"/>
              <w:left w:val="nil"/>
              <w:bottom w:val="nil"/>
              <w:right w:val="nil"/>
            </w:tcBorders>
            <w:shd w:val="clear" w:color="000000" w:fill="7F7F7F"/>
            <w:noWrap/>
            <w:vAlign w:val="center"/>
            <w:hideMark/>
          </w:tcPr>
          <w:p w:rsidR="00240FAD" w:rsidRPr="00794B13" w:rsidRDefault="00240FAD" w:rsidP="00240FAD">
            <w:pPr>
              <w:jc w:val="right"/>
              <w:rPr>
                <w:rFonts w:cs="Arial"/>
                <w:b/>
                <w:color w:val="FFFFFF"/>
                <w:szCs w:val="18"/>
                <w:lang w:eastAsia="en-AU"/>
              </w:rPr>
            </w:pPr>
            <w:r w:rsidRPr="00794B13">
              <w:rPr>
                <w:rFonts w:cs="Arial"/>
                <w:b/>
                <w:color w:val="FFFFFF"/>
                <w:szCs w:val="18"/>
                <w:lang w:eastAsia="en-AU"/>
              </w:rPr>
              <w:t>-12%</w:t>
            </w:r>
          </w:p>
        </w:tc>
      </w:tr>
    </w:tbl>
    <w:p w:rsidR="00F901C3" w:rsidRDefault="00F901C3" w:rsidP="00001B69">
      <w:pPr>
        <w:pStyle w:val="Quote"/>
        <w:rPr>
          <w:b w:val="0"/>
          <w:sz w:val="18"/>
          <w:szCs w:val="18"/>
        </w:rPr>
      </w:pPr>
    </w:p>
    <w:p w:rsidR="00F901C3" w:rsidRDefault="00F901C3" w:rsidP="00001B69">
      <w:pPr>
        <w:pStyle w:val="Quote"/>
        <w:rPr>
          <w:b w:val="0"/>
          <w:sz w:val="18"/>
          <w:szCs w:val="18"/>
        </w:rPr>
      </w:pP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933D1B" w:rsidTr="00D10E9D">
        <w:tc>
          <w:tcPr>
            <w:tcW w:w="1134" w:type="dxa"/>
            <w:tcMar>
              <w:left w:w="0" w:type="dxa"/>
              <w:right w:w="0" w:type="dxa"/>
            </w:tcMar>
          </w:tcPr>
          <w:p w:rsidR="00933D1B" w:rsidRDefault="00933D1B" w:rsidP="0084117E">
            <w:pPr>
              <w:pStyle w:val="Quote"/>
              <w:tabs>
                <w:tab w:val="left" w:pos="1134"/>
              </w:tabs>
              <w:rPr>
                <w:b w:val="0"/>
                <w:color w:val="B41F22" w:themeColor="accent1"/>
              </w:rPr>
            </w:pPr>
            <w:r>
              <w:rPr>
                <w:b w:val="0"/>
                <w:color w:val="B41F22" w:themeColor="accent1"/>
              </w:rPr>
              <w:t>Table 1.3</w:t>
            </w:r>
            <w:r w:rsidR="0084117E">
              <w:rPr>
                <w:b w:val="0"/>
                <w:color w:val="B41F22" w:themeColor="accent1"/>
              </w:rPr>
              <w:t>5</w:t>
            </w:r>
            <w:r>
              <w:rPr>
                <w:b w:val="0"/>
                <w:color w:val="B41F22" w:themeColor="accent1"/>
              </w:rPr>
              <w:t>.</w:t>
            </w:r>
            <w:r w:rsidR="0084117E">
              <w:rPr>
                <w:b w:val="0"/>
                <w:color w:val="B41F22" w:themeColor="accent1"/>
              </w:rPr>
              <w:t>1</w:t>
            </w:r>
            <w:r>
              <w:rPr>
                <w:b w:val="0"/>
                <w:color w:val="B41F22" w:themeColor="accent1"/>
              </w:rPr>
              <w:t>:</w:t>
            </w:r>
          </w:p>
        </w:tc>
        <w:tc>
          <w:tcPr>
            <w:tcW w:w="6946" w:type="dxa"/>
            <w:tcMar>
              <w:left w:w="0" w:type="dxa"/>
              <w:right w:w="0" w:type="dxa"/>
            </w:tcMar>
          </w:tcPr>
          <w:p w:rsidR="00933D1B" w:rsidRDefault="001D22F4" w:rsidP="007E03F8">
            <w:pPr>
              <w:pStyle w:val="Quote"/>
              <w:tabs>
                <w:tab w:val="left" w:pos="1134"/>
              </w:tabs>
              <w:rPr>
                <w:b w:val="0"/>
                <w:color w:val="B41F22" w:themeColor="accent1"/>
              </w:rPr>
            </w:pPr>
            <w:r>
              <w:rPr>
                <w:b w:val="0"/>
                <w:color w:val="B41F22" w:themeColor="accent1"/>
              </w:rPr>
              <w:t>Domestic f</w:t>
            </w:r>
            <w:r w:rsidR="00933D1B" w:rsidRPr="00933D1B">
              <w:rPr>
                <w:b w:val="0"/>
                <w:color w:val="B41F22" w:themeColor="accent1"/>
              </w:rPr>
              <w:t xml:space="preserve">ee-for-service enrolments </w:t>
            </w:r>
            <w:r w:rsidR="007E03F8">
              <w:rPr>
                <w:b w:val="0"/>
                <w:color w:val="B41F22" w:themeColor="accent1"/>
              </w:rPr>
              <w:t>at</w:t>
            </w:r>
            <w:r w:rsidR="00933D1B" w:rsidRPr="00933D1B">
              <w:rPr>
                <w:b w:val="0"/>
                <w:color w:val="B41F22" w:themeColor="accent1"/>
              </w:rPr>
              <w:t xml:space="preserve"> TAFE by delivery regional areas, 2010 to 2015 (half year)</w:t>
            </w:r>
          </w:p>
        </w:tc>
      </w:tr>
    </w:tbl>
    <w:tbl>
      <w:tblPr>
        <w:tblW w:w="8095" w:type="dxa"/>
        <w:tblInd w:w="93" w:type="dxa"/>
        <w:tblLayout w:type="fixed"/>
        <w:tblLook w:val="04A0" w:firstRow="1" w:lastRow="0" w:firstColumn="1" w:lastColumn="0" w:noHBand="0" w:noVBand="1"/>
      </w:tblPr>
      <w:tblGrid>
        <w:gridCol w:w="2180"/>
        <w:gridCol w:w="985"/>
        <w:gridCol w:w="986"/>
        <w:gridCol w:w="986"/>
        <w:gridCol w:w="986"/>
        <w:gridCol w:w="986"/>
        <w:gridCol w:w="986"/>
      </w:tblGrid>
      <w:tr w:rsidR="00933D1B" w:rsidRPr="00933D1B" w:rsidTr="00933D1B">
        <w:trPr>
          <w:trHeight w:val="300"/>
        </w:trPr>
        <w:tc>
          <w:tcPr>
            <w:tcW w:w="2180" w:type="dxa"/>
            <w:tcBorders>
              <w:top w:val="nil"/>
              <w:left w:val="nil"/>
              <w:bottom w:val="nil"/>
              <w:right w:val="nil"/>
            </w:tcBorders>
            <w:shd w:val="clear" w:color="000000" w:fill="7F7F7F"/>
            <w:noWrap/>
            <w:vAlign w:val="center"/>
            <w:hideMark/>
          </w:tcPr>
          <w:p w:rsidR="00933D1B" w:rsidRPr="00933D1B" w:rsidRDefault="00933D1B" w:rsidP="00933D1B">
            <w:pPr>
              <w:rPr>
                <w:rFonts w:cs="Arial"/>
                <w:color w:val="FFFFFF"/>
                <w:szCs w:val="18"/>
                <w:lang w:eastAsia="en-AU"/>
              </w:rPr>
            </w:pPr>
            <w:r w:rsidRPr="00933D1B">
              <w:rPr>
                <w:rFonts w:cs="Arial"/>
                <w:color w:val="FFFFFF"/>
                <w:szCs w:val="18"/>
                <w:lang w:eastAsia="en-AU"/>
              </w:rPr>
              <w:t> </w:t>
            </w:r>
          </w:p>
        </w:tc>
        <w:tc>
          <w:tcPr>
            <w:tcW w:w="985" w:type="dxa"/>
            <w:tcBorders>
              <w:top w:val="nil"/>
              <w:left w:val="nil"/>
              <w:bottom w:val="nil"/>
              <w:right w:val="nil"/>
            </w:tcBorders>
            <w:shd w:val="clear" w:color="000000" w:fill="7F7F7F"/>
            <w:noWrap/>
            <w:vAlign w:val="center"/>
            <w:hideMark/>
          </w:tcPr>
          <w:p w:rsidR="00933D1B" w:rsidRPr="00933D1B" w:rsidRDefault="00933D1B" w:rsidP="00933D1B">
            <w:pPr>
              <w:jc w:val="right"/>
              <w:rPr>
                <w:rFonts w:cs="Arial"/>
                <w:b/>
                <w:bCs/>
                <w:color w:val="FFFFFF"/>
                <w:szCs w:val="18"/>
                <w:lang w:eastAsia="en-AU"/>
              </w:rPr>
            </w:pPr>
            <w:r w:rsidRPr="00933D1B">
              <w:rPr>
                <w:rFonts w:cs="Arial"/>
                <w:b/>
                <w:bCs/>
                <w:color w:val="FFFFFF"/>
                <w:szCs w:val="18"/>
                <w:lang w:eastAsia="en-AU"/>
              </w:rPr>
              <w:t>2010</w:t>
            </w:r>
          </w:p>
        </w:tc>
        <w:tc>
          <w:tcPr>
            <w:tcW w:w="986" w:type="dxa"/>
            <w:tcBorders>
              <w:top w:val="nil"/>
              <w:left w:val="nil"/>
              <w:bottom w:val="nil"/>
              <w:right w:val="nil"/>
            </w:tcBorders>
            <w:shd w:val="clear" w:color="000000" w:fill="7F7F7F"/>
            <w:noWrap/>
            <w:vAlign w:val="center"/>
            <w:hideMark/>
          </w:tcPr>
          <w:p w:rsidR="00933D1B" w:rsidRPr="00933D1B" w:rsidRDefault="00933D1B" w:rsidP="00933D1B">
            <w:pPr>
              <w:jc w:val="right"/>
              <w:rPr>
                <w:rFonts w:cs="Arial"/>
                <w:b/>
                <w:bCs/>
                <w:color w:val="FFFFFF"/>
                <w:szCs w:val="18"/>
                <w:lang w:eastAsia="en-AU"/>
              </w:rPr>
            </w:pPr>
            <w:r w:rsidRPr="00933D1B">
              <w:rPr>
                <w:rFonts w:cs="Arial"/>
                <w:b/>
                <w:bCs/>
                <w:color w:val="FFFFFF"/>
                <w:szCs w:val="18"/>
                <w:lang w:eastAsia="en-AU"/>
              </w:rPr>
              <w:t>2011</w:t>
            </w:r>
          </w:p>
        </w:tc>
        <w:tc>
          <w:tcPr>
            <w:tcW w:w="986" w:type="dxa"/>
            <w:tcBorders>
              <w:top w:val="nil"/>
              <w:left w:val="nil"/>
              <w:bottom w:val="nil"/>
              <w:right w:val="nil"/>
            </w:tcBorders>
            <w:shd w:val="clear" w:color="000000" w:fill="7F7F7F"/>
            <w:noWrap/>
            <w:vAlign w:val="center"/>
            <w:hideMark/>
          </w:tcPr>
          <w:p w:rsidR="00933D1B" w:rsidRPr="00933D1B" w:rsidRDefault="00933D1B" w:rsidP="00933D1B">
            <w:pPr>
              <w:jc w:val="right"/>
              <w:rPr>
                <w:rFonts w:cs="Arial"/>
                <w:b/>
                <w:bCs/>
                <w:color w:val="FFFFFF"/>
                <w:szCs w:val="18"/>
                <w:lang w:eastAsia="en-AU"/>
              </w:rPr>
            </w:pPr>
            <w:r w:rsidRPr="00933D1B">
              <w:rPr>
                <w:rFonts w:cs="Arial"/>
                <w:b/>
                <w:bCs/>
                <w:color w:val="FFFFFF"/>
                <w:szCs w:val="18"/>
                <w:lang w:eastAsia="en-AU"/>
              </w:rPr>
              <w:t>2012</w:t>
            </w:r>
          </w:p>
        </w:tc>
        <w:tc>
          <w:tcPr>
            <w:tcW w:w="986" w:type="dxa"/>
            <w:tcBorders>
              <w:top w:val="nil"/>
              <w:left w:val="nil"/>
              <w:bottom w:val="nil"/>
              <w:right w:val="nil"/>
            </w:tcBorders>
            <w:shd w:val="clear" w:color="000000" w:fill="7F7F7F"/>
            <w:noWrap/>
            <w:vAlign w:val="center"/>
            <w:hideMark/>
          </w:tcPr>
          <w:p w:rsidR="00933D1B" w:rsidRPr="00933D1B" w:rsidRDefault="00933D1B" w:rsidP="00933D1B">
            <w:pPr>
              <w:jc w:val="right"/>
              <w:rPr>
                <w:rFonts w:cs="Arial"/>
                <w:b/>
                <w:bCs/>
                <w:color w:val="FFFFFF"/>
                <w:szCs w:val="18"/>
                <w:lang w:eastAsia="en-AU"/>
              </w:rPr>
            </w:pPr>
            <w:r w:rsidRPr="00933D1B">
              <w:rPr>
                <w:rFonts w:cs="Arial"/>
                <w:b/>
                <w:bCs/>
                <w:color w:val="FFFFFF"/>
                <w:szCs w:val="18"/>
                <w:lang w:eastAsia="en-AU"/>
              </w:rPr>
              <w:t>2013</w:t>
            </w:r>
          </w:p>
        </w:tc>
        <w:tc>
          <w:tcPr>
            <w:tcW w:w="986" w:type="dxa"/>
            <w:tcBorders>
              <w:top w:val="nil"/>
              <w:left w:val="nil"/>
              <w:bottom w:val="nil"/>
              <w:right w:val="nil"/>
            </w:tcBorders>
            <w:shd w:val="clear" w:color="000000" w:fill="7F7F7F"/>
            <w:noWrap/>
            <w:vAlign w:val="center"/>
            <w:hideMark/>
          </w:tcPr>
          <w:p w:rsidR="00933D1B" w:rsidRPr="00933D1B" w:rsidRDefault="00933D1B" w:rsidP="00933D1B">
            <w:pPr>
              <w:jc w:val="right"/>
              <w:rPr>
                <w:rFonts w:cs="Arial"/>
                <w:b/>
                <w:bCs/>
                <w:color w:val="FFFFFF"/>
                <w:szCs w:val="18"/>
                <w:lang w:eastAsia="en-AU"/>
              </w:rPr>
            </w:pPr>
            <w:r w:rsidRPr="00933D1B">
              <w:rPr>
                <w:rFonts w:cs="Arial"/>
                <w:b/>
                <w:bCs/>
                <w:color w:val="FFFFFF"/>
                <w:szCs w:val="18"/>
                <w:lang w:eastAsia="en-AU"/>
              </w:rPr>
              <w:t>2014</w:t>
            </w:r>
          </w:p>
        </w:tc>
        <w:tc>
          <w:tcPr>
            <w:tcW w:w="986" w:type="dxa"/>
            <w:tcBorders>
              <w:top w:val="nil"/>
              <w:left w:val="nil"/>
              <w:bottom w:val="nil"/>
              <w:right w:val="nil"/>
            </w:tcBorders>
            <w:shd w:val="clear" w:color="000000" w:fill="7F7F7F"/>
            <w:noWrap/>
            <w:vAlign w:val="center"/>
            <w:hideMark/>
          </w:tcPr>
          <w:p w:rsidR="00933D1B" w:rsidRPr="00933D1B" w:rsidRDefault="00933D1B" w:rsidP="00933D1B">
            <w:pPr>
              <w:jc w:val="right"/>
              <w:rPr>
                <w:rFonts w:cs="Arial"/>
                <w:b/>
                <w:bCs/>
                <w:color w:val="FFFFFF"/>
                <w:szCs w:val="18"/>
                <w:lang w:eastAsia="en-AU"/>
              </w:rPr>
            </w:pPr>
            <w:r w:rsidRPr="00933D1B">
              <w:rPr>
                <w:rFonts w:cs="Arial"/>
                <w:b/>
                <w:bCs/>
                <w:color w:val="FFFFFF"/>
                <w:szCs w:val="18"/>
                <w:lang w:eastAsia="en-AU"/>
              </w:rPr>
              <w:t>2015</w:t>
            </w:r>
          </w:p>
        </w:tc>
      </w:tr>
      <w:tr w:rsidR="00933D1B" w:rsidRPr="00933D1B" w:rsidTr="00933D1B">
        <w:trPr>
          <w:trHeight w:val="300"/>
        </w:trPr>
        <w:tc>
          <w:tcPr>
            <w:tcW w:w="2180" w:type="dxa"/>
            <w:tcBorders>
              <w:top w:val="nil"/>
              <w:left w:val="nil"/>
              <w:bottom w:val="nil"/>
              <w:right w:val="nil"/>
            </w:tcBorders>
            <w:shd w:val="clear" w:color="auto" w:fill="auto"/>
            <w:noWrap/>
            <w:vAlign w:val="center"/>
            <w:hideMark/>
          </w:tcPr>
          <w:p w:rsidR="00933D1B" w:rsidRPr="00933D1B" w:rsidRDefault="00933D1B" w:rsidP="00933D1B">
            <w:pPr>
              <w:rPr>
                <w:rFonts w:cs="Arial"/>
                <w:color w:val="7F7F7F"/>
                <w:szCs w:val="18"/>
                <w:lang w:eastAsia="en-AU"/>
              </w:rPr>
            </w:pPr>
            <w:r w:rsidRPr="00933D1B">
              <w:rPr>
                <w:rFonts w:cs="Arial"/>
                <w:color w:val="7F7F7F"/>
                <w:szCs w:val="18"/>
                <w:lang w:eastAsia="en-AU"/>
              </w:rPr>
              <w:t>Barwon South West</w:t>
            </w:r>
          </w:p>
        </w:tc>
        <w:tc>
          <w:tcPr>
            <w:tcW w:w="985"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10,301</w:t>
            </w:r>
          </w:p>
        </w:tc>
        <w:tc>
          <w:tcPr>
            <w:tcW w:w="986"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9,452</w:t>
            </w:r>
          </w:p>
        </w:tc>
        <w:tc>
          <w:tcPr>
            <w:tcW w:w="986"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9,972</w:t>
            </w:r>
          </w:p>
        </w:tc>
        <w:tc>
          <w:tcPr>
            <w:tcW w:w="986"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6,682</w:t>
            </w:r>
          </w:p>
        </w:tc>
        <w:tc>
          <w:tcPr>
            <w:tcW w:w="986"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6,518</w:t>
            </w:r>
          </w:p>
        </w:tc>
        <w:tc>
          <w:tcPr>
            <w:tcW w:w="986"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5,396</w:t>
            </w:r>
          </w:p>
        </w:tc>
      </w:tr>
      <w:tr w:rsidR="00933D1B" w:rsidRPr="00933D1B" w:rsidTr="00933D1B">
        <w:trPr>
          <w:trHeight w:val="300"/>
        </w:trPr>
        <w:tc>
          <w:tcPr>
            <w:tcW w:w="2180" w:type="dxa"/>
            <w:tcBorders>
              <w:top w:val="nil"/>
              <w:left w:val="nil"/>
              <w:bottom w:val="nil"/>
              <w:right w:val="nil"/>
            </w:tcBorders>
            <w:shd w:val="clear" w:color="auto" w:fill="auto"/>
            <w:noWrap/>
            <w:vAlign w:val="center"/>
            <w:hideMark/>
          </w:tcPr>
          <w:p w:rsidR="00933D1B" w:rsidRPr="00933D1B" w:rsidRDefault="00933D1B" w:rsidP="00933D1B">
            <w:pPr>
              <w:rPr>
                <w:rFonts w:cs="Arial"/>
                <w:color w:val="7F7F7F"/>
                <w:szCs w:val="18"/>
                <w:lang w:eastAsia="en-AU"/>
              </w:rPr>
            </w:pPr>
            <w:r w:rsidRPr="00933D1B">
              <w:rPr>
                <w:rFonts w:cs="Arial"/>
                <w:color w:val="7F7F7F"/>
                <w:szCs w:val="18"/>
                <w:lang w:eastAsia="en-AU"/>
              </w:rPr>
              <w:t>Grampians</w:t>
            </w:r>
          </w:p>
        </w:tc>
        <w:tc>
          <w:tcPr>
            <w:tcW w:w="985"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0</w:t>
            </w:r>
          </w:p>
        </w:tc>
        <w:tc>
          <w:tcPr>
            <w:tcW w:w="986"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0</w:t>
            </w:r>
          </w:p>
        </w:tc>
        <w:tc>
          <w:tcPr>
            <w:tcW w:w="986"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0</w:t>
            </w:r>
          </w:p>
        </w:tc>
        <w:tc>
          <w:tcPr>
            <w:tcW w:w="986"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0</w:t>
            </w:r>
          </w:p>
        </w:tc>
        <w:tc>
          <w:tcPr>
            <w:tcW w:w="986"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0</w:t>
            </w:r>
          </w:p>
        </w:tc>
        <w:tc>
          <w:tcPr>
            <w:tcW w:w="986"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139</w:t>
            </w:r>
          </w:p>
        </w:tc>
      </w:tr>
      <w:tr w:rsidR="00933D1B" w:rsidRPr="00933D1B" w:rsidTr="00933D1B">
        <w:trPr>
          <w:trHeight w:val="300"/>
        </w:trPr>
        <w:tc>
          <w:tcPr>
            <w:tcW w:w="2180" w:type="dxa"/>
            <w:tcBorders>
              <w:top w:val="nil"/>
              <w:left w:val="nil"/>
              <w:bottom w:val="nil"/>
              <w:right w:val="nil"/>
            </w:tcBorders>
            <w:shd w:val="clear" w:color="auto" w:fill="auto"/>
            <w:noWrap/>
            <w:vAlign w:val="center"/>
            <w:hideMark/>
          </w:tcPr>
          <w:p w:rsidR="00933D1B" w:rsidRPr="00933D1B" w:rsidRDefault="00933D1B" w:rsidP="00933D1B">
            <w:pPr>
              <w:rPr>
                <w:rFonts w:cs="Arial"/>
                <w:color w:val="7F7F7F"/>
                <w:szCs w:val="18"/>
                <w:lang w:eastAsia="en-AU"/>
              </w:rPr>
            </w:pPr>
            <w:r w:rsidRPr="00933D1B">
              <w:rPr>
                <w:rFonts w:cs="Arial"/>
                <w:color w:val="7F7F7F"/>
                <w:szCs w:val="18"/>
                <w:lang w:eastAsia="en-AU"/>
              </w:rPr>
              <w:t>Loddon Mallee</w:t>
            </w:r>
          </w:p>
        </w:tc>
        <w:tc>
          <w:tcPr>
            <w:tcW w:w="985"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3,974</w:t>
            </w:r>
          </w:p>
        </w:tc>
        <w:tc>
          <w:tcPr>
            <w:tcW w:w="986"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2,986</w:t>
            </w:r>
          </w:p>
        </w:tc>
        <w:tc>
          <w:tcPr>
            <w:tcW w:w="986"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4,777</w:t>
            </w:r>
          </w:p>
        </w:tc>
        <w:tc>
          <w:tcPr>
            <w:tcW w:w="986"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4,481</w:t>
            </w:r>
          </w:p>
        </w:tc>
        <w:tc>
          <w:tcPr>
            <w:tcW w:w="986"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4,096</w:t>
            </w:r>
          </w:p>
        </w:tc>
        <w:tc>
          <w:tcPr>
            <w:tcW w:w="986"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3,689</w:t>
            </w:r>
          </w:p>
        </w:tc>
      </w:tr>
      <w:tr w:rsidR="00933D1B" w:rsidRPr="00933D1B" w:rsidTr="00933D1B">
        <w:trPr>
          <w:trHeight w:val="300"/>
        </w:trPr>
        <w:tc>
          <w:tcPr>
            <w:tcW w:w="2180" w:type="dxa"/>
            <w:tcBorders>
              <w:top w:val="nil"/>
              <w:left w:val="nil"/>
              <w:bottom w:val="nil"/>
              <w:right w:val="nil"/>
            </w:tcBorders>
            <w:shd w:val="clear" w:color="auto" w:fill="auto"/>
            <w:noWrap/>
            <w:vAlign w:val="center"/>
            <w:hideMark/>
          </w:tcPr>
          <w:p w:rsidR="00933D1B" w:rsidRPr="00933D1B" w:rsidRDefault="00933D1B" w:rsidP="00933D1B">
            <w:pPr>
              <w:rPr>
                <w:rFonts w:cs="Arial"/>
                <w:color w:val="7F7F7F"/>
                <w:szCs w:val="18"/>
                <w:lang w:eastAsia="en-AU"/>
              </w:rPr>
            </w:pPr>
            <w:r w:rsidRPr="00933D1B">
              <w:rPr>
                <w:rFonts w:cs="Arial"/>
                <w:color w:val="7F7F7F"/>
                <w:szCs w:val="18"/>
                <w:lang w:eastAsia="en-AU"/>
              </w:rPr>
              <w:t>Hume</w:t>
            </w:r>
          </w:p>
        </w:tc>
        <w:tc>
          <w:tcPr>
            <w:tcW w:w="985"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8,977</w:t>
            </w:r>
          </w:p>
        </w:tc>
        <w:tc>
          <w:tcPr>
            <w:tcW w:w="986"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8,649</w:t>
            </w:r>
          </w:p>
        </w:tc>
        <w:tc>
          <w:tcPr>
            <w:tcW w:w="986"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9,805</w:t>
            </w:r>
          </w:p>
        </w:tc>
        <w:tc>
          <w:tcPr>
            <w:tcW w:w="986"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8,900</w:t>
            </w:r>
          </w:p>
        </w:tc>
        <w:tc>
          <w:tcPr>
            <w:tcW w:w="986"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6,938</w:t>
            </w:r>
          </w:p>
        </w:tc>
        <w:tc>
          <w:tcPr>
            <w:tcW w:w="986"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7,421</w:t>
            </w:r>
          </w:p>
        </w:tc>
      </w:tr>
      <w:tr w:rsidR="00933D1B" w:rsidRPr="00933D1B" w:rsidTr="00933D1B">
        <w:trPr>
          <w:trHeight w:val="300"/>
        </w:trPr>
        <w:tc>
          <w:tcPr>
            <w:tcW w:w="2180" w:type="dxa"/>
            <w:tcBorders>
              <w:top w:val="nil"/>
              <w:left w:val="nil"/>
              <w:bottom w:val="nil"/>
              <w:right w:val="nil"/>
            </w:tcBorders>
            <w:shd w:val="clear" w:color="auto" w:fill="auto"/>
            <w:noWrap/>
            <w:vAlign w:val="center"/>
            <w:hideMark/>
          </w:tcPr>
          <w:p w:rsidR="00933D1B" w:rsidRPr="00933D1B" w:rsidRDefault="00933D1B" w:rsidP="00933D1B">
            <w:pPr>
              <w:rPr>
                <w:rFonts w:cs="Arial"/>
                <w:color w:val="7F7F7F"/>
                <w:szCs w:val="18"/>
                <w:lang w:eastAsia="en-AU"/>
              </w:rPr>
            </w:pPr>
            <w:r w:rsidRPr="00933D1B">
              <w:rPr>
                <w:rFonts w:cs="Arial"/>
                <w:color w:val="7F7F7F"/>
                <w:szCs w:val="18"/>
                <w:lang w:eastAsia="en-AU"/>
              </w:rPr>
              <w:t>Gippsland</w:t>
            </w:r>
          </w:p>
        </w:tc>
        <w:tc>
          <w:tcPr>
            <w:tcW w:w="985"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5,754</w:t>
            </w:r>
          </w:p>
        </w:tc>
        <w:tc>
          <w:tcPr>
            <w:tcW w:w="986"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6,949</w:t>
            </w:r>
          </w:p>
        </w:tc>
        <w:tc>
          <w:tcPr>
            <w:tcW w:w="986"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8,375</w:t>
            </w:r>
          </w:p>
        </w:tc>
        <w:tc>
          <w:tcPr>
            <w:tcW w:w="986"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4,396</w:t>
            </w:r>
          </w:p>
        </w:tc>
        <w:tc>
          <w:tcPr>
            <w:tcW w:w="986"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6,404</w:t>
            </w:r>
          </w:p>
        </w:tc>
        <w:tc>
          <w:tcPr>
            <w:tcW w:w="986"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3,716</w:t>
            </w:r>
          </w:p>
        </w:tc>
      </w:tr>
      <w:tr w:rsidR="00933D1B" w:rsidRPr="00933D1B" w:rsidTr="00933D1B">
        <w:trPr>
          <w:trHeight w:val="300"/>
        </w:trPr>
        <w:tc>
          <w:tcPr>
            <w:tcW w:w="2180" w:type="dxa"/>
            <w:tcBorders>
              <w:top w:val="nil"/>
              <w:left w:val="nil"/>
              <w:bottom w:val="nil"/>
              <w:right w:val="nil"/>
            </w:tcBorders>
            <w:shd w:val="clear" w:color="auto" w:fill="auto"/>
            <w:noWrap/>
            <w:vAlign w:val="center"/>
            <w:hideMark/>
          </w:tcPr>
          <w:p w:rsidR="00933D1B" w:rsidRPr="00933D1B" w:rsidRDefault="00933D1B" w:rsidP="00933D1B">
            <w:pPr>
              <w:rPr>
                <w:rFonts w:cs="Arial"/>
                <w:color w:val="7F7F7F"/>
                <w:szCs w:val="18"/>
                <w:lang w:eastAsia="en-AU"/>
              </w:rPr>
            </w:pPr>
            <w:r w:rsidRPr="00933D1B">
              <w:rPr>
                <w:rFonts w:cs="Arial"/>
                <w:color w:val="7F7F7F"/>
                <w:szCs w:val="18"/>
                <w:lang w:eastAsia="en-AU"/>
              </w:rPr>
              <w:t>Eastern Metropolitan</w:t>
            </w:r>
          </w:p>
        </w:tc>
        <w:tc>
          <w:tcPr>
            <w:tcW w:w="985"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5,866</w:t>
            </w:r>
          </w:p>
        </w:tc>
        <w:tc>
          <w:tcPr>
            <w:tcW w:w="986"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4,509</w:t>
            </w:r>
          </w:p>
        </w:tc>
        <w:tc>
          <w:tcPr>
            <w:tcW w:w="986"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4,858</w:t>
            </w:r>
          </w:p>
        </w:tc>
        <w:tc>
          <w:tcPr>
            <w:tcW w:w="986"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4,682</w:t>
            </w:r>
          </w:p>
        </w:tc>
        <w:tc>
          <w:tcPr>
            <w:tcW w:w="986"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6,049</w:t>
            </w:r>
          </w:p>
        </w:tc>
        <w:tc>
          <w:tcPr>
            <w:tcW w:w="986"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6,019</w:t>
            </w:r>
          </w:p>
        </w:tc>
      </w:tr>
      <w:tr w:rsidR="00933D1B" w:rsidRPr="00933D1B" w:rsidTr="00933D1B">
        <w:trPr>
          <w:trHeight w:val="300"/>
        </w:trPr>
        <w:tc>
          <w:tcPr>
            <w:tcW w:w="2180" w:type="dxa"/>
            <w:tcBorders>
              <w:top w:val="nil"/>
              <w:left w:val="nil"/>
              <w:bottom w:val="nil"/>
              <w:right w:val="nil"/>
            </w:tcBorders>
            <w:shd w:val="clear" w:color="auto" w:fill="auto"/>
            <w:noWrap/>
            <w:vAlign w:val="center"/>
            <w:hideMark/>
          </w:tcPr>
          <w:p w:rsidR="00933D1B" w:rsidRPr="00933D1B" w:rsidRDefault="00933D1B" w:rsidP="00933D1B">
            <w:pPr>
              <w:rPr>
                <w:rFonts w:cs="Arial"/>
                <w:color w:val="7F7F7F"/>
                <w:szCs w:val="18"/>
                <w:lang w:eastAsia="en-AU"/>
              </w:rPr>
            </w:pPr>
            <w:r w:rsidRPr="00933D1B">
              <w:rPr>
                <w:rFonts w:cs="Arial"/>
                <w:color w:val="7F7F7F"/>
                <w:szCs w:val="18"/>
                <w:lang w:eastAsia="en-AU"/>
              </w:rPr>
              <w:t>Western Metropolitan</w:t>
            </w:r>
          </w:p>
        </w:tc>
        <w:tc>
          <w:tcPr>
            <w:tcW w:w="985"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10,610</w:t>
            </w:r>
          </w:p>
        </w:tc>
        <w:tc>
          <w:tcPr>
            <w:tcW w:w="986"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8,592</w:t>
            </w:r>
          </w:p>
        </w:tc>
        <w:tc>
          <w:tcPr>
            <w:tcW w:w="986"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13,066</w:t>
            </w:r>
          </w:p>
        </w:tc>
        <w:tc>
          <w:tcPr>
            <w:tcW w:w="986"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10,111</w:t>
            </w:r>
          </w:p>
        </w:tc>
        <w:tc>
          <w:tcPr>
            <w:tcW w:w="986"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16,685</w:t>
            </w:r>
          </w:p>
        </w:tc>
        <w:tc>
          <w:tcPr>
            <w:tcW w:w="986"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12,009</w:t>
            </w:r>
          </w:p>
        </w:tc>
      </w:tr>
      <w:tr w:rsidR="00933D1B" w:rsidRPr="00933D1B" w:rsidTr="00933D1B">
        <w:trPr>
          <w:trHeight w:val="300"/>
        </w:trPr>
        <w:tc>
          <w:tcPr>
            <w:tcW w:w="2180" w:type="dxa"/>
            <w:tcBorders>
              <w:top w:val="nil"/>
              <w:left w:val="nil"/>
              <w:bottom w:val="nil"/>
              <w:right w:val="nil"/>
            </w:tcBorders>
            <w:shd w:val="clear" w:color="auto" w:fill="auto"/>
            <w:noWrap/>
            <w:vAlign w:val="center"/>
            <w:hideMark/>
          </w:tcPr>
          <w:p w:rsidR="00933D1B" w:rsidRPr="00933D1B" w:rsidRDefault="00933D1B" w:rsidP="00933D1B">
            <w:pPr>
              <w:rPr>
                <w:rFonts w:cs="Arial"/>
                <w:color w:val="7F7F7F"/>
                <w:szCs w:val="18"/>
                <w:lang w:eastAsia="en-AU"/>
              </w:rPr>
            </w:pPr>
            <w:r w:rsidRPr="00933D1B">
              <w:rPr>
                <w:rFonts w:cs="Arial"/>
                <w:color w:val="7F7F7F"/>
                <w:szCs w:val="18"/>
                <w:lang w:eastAsia="en-AU"/>
              </w:rPr>
              <w:t>Southern Metropolitan</w:t>
            </w:r>
          </w:p>
        </w:tc>
        <w:tc>
          <w:tcPr>
            <w:tcW w:w="985"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16,942</w:t>
            </w:r>
          </w:p>
        </w:tc>
        <w:tc>
          <w:tcPr>
            <w:tcW w:w="986"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16,187</w:t>
            </w:r>
          </w:p>
        </w:tc>
        <w:tc>
          <w:tcPr>
            <w:tcW w:w="986"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16,177</w:t>
            </w:r>
          </w:p>
        </w:tc>
        <w:tc>
          <w:tcPr>
            <w:tcW w:w="986"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11,487</w:t>
            </w:r>
          </w:p>
        </w:tc>
        <w:tc>
          <w:tcPr>
            <w:tcW w:w="986"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13,732</w:t>
            </w:r>
          </w:p>
        </w:tc>
        <w:tc>
          <w:tcPr>
            <w:tcW w:w="986"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14,086</w:t>
            </w:r>
          </w:p>
        </w:tc>
      </w:tr>
      <w:tr w:rsidR="00933D1B" w:rsidRPr="00933D1B" w:rsidTr="00933D1B">
        <w:trPr>
          <w:trHeight w:val="300"/>
        </w:trPr>
        <w:tc>
          <w:tcPr>
            <w:tcW w:w="2180" w:type="dxa"/>
            <w:tcBorders>
              <w:top w:val="nil"/>
              <w:left w:val="nil"/>
              <w:bottom w:val="nil"/>
              <w:right w:val="nil"/>
            </w:tcBorders>
            <w:shd w:val="clear" w:color="auto" w:fill="auto"/>
            <w:noWrap/>
            <w:vAlign w:val="center"/>
            <w:hideMark/>
          </w:tcPr>
          <w:p w:rsidR="00933D1B" w:rsidRPr="00933D1B" w:rsidRDefault="00933D1B" w:rsidP="00933D1B">
            <w:pPr>
              <w:rPr>
                <w:rFonts w:cs="Arial"/>
                <w:color w:val="7F7F7F"/>
                <w:szCs w:val="18"/>
                <w:lang w:eastAsia="en-AU"/>
              </w:rPr>
            </w:pPr>
            <w:r w:rsidRPr="00933D1B">
              <w:rPr>
                <w:rFonts w:cs="Arial"/>
                <w:color w:val="7F7F7F"/>
                <w:szCs w:val="18"/>
                <w:lang w:eastAsia="en-AU"/>
              </w:rPr>
              <w:t>Northern Metropolitan</w:t>
            </w:r>
          </w:p>
        </w:tc>
        <w:tc>
          <w:tcPr>
            <w:tcW w:w="985"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10,200</w:t>
            </w:r>
          </w:p>
        </w:tc>
        <w:tc>
          <w:tcPr>
            <w:tcW w:w="986"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10,126</w:t>
            </w:r>
          </w:p>
        </w:tc>
        <w:tc>
          <w:tcPr>
            <w:tcW w:w="986"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9,887</w:t>
            </w:r>
          </w:p>
        </w:tc>
        <w:tc>
          <w:tcPr>
            <w:tcW w:w="986"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10,932</w:t>
            </w:r>
          </w:p>
        </w:tc>
        <w:tc>
          <w:tcPr>
            <w:tcW w:w="986"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10,778</w:t>
            </w:r>
          </w:p>
        </w:tc>
        <w:tc>
          <w:tcPr>
            <w:tcW w:w="986"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10,360</w:t>
            </w:r>
          </w:p>
        </w:tc>
      </w:tr>
      <w:tr w:rsidR="00933D1B" w:rsidRPr="00933D1B" w:rsidTr="00933D1B">
        <w:trPr>
          <w:trHeight w:val="300"/>
        </w:trPr>
        <w:tc>
          <w:tcPr>
            <w:tcW w:w="2180" w:type="dxa"/>
            <w:tcBorders>
              <w:top w:val="nil"/>
              <w:left w:val="nil"/>
              <w:bottom w:val="nil"/>
              <w:right w:val="nil"/>
            </w:tcBorders>
            <w:shd w:val="clear" w:color="auto" w:fill="auto"/>
            <w:noWrap/>
            <w:vAlign w:val="center"/>
            <w:hideMark/>
          </w:tcPr>
          <w:p w:rsidR="00933D1B" w:rsidRPr="00933D1B" w:rsidRDefault="00933D1B" w:rsidP="00933D1B">
            <w:pPr>
              <w:rPr>
                <w:rFonts w:cs="Arial"/>
                <w:color w:val="7F7F7F"/>
                <w:szCs w:val="18"/>
                <w:lang w:eastAsia="en-AU"/>
              </w:rPr>
            </w:pPr>
            <w:r w:rsidRPr="00933D1B">
              <w:rPr>
                <w:rFonts w:cs="Arial"/>
                <w:color w:val="7F7F7F"/>
                <w:szCs w:val="18"/>
                <w:lang w:eastAsia="en-AU"/>
              </w:rPr>
              <w:t>Interstate</w:t>
            </w:r>
          </w:p>
        </w:tc>
        <w:tc>
          <w:tcPr>
            <w:tcW w:w="985"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114</w:t>
            </w:r>
          </w:p>
        </w:tc>
        <w:tc>
          <w:tcPr>
            <w:tcW w:w="986"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110</w:t>
            </w:r>
          </w:p>
        </w:tc>
        <w:tc>
          <w:tcPr>
            <w:tcW w:w="986"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153</w:t>
            </w:r>
          </w:p>
        </w:tc>
        <w:tc>
          <w:tcPr>
            <w:tcW w:w="986"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1,094</w:t>
            </w:r>
          </w:p>
        </w:tc>
        <w:tc>
          <w:tcPr>
            <w:tcW w:w="986"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1,339</w:t>
            </w:r>
          </w:p>
        </w:tc>
        <w:tc>
          <w:tcPr>
            <w:tcW w:w="986"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1,807</w:t>
            </w:r>
          </w:p>
        </w:tc>
      </w:tr>
      <w:tr w:rsidR="00933D1B" w:rsidRPr="00933D1B" w:rsidTr="00933D1B">
        <w:trPr>
          <w:trHeight w:val="300"/>
        </w:trPr>
        <w:tc>
          <w:tcPr>
            <w:tcW w:w="2180" w:type="dxa"/>
            <w:tcBorders>
              <w:top w:val="nil"/>
              <w:left w:val="nil"/>
              <w:bottom w:val="nil"/>
              <w:right w:val="nil"/>
            </w:tcBorders>
            <w:shd w:val="clear" w:color="auto" w:fill="auto"/>
            <w:noWrap/>
            <w:vAlign w:val="center"/>
            <w:hideMark/>
          </w:tcPr>
          <w:p w:rsidR="00933D1B" w:rsidRPr="00933D1B" w:rsidRDefault="00933D1B" w:rsidP="00933D1B">
            <w:pPr>
              <w:rPr>
                <w:rFonts w:cs="Arial"/>
                <w:color w:val="7F7F7F"/>
                <w:szCs w:val="18"/>
                <w:lang w:eastAsia="en-AU"/>
              </w:rPr>
            </w:pPr>
            <w:r w:rsidRPr="00933D1B">
              <w:rPr>
                <w:rFonts w:cs="Arial"/>
                <w:color w:val="7F7F7F"/>
                <w:szCs w:val="18"/>
                <w:lang w:eastAsia="en-AU"/>
              </w:rPr>
              <w:t>Other</w:t>
            </w:r>
          </w:p>
        </w:tc>
        <w:tc>
          <w:tcPr>
            <w:tcW w:w="985"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6,672</w:t>
            </w:r>
          </w:p>
        </w:tc>
        <w:tc>
          <w:tcPr>
            <w:tcW w:w="986"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6,491</w:t>
            </w:r>
          </w:p>
        </w:tc>
        <w:tc>
          <w:tcPr>
            <w:tcW w:w="986"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6,260</w:t>
            </w:r>
          </w:p>
        </w:tc>
        <w:tc>
          <w:tcPr>
            <w:tcW w:w="986"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6,006</w:t>
            </w:r>
          </w:p>
        </w:tc>
        <w:tc>
          <w:tcPr>
            <w:tcW w:w="986"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979</w:t>
            </w:r>
          </w:p>
        </w:tc>
        <w:tc>
          <w:tcPr>
            <w:tcW w:w="986"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0</w:t>
            </w:r>
          </w:p>
        </w:tc>
      </w:tr>
      <w:tr w:rsidR="00933D1B" w:rsidRPr="00933D1B" w:rsidTr="00933D1B">
        <w:trPr>
          <w:trHeight w:val="300"/>
        </w:trPr>
        <w:tc>
          <w:tcPr>
            <w:tcW w:w="2180" w:type="dxa"/>
            <w:tcBorders>
              <w:top w:val="nil"/>
              <w:left w:val="nil"/>
              <w:bottom w:val="nil"/>
              <w:right w:val="nil"/>
            </w:tcBorders>
            <w:shd w:val="clear" w:color="000000" w:fill="7F7F7F"/>
            <w:noWrap/>
            <w:vAlign w:val="center"/>
            <w:hideMark/>
          </w:tcPr>
          <w:p w:rsidR="00933D1B" w:rsidRPr="00933D1B" w:rsidRDefault="00933D1B" w:rsidP="00933D1B">
            <w:pPr>
              <w:rPr>
                <w:rFonts w:cs="Arial"/>
                <w:b/>
                <w:bCs/>
                <w:color w:val="FFFFFF"/>
                <w:szCs w:val="18"/>
                <w:lang w:eastAsia="en-AU"/>
              </w:rPr>
            </w:pPr>
            <w:r w:rsidRPr="00933D1B">
              <w:rPr>
                <w:rFonts w:cs="Arial"/>
                <w:b/>
                <w:bCs/>
                <w:color w:val="FFFFFF"/>
                <w:szCs w:val="18"/>
                <w:lang w:eastAsia="en-AU"/>
              </w:rPr>
              <w:t>Total</w:t>
            </w:r>
            <w:r>
              <w:rPr>
                <w:rFonts w:cs="Arial"/>
                <w:b/>
                <w:bCs/>
                <w:color w:val="FFFFFF"/>
                <w:szCs w:val="18"/>
                <w:lang w:eastAsia="en-AU"/>
              </w:rPr>
              <w:t>*</w:t>
            </w:r>
          </w:p>
        </w:tc>
        <w:tc>
          <w:tcPr>
            <w:tcW w:w="985" w:type="dxa"/>
            <w:tcBorders>
              <w:top w:val="nil"/>
              <w:left w:val="nil"/>
              <w:bottom w:val="nil"/>
              <w:right w:val="nil"/>
            </w:tcBorders>
            <w:shd w:val="clear" w:color="000000" w:fill="7F7F7F"/>
            <w:noWrap/>
            <w:vAlign w:val="center"/>
            <w:hideMark/>
          </w:tcPr>
          <w:p w:rsidR="00933D1B" w:rsidRPr="00933D1B" w:rsidRDefault="00933D1B" w:rsidP="00933D1B">
            <w:pPr>
              <w:jc w:val="right"/>
              <w:rPr>
                <w:rFonts w:cs="Arial"/>
                <w:b/>
                <w:bCs/>
                <w:color w:val="FFFFFF"/>
                <w:szCs w:val="18"/>
                <w:lang w:eastAsia="en-AU"/>
              </w:rPr>
            </w:pPr>
            <w:r w:rsidRPr="00933D1B">
              <w:rPr>
                <w:rFonts w:cs="Arial"/>
                <w:b/>
                <w:bCs/>
                <w:color w:val="FFFFFF"/>
                <w:szCs w:val="18"/>
                <w:lang w:eastAsia="en-AU"/>
              </w:rPr>
              <w:t>79,378</w:t>
            </w:r>
          </w:p>
        </w:tc>
        <w:tc>
          <w:tcPr>
            <w:tcW w:w="986" w:type="dxa"/>
            <w:tcBorders>
              <w:top w:val="nil"/>
              <w:left w:val="nil"/>
              <w:bottom w:val="nil"/>
              <w:right w:val="nil"/>
            </w:tcBorders>
            <w:shd w:val="clear" w:color="000000" w:fill="7F7F7F"/>
            <w:noWrap/>
            <w:vAlign w:val="center"/>
            <w:hideMark/>
          </w:tcPr>
          <w:p w:rsidR="00933D1B" w:rsidRPr="00933D1B" w:rsidRDefault="00933D1B" w:rsidP="00933D1B">
            <w:pPr>
              <w:jc w:val="right"/>
              <w:rPr>
                <w:rFonts w:cs="Arial"/>
                <w:b/>
                <w:bCs/>
                <w:color w:val="FFFFFF"/>
                <w:szCs w:val="18"/>
                <w:lang w:eastAsia="en-AU"/>
              </w:rPr>
            </w:pPr>
            <w:r w:rsidRPr="00933D1B">
              <w:rPr>
                <w:rFonts w:cs="Arial"/>
                <w:b/>
                <w:bCs/>
                <w:color w:val="FFFFFF"/>
                <w:szCs w:val="18"/>
                <w:lang w:eastAsia="en-AU"/>
              </w:rPr>
              <w:t>74,017</w:t>
            </w:r>
          </w:p>
        </w:tc>
        <w:tc>
          <w:tcPr>
            <w:tcW w:w="986" w:type="dxa"/>
            <w:tcBorders>
              <w:top w:val="nil"/>
              <w:left w:val="nil"/>
              <w:bottom w:val="nil"/>
              <w:right w:val="nil"/>
            </w:tcBorders>
            <w:shd w:val="clear" w:color="000000" w:fill="7F7F7F"/>
            <w:noWrap/>
            <w:vAlign w:val="center"/>
            <w:hideMark/>
          </w:tcPr>
          <w:p w:rsidR="00933D1B" w:rsidRPr="00933D1B" w:rsidRDefault="00933D1B" w:rsidP="00933D1B">
            <w:pPr>
              <w:jc w:val="right"/>
              <w:rPr>
                <w:rFonts w:cs="Arial"/>
                <w:b/>
                <w:bCs/>
                <w:color w:val="FFFFFF"/>
                <w:szCs w:val="18"/>
                <w:lang w:eastAsia="en-AU"/>
              </w:rPr>
            </w:pPr>
            <w:r w:rsidRPr="00933D1B">
              <w:rPr>
                <w:rFonts w:cs="Arial"/>
                <w:b/>
                <w:bCs/>
                <w:color w:val="FFFFFF"/>
                <w:szCs w:val="18"/>
                <w:lang w:eastAsia="en-AU"/>
              </w:rPr>
              <w:t>83,137</w:t>
            </w:r>
          </w:p>
        </w:tc>
        <w:tc>
          <w:tcPr>
            <w:tcW w:w="986" w:type="dxa"/>
            <w:tcBorders>
              <w:top w:val="nil"/>
              <w:left w:val="nil"/>
              <w:bottom w:val="nil"/>
              <w:right w:val="nil"/>
            </w:tcBorders>
            <w:shd w:val="clear" w:color="000000" w:fill="7F7F7F"/>
            <w:noWrap/>
            <w:vAlign w:val="center"/>
            <w:hideMark/>
          </w:tcPr>
          <w:p w:rsidR="00933D1B" w:rsidRPr="00933D1B" w:rsidRDefault="00933D1B" w:rsidP="00933D1B">
            <w:pPr>
              <w:jc w:val="right"/>
              <w:rPr>
                <w:rFonts w:cs="Arial"/>
                <w:b/>
                <w:bCs/>
                <w:color w:val="FFFFFF"/>
                <w:szCs w:val="18"/>
                <w:lang w:eastAsia="en-AU"/>
              </w:rPr>
            </w:pPr>
            <w:r w:rsidRPr="00933D1B">
              <w:rPr>
                <w:rFonts w:cs="Arial"/>
                <w:b/>
                <w:bCs/>
                <w:color w:val="FFFFFF"/>
                <w:szCs w:val="18"/>
                <w:lang w:eastAsia="en-AU"/>
              </w:rPr>
              <w:t>68,622</w:t>
            </w:r>
          </w:p>
        </w:tc>
        <w:tc>
          <w:tcPr>
            <w:tcW w:w="986" w:type="dxa"/>
            <w:tcBorders>
              <w:top w:val="nil"/>
              <w:left w:val="nil"/>
              <w:bottom w:val="nil"/>
              <w:right w:val="nil"/>
            </w:tcBorders>
            <w:shd w:val="clear" w:color="000000" w:fill="7F7F7F"/>
            <w:noWrap/>
            <w:vAlign w:val="center"/>
            <w:hideMark/>
          </w:tcPr>
          <w:p w:rsidR="00933D1B" w:rsidRPr="00933D1B" w:rsidRDefault="00933D1B" w:rsidP="00933D1B">
            <w:pPr>
              <w:jc w:val="right"/>
              <w:rPr>
                <w:rFonts w:cs="Arial"/>
                <w:b/>
                <w:bCs/>
                <w:color w:val="FFFFFF"/>
                <w:szCs w:val="18"/>
                <w:lang w:eastAsia="en-AU"/>
              </w:rPr>
            </w:pPr>
            <w:r w:rsidRPr="00933D1B">
              <w:rPr>
                <w:rFonts w:cs="Arial"/>
                <w:b/>
                <w:bCs/>
                <w:color w:val="FFFFFF"/>
                <w:szCs w:val="18"/>
                <w:lang w:eastAsia="en-AU"/>
              </w:rPr>
              <w:t>73,343</w:t>
            </w:r>
          </w:p>
        </w:tc>
        <w:tc>
          <w:tcPr>
            <w:tcW w:w="986" w:type="dxa"/>
            <w:tcBorders>
              <w:top w:val="nil"/>
              <w:left w:val="nil"/>
              <w:bottom w:val="nil"/>
              <w:right w:val="nil"/>
            </w:tcBorders>
            <w:shd w:val="clear" w:color="000000" w:fill="7F7F7F"/>
            <w:noWrap/>
            <w:vAlign w:val="center"/>
            <w:hideMark/>
          </w:tcPr>
          <w:p w:rsidR="00933D1B" w:rsidRPr="00933D1B" w:rsidRDefault="00933D1B" w:rsidP="00933D1B">
            <w:pPr>
              <w:jc w:val="right"/>
              <w:rPr>
                <w:rFonts w:cs="Arial"/>
                <w:b/>
                <w:bCs/>
                <w:color w:val="FFFFFF"/>
                <w:szCs w:val="18"/>
                <w:lang w:eastAsia="en-AU"/>
              </w:rPr>
            </w:pPr>
            <w:r w:rsidRPr="00933D1B">
              <w:rPr>
                <w:rFonts w:cs="Arial"/>
                <w:b/>
                <w:bCs/>
                <w:color w:val="FFFFFF"/>
                <w:szCs w:val="18"/>
                <w:lang w:eastAsia="en-AU"/>
              </w:rPr>
              <w:t>64,514</w:t>
            </w:r>
          </w:p>
        </w:tc>
      </w:tr>
    </w:tbl>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4A0" w:firstRow="1" w:lastRow="0" w:firstColumn="1" w:lastColumn="0" w:noHBand="0" w:noVBand="1"/>
      </w:tblPr>
      <w:tblGrid>
        <w:gridCol w:w="431"/>
        <w:gridCol w:w="7649"/>
      </w:tblGrid>
      <w:tr w:rsidR="00933D1B" w:rsidRPr="00913551" w:rsidTr="00D10E9D">
        <w:tc>
          <w:tcPr>
            <w:tcW w:w="431" w:type="dxa"/>
            <w:tcMar>
              <w:left w:w="0" w:type="dxa"/>
              <w:right w:w="28" w:type="dxa"/>
            </w:tcMar>
          </w:tcPr>
          <w:p w:rsidR="00933D1B" w:rsidRPr="00913551" w:rsidRDefault="00933D1B" w:rsidP="00D10E9D">
            <w:pPr>
              <w:spacing w:after="0" w:line="240" w:lineRule="auto"/>
              <w:jc w:val="right"/>
              <w:rPr>
                <w:color w:val="7F7F7F" w:themeColor="text2"/>
                <w:sz w:val="16"/>
                <w:szCs w:val="16"/>
              </w:rPr>
            </w:pPr>
            <w:r w:rsidRPr="00913551">
              <w:rPr>
                <w:color w:val="7F7F7F" w:themeColor="text2"/>
                <w:sz w:val="16"/>
                <w:szCs w:val="16"/>
              </w:rPr>
              <w:t xml:space="preserve">* </w:t>
            </w:r>
          </w:p>
        </w:tc>
        <w:tc>
          <w:tcPr>
            <w:tcW w:w="7649" w:type="dxa"/>
            <w:tcMar>
              <w:left w:w="0" w:type="dxa"/>
              <w:right w:w="28" w:type="dxa"/>
            </w:tcMar>
          </w:tcPr>
          <w:p w:rsidR="00933D1B" w:rsidRPr="00913551" w:rsidRDefault="001A6F4D" w:rsidP="001A6F4D">
            <w:pPr>
              <w:pStyle w:val="Note"/>
              <w:spacing w:after="0"/>
              <w:rPr>
                <w:color w:val="7F7F7F" w:themeColor="text2"/>
              </w:rPr>
            </w:pPr>
            <w:r w:rsidRPr="001A6F4D">
              <w:t xml:space="preserve">Where a course </w:t>
            </w:r>
            <w:proofErr w:type="gramStart"/>
            <w:r w:rsidRPr="001A6F4D">
              <w:t>was delivered</w:t>
            </w:r>
            <w:proofErr w:type="gramEnd"/>
            <w:r w:rsidRPr="001A6F4D">
              <w:t xml:space="preserve"> across more than one region, an enrolment in this course is also counted in more than one region. The total has eliminated any duplicates</w:t>
            </w:r>
            <w:r w:rsidR="00933D1B" w:rsidRPr="00913551">
              <w:rPr>
                <w:color w:val="7F7F7F" w:themeColor="text2"/>
              </w:rPr>
              <w:t>.</w:t>
            </w:r>
          </w:p>
        </w:tc>
      </w:tr>
    </w:tbl>
    <w:p w:rsidR="001A6F4D" w:rsidRDefault="001A6F4D">
      <w:r>
        <w:rPr>
          <w:b/>
        </w:rPr>
        <w:br w:type="page"/>
      </w: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933D1B" w:rsidTr="00D10E9D">
        <w:tc>
          <w:tcPr>
            <w:tcW w:w="1134" w:type="dxa"/>
            <w:tcMar>
              <w:left w:w="0" w:type="dxa"/>
              <w:right w:w="0" w:type="dxa"/>
            </w:tcMar>
          </w:tcPr>
          <w:p w:rsidR="00933D1B" w:rsidRDefault="00933D1B" w:rsidP="0084117E">
            <w:pPr>
              <w:pStyle w:val="Quote"/>
              <w:tabs>
                <w:tab w:val="left" w:pos="1134"/>
              </w:tabs>
              <w:rPr>
                <w:b w:val="0"/>
                <w:color w:val="B41F22" w:themeColor="accent1"/>
              </w:rPr>
            </w:pPr>
            <w:r>
              <w:rPr>
                <w:b w:val="0"/>
                <w:color w:val="B41F22" w:themeColor="accent1"/>
              </w:rPr>
              <w:lastRenderedPageBreak/>
              <w:t>Table 1.3</w:t>
            </w:r>
            <w:r w:rsidR="0084117E">
              <w:rPr>
                <w:b w:val="0"/>
                <w:color w:val="B41F22" w:themeColor="accent1"/>
              </w:rPr>
              <w:t>5.2</w:t>
            </w:r>
            <w:r>
              <w:rPr>
                <w:b w:val="0"/>
                <w:color w:val="B41F22" w:themeColor="accent1"/>
              </w:rPr>
              <w:t>:</w:t>
            </w:r>
          </w:p>
        </w:tc>
        <w:tc>
          <w:tcPr>
            <w:tcW w:w="6946" w:type="dxa"/>
            <w:tcMar>
              <w:left w:w="0" w:type="dxa"/>
              <w:right w:w="0" w:type="dxa"/>
            </w:tcMar>
          </w:tcPr>
          <w:p w:rsidR="00933D1B" w:rsidRDefault="00933D1B" w:rsidP="007E03F8">
            <w:pPr>
              <w:pStyle w:val="Quote"/>
              <w:tabs>
                <w:tab w:val="left" w:pos="1134"/>
              </w:tabs>
              <w:rPr>
                <w:b w:val="0"/>
                <w:color w:val="B41F22" w:themeColor="accent1"/>
              </w:rPr>
            </w:pPr>
            <w:r w:rsidRPr="00933D1B">
              <w:rPr>
                <w:b w:val="0"/>
                <w:color w:val="B41F22" w:themeColor="accent1"/>
              </w:rPr>
              <w:t xml:space="preserve">Change in number of </w:t>
            </w:r>
            <w:r w:rsidR="001D22F4">
              <w:rPr>
                <w:b w:val="0"/>
                <w:color w:val="B41F22" w:themeColor="accent1"/>
              </w:rPr>
              <w:t xml:space="preserve">domestic </w:t>
            </w:r>
            <w:r w:rsidRPr="00933D1B">
              <w:rPr>
                <w:b w:val="0"/>
                <w:color w:val="B41F22" w:themeColor="accent1"/>
              </w:rPr>
              <w:t xml:space="preserve">fee-for-service enrolments </w:t>
            </w:r>
            <w:r w:rsidR="007E03F8">
              <w:rPr>
                <w:b w:val="0"/>
                <w:color w:val="B41F22" w:themeColor="accent1"/>
              </w:rPr>
              <w:t>at</w:t>
            </w:r>
            <w:r w:rsidRPr="00933D1B">
              <w:rPr>
                <w:b w:val="0"/>
                <w:color w:val="B41F22" w:themeColor="accent1"/>
              </w:rPr>
              <w:t xml:space="preserve"> TAFE by delivery regional areas (half year)</w:t>
            </w:r>
          </w:p>
        </w:tc>
      </w:tr>
    </w:tbl>
    <w:tbl>
      <w:tblPr>
        <w:tblW w:w="8095" w:type="dxa"/>
        <w:tblInd w:w="93" w:type="dxa"/>
        <w:tblLayout w:type="fixed"/>
        <w:tblLook w:val="04A0" w:firstRow="1" w:lastRow="0" w:firstColumn="1" w:lastColumn="0" w:noHBand="0" w:noVBand="1"/>
      </w:tblPr>
      <w:tblGrid>
        <w:gridCol w:w="2180"/>
        <w:gridCol w:w="1183"/>
        <w:gridCol w:w="1183"/>
        <w:gridCol w:w="1183"/>
        <w:gridCol w:w="1183"/>
        <w:gridCol w:w="1183"/>
      </w:tblGrid>
      <w:tr w:rsidR="00933D1B" w:rsidRPr="00933D1B" w:rsidTr="00933D1B">
        <w:trPr>
          <w:trHeight w:val="720"/>
        </w:trPr>
        <w:tc>
          <w:tcPr>
            <w:tcW w:w="2180" w:type="dxa"/>
            <w:tcBorders>
              <w:top w:val="nil"/>
              <w:left w:val="nil"/>
              <w:bottom w:val="nil"/>
              <w:right w:val="nil"/>
            </w:tcBorders>
            <w:shd w:val="clear" w:color="000000" w:fill="7F7F7F"/>
            <w:noWrap/>
            <w:vAlign w:val="center"/>
            <w:hideMark/>
          </w:tcPr>
          <w:p w:rsidR="00933D1B" w:rsidRPr="00933D1B" w:rsidRDefault="00933D1B" w:rsidP="00933D1B">
            <w:pPr>
              <w:rPr>
                <w:rFonts w:cs="Arial"/>
                <w:color w:val="FFFFFF"/>
                <w:szCs w:val="18"/>
                <w:lang w:eastAsia="en-AU"/>
              </w:rPr>
            </w:pPr>
            <w:r w:rsidRPr="00933D1B">
              <w:rPr>
                <w:rFonts w:cs="Arial"/>
                <w:color w:val="FFFFFF"/>
                <w:szCs w:val="18"/>
                <w:lang w:eastAsia="en-AU"/>
              </w:rPr>
              <w:t> </w:t>
            </w:r>
          </w:p>
        </w:tc>
        <w:tc>
          <w:tcPr>
            <w:tcW w:w="1183" w:type="dxa"/>
            <w:tcBorders>
              <w:top w:val="nil"/>
              <w:left w:val="nil"/>
              <w:bottom w:val="nil"/>
              <w:right w:val="nil"/>
            </w:tcBorders>
            <w:shd w:val="clear" w:color="000000" w:fill="7F7F7F"/>
            <w:vAlign w:val="center"/>
            <w:hideMark/>
          </w:tcPr>
          <w:p w:rsidR="00933D1B" w:rsidRPr="00933D1B" w:rsidRDefault="00933D1B" w:rsidP="00933D1B">
            <w:pPr>
              <w:jc w:val="right"/>
              <w:rPr>
                <w:rFonts w:cs="Arial"/>
                <w:b/>
                <w:bCs/>
                <w:color w:val="FFFFFF"/>
                <w:szCs w:val="18"/>
                <w:lang w:eastAsia="en-AU"/>
              </w:rPr>
            </w:pPr>
            <w:r w:rsidRPr="00933D1B">
              <w:rPr>
                <w:rFonts w:cs="Arial"/>
                <w:b/>
                <w:bCs/>
                <w:color w:val="FFFFFF"/>
                <w:szCs w:val="18"/>
                <w:lang w:eastAsia="en-AU"/>
              </w:rPr>
              <w:t>% change 2010 to 2015</w:t>
            </w:r>
          </w:p>
        </w:tc>
        <w:tc>
          <w:tcPr>
            <w:tcW w:w="1183" w:type="dxa"/>
            <w:tcBorders>
              <w:top w:val="nil"/>
              <w:left w:val="nil"/>
              <w:bottom w:val="nil"/>
              <w:right w:val="nil"/>
            </w:tcBorders>
            <w:shd w:val="clear" w:color="000000" w:fill="7F7F7F"/>
            <w:vAlign w:val="center"/>
            <w:hideMark/>
          </w:tcPr>
          <w:p w:rsidR="00933D1B" w:rsidRPr="00933D1B" w:rsidRDefault="00933D1B" w:rsidP="00933D1B">
            <w:pPr>
              <w:jc w:val="right"/>
              <w:rPr>
                <w:rFonts w:cs="Arial"/>
                <w:b/>
                <w:bCs/>
                <w:color w:val="FFFFFF"/>
                <w:szCs w:val="18"/>
                <w:lang w:eastAsia="en-AU"/>
              </w:rPr>
            </w:pPr>
            <w:r w:rsidRPr="00933D1B">
              <w:rPr>
                <w:rFonts w:cs="Arial"/>
                <w:b/>
                <w:bCs/>
                <w:color w:val="FFFFFF"/>
                <w:szCs w:val="18"/>
                <w:lang w:eastAsia="en-AU"/>
              </w:rPr>
              <w:t>% change 2011 to 2015</w:t>
            </w:r>
          </w:p>
        </w:tc>
        <w:tc>
          <w:tcPr>
            <w:tcW w:w="1183" w:type="dxa"/>
            <w:tcBorders>
              <w:top w:val="nil"/>
              <w:left w:val="nil"/>
              <w:bottom w:val="nil"/>
              <w:right w:val="nil"/>
            </w:tcBorders>
            <w:shd w:val="clear" w:color="000000" w:fill="7F7F7F"/>
            <w:vAlign w:val="center"/>
            <w:hideMark/>
          </w:tcPr>
          <w:p w:rsidR="00933D1B" w:rsidRPr="00933D1B" w:rsidRDefault="00933D1B" w:rsidP="00933D1B">
            <w:pPr>
              <w:jc w:val="right"/>
              <w:rPr>
                <w:rFonts w:cs="Arial"/>
                <w:b/>
                <w:bCs/>
                <w:color w:val="FFFFFF"/>
                <w:szCs w:val="18"/>
                <w:lang w:eastAsia="en-AU"/>
              </w:rPr>
            </w:pPr>
            <w:r w:rsidRPr="00933D1B">
              <w:rPr>
                <w:rFonts w:cs="Arial"/>
                <w:b/>
                <w:bCs/>
                <w:color w:val="FFFFFF"/>
                <w:szCs w:val="18"/>
                <w:lang w:eastAsia="en-AU"/>
              </w:rPr>
              <w:t>% change 2012 to 2015</w:t>
            </w:r>
          </w:p>
        </w:tc>
        <w:tc>
          <w:tcPr>
            <w:tcW w:w="1183" w:type="dxa"/>
            <w:tcBorders>
              <w:top w:val="nil"/>
              <w:left w:val="nil"/>
              <w:bottom w:val="nil"/>
              <w:right w:val="nil"/>
            </w:tcBorders>
            <w:shd w:val="clear" w:color="000000" w:fill="7F7F7F"/>
            <w:vAlign w:val="center"/>
            <w:hideMark/>
          </w:tcPr>
          <w:p w:rsidR="00933D1B" w:rsidRPr="00933D1B" w:rsidRDefault="00933D1B" w:rsidP="00933D1B">
            <w:pPr>
              <w:jc w:val="right"/>
              <w:rPr>
                <w:rFonts w:cs="Arial"/>
                <w:b/>
                <w:bCs/>
                <w:color w:val="FFFFFF"/>
                <w:szCs w:val="18"/>
                <w:lang w:eastAsia="en-AU"/>
              </w:rPr>
            </w:pPr>
            <w:r w:rsidRPr="00933D1B">
              <w:rPr>
                <w:rFonts w:cs="Arial"/>
                <w:b/>
                <w:bCs/>
                <w:color w:val="FFFFFF"/>
                <w:szCs w:val="18"/>
                <w:lang w:eastAsia="en-AU"/>
              </w:rPr>
              <w:t>% change 2013 to 2015</w:t>
            </w:r>
          </w:p>
        </w:tc>
        <w:tc>
          <w:tcPr>
            <w:tcW w:w="1183" w:type="dxa"/>
            <w:tcBorders>
              <w:top w:val="nil"/>
              <w:left w:val="nil"/>
              <w:bottom w:val="nil"/>
              <w:right w:val="nil"/>
            </w:tcBorders>
            <w:shd w:val="clear" w:color="000000" w:fill="7F7F7F"/>
            <w:vAlign w:val="center"/>
            <w:hideMark/>
          </w:tcPr>
          <w:p w:rsidR="00933D1B" w:rsidRPr="00933D1B" w:rsidRDefault="00933D1B" w:rsidP="00933D1B">
            <w:pPr>
              <w:jc w:val="right"/>
              <w:rPr>
                <w:rFonts w:cs="Arial"/>
                <w:b/>
                <w:bCs/>
                <w:color w:val="FFFFFF"/>
                <w:szCs w:val="18"/>
                <w:lang w:eastAsia="en-AU"/>
              </w:rPr>
            </w:pPr>
            <w:r w:rsidRPr="00933D1B">
              <w:rPr>
                <w:rFonts w:cs="Arial"/>
                <w:b/>
                <w:bCs/>
                <w:color w:val="FFFFFF"/>
                <w:szCs w:val="18"/>
                <w:lang w:eastAsia="en-AU"/>
              </w:rPr>
              <w:t>% change 2014 to 2015</w:t>
            </w:r>
          </w:p>
        </w:tc>
      </w:tr>
      <w:tr w:rsidR="00933D1B" w:rsidRPr="00933D1B" w:rsidTr="00933D1B">
        <w:trPr>
          <w:trHeight w:val="300"/>
        </w:trPr>
        <w:tc>
          <w:tcPr>
            <w:tcW w:w="2180" w:type="dxa"/>
            <w:tcBorders>
              <w:top w:val="nil"/>
              <w:left w:val="nil"/>
              <w:bottom w:val="nil"/>
              <w:right w:val="nil"/>
            </w:tcBorders>
            <w:shd w:val="clear" w:color="auto" w:fill="auto"/>
            <w:noWrap/>
            <w:vAlign w:val="center"/>
            <w:hideMark/>
          </w:tcPr>
          <w:p w:rsidR="00933D1B" w:rsidRPr="00933D1B" w:rsidRDefault="00933D1B" w:rsidP="00933D1B">
            <w:pPr>
              <w:rPr>
                <w:rFonts w:cs="Arial"/>
                <w:color w:val="7F7F7F"/>
                <w:szCs w:val="18"/>
                <w:lang w:eastAsia="en-AU"/>
              </w:rPr>
            </w:pPr>
            <w:r w:rsidRPr="00933D1B">
              <w:rPr>
                <w:rFonts w:cs="Arial"/>
                <w:color w:val="7F7F7F"/>
                <w:szCs w:val="18"/>
                <w:lang w:eastAsia="en-AU"/>
              </w:rPr>
              <w:t>Barwon South West</w:t>
            </w:r>
          </w:p>
        </w:tc>
        <w:tc>
          <w:tcPr>
            <w:tcW w:w="1183"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-48%</w:t>
            </w:r>
          </w:p>
        </w:tc>
        <w:tc>
          <w:tcPr>
            <w:tcW w:w="1183"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-43%</w:t>
            </w:r>
          </w:p>
        </w:tc>
        <w:tc>
          <w:tcPr>
            <w:tcW w:w="1183"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-46%</w:t>
            </w:r>
          </w:p>
        </w:tc>
        <w:tc>
          <w:tcPr>
            <w:tcW w:w="1183"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-19%</w:t>
            </w:r>
          </w:p>
        </w:tc>
        <w:tc>
          <w:tcPr>
            <w:tcW w:w="1183"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-17%</w:t>
            </w:r>
          </w:p>
        </w:tc>
      </w:tr>
      <w:tr w:rsidR="00933D1B" w:rsidRPr="00933D1B" w:rsidTr="00933D1B">
        <w:trPr>
          <w:trHeight w:val="300"/>
        </w:trPr>
        <w:tc>
          <w:tcPr>
            <w:tcW w:w="2180" w:type="dxa"/>
            <w:tcBorders>
              <w:top w:val="nil"/>
              <w:left w:val="nil"/>
              <w:bottom w:val="nil"/>
              <w:right w:val="nil"/>
            </w:tcBorders>
            <w:shd w:val="clear" w:color="auto" w:fill="auto"/>
            <w:noWrap/>
            <w:vAlign w:val="center"/>
            <w:hideMark/>
          </w:tcPr>
          <w:p w:rsidR="00933D1B" w:rsidRPr="00933D1B" w:rsidRDefault="00933D1B" w:rsidP="00933D1B">
            <w:pPr>
              <w:rPr>
                <w:rFonts w:cs="Arial"/>
                <w:color w:val="7F7F7F"/>
                <w:szCs w:val="18"/>
                <w:lang w:eastAsia="en-AU"/>
              </w:rPr>
            </w:pPr>
            <w:r w:rsidRPr="00933D1B">
              <w:rPr>
                <w:rFonts w:cs="Arial"/>
                <w:color w:val="7F7F7F"/>
                <w:szCs w:val="18"/>
                <w:lang w:eastAsia="en-AU"/>
              </w:rPr>
              <w:t>Grampians</w:t>
            </w:r>
          </w:p>
        </w:tc>
        <w:tc>
          <w:tcPr>
            <w:tcW w:w="1183"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w:t>
            </w:r>
          </w:p>
        </w:tc>
        <w:tc>
          <w:tcPr>
            <w:tcW w:w="1183"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w:t>
            </w:r>
          </w:p>
        </w:tc>
        <w:tc>
          <w:tcPr>
            <w:tcW w:w="1183"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w:t>
            </w:r>
          </w:p>
        </w:tc>
        <w:tc>
          <w:tcPr>
            <w:tcW w:w="1183"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w:t>
            </w:r>
          </w:p>
        </w:tc>
        <w:tc>
          <w:tcPr>
            <w:tcW w:w="1183"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w:t>
            </w:r>
          </w:p>
        </w:tc>
      </w:tr>
      <w:tr w:rsidR="00933D1B" w:rsidRPr="00933D1B" w:rsidTr="00933D1B">
        <w:trPr>
          <w:trHeight w:val="300"/>
        </w:trPr>
        <w:tc>
          <w:tcPr>
            <w:tcW w:w="2180" w:type="dxa"/>
            <w:tcBorders>
              <w:top w:val="nil"/>
              <w:left w:val="nil"/>
              <w:bottom w:val="nil"/>
              <w:right w:val="nil"/>
            </w:tcBorders>
            <w:shd w:val="clear" w:color="auto" w:fill="auto"/>
            <w:noWrap/>
            <w:vAlign w:val="center"/>
            <w:hideMark/>
          </w:tcPr>
          <w:p w:rsidR="00933D1B" w:rsidRPr="00933D1B" w:rsidRDefault="00933D1B" w:rsidP="00933D1B">
            <w:pPr>
              <w:rPr>
                <w:rFonts w:cs="Arial"/>
                <w:color w:val="7F7F7F"/>
                <w:szCs w:val="18"/>
                <w:lang w:eastAsia="en-AU"/>
              </w:rPr>
            </w:pPr>
            <w:r w:rsidRPr="00933D1B">
              <w:rPr>
                <w:rFonts w:cs="Arial"/>
                <w:color w:val="7F7F7F"/>
                <w:szCs w:val="18"/>
                <w:lang w:eastAsia="en-AU"/>
              </w:rPr>
              <w:t>Loddon Mallee</w:t>
            </w:r>
          </w:p>
        </w:tc>
        <w:tc>
          <w:tcPr>
            <w:tcW w:w="1183"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-7%</w:t>
            </w:r>
          </w:p>
        </w:tc>
        <w:tc>
          <w:tcPr>
            <w:tcW w:w="1183"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24%</w:t>
            </w:r>
          </w:p>
        </w:tc>
        <w:tc>
          <w:tcPr>
            <w:tcW w:w="1183"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-23%</w:t>
            </w:r>
          </w:p>
        </w:tc>
        <w:tc>
          <w:tcPr>
            <w:tcW w:w="1183"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-18%</w:t>
            </w:r>
          </w:p>
        </w:tc>
        <w:tc>
          <w:tcPr>
            <w:tcW w:w="1183"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-10%</w:t>
            </w:r>
          </w:p>
        </w:tc>
      </w:tr>
      <w:tr w:rsidR="00933D1B" w:rsidRPr="00933D1B" w:rsidTr="00933D1B">
        <w:trPr>
          <w:trHeight w:val="300"/>
        </w:trPr>
        <w:tc>
          <w:tcPr>
            <w:tcW w:w="2180" w:type="dxa"/>
            <w:tcBorders>
              <w:top w:val="nil"/>
              <w:left w:val="nil"/>
              <w:bottom w:val="nil"/>
              <w:right w:val="nil"/>
            </w:tcBorders>
            <w:shd w:val="clear" w:color="auto" w:fill="auto"/>
            <w:noWrap/>
            <w:vAlign w:val="center"/>
            <w:hideMark/>
          </w:tcPr>
          <w:p w:rsidR="00933D1B" w:rsidRPr="00933D1B" w:rsidRDefault="00933D1B" w:rsidP="00933D1B">
            <w:pPr>
              <w:rPr>
                <w:rFonts w:cs="Arial"/>
                <w:color w:val="7F7F7F"/>
                <w:szCs w:val="18"/>
                <w:lang w:eastAsia="en-AU"/>
              </w:rPr>
            </w:pPr>
            <w:r w:rsidRPr="00933D1B">
              <w:rPr>
                <w:rFonts w:cs="Arial"/>
                <w:color w:val="7F7F7F"/>
                <w:szCs w:val="18"/>
                <w:lang w:eastAsia="en-AU"/>
              </w:rPr>
              <w:t>Hume</w:t>
            </w:r>
          </w:p>
        </w:tc>
        <w:tc>
          <w:tcPr>
            <w:tcW w:w="1183"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-17%</w:t>
            </w:r>
          </w:p>
        </w:tc>
        <w:tc>
          <w:tcPr>
            <w:tcW w:w="1183"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-14%</w:t>
            </w:r>
          </w:p>
        </w:tc>
        <w:tc>
          <w:tcPr>
            <w:tcW w:w="1183"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-24%</w:t>
            </w:r>
          </w:p>
        </w:tc>
        <w:tc>
          <w:tcPr>
            <w:tcW w:w="1183"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-17%</w:t>
            </w:r>
          </w:p>
        </w:tc>
        <w:tc>
          <w:tcPr>
            <w:tcW w:w="1183"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7%</w:t>
            </w:r>
          </w:p>
        </w:tc>
      </w:tr>
      <w:tr w:rsidR="00933D1B" w:rsidRPr="00933D1B" w:rsidTr="00933D1B">
        <w:trPr>
          <w:trHeight w:val="300"/>
        </w:trPr>
        <w:tc>
          <w:tcPr>
            <w:tcW w:w="2180" w:type="dxa"/>
            <w:tcBorders>
              <w:top w:val="nil"/>
              <w:left w:val="nil"/>
              <w:bottom w:val="nil"/>
              <w:right w:val="nil"/>
            </w:tcBorders>
            <w:shd w:val="clear" w:color="auto" w:fill="auto"/>
            <w:noWrap/>
            <w:vAlign w:val="center"/>
            <w:hideMark/>
          </w:tcPr>
          <w:p w:rsidR="00933D1B" w:rsidRPr="00933D1B" w:rsidRDefault="00933D1B" w:rsidP="00933D1B">
            <w:pPr>
              <w:rPr>
                <w:rFonts w:cs="Arial"/>
                <w:color w:val="7F7F7F"/>
                <w:szCs w:val="18"/>
                <w:lang w:eastAsia="en-AU"/>
              </w:rPr>
            </w:pPr>
            <w:r w:rsidRPr="00933D1B">
              <w:rPr>
                <w:rFonts w:cs="Arial"/>
                <w:color w:val="7F7F7F"/>
                <w:szCs w:val="18"/>
                <w:lang w:eastAsia="en-AU"/>
              </w:rPr>
              <w:t>Gippsland</w:t>
            </w:r>
          </w:p>
        </w:tc>
        <w:tc>
          <w:tcPr>
            <w:tcW w:w="1183"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-35%</w:t>
            </w:r>
          </w:p>
        </w:tc>
        <w:tc>
          <w:tcPr>
            <w:tcW w:w="1183"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-47%</w:t>
            </w:r>
          </w:p>
        </w:tc>
        <w:tc>
          <w:tcPr>
            <w:tcW w:w="1183"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-56%</w:t>
            </w:r>
          </w:p>
        </w:tc>
        <w:tc>
          <w:tcPr>
            <w:tcW w:w="1183"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-15%</w:t>
            </w:r>
          </w:p>
        </w:tc>
        <w:tc>
          <w:tcPr>
            <w:tcW w:w="1183"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-42%</w:t>
            </w:r>
          </w:p>
        </w:tc>
      </w:tr>
      <w:tr w:rsidR="00933D1B" w:rsidRPr="00933D1B" w:rsidTr="00933D1B">
        <w:trPr>
          <w:trHeight w:val="300"/>
        </w:trPr>
        <w:tc>
          <w:tcPr>
            <w:tcW w:w="2180" w:type="dxa"/>
            <w:tcBorders>
              <w:top w:val="nil"/>
              <w:left w:val="nil"/>
              <w:bottom w:val="nil"/>
              <w:right w:val="nil"/>
            </w:tcBorders>
            <w:shd w:val="clear" w:color="auto" w:fill="auto"/>
            <w:noWrap/>
            <w:vAlign w:val="center"/>
            <w:hideMark/>
          </w:tcPr>
          <w:p w:rsidR="00933D1B" w:rsidRPr="00933D1B" w:rsidRDefault="00933D1B" w:rsidP="00933D1B">
            <w:pPr>
              <w:rPr>
                <w:rFonts w:cs="Arial"/>
                <w:color w:val="7F7F7F"/>
                <w:szCs w:val="18"/>
                <w:lang w:eastAsia="en-AU"/>
              </w:rPr>
            </w:pPr>
            <w:r w:rsidRPr="00933D1B">
              <w:rPr>
                <w:rFonts w:cs="Arial"/>
                <w:color w:val="7F7F7F"/>
                <w:szCs w:val="18"/>
                <w:lang w:eastAsia="en-AU"/>
              </w:rPr>
              <w:t>Eastern Metropolitan</w:t>
            </w:r>
          </w:p>
        </w:tc>
        <w:tc>
          <w:tcPr>
            <w:tcW w:w="1183"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3%</w:t>
            </w:r>
          </w:p>
        </w:tc>
        <w:tc>
          <w:tcPr>
            <w:tcW w:w="1183"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33%</w:t>
            </w:r>
          </w:p>
        </w:tc>
        <w:tc>
          <w:tcPr>
            <w:tcW w:w="1183"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24%</w:t>
            </w:r>
          </w:p>
        </w:tc>
        <w:tc>
          <w:tcPr>
            <w:tcW w:w="1183"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29%</w:t>
            </w:r>
          </w:p>
        </w:tc>
        <w:tc>
          <w:tcPr>
            <w:tcW w:w="1183"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0%</w:t>
            </w:r>
          </w:p>
        </w:tc>
      </w:tr>
      <w:tr w:rsidR="00933D1B" w:rsidRPr="00933D1B" w:rsidTr="00933D1B">
        <w:trPr>
          <w:trHeight w:val="300"/>
        </w:trPr>
        <w:tc>
          <w:tcPr>
            <w:tcW w:w="2180" w:type="dxa"/>
            <w:tcBorders>
              <w:top w:val="nil"/>
              <w:left w:val="nil"/>
              <w:bottom w:val="nil"/>
              <w:right w:val="nil"/>
            </w:tcBorders>
            <w:shd w:val="clear" w:color="auto" w:fill="auto"/>
            <w:noWrap/>
            <w:vAlign w:val="center"/>
            <w:hideMark/>
          </w:tcPr>
          <w:p w:rsidR="00933D1B" w:rsidRPr="00933D1B" w:rsidRDefault="00933D1B" w:rsidP="00933D1B">
            <w:pPr>
              <w:rPr>
                <w:rFonts w:cs="Arial"/>
                <w:color w:val="7F7F7F"/>
                <w:szCs w:val="18"/>
                <w:lang w:eastAsia="en-AU"/>
              </w:rPr>
            </w:pPr>
            <w:r w:rsidRPr="00933D1B">
              <w:rPr>
                <w:rFonts w:cs="Arial"/>
                <w:color w:val="7F7F7F"/>
                <w:szCs w:val="18"/>
                <w:lang w:eastAsia="en-AU"/>
              </w:rPr>
              <w:t>Western Metropolitan</w:t>
            </w:r>
          </w:p>
        </w:tc>
        <w:tc>
          <w:tcPr>
            <w:tcW w:w="1183"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13%</w:t>
            </w:r>
          </w:p>
        </w:tc>
        <w:tc>
          <w:tcPr>
            <w:tcW w:w="1183"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40%</w:t>
            </w:r>
          </w:p>
        </w:tc>
        <w:tc>
          <w:tcPr>
            <w:tcW w:w="1183"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-8%</w:t>
            </w:r>
          </w:p>
        </w:tc>
        <w:tc>
          <w:tcPr>
            <w:tcW w:w="1183"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19%</w:t>
            </w:r>
          </w:p>
        </w:tc>
        <w:tc>
          <w:tcPr>
            <w:tcW w:w="1183"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-28%</w:t>
            </w:r>
          </w:p>
        </w:tc>
      </w:tr>
      <w:tr w:rsidR="00933D1B" w:rsidRPr="00933D1B" w:rsidTr="00933D1B">
        <w:trPr>
          <w:trHeight w:val="300"/>
        </w:trPr>
        <w:tc>
          <w:tcPr>
            <w:tcW w:w="2180" w:type="dxa"/>
            <w:tcBorders>
              <w:top w:val="nil"/>
              <w:left w:val="nil"/>
              <w:bottom w:val="nil"/>
              <w:right w:val="nil"/>
            </w:tcBorders>
            <w:shd w:val="clear" w:color="auto" w:fill="auto"/>
            <w:noWrap/>
            <w:vAlign w:val="center"/>
            <w:hideMark/>
          </w:tcPr>
          <w:p w:rsidR="00933D1B" w:rsidRPr="00933D1B" w:rsidRDefault="00933D1B" w:rsidP="00933D1B">
            <w:pPr>
              <w:rPr>
                <w:rFonts w:cs="Arial"/>
                <w:color w:val="7F7F7F"/>
                <w:szCs w:val="18"/>
                <w:lang w:eastAsia="en-AU"/>
              </w:rPr>
            </w:pPr>
            <w:r w:rsidRPr="00933D1B">
              <w:rPr>
                <w:rFonts w:cs="Arial"/>
                <w:color w:val="7F7F7F"/>
                <w:szCs w:val="18"/>
                <w:lang w:eastAsia="en-AU"/>
              </w:rPr>
              <w:t>Southern Metropolitan</w:t>
            </w:r>
          </w:p>
        </w:tc>
        <w:tc>
          <w:tcPr>
            <w:tcW w:w="1183"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-17%</w:t>
            </w:r>
          </w:p>
        </w:tc>
        <w:tc>
          <w:tcPr>
            <w:tcW w:w="1183"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-13%</w:t>
            </w:r>
          </w:p>
        </w:tc>
        <w:tc>
          <w:tcPr>
            <w:tcW w:w="1183"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-13%</w:t>
            </w:r>
          </w:p>
        </w:tc>
        <w:tc>
          <w:tcPr>
            <w:tcW w:w="1183"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23%</w:t>
            </w:r>
          </w:p>
        </w:tc>
        <w:tc>
          <w:tcPr>
            <w:tcW w:w="1183"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3%</w:t>
            </w:r>
          </w:p>
        </w:tc>
      </w:tr>
      <w:tr w:rsidR="00933D1B" w:rsidRPr="00933D1B" w:rsidTr="00933D1B">
        <w:trPr>
          <w:trHeight w:val="300"/>
        </w:trPr>
        <w:tc>
          <w:tcPr>
            <w:tcW w:w="2180" w:type="dxa"/>
            <w:tcBorders>
              <w:top w:val="nil"/>
              <w:left w:val="nil"/>
              <w:bottom w:val="nil"/>
              <w:right w:val="nil"/>
            </w:tcBorders>
            <w:shd w:val="clear" w:color="auto" w:fill="auto"/>
            <w:noWrap/>
            <w:vAlign w:val="center"/>
            <w:hideMark/>
          </w:tcPr>
          <w:p w:rsidR="00933D1B" w:rsidRPr="00933D1B" w:rsidRDefault="00933D1B" w:rsidP="00933D1B">
            <w:pPr>
              <w:rPr>
                <w:rFonts w:cs="Arial"/>
                <w:color w:val="7F7F7F"/>
                <w:szCs w:val="18"/>
                <w:lang w:eastAsia="en-AU"/>
              </w:rPr>
            </w:pPr>
            <w:r w:rsidRPr="00933D1B">
              <w:rPr>
                <w:rFonts w:cs="Arial"/>
                <w:color w:val="7F7F7F"/>
                <w:szCs w:val="18"/>
                <w:lang w:eastAsia="en-AU"/>
              </w:rPr>
              <w:t>Northern Metropolitan</w:t>
            </w:r>
          </w:p>
        </w:tc>
        <w:tc>
          <w:tcPr>
            <w:tcW w:w="1183"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2%</w:t>
            </w:r>
          </w:p>
        </w:tc>
        <w:tc>
          <w:tcPr>
            <w:tcW w:w="1183"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2%</w:t>
            </w:r>
          </w:p>
        </w:tc>
        <w:tc>
          <w:tcPr>
            <w:tcW w:w="1183"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5%</w:t>
            </w:r>
          </w:p>
        </w:tc>
        <w:tc>
          <w:tcPr>
            <w:tcW w:w="1183"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-5%</w:t>
            </w:r>
          </w:p>
        </w:tc>
        <w:tc>
          <w:tcPr>
            <w:tcW w:w="1183"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-4%</w:t>
            </w:r>
          </w:p>
        </w:tc>
      </w:tr>
      <w:tr w:rsidR="00933D1B" w:rsidRPr="00933D1B" w:rsidTr="00933D1B">
        <w:trPr>
          <w:trHeight w:val="300"/>
        </w:trPr>
        <w:tc>
          <w:tcPr>
            <w:tcW w:w="2180" w:type="dxa"/>
            <w:tcBorders>
              <w:top w:val="nil"/>
              <w:left w:val="nil"/>
              <w:bottom w:val="nil"/>
              <w:right w:val="nil"/>
            </w:tcBorders>
            <w:shd w:val="clear" w:color="auto" w:fill="auto"/>
            <w:noWrap/>
            <w:vAlign w:val="center"/>
            <w:hideMark/>
          </w:tcPr>
          <w:p w:rsidR="00933D1B" w:rsidRPr="00933D1B" w:rsidRDefault="00933D1B" w:rsidP="00933D1B">
            <w:pPr>
              <w:rPr>
                <w:rFonts w:cs="Arial"/>
                <w:color w:val="7F7F7F"/>
                <w:szCs w:val="18"/>
                <w:lang w:eastAsia="en-AU"/>
              </w:rPr>
            </w:pPr>
            <w:r w:rsidRPr="00933D1B">
              <w:rPr>
                <w:rFonts w:cs="Arial"/>
                <w:color w:val="7F7F7F"/>
                <w:szCs w:val="18"/>
                <w:lang w:eastAsia="en-AU"/>
              </w:rPr>
              <w:t>Interstate</w:t>
            </w:r>
          </w:p>
        </w:tc>
        <w:tc>
          <w:tcPr>
            <w:tcW w:w="1183"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1,485%</w:t>
            </w:r>
          </w:p>
        </w:tc>
        <w:tc>
          <w:tcPr>
            <w:tcW w:w="1183"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1,543%</w:t>
            </w:r>
          </w:p>
        </w:tc>
        <w:tc>
          <w:tcPr>
            <w:tcW w:w="1183"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1,081%</w:t>
            </w:r>
          </w:p>
        </w:tc>
        <w:tc>
          <w:tcPr>
            <w:tcW w:w="1183"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65%</w:t>
            </w:r>
          </w:p>
        </w:tc>
        <w:tc>
          <w:tcPr>
            <w:tcW w:w="1183"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35%</w:t>
            </w:r>
          </w:p>
        </w:tc>
      </w:tr>
      <w:tr w:rsidR="00933D1B" w:rsidRPr="00933D1B" w:rsidTr="00933D1B">
        <w:trPr>
          <w:trHeight w:val="300"/>
        </w:trPr>
        <w:tc>
          <w:tcPr>
            <w:tcW w:w="2180" w:type="dxa"/>
            <w:tcBorders>
              <w:top w:val="nil"/>
              <w:left w:val="nil"/>
              <w:bottom w:val="nil"/>
              <w:right w:val="nil"/>
            </w:tcBorders>
            <w:shd w:val="clear" w:color="auto" w:fill="auto"/>
            <w:noWrap/>
            <w:vAlign w:val="center"/>
            <w:hideMark/>
          </w:tcPr>
          <w:p w:rsidR="00933D1B" w:rsidRPr="00933D1B" w:rsidRDefault="00933D1B" w:rsidP="00933D1B">
            <w:pPr>
              <w:rPr>
                <w:rFonts w:cs="Arial"/>
                <w:color w:val="7F7F7F"/>
                <w:szCs w:val="18"/>
                <w:lang w:eastAsia="en-AU"/>
              </w:rPr>
            </w:pPr>
            <w:r w:rsidRPr="00933D1B">
              <w:rPr>
                <w:rFonts w:cs="Arial"/>
                <w:color w:val="7F7F7F"/>
                <w:szCs w:val="18"/>
                <w:lang w:eastAsia="en-AU"/>
              </w:rPr>
              <w:t>Other</w:t>
            </w:r>
          </w:p>
        </w:tc>
        <w:tc>
          <w:tcPr>
            <w:tcW w:w="1183"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-100%</w:t>
            </w:r>
          </w:p>
        </w:tc>
        <w:tc>
          <w:tcPr>
            <w:tcW w:w="1183"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-100%</w:t>
            </w:r>
          </w:p>
        </w:tc>
        <w:tc>
          <w:tcPr>
            <w:tcW w:w="1183"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-100%</w:t>
            </w:r>
          </w:p>
        </w:tc>
        <w:tc>
          <w:tcPr>
            <w:tcW w:w="1183"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-100%</w:t>
            </w:r>
          </w:p>
        </w:tc>
        <w:tc>
          <w:tcPr>
            <w:tcW w:w="1183" w:type="dxa"/>
            <w:tcBorders>
              <w:top w:val="nil"/>
              <w:left w:val="nil"/>
              <w:bottom w:val="nil"/>
              <w:right w:val="nil"/>
            </w:tcBorders>
            <w:shd w:val="clear" w:color="auto" w:fill="auto"/>
            <w:noWrap/>
            <w:vAlign w:val="center"/>
            <w:hideMark/>
          </w:tcPr>
          <w:p w:rsidR="00933D1B" w:rsidRPr="00933D1B" w:rsidRDefault="00933D1B" w:rsidP="00933D1B">
            <w:pPr>
              <w:jc w:val="right"/>
              <w:rPr>
                <w:rFonts w:cs="Arial"/>
                <w:color w:val="7F7F7F"/>
                <w:szCs w:val="18"/>
                <w:lang w:eastAsia="en-AU"/>
              </w:rPr>
            </w:pPr>
            <w:r w:rsidRPr="00933D1B">
              <w:rPr>
                <w:rFonts w:cs="Arial"/>
                <w:color w:val="7F7F7F"/>
                <w:szCs w:val="18"/>
                <w:lang w:eastAsia="en-AU"/>
              </w:rPr>
              <w:t>-100%</w:t>
            </w:r>
          </w:p>
        </w:tc>
      </w:tr>
      <w:tr w:rsidR="00933D1B" w:rsidRPr="00933D1B" w:rsidTr="00933D1B">
        <w:trPr>
          <w:trHeight w:val="300"/>
        </w:trPr>
        <w:tc>
          <w:tcPr>
            <w:tcW w:w="2180" w:type="dxa"/>
            <w:tcBorders>
              <w:top w:val="nil"/>
              <w:left w:val="nil"/>
              <w:bottom w:val="nil"/>
              <w:right w:val="nil"/>
            </w:tcBorders>
            <w:shd w:val="clear" w:color="000000" w:fill="7F7F7F"/>
            <w:noWrap/>
            <w:vAlign w:val="center"/>
            <w:hideMark/>
          </w:tcPr>
          <w:p w:rsidR="00933D1B" w:rsidRPr="00933D1B" w:rsidRDefault="00933D1B" w:rsidP="00933D1B">
            <w:pPr>
              <w:rPr>
                <w:rFonts w:cs="Arial"/>
                <w:b/>
                <w:bCs/>
                <w:color w:val="FFFFFF"/>
                <w:szCs w:val="18"/>
                <w:lang w:eastAsia="en-AU"/>
              </w:rPr>
            </w:pPr>
            <w:r w:rsidRPr="00933D1B">
              <w:rPr>
                <w:rFonts w:cs="Arial"/>
                <w:b/>
                <w:bCs/>
                <w:color w:val="FFFFFF"/>
                <w:szCs w:val="18"/>
                <w:lang w:eastAsia="en-AU"/>
              </w:rPr>
              <w:t>Total</w:t>
            </w:r>
          </w:p>
        </w:tc>
        <w:tc>
          <w:tcPr>
            <w:tcW w:w="1183" w:type="dxa"/>
            <w:tcBorders>
              <w:top w:val="nil"/>
              <w:left w:val="nil"/>
              <w:bottom w:val="nil"/>
              <w:right w:val="nil"/>
            </w:tcBorders>
            <w:shd w:val="clear" w:color="000000" w:fill="7F7F7F"/>
            <w:noWrap/>
            <w:vAlign w:val="center"/>
            <w:hideMark/>
          </w:tcPr>
          <w:p w:rsidR="00933D1B" w:rsidRPr="00794B13" w:rsidRDefault="00933D1B" w:rsidP="00933D1B">
            <w:pPr>
              <w:jc w:val="right"/>
              <w:rPr>
                <w:rFonts w:cs="Arial"/>
                <w:b/>
                <w:color w:val="FFFFFF"/>
                <w:szCs w:val="18"/>
                <w:lang w:eastAsia="en-AU"/>
              </w:rPr>
            </w:pPr>
            <w:r w:rsidRPr="00794B13">
              <w:rPr>
                <w:rFonts w:cs="Arial"/>
                <w:b/>
                <w:color w:val="FFFFFF"/>
                <w:szCs w:val="18"/>
                <w:lang w:eastAsia="en-AU"/>
              </w:rPr>
              <w:t>-19%</w:t>
            </w:r>
          </w:p>
        </w:tc>
        <w:tc>
          <w:tcPr>
            <w:tcW w:w="1183" w:type="dxa"/>
            <w:tcBorders>
              <w:top w:val="nil"/>
              <w:left w:val="nil"/>
              <w:bottom w:val="nil"/>
              <w:right w:val="nil"/>
            </w:tcBorders>
            <w:shd w:val="clear" w:color="000000" w:fill="7F7F7F"/>
            <w:noWrap/>
            <w:vAlign w:val="center"/>
            <w:hideMark/>
          </w:tcPr>
          <w:p w:rsidR="00933D1B" w:rsidRPr="00794B13" w:rsidRDefault="00933D1B" w:rsidP="00933D1B">
            <w:pPr>
              <w:jc w:val="right"/>
              <w:rPr>
                <w:rFonts w:cs="Arial"/>
                <w:b/>
                <w:color w:val="FFFFFF"/>
                <w:szCs w:val="18"/>
                <w:lang w:eastAsia="en-AU"/>
              </w:rPr>
            </w:pPr>
            <w:r w:rsidRPr="00794B13">
              <w:rPr>
                <w:rFonts w:cs="Arial"/>
                <w:b/>
                <w:color w:val="FFFFFF"/>
                <w:szCs w:val="18"/>
                <w:lang w:eastAsia="en-AU"/>
              </w:rPr>
              <w:t>-13%</w:t>
            </w:r>
          </w:p>
        </w:tc>
        <w:tc>
          <w:tcPr>
            <w:tcW w:w="1183" w:type="dxa"/>
            <w:tcBorders>
              <w:top w:val="nil"/>
              <w:left w:val="nil"/>
              <w:bottom w:val="nil"/>
              <w:right w:val="nil"/>
            </w:tcBorders>
            <w:shd w:val="clear" w:color="000000" w:fill="7F7F7F"/>
            <w:noWrap/>
            <w:vAlign w:val="center"/>
            <w:hideMark/>
          </w:tcPr>
          <w:p w:rsidR="00933D1B" w:rsidRPr="00794B13" w:rsidRDefault="00933D1B" w:rsidP="00933D1B">
            <w:pPr>
              <w:jc w:val="right"/>
              <w:rPr>
                <w:rFonts w:cs="Arial"/>
                <w:b/>
                <w:color w:val="FFFFFF"/>
                <w:szCs w:val="18"/>
                <w:lang w:eastAsia="en-AU"/>
              </w:rPr>
            </w:pPr>
            <w:r w:rsidRPr="00794B13">
              <w:rPr>
                <w:rFonts w:cs="Arial"/>
                <w:b/>
                <w:color w:val="FFFFFF"/>
                <w:szCs w:val="18"/>
                <w:lang w:eastAsia="en-AU"/>
              </w:rPr>
              <w:t>-22%</w:t>
            </w:r>
          </w:p>
        </w:tc>
        <w:tc>
          <w:tcPr>
            <w:tcW w:w="1183" w:type="dxa"/>
            <w:tcBorders>
              <w:top w:val="nil"/>
              <w:left w:val="nil"/>
              <w:bottom w:val="nil"/>
              <w:right w:val="nil"/>
            </w:tcBorders>
            <w:shd w:val="clear" w:color="000000" w:fill="7F7F7F"/>
            <w:noWrap/>
            <w:vAlign w:val="center"/>
            <w:hideMark/>
          </w:tcPr>
          <w:p w:rsidR="00933D1B" w:rsidRPr="00794B13" w:rsidRDefault="00933D1B" w:rsidP="00933D1B">
            <w:pPr>
              <w:jc w:val="right"/>
              <w:rPr>
                <w:rFonts w:cs="Arial"/>
                <w:b/>
                <w:color w:val="FFFFFF"/>
                <w:szCs w:val="18"/>
                <w:lang w:eastAsia="en-AU"/>
              </w:rPr>
            </w:pPr>
            <w:r w:rsidRPr="00794B13">
              <w:rPr>
                <w:rFonts w:cs="Arial"/>
                <w:b/>
                <w:color w:val="FFFFFF"/>
                <w:szCs w:val="18"/>
                <w:lang w:eastAsia="en-AU"/>
              </w:rPr>
              <w:t>-6%</w:t>
            </w:r>
          </w:p>
        </w:tc>
        <w:tc>
          <w:tcPr>
            <w:tcW w:w="1183" w:type="dxa"/>
            <w:tcBorders>
              <w:top w:val="nil"/>
              <w:left w:val="nil"/>
              <w:bottom w:val="nil"/>
              <w:right w:val="nil"/>
            </w:tcBorders>
            <w:shd w:val="clear" w:color="000000" w:fill="7F7F7F"/>
            <w:noWrap/>
            <w:vAlign w:val="center"/>
            <w:hideMark/>
          </w:tcPr>
          <w:p w:rsidR="00933D1B" w:rsidRPr="00794B13" w:rsidRDefault="00933D1B" w:rsidP="00933D1B">
            <w:pPr>
              <w:jc w:val="right"/>
              <w:rPr>
                <w:rFonts w:cs="Arial"/>
                <w:b/>
                <w:color w:val="FFFFFF"/>
                <w:szCs w:val="18"/>
                <w:lang w:eastAsia="en-AU"/>
              </w:rPr>
            </w:pPr>
            <w:r w:rsidRPr="00794B13">
              <w:rPr>
                <w:rFonts w:cs="Arial"/>
                <w:b/>
                <w:color w:val="FFFFFF"/>
                <w:szCs w:val="18"/>
                <w:lang w:eastAsia="en-AU"/>
              </w:rPr>
              <w:t>-12%</w:t>
            </w:r>
          </w:p>
        </w:tc>
      </w:tr>
    </w:tbl>
    <w:p w:rsidR="00F901C3" w:rsidRDefault="00F901C3" w:rsidP="00001B69">
      <w:pPr>
        <w:pStyle w:val="Quote"/>
        <w:rPr>
          <w:b w:val="0"/>
          <w:sz w:val="18"/>
          <w:szCs w:val="18"/>
        </w:rPr>
      </w:pPr>
    </w:p>
    <w:p w:rsidR="00F901C3" w:rsidRDefault="00F901C3" w:rsidP="00001B69">
      <w:pPr>
        <w:pStyle w:val="Quote"/>
        <w:rPr>
          <w:b w:val="0"/>
          <w:sz w:val="18"/>
          <w:szCs w:val="18"/>
        </w:rPr>
      </w:pP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D10E9D" w:rsidTr="00D10E9D">
        <w:tc>
          <w:tcPr>
            <w:tcW w:w="1134" w:type="dxa"/>
            <w:tcMar>
              <w:left w:w="0" w:type="dxa"/>
              <w:right w:w="0" w:type="dxa"/>
            </w:tcMar>
          </w:tcPr>
          <w:p w:rsidR="00D10E9D" w:rsidRDefault="00D10E9D" w:rsidP="005A7424">
            <w:pPr>
              <w:pStyle w:val="Quote"/>
              <w:tabs>
                <w:tab w:val="left" w:pos="1134"/>
              </w:tabs>
              <w:rPr>
                <w:b w:val="0"/>
                <w:color w:val="B41F22" w:themeColor="accent1"/>
              </w:rPr>
            </w:pPr>
            <w:r>
              <w:rPr>
                <w:b w:val="0"/>
                <w:color w:val="B41F22" w:themeColor="accent1"/>
              </w:rPr>
              <w:t>Table 1.3</w:t>
            </w:r>
            <w:r w:rsidR="0084117E">
              <w:rPr>
                <w:b w:val="0"/>
                <w:color w:val="B41F22" w:themeColor="accent1"/>
              </w:rPr>
              <w:t>6</w:t>
            </w:r>
            <w:r>
              <w:rPr>
                <w:b w:val="0"/>
                <w:color w:val="B41F22" w:themeColor="accent1"/>
              </w:rPr>
              <w:t>.1:</w:t>
            </w:r>
          </w:p>
        </w:tc>
        <w:tc>
          <w:tcPr>
            <w:tcW w:w="6946" w:type="dxa"/>
            <w:tcMar>
              <w:left w:w="0" w:type="dxa"/>
              <w:right w:w="0" w:type="dxa"/>
            </w:tcMar>
          </w:tcPr>
          <w:p w:rsidR="00D10E9D" w:rsidRDefault="00D10E9D" w:rsidP="007E03F8">
            <w:pPr>
              <w:pStyle w:val="Quote"/>
              <w:tabs>
                <w:tab w:val="left" w:pos="1134"/>
              </w:tabs>
              <w:rPr>
                <w:b w:val="0"/>
                <w:color w:val="B41F22" w:themeColor="accent1"/>
              </w:rPr>
            </w:pPr>
            <w:r w:rsidRPr="00D10E9D">
              <w:rPr>
                <w:b w:val="0"/>
                <w:color w:val="B41F22" w:themeColor="accent1"/>
              </w:rPr>
              <w:t xml:space="preserve">Top 10 occupations for </w:t>
            </w:r>
            <w:r w:rsidR="001D22F4">
              <w:rPr>
                <w:b w:val="0"/>
                <w:color w:val="B41F22" w:themeColor="accent1"/>
              </w:rPr>
              <w:t xml:space="preserve">domestic </w:t>
            </w:r>
            <w:r w:rsidRPr="00D10E9D">
              <w:rPr>
                <w:b w:val="0"/>
                <w:color w:val="B41F22" w:themeColor="accent1"/>
              </w:rPr>
              <w:t xml:space="preserve">fee-for-service enrolments </w:t>
            </w:r>
            <w:r w:rsidR="007E03F8">
              <w:rPr>
                <w:b w:val="0"/>
                <w:color w:val="B41F22" w:themeColor="accent1"/>
              </w:rPr>
              <w:t>at</w:t>
            </w:r>
            <w:r w:rsidRPr="00D10E9D">
              <w:rPr>
                <w:b w:val="0"/>
                <w:color w:val="B41F22" w:themeColor="accent1"/>
              </w:rPr>
              <w:t xml:space="preserve"> TAFE, 2010 to 2015 (half year)</w:t>
            </w:r>
          </w:p>
        </w:tc>
      </w:tr>
    </w:tbl>
    <w:tbl>
      <w:tblPr>
        <w:tblW w:w="8095" w:type="dxa"/>
        <w:tblInd w:w="93" w:type="dxa"/>
        <w:tblLayout w:type="fixed"/>
        <w:tblLook w:val="04A0" w:firstRow="1" w:lastRow="0" w:firstColumn="1" w:lastColumn="0" w:noHBand="0" w:noVBand="1"/>
      </w:tblPr>
      <w:tblGrid>
        <w:gridCol w:w="2180"/>
        <w:gridCol w:w="985"/>
        <w:gridCol w:w="986"/>
        <w:gridCol w:w="986"/>
        <w:gridCol w:w="986"/>
        <w:gridCol w:w="986"/>
        <w:gridCol w:w="986"/>
      </w:tblGrid>
      <w:tr w:rsidR="00D10E9D" w:rsidRPr="00D10E9D" w:rsidTr="00D10E9D">
        <w:trPr>
          <w:trHeight w:val="300"/>
        </w:trPr>
        <w:tc>
          <w:tcPr>
            <w:tcW w:w="2180" w:type="dxa"/>
            <w:tcBorders>
              <w:top w:val="nil"/>
              <w:left w:val="nil"/>
              <w:bottom w:val="nil"/>
              <w:right w:val="nil"/>
            </w:tcBorders>
            <w:shd w:val="clear" w:color="000000" w:fill="7F7F7F"/>
            <w:noWrap/>
            <w:vAlign w:val="center"/>
            <w:hideMark/>
          </w:tcPr>
          <w:p w:rsidR="00D10E9D" w:rsidRPr="00D10E9D" w:rsidRDefault="00D10E9D" w:rsidP="00D10E9D">
            <w:pPr>
              <w:rPr>
                <w:rFonts w:cs="Arial"/>
                <w:color w:val="FFFFFF"/>
                <w:szCs w:val="18"/>
                <w:lang w:eastAsia="en-AU"/>
              </w:rPr>
            </w:pPr>
            <w:r w:rsidRPr="00D10E9D">
              <w:rPr>
                <w:rFonts w:cs="Arial"/>
                <w:color w:val="FFFFFF"/>
                <w:szCs w:val="18"/>
                <w:lang w:eastAsia="en-AU"/>
              </w:rPr>
              <w:t> </w:t>
            </w:r>
          </w:p>
        </w:tc>
        <w:tc>
          <w:tcPr>
            <w:tcW w:w="985" w:type="dxa"/>
            <w:tcBorders>
              <w:top w:val="nil"/>
              <w:left w:val="nil"/>
              <w:bottom w:val="nil"/>
              <w:right w:val="nil"/>
            </w:tcBorders>
            <w:shd w:val="clear" w:color="000000" w:fill="7F7F7F"/>
            <w:noWrap/>
            <w:vAlign w:val="center"/>
            <w:hideMark/>
          </w:tcPr>
          <w:p w:rsidR="00D10E9D" w:rsidRPr="00D10E9D" w:rsidRDefault="00D10E9D" w:rsidP="00D10E9D">
            <w:pPr>
              <w:jc w:val="right"/>
              <w:rPr>
                <w:rFonts w:cs="Arial"/>
                <w:b/>
                <w:bCs/>
                <w:color w:val="FFFFFF"/>
                <w:szCs w:val="18"/>
                <w:lang w:eastAsia="en-AU"/>
              </w:rPr>
            </w:pPr>
            <w:r w:rsidRPr="00D10E9D">
              <w:rPr>
                <w:rFonts w:cs="Arial"/>
                <w:b/>
                <w:bCs/>
                <w:color w:val="FFFFFF"/>
                <w:szCs w:val="18"/>
                <w:lang w:eastAsia="en-AU"/>
              </w:rPr>
              <w:t>2010</w:t>
            </w:r>
          </w:p>
        </w:tc>
        <w:tc>
          <w:tcPr>
            <w:tcW w:w="986" w:type="dxa"/>
            <w:tcBorders>
              <w:top w:val="nil"/>
              <w:left w:val="nil"/>
              <w:bottom w:val="nil"/>
              <w:right w:val="nil"/>
            </w:tcBorders>
            <w:shd w:val="clear" w:color="000000" w:fill="7F7F7F"/>
            <w:noWrap/>
            <w:vAlign w:val="center"/>
            <w:hideMark/>
          </w:tcPr>
          <w:p w:rsidR="00D10E9D" w:rsidRPr="00D10E9D" w:rsidRDefault="00D10E9D" w:rsidP="00D10E9D">
            <w:pPr>
              <w:jc w:val="right"/>
              <w:rPr>
                <w:rFonts w:cs="Arial"/>
                <w:b/>
                <w:bCs/>
                <w:color w:val="FFFFFF"/>
                <w:szCs w:val="18"/>
                <w:lang w:eastAsia="en-AU"/>
              </w:rPr>
            </w:pPr>
            <w:r w:rsidRPr="00D10E9D">
              <w:rPr>
                <w:rFonts w:cs="Arial"/>
                <w:b/>
                <w:bCs/>
                <w:color w:val="FFFFFF"/>
                <w:szCs w:val="18"/>
                <w:lang w:eastAsia="en-AU"/>
              </w:rPr>
              <w:t>2011</w:t>
            </w:r>
          </w:p>
        </w:tc>
        <w:tc>
          <w:tcPr>
            <w:tcW w:w="986" w:type="dxa"/>
            <w:tcBorders>
              <w:top w:val="nil"/>
              <w:left w:val="nil"/>
              <w:bottom w:val="nil"/>
              <w:right w:val="nil"/>
            </w:tcBorders>
            <w:shd w:val="clear" w:color="000000" w:fill="7F7F7F"/>
            <w:noWrap/>
            <w:vAlign w:val="center"/>
            <w:hideMark/>
          </w:tcPr>
          <w:p w:rsidR="00D10E9D" w:rsidRPr="00D10E9D" w:rsidRDefault="00D10E9D" w:rsidP="00D10E9D">
            <w:pPr>
              <w:jc w:val="right"/>
              <w:rPr>
                <w:rFonts w:cs="Arial"/>
                <w:b/>
                <w:bCs/>
                <w:color w:val="FFFFFF"/>
                <w:szCs w:val="18"/>
                <w:lang w:eastAsia="en-AU"/>
              </w:rPr>
            </w:pPr>
            <w:r w:rsidRPr="00D10E9D">
              <w:rPr>
                <w:rFonts w:cs="Arial"/>
                <w:b/>
                <w:bCs/>
                <w:color w:val="FFFFFF"/>
                <w:szCs w:val="18"/>
                <w:lang w:eastAsia="en-AU"/>
              </w:rPr>
              <w:t>2012</w:t>
            </w:r>
          </w:p>
        </w:tc>
        <w:tc>
          <w:tcPr>
            <w:tcW w:w="986" w:type="dxa"/>
            <w:tcBorders>
              <w:top w:val="nil"/>
              <w:left w:val="nil"/>
              <w:bottom w:val="nil"/>
              <w:right w:val="nil"/>
            </w:tcBorders>
            <w:shd w:val="clear" w:color="000000" w:fill="7F7F7F"/>
            <w:noWrap/>
            <w:vAlign w:val="center"/>
            <w:hideMark/>
          </w:tcPr>
          <w:p w:rsidR="00D10E9D" w:rsidRPr="00D10E9D" w:rsidRDefault="00D10E9D" w:rsidP="00D10E9D">
            <w:pPr>
              <w:jc w:val="right"/>
              <w:rPr>
                <w:rFonts w:cs="Arial"/>
                <w:b/>
                <w:bCs/>
                <w:color w:val="FFFFFF"/>
                <w:szCs w:val="18"/>
                <w:lang w:eastAsia="en-AU"/>
              </w:rPr>
            </w:pPr>
            <w:r w:rsidRPr="00D10E9D">
              <w:rPr>
                <w:rFonts w:cs="Arial"/>
                <w:b/>
                <w:bCs/>
                <w:color w:val="FFFFFF"/>
                <w:szCs w:val="18"/>
                <w:lang w:eastAsia="en-AU"/>
              </w:rPr>
              <w:t>2013</w:t>
            </w:r>
          </w:p>
        </w:tc>
        <w:tc>
          <w:tcPr>
            <w:tcW w:w="986" w:type="dxa"/>
            <w:tcBorders>
              <w:top w:val="nil"/>
              <w:left w:val="nil"/>
              <w:bottom w:val="nil"/>
              <w:right w:val="nil"/>
            </w:tcBorders>
            <w:shd w:val="clear" w:color="000000" w:fill="7F7F7F"/>
            <w:noWrap/>
            <w:vAlign w:val="center"/>
            <w:hideMark/>
          </w:tcPr>
          <w:p w:rsidR="00D10E9D" w:rsidRPr="00D10E9D" w:rsidRDefault="00D10E9D" w:rsidP="00D10E9D">
            <w:pPr>
              <w:jc w:val="right"/>
              <w:rPr>
                <w:rFonts w:cs="Arial"/>
                <w:b/>
                <w:bCs/>
                <w:color w:val="FFFFFF"/>
                <w:szCs w:val="18"/>
                <w:lang w:eastAsia="en-AU"/>
              </w:rPr>
            </w:pPr>
            <w:r w:rsidRPr="00D10E9D">
              <w:rPr>
                <w:rFonts w:cs="Arial"/>
                <w:b/>
                <w:bCs/>
                <w:color w:val="FFFFFF"/>
                <w:szCs w:val="18"/>
                <w:lang w:eastAsia="en-AU"/>
              </w:rPr>
              <w:t>2014</w:t>
            </w:r>
          </w:p>
        </w:tc>
        <w:tc>
          <w:tcPr>
            <w:tcW w:w="986" w:type="dxa"/>
            <w:tcBorders>
              <w:top w:val="nil"/>
              <w:left w:val="nil"/>
              <w:bottom w:val="nil"/>
              <w:right w:val="nil"/>
            </w:tcBorders>
            <w:shd w:val="clear" w:color="000000" w:fill="7F7F7F"/>
            <w:noWrap/>
            <w:vAlign w:val="center"/>
            <w:hideMark/>
          </w:tcPr>
          <w:p w:rsidR="00D10E9D" w:rsidRPr="00D10E9D" w:rsidRDefault="00D10E9D" w:rsidP="00D10E9D">
            <w:pPr>
              <w:jc w:val="right"/>
              <w:rPr>
                <w:rFonts w:cs="Arial"/>
                <w:b/>
                <w:bCs/>
                <w:color w:val="FFFFFF"/>
                <w:szCs w:val="18"/>
                <w:lang w:eastAsia="en-AU"/>
              </w:rPr>
            </w:pPr>
            <w:r w:rsidRPr="00D10E9D">
              <w:rPr>
                <w:rFonts w:cs="Arial"/>
                <w:b/>
                <w:bCs/>
                <w:color w:val="FFFFFF"/>
                <w:szCs w:val="18"/>
                <w:lang w:eastAsia="en-AU"/>
              </w:rPr>
              <w:t>2015</w:t>
            </w:r>
          </w:p>
        </w:tc>
      </w:tr>
      <w:tr w:rsidR="00D10E9D" w:rsidRPr="00D10E9D" w:rsidTr="00D10E9D">
        <w:trPr>
          <w:trHeight w:val="480"/>
        </w:trPr>
        <w:tc>
          <w:tcPr>
            <w:tcW w:w="2180" w:type="dxa"/>
            <w:tcBorders>
              <w:top w:val="nil"/>
              <w:left w:val="nil"/>
              <w:bottom w:val="nil"/>
              <w:right w:val="nil"/>
            </w:tcBorders>
            <w:shd w:val="clear" w:color="auto" w:fill="auto"/>
            <w:vAlign w:val="center"/>
            <w:hideMark/>
          </w:tcPr>
          <w:p w:rsidR="00D10E9D" w:rsidRPr="00D10E9D" w:rsidRDefault="00D10E9D" w:rsidP="00D10E9D">
            <w:pPr>
              <w:rPr>
                <w:rFonts w:cs="Arial"/>
                <w:color w:val="7F7F7F"/>
                <w:szCs w:val="18"/>
                <w:lang w:eastAsia="en-AU"/>
              </w:rPr>
            </w:pPr>
            <w:r w:rsidRPr="00D10E9D">
              <w:rPr>
                <w:rFonts w:cs="Arial"/>
                <w:color w:val="7F7F7F"/>
                <w:szCs w:val="18"/>
                <w:lang w:eastAsia="en-AU"/>
              </w:rPr>
              <w:t>Food Preparation Assistants</w:t>
            </w:r>
          </w:p>
        </w:tc>
        <w:tc>
          <w:tcPr>
            <w:tcW w:w="985"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3,411</w:t>
            </w:r>
          </w:p>
        </w:tc>
        <w:tc>
          <w:tcPr>
            <w:tcW w:w="986"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3,562</w:t>
            </w:r>
          </w:p>
        </w:tc>
        <w:tc>
          <w:tcPr>
            <w:tcW w:w="986"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4,089</w:t>
            </w:r>
          </w:p>
        </w:tc>
        <w:tc>
          <w:tcPr>
            <w:tcW w:w="986"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3,218</w:t>
            </w:r>
          </w:p>
        </w:tc>
        <w:tc>
          <w:tcPr>
            <w:tcW w:w="986"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6,885</w:t>
            </w:r>
          </w:p>
        </w:tc>
        <w:tc>
          <w:tcPr>
            <w:tcW w:w="986"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2,870</w:t>
            </w:r>
          </w:p>
        </w:tc>
      </w:tr>
      <w:tr w:rsidR="00D10E9D" w:rsidRPr="00D10E9D" w:rsidTr="00D10E9D">
        <w:trPr>
          <w:trHeight w:val="480"/>
        </w:trPr>
        <w:tc>
          <w:tcPr>
            <w:tcW w:w="2180" w:type="dxa"/>
            <w:tcBorders>
              <w:top w:val="nil"/>
              <w:left w:val="nil"/>
              <w:bottom w:val="nil"/>
              <w:right w:val="nil"/>
            </w:tcBorders>
            <w:shd w:val="clear" w:color="auto" w:fill="auto"/>
            <w:vAlign w:val="center"/>
            <w:hideMark/>
          </w:tcPr>
          <w:p w:rsidR="00D10E9D" w:rsidRPr="00D10E9D" w:rsidRDefault="00D10E9D" w:rsidP="00D10E9D">
            <w:pPr>
              <w:rPr>
                <w:rFonts w:cs="Arial"/>
                <w:color w:val="7F7F7F"/>
                <w:szCs w:val="18"/>
                <w:lang w:eastAsia="en-AU"/>
              </w:rPr>
            </w:pPr>
            <w:r w:rsidRPr="00D10E9D">
              <w:rPr>
                <w:rFonts w:cs="Arial"/>
                <w:color w:val="7F7F7F"/>
                <w:szCs w:val="18"/>
                <w:lang w:eastAsia="en-AU"/>
              </w:rPr>
              <w:t>Personal Carers and Assistants</w:t>
            </w:r>
          </w:p>
        </w:tc>
        <w:tc>
          <w:tcPr>
            <w:tcW w:w="985"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1,461</w:t>
            </w:r>
          </w:p>
        </w:tc>
        <w:tc>
          <w:tcPr>
            <w:tcW w:w="986"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1,283</w:t>
            </w:r>
          </w:p>
        </w:tc>
        <w:tc>
          <w:tcPr>
            <w:tcW w:w="986"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3,392</w:t>
            </w:r>
          </w:p>
        </w:tc>
        <w:tc>
          <w:tcPr>
            <w:tcW w:w="986"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2,942</w:t>
            </w:r>
          </w:p>
        </w:tc>
        <w:tc>
          <w:tcPr>
            <w:tcW w:w="986"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3,062</w:t>
            </w:r>
          </w:p>
        </w:tc>
        <w:tc>
          <w:tcPr>
            <w:tcW w:w="986"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2,857</w:t>
            </w:r>
          </w:p>
        </w:tc>
      </w:tr>
      <w:tr w:rsidR="00D10E9D" w:rsidRPr="00D10E9D" w:rsidTr="00D10E9D">
        <w:trPr>
          <w:trHeight w:val="480"/>
        </w:trPr>
        <w:tc>
          <w:tcPr>
            <w:tcW w:w="2180" w:type="dxa"/>
            <w:tcBorders>
              <w:top w:val="nil"/>
              <w:left w:val="nil"/>
              <w:bottom w:val="nil"/>
              <w:right w:val="nil"/>
            </w:tcBorders>
            <w:shd w:val="clear" w:color="auto" w:fill="auto"/>
            <w:vAlign w:val="center"/>
            <w:hideMark/>
          </w:tcPr>
          <w:p w:rsidR="00D10E9D" w:rsidRPr="00D10E9D" w:rsidRDefault="00D10E9D" w:rsidP="00D10E9D">
            <w:pPr>
              <w:rPr>
                <w:rFonts w:cs="Arial"/>
                <w:color w:val="7F7F7F"/>
                <w:szCs w:val="18"/>
                <w:lang w:eastAsia="en-AU"/>
              </w:rPr>
            </w:pPr>
            <w:r w:rsidRPr="00D10E9D">
              <w:rPr>
                <w:rFonts w:cs="Arial"/>
                <w:color w:val="7F7F7F"/>
                <w:szCs w:val="18"/>
                <w:lang w:eastAsia="en-AU"/>
              </w:rPr>
              <w:t>Construction and Mining Labourers</w:t>
            </w:r>
          </w:p>
        </w:tc>
        <w:tc>
          <w:tcPr>
            <w:tcW w:w="985"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4,229</w:t>
            </w:r>
          </w:p>
        </w:tc>
        <w:tc>
          <w:tcPr>
            <w:tcW w:w="986"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4,398</w:t>
            </w:r>
          </w:p>
        </w:tc>
        <w:tc>
          <w:tcPr>
            <w:tcW w:w="986"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4,065</w:t>
            </w:r>
          </w:p>
        </w:tc>
        <w:tc>
          <w:tcPr>
            <w:tcW w:w="986"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3,218</w:t>
            </w:r>
          </w:p>
        </w:tc>
        <w:tc>
          <w:tcPr>
            <w:tcW w:w="986"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2,866</w:t>
            </w:r>
          </w:p>
        </w:tc>
        <w:tc>
          <w:tcPr>
            <w:tcW w:w="986"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2,592</w:t>
            </w:r>
          </w:p>
        </w:tc>
      </w:tr>
      <w:tr w:rsidR="00D10E9D" w:rsidRPr="00D10E9D" w:rsidTr="00D10E9D">
        <w:trPr>
          <w:trHeight w:val="480"/>
        </w:trPr>
        <w:tc>
          <w:tcPr>
            <w:tcW w:w="2180" w:type="dxa"/>
            <w:tcBorders>
              <w:top w:val="nil"/>
              <w:left w:val="nil"/>
              <w:bottom w:val="nil"/>
              <w:right w:val="nil"/>
            </w:tcBorders>
            <w:shd w:val="clear" w:color="auto" w:fill="auto"/>
            <w:vAlign w:val="center"/>
            <w:hideMark/>
          </w:tcPr>
          <w:p w:rsidR="00D10E9D" w:rsidRPr="00D10E9D" w:rsidRDefault="00D10E9D" w:rsidP="00D10E9D">
            <w:pPr>
              <w:rPr>
                <w:rFonts w:cs="Arial"/>
                <w:color w:val="7F7F7F"/>
                <w:szCs w:val="18"/>
                <w:lang w:eastAsia="en-AU"/>
              </w:rPr>
            </w:pPr>
            <w:r w:rsidRPr="00D10E9D">
              <w:rPr>
                <w:rFonts w:cs="Arial"/>
                <w:color w:val="7F7F7F"/>
                <w:szCs w:val="18"/>
                <w:lang w:eastAsia="en-AU"/>
              </w:rPr>
              <w:t>Office and Practice Managers</w:t>
            </w:r>
          </w:p>
        </w:tc>
        <w:tc>
          <w:tcPr>
            <w:tcW w:w="985"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901</w:t>
            </w:r>
          </w:p>
        </w:tc>
        <w:tc>
          <w:tcPr>
            <w:tcW w:w="986"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1,138</w:t>
            </w:r>
          </w:p>
        </w:tc>
        <w:tc>
          <w:tcPr>
            <w:tcW w:w="986"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1,283</w:t>
            </w:r>
          </w:p>
        </w:tc>
        <w:tc>
          <w:tcPr>
            <w:tcW w:w="986"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716</w:t>
            </w:r>
          </w:p>
        </w:tc>
        <w:tc>
          <w:tcPr>
            <w:tcW w:w="986"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1,616</w:t>
            </w:r>
          </w:p>
        </w:tc>
        <w:tc>
          <w:tcPr>
            <w:tcW w:w="986"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2,486</w:t>
            </w:r>
          </w:p>
        </w:tc>
      </w:tr>
      <w:tr w:rsidR="00D10E9D" w:rsidRPr="00D10E9D" w:rsidTr="00D10E9D">
        <w:trPr>
          <w:trHeight w:val="480"/>
        </w:trPr>
        <w:tc>
          <w:tcPr>
            <w:tcW w:w="2180" w:type="dxa"/>
            <w:tcBorders>
              <w:top w:val="nil"/>
              <w:left w:val="nil"/>
              <w:bottom w:val="nil"/>
              <w:right w:val="nil"/>
            </w:tcBorders>
            <w:shd w:val="clear" w:color="auto" w:fill="auto"/>
            <w:vAlign w:val="center"/>
            <w:hideMark/>
          </w:tcPr>
          <w:p w:rsidR="00D10E9D" w:rsidRPr="00D10E9D" w:rsidRDefault="00D10E9D" w:rsidP="00D10E9D">
            <w:pPr>
              <w:rPr>
                <w:rFonts w:cs="Arial"/>
                <w:color w:val="7F7F7F"/>
                <w:szCs w:val="18"/>
                <w:lang w:eastAsia="en-AU"/>
              </w:rPr>
            </w:pPr>
            <w:r w:rsidRPr="00D10E9D">
              <w:rPr>
                <w:rFonts w:cs="Arial"/>
                <w:color w:val="7F7F7F"/>
                <w:szCs w:val="18"/>
                <w:lang w:eastAsia="en-AU"/>
              </w:rPr>
              <w:t>Miscellaneous Labourers</w:t>
            </w:r>
          </w:p>
        </w:tc>
        <w:tc>
          <w:tcPr>
            <w:tcW w:w="985"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1,552</w:t>
            </w:r>
          </w:p>
        </w:tc>
        <w:tc>
          <w:tcPr>
            <w:tcW w:w="986"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1,667</w:t>
            </w:r>
          </w:p>
        </w:tc>
        <w:tc>
          <w:tcPr>
            <w:tcW w:w="986"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2,117</w:t>
            </w:r>
          </w:p>
        </w:tc>
        <w:tc>
          <w:tcPr>
            <w:tcW w:w="986"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1,981</w:t>
            </w:r>
          </w:p>
        </w:tc>
        <w:tc>
          <w:tcPr>
            <w:tcW w:w="986"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2,068</w:t>
            </w:r>
          </w:p>
        </w:tc>
        <w:tc>
          <w:tcPr>
            <w:tcW w:w="986"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2,378</w:t>
            </w:r>
          </w:p>
        </w:tc>
      </w:tr>
      <w:tr w:rsidR="00D10E9D" w:rsidRPr="00D10E9D" w:rsidTr="00D10E9D">
        <w:trPr>
          <w:trHeight w:val="480"/>
        </w:trPr>
        <w:tc>
          <w:tcPr>
            <w:tcW w:w="2180" w:type="dxa"/>
            <w:tcBorders>
              <w:top w:val="nil"/>
              <w:left w:val="nil"/>
              <w:bottom w:val="nil"/>
              <w:right w:val="nil"/>
            </w:tcBorders>
            <w:shd w:val="clear" w:color="auto" w:fill="auto"/>
            <w:vAlign w:val="center"/>
            <w:hideMark/>
          </w:tcPr>
          <w:p w:rsidR="00D10E9D" w:rsidRPr="00D10E9D" w:rsidRDefault="00D10E9D" w:rsidP="00D10E9D">
            <w:pPr>
              <w:rPr>
                <w:rFonts w:cs="Arial"/>
                <w:color w:val="7F7F7F"/>
                <w:szCs w:val="18"/>
                <w:lang w:eastAsia="en-AU"/>
              </w:rPr>
            </w:pPr>
            <w:r w:rsidRPr="00D10E9D">
              <w:rPr>
                <w:rFonts w:cs="Arial"/>
                <w:color w:val="7F7F7F"/>
                <w:szCs w:val="18"/>
                <w:lang w:eastAsia="en-AU"/>
              </w:rPr>
              <w:t>Farm, Forestry and Garden Workers</w:t>
            </w:r>
          </w:p>
        </w:tc>
        <w:tc>
          <w:tcPr>
            <w:tcW w:w="985"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1,768</w:t>
            </w:r>
          </w:p>
        </w:tc>
        <w:tc>
          <w:tcPr>
            <w:tcW w:w="986"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1,972</w:t>
            </w:r>
          </w:p>
        </w:tc>
        <w:tc>
          <w:tcPr>
            <w:tcW w:w="986"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1,754</w:t>
            </w:r>
          </w:p>
        </w:tc>
        <w:tc>
          <w:tcPr>
            <w:tcW w:w="986"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1,939</w:t>
            </w:r>
          </w:p>
        </w:tc>
        <w:tc>
          <w:tcPr>
            <w:tcW w:w="986"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1,710</w:t>
            </w:r>
          </w:p>
        </w:tc>
        <w:tc>
          <w:tcPr>
            <w:tcW w:w="986"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1,703</w:t>
            </w:r>
          </w:p>
        </w:tc>
      </w:tr>
      <w:tr w:rsidR="00D10E9D" w:rsidRPr="00D10E9D" w:rsidTr="00D10E9D">
        <w:trPr>
          <w:trHeight w:val="720"/>
        </w:trPr>
        <w:tc>
          <w:tcPr>
            <w:tcW w:w="2180" w:type="dxa"/>
            <w:tcBorders>
              <w:top w:val="nil"/>
              <w:left w:val="nil"/>
              <w:bottom w:val="nil"/>
              <w:right w:val="nil"/>
            </w:tcBorders>
            <w:shd w:val="clear" w:color="auto" w:fill="auto"/>
            <w:vAlign w:val="center"/>
            <w:hideMark/>
          </w:tcPr>
          <w:p w:rsidR="00D10E9D" w:rsidRPr="00D10E9D" w:rsidRDefault="00D10E9D" w:rsidP="00D10E9D">
            <w:pPr>
              <w:rPr>
                <w:rFonts w:cs="Arial"/>
                <w:color w:val="7F7F7F"/>
                <w:szCs w:val="18"/>
                <w:lang w:eastAsia="en-AU"/>
              </w:rPr>
            </w:pPr>
            <w:r w:rsidRPr="00D10E9D">
              <w:rPr>
                <w:rFonts w:cs="Arial"/>
                <w:color w:val="7F7F7F"/>
                <w:szCs w:val="18"/>
                <w:lang w:eastAsia="en-AU"/>
              </w:rPr>
              <w:t>Building and Engineering Technicians</w:t>
            </w:r>
          </w:p>
        </w:tc>
        <w:tc>
          <w:tcPr>
            <w:tcW w:w="985"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548</w:t>
            </w:r>
          </w:p>
        </w:tc>
        <w:tc>
          <w:tcPr>
            <w:tcW w:w="986"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913</w:t>
            </w:r>
          </w:p>
        </w:tc>
        <w:tc>
          <w:tcPr>
            <w:tcW w:w="986"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1,460</w:t>
            </w:r>
          </w:p>
        </w:tc>
        <w:tc>
          <w:tcPr>
            <w:tcW w:w="986"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1,473</w:t>
            </w:r>
          </w:p>
        </w:tc>
        <w:tc>
          <w:tcPr>
            <w:tcW w:w="986"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2,047</w:t>
            </w:r>
          </w:p>
        </w:tc>
        <w:tc>
          <w:tcPr>
            <w:tcW w:w="986"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1,661</w:t>
            </w:r>
          </w:p>
        </w:tc>
      </w:tr>
      <w:tr w:rsidR="00D10E9D" w:rsidRPr="00D10E9D" w:rsidTr="00D10E9D">
        <w:trPr>
          <w:trHeight w:val="480"/>
        </w:trPr>
        <w:tc>
          <w:tcPr>
            <w:tcW w:w="2180" w:type="dxa"/>
            <w:tcBorders>
              <w:top w:val="nil"/>
              <w:left w:val="nil"/>
              <w:bottom w:val="nil"/>
              <w:right w:val="nil"/>
            </w:tcBorders>
            <w:shd w:val="clear" w:color="auto" w:fill="auto"/>
            <w:vAlign w:val="center"/>
            <w:hideMark/>
          </w:tcPr>
          <w:p w:rsidR="00D10E9D" w:rsidRPr="00D10E9D" w:rsidRDefault="00D10E9D" w:rsidP="00D10E9D">
            <w:pPr>
              <w:rPr>
                <w:rFonts w:cs="Arial"/>
                <w:color w:val="7F7F7F"/>
                <w:szCs w:val="18"/>
                <w:lang w:eastAsia="en-AU"/>
              </w:rPr>
            </w:pPr>
            <w:r w:rsidRPr="00D10E9D">
              <w:rPr>
                <w:rFonts w:cs="Arial"/>
                <w:color w:val="7F7F7F"/>
                <w:szCs w:val="18"/>
                <w:lang w:eastAsia="en-AU"/>
              </w:rPr>
              <w:t>Cleaners and Laundry Workers</w:t>
            </w:r>
          </w:p>
        </w:tc>
        <w:tc>
          <w:tcPr>
            <w:tcW w:w="985"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1,161</w:t>
            </w:r>
          </w:p>
        </w:tc>
        <w:tc>
          <w:tcPr>
            <w:tcW w:w="986"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1,027</w:t>
            </w:r>
          </w:p>
        </w:tc>
        <w:tc>
          <w:tcPr>
            <w:tcW w:w="986"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1,303</w:t>
            </w:r>
          </w:p>
        </w:tc>
        <w:tc>
          <w:tcPr>
            <w:tcW w:w="986"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1,512</w:t>
            </w:r>
          </w:p>
        </w:tc>
        <w:tc>
          <w:tcPr>
            <w:tcW w:w="986"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1,459</w:t>
            </w:r>
          </w:p>
        </w:tc>
        <w:tc>
          <w:tcPr>
            <w:tcW w:w="986"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1,649</w:t>
            </w:r>
          </w:p>
        </w:tc>
      </w:tr>
      <w:tr w:rsidR="00D10E9D" w:rsidRPr="00D10E9D" w:rsidTr="00D10E9D">
        <w:trPr>
          <w:trHeight w:val="480"/>
        </w:trPr>
        <w:tc>
          <w:tcPr>
            <w:tcW w:w="2180" w:type="dxa"/>
            <w:tcBorders>
              <w:top w:val="nil"/>
              <w:left w:val="nil"/>
              <w:bottom w:val="nil"/>
              <w:right w:val="nil"/>
            </w:tcBorders>
            <w:shd w:val="clear" w:color="auto" w:fill="auto"/>
            <w:vAlign w:val="center"/>
            <w:hideMark/>
          </w:tcPr>
          <w:p w:rsidR="00D10E9D" w:rsidRPr="00D10E9D" w:rsidRDefault="00D10E9D" w:rsidP="00D10E9D">
            <w:pPr>
              <w:rPr>
                <w:rFonts w:cs="Arial"/>
                <w:color w:val="7F7F7F"/>
                <w:szCs w:val="18"/>
                <w:lang w:eastAsia="en-AU"/>
              </w:rPr>
            </w:pPr>
            <w:r w:rsidRPr="00D10E9D">
              <w:rPr>
                <w:rFonts w:cs="Arial"/>
                <w:color w:val="7F7F7F"/>
                <w:szCs w:val="18"/>
                <w:lang w:eastAsia="en-AU"/>
              </w:rPr>
              <w:t>Personal Service and Travel Workers</w:t>
            </w:r>
          </w:p>
        </w:tc>
        <w:tc>
          <w:tcPr>
            <w:tcW w:w="985"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946</w:t>
            </w:r>
          </w:p>
        </w:tc>
        <w:tc>
          <w:tcPr>
            <w:tcW w:w="986"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1,031</w:t>
            </w:r>
          </w:p>
        </w:tc>
        <w:tc>
          <w:tcPr>
            <w:tcW w:w="986"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1,331</w:t>
            </w:r>
          </w:p>
        </w:tc>
        <w:tc>
          <w:tcPr>
            <w:tcW w:w="986"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1,250</w:t>
            </w:r>
          </w:p>
        </w:tc>
        <w:tc>
          <w:tcPr>
            <w:tcW w:w="986"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1,584</w:t>
            </w:r>
          </w:p>
        </w:tc>
        <w:tc>
          <w:tcPr>
            <w:tcW w:w="986"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1,528</w:t>
            </w:r>
          </w:p>
        </w:tc>
      </w:tr>
      <w:tr w:rsidR="00D10E9D" w:rsidRPr="00D10E9D" w:rsidTr="00D10E9D">
        <w:trPr>
          <w:trHeight w:val="480"/>
        </w:trPr>
        <w:tc>
          <w:tcPr>
            <w:tcW w:w="2180" w:type="dxa"/>
            <w:tcBorders>
              <w:top w:val="nil"/>
              <w:left w:val="nil"/>
              <w:bottom w:val="nil"/>
              <w:right w:val="nil"/>
            </w:tcBorders>
            <w:shd w:val="clear" w:color="auto" w:fill="auto"/>
            <w:vAlign w:val="center"/>
            <w:hideMark/>
          </w:tcPr>
          <w:p w:rsidR="00D10E9D" w:rsidRPr="00D10E9D" w:rsidRDefault="00D10E9D" w:rsidP="00D10E9D">
            <w:pPr>
              <w:rPr>
                <w:rFonts w:cs="Arial"/>
                <w:color w:val="7F7F7F"/>
                <w:szCs w:val="18"/>
                <w:lang w:eastAsia="en-AU"/>
              </w:rPr>
            </w:pPr>
            <w:r w:rsidRPr="00D10E9D">
              <w:rPr>
                <w:rFonts w:cs="Arial"/>
                <w:color w:val="7F7F7F"/>
                <w:szCs w:val="18"/>
                <w:lang w:eastAsia="en-AU"/>
              </w:rPr>
              <w:t>Stationary Plant Operators</w:t>
            </w:r>
          </w:p>
        </w:tc>
        <w:tc>
          <w:tcPr>
            <w:tcW w:w="985"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763</w:t>
            </w:r>
          </w:p>
        </w:tc>
        <w:tc>
          <w:tcPr>
            <w:tcW w:w="986"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813</w:t>
            </w:r>
          </w:p>
        </w:tc>
        <w:tc>
          <w:tcPr>
            <w:tcW w:w="986"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1,916</w:t>
            </w:r>
          </w:p>
        </w:tc>
        <w:tc>
          <w:tcPr>
            <w:tcW w:w="986"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1,739</w:t>
            </w:r>
          </w:p>
        </w:tc>
        <w:tc>
          <w:tcPr>
            <w:tcW w:w="986"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1,026</w:t>
            </w:r>
          </w:p>
        </w:tc>
        <w:tc>
          <w:tcPr>
            <w:tcW w:w="986"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1,464</w:t>
            </w:r>
          </w:p>
        </w:tc>
      </w:tr>
      <w:tr w:rsidR="00D10E9D" w:rsidRPr="00D10E9D" w:rsidTr="00D10E9D">
        <w:trPr>
          <w:trHeight w:val="300"/>
        </w:trPr>
        <w:tc>
          <w:tcPr>
            <w:tcW w:w="2180" w:type="dxa"/>
            <w:tcBorders>
              <w:top w:val="nil"/>
              <w:left w:val="nil"/>
              <w:bottom w:val="nil"/>
              <w:right w:val="nil"/>
            </w:tcBorders>
            <w:shd w:val="clear" w:color="auto" w:fill="auto"/>
            <w:noWrap/>
            <w:vAlign w:val="center"/>
            <w:hideMark/>
          </w:tcPr>
          <w:p w:rsidR="00D10E9D" w:rsidRPr="00D10E9D" w:rsidRDefault="00D10E9D" w:rsidP="00D10E9D">
            <w:pPr>
              <w:rPr>
                <w:rFonts w:cs="Arial"/>
                <w:color w:val="7F7F7F"/>
                <w:szCs w:val="18"/>
                <w:lang w:eastAsia="en-AU"/>
              </w:rPr>
            </w:pPr>
            <w:r w:rsidRPr="00D10E9D">
              <w:rPr>
                <w:rFonts w:cs="Arial"/>
                <w:color w:val="7F7F7F"/>
                <w:szCs w:val="18"/>
                <w:lang w:eastAsia="en-AU"/>
              </w:rPr>
              <w:t>Other*</w:t>
            </w:r>
          </w:p>
        </w:tc>
        <w:tc>
          <w:tcPr>
            <w:tcW w:w="985"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62,638</w:t>
            </w:r>
          </w:p>
        </w:tc>
        <w:tc>
          <w:tcPr>
            <w:tcW w:w="986"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56,213</w:t>
            </w:r>
          </w:p>
        </w:tc>
        <w:tc>
          <w:tcPr>
            <w:tcW w:w="986"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60,427</w:t>
            </w:r>
          </w:p>
        </w:tc>
        <w:tc>
          <w:tcPr>
            <w:tcW w:w="986"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48,634</w:t>
            </w:r>
          </w:p>
        </w:tc>
        <w:tc>
          <w:tcPr>
            <w:tcW w:w="986"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49,020</w:t>
            </w:r>
          </w:p>
        </w:tc>
        <w:tc>
          <w:tcPr>
            <w:tcW w:w="986"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43,326</w:t>
            </w:r>
          </w:p>
        </w:tc>
      </w:tr>
      <w:tr w:rsidR="00D10E9D" w:rsidRPr="00D10E9D" w:rsidTr="00D10E9D">
        <w:trPr>
          <w:trHeight w:val="300"/>
        </w:trPr>
        <w:tc>
          <w:tcPr>
            <w:tcW w:w="2180" w:type="dxa"/>
            <w:tcBorders>
              <w:top w:val="nil"/>
              <w:left w:val="nil"/>
              <w:bottom w:val="nil"/>
              <w:right w:val="nil"/>
            </w:tcBorders>
            <w:shd w:val="clear" w:color="000000" w:fill="7F7F7F"/>
            <w:noWrap/>
            <w:vAlign w:val="center"/>
            <w:hideMark/>
          </w:tcPr>
          <w:p w:rsidR="00D10E9D" w:rsidRPr="00D10E9D" w:rsidRDefault="00D10E9D" w:rsidP="00D10E9D">
            <w:pPr>
              <w:rPr>
                <w:rFonts w:cs="Arial"/>
                <w:b/>
                <w:bCs/>
                <w:color w:val="FFFFFF"/>
                <w:szCs w:val="18"/>
                <w:lang w:eastAsia="en-AU"/>
              </w:rPr>
            </w:pPr>
            <w:r w:rsidRPr="00D10E9D">
              <w:rPr>
                <w:rFonts w:cs="Arial"/>
                <w:b/>
                <w:bCs/>
                <w:color w:val="FFFFFF"/>
                <w:szCs w:val="18"/>
                <w:lang w:eastAsia="en-AU"/>
              </w:rPr>
              <w:t>Total</w:t>
            </w:r>
          </w:p>
        </w:tc>
        <w:tc>
          <w:tcPr>
            <w:tcW w:w="985" w:type="dxa"/>
            <w:tcBorders>
              <w:top w:val="nil"/>
              <w:left w:val="nil"/>
              <w:bottom w:val="nil"/>
              <w:right w:val="nil"/>
            </w:tcBorders>
            <w:shd w:val="clear" w:color="000000" w:fill="7F7F7F"/>
            <w:noWrap/>
            <w:vAlign w:val="center"/>
            <w:hideMark/>
          </w:tcPr>
          <w:p w:rsidR="00D10E9D" w:rsidRPr="00D10E9D" w:rsidRDefault="00D10E9D" w:rsidP="00D10E9D">
            <w:pPr>
              <w:jc w:val="right"/>
              <w:rPr>
                <w:rFonts w:cs="Arial"/>
                <w:b/>
                <w:bCs/>
                <w:color w:val="FFFFFF"/>
                <w:szCs w:val="18"/>
                <w:lang w:eastAsia="en-AU"/>
              </w:rPr>
            </w:pPr>
            <w:r w:rsidRPr="00D10E9D">
              <w:rPr>
                <w:rFonts w:cs="Arial"/>
                <w:b/>
                <w:bCs/>
                <w:color w:val="FFFFFF"/>
                <w:szCs w:val="18"/>
                <w:lang w:eastAsia="en-AU"/>
              </w:rPr>
              <w:t>79,378</w:t>
            </w:r>
          </w:p>
        </w:tc>
        <w:tc>
          <w:tcPr>
            <w:tcW w:w="986" w:type="dxa"/>
            <w:tcBorders>
              <w:top w:val="nil"/>
              <w:left w:val="nil"/>
              <w:bottom w:val="nil"/>
              <w:right w:val="nil"/>
            </w:tcBorders>
            <w:shd w:val="clear" w:color="000000" w:fill="7F7F7F"/>
            <w:noWrap/>
            <w:vAlign w:val="center"/>
            <w:hideMark/>
          </w:tcPr>
          <w:p w:rsidR="00D10E9D" w:rsidRPr="00D10E9D" w:rsidRDefault="00D10E9D" w:rsidP="00D10E9D">
            <w:pPr>
              <w:jc w:val="right"/>
              <w:rPr>
                <w:rFonts w:cs="Arial"/>
                <w:b/>
                <w:bCs/>
                <w:color w:val="FFFFFF"/>
                <w:szCs w:val="18"/>
                <w:lang w:eastAsia="en-AU"/>
              </w:rPr>
            </w:pPr>
            <w:r w:rsidRPr="00D10E9D">
              <w:rPr>
                <w:rFonts w:cs="Arial"/>
                <w:b/>
                <w:bCs/>
                <w:color w:val="FFFFFF"/>
                <w:szCs w:val="18"/>
                <w:lang w:eastAsia="en-AU"/>
              </w:rPr>
              <w:t>74,017</w:t>
            </w:r>
          </w:p>
        </w:tc>
        <w:tc>
          <w:tcPr>
            <w:tcW w:w="986" w:type="dxa"/>
            <w:tcBorders>
              <w:top w:val="nil"/>
              <w:left w:val="nil"/>
              <w:bottom w:val="nil"/>
              <w:right w:val="nil"/>
            </w:tcBorders>
            <w:shd w:val="clear" w:color="000000" w:fill="7F7F7F"/>
            <w:noWrap/>
            <w:vAlign w:val="center"/>
            <w:hideMark/>
          </w:tcPr>
          <w:p w:rsidR="00D10E9D" w:rsidRPr="00D10E9D" w:rsidRDefault="00D10E9D" w:rsidP="00D10E9D">
            <w:pPr>
              <w:jc w:val="right"/>
              <w:rPr>
                <w:rFonts w:cs="Arial"/>
                <w:b/>
                <w:bCs/>
                <w:color w:val="FFFFFF"/>
                <w:szCs w:val="18"/>
                <w:lang w:eastAsia="en-AU"/>
              </w:rPr>
            </w:pPr>
            <w:r w:rsidRPr="00D10E9D">
              <w:rPr>
                <w:rFonts w:cs="Arial"/>
                <w:b/>
                <w:bCs/>
                <w:color w:val="FFFFFF"/>
                <w:szCs w:val="18"/>
                <w:lang w:eastAsia="en-AU"/>
              </w:rPr>
              <w:t>83,137</w:t>
            </w:r>
          </w:p>
        </w:tc>
        <w:tc>
          <w:tcPr>
            <w:tcW w:w="986" w:type="dxa"/>
            <w:tcBorders>
              <w:top w:val="nil"/>
              <w:left w:val="nil"/>
              <w:bottom w:val="nil"/>
              <w:right w:val="nil"/>
            </w:tcBorders>
            <w:shd w:val="clear" w:color="000000" w:fill="7F7F7F"/>
            <w:noWrap/>
            <w:vAlign w:val="center"/>
            <w:hideMark/>
          </w:tcPr>
          <w:p w:rsidR="00D10E9D" w:rsidRPr="00D10E9D" w:rsidRDefault="00D10E9D" w:rsidP="00D10E9D">
            <w:pPr>
              <w:jc w:val="right"/>
              <w:rPr>
                <w:rFonts w:cs="Arial"/>
                <w:b/>
                <w:bCs/>
                <w:color w:val="FFFFFF"/>
                <w:szCs w:val="18"/>
                <w:lang w:eastAsia="en-AU"/>
              </w:rPr>
            </w:pPr>
            <w:r w:rsidRPr="00D10E9D">
              <w:rPr>
                <w:rFonts w:cs="Arial"/>
                <w:b/>
                <w:bCs/>
                <w:color w:val="FFFFFF"/>
                <w:szCs w:val="18"/>
                <w:lang w:eastAsia="en-AU"/>
              </w:rPr>
              <w:t>68,622</w:t>
            </w:r>
          </w:p>
        </w:tc>
        <w:tc>
          <w:tcPr>
            <w:tcW w:w="986" w:type="dxa"/>
            <w:tcBorders>
              <w:top w:val="nil"/>
              <w:left w:val="nil"/>
              <w:bottom w:val="nil"/>
              <w:right w:val="nil"/>
            </w:tcBorders>
            <w:shd w:val="clear" w:color="000000" w:fill="7F7F7F"/>
            <w:noWrap/>
            <w:vAlign w:val="center"/>
            <w:hideMark/>
          </w:tcPr>
          <w:p w:rsidR="00D10E9D" w:rsidRPr="00D10E9D" w:rsidRDefault="00D10E9D" w:rsidP="00D10E9D">
            <w:pPr>
              <w:jc w:val="right"/>
              <w:rPr>
                <w:rFonts w:cs="Arial"/>
                <w:b/>
                <w:bCs/>
                <w:color w:val="FFFFFF"/>
                <w:szCs w:val="18"/>
                <w:lang w:eastAsia="en-AU"/>
              </w:rPr>
            </w:pPr>
            <w:r w:rsidRPr="00D10E9D">
              <w:rPr>
                <w:rFonts w:cs="Arial"/>
                <w:b/>
                <w:bCs/>
                <w:color w:val="FFFFFF"/>
                <w:szCs w:val="18"/>
                <w:lang w:eastAsia="en-AU"/>
              </w:rPr>
              <w:t>73,343</w:t>
            </w:r>
          </w:p>
        </w:tc>
        <w:tc>
          <w:tcPr>
            <w:tcW w:w="986" w:type="dxa"/>
            <w:tcBorders>
              <w:top w:val="nil"/>
              <w:left w:val="nil"/>
              <w:bottom w:val="nil"/>
              <w:right w:val="nil"/>
            </w:tcBorders>
            <w:shd w:val="clear" w:color="000000" w:fill="7F7F7F"/>
            <w:noWrap/>
            <w:vAlign w:val="center"/>
            <w:hideMark/>
          </w:tcPr>
          <w:p w:rsidR="00D10E9D" w:rsidRPr="00D10E9D" w:rsidRDefault="00D10E9D" w:rsidP="00D10E9D">
            <w:pPr>
              <w:jc w:val="right"/>
              <w:rPr>
                <w:rFonts w:cs="Arial"/>
                <w:b/>
                <w:bCs/>
                <w:color w:val="FFFFFF"/>
                <w:szCs w:val="18"/>
                <w:lang w:eastAsia="en-AU"/>
              </w:rPr>
            </w:pPr>
            <w:r w:rsidRPr="00D10E9D">
              <w:rPr>
                <w:rFonts w:cs="Arial"/>
                <w:b/>
                <w:bCs/>
                <w:color w:val="FFFFFF"/>
                <w:szCs w:val="18"/>
                <w:lang w:eastAsia="en-AU"/>
              </w:rPr>
              <w:t>64,514</w:t>
            </w:r>
          </w:p>
        </w:tc>
      </w:tr>
    </w:tbl>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4A0" w:firstRow="1" w:lastRow="0" w:firstColumn="1" w:lastColumn="0" w:noHBand="0" w:noVBand="1"/>
      </w:tblPr>
      <w:tblGrid>
        <w:gridCol w:w="431"/>
        <w:gridCol w:w="7649"/>
      </w:tblGrid>
      <w:tr w:rsidR="00D10E9D" w:rsidRPr="00913551" w:rsidTr="00D10E9D">
        <w:tc>
          <w:tcPr>
            <w:tcW w:w="431" w:type="dxa"/>
            <w:tcMar>
              <w:left w:w="0" w:type="dxa"/>
              <w:right w:w="28" w:type="dxa"/>
            </w:tcMar>
          </w:tcPr>
          <w:p w:rsidR="00D10E9D" w:rsidRPr="00913551" w:rsidRDefault="00D10E9D" w:rsidP="00D10E9D">
            <w:pPr>
              <w:spacing w:after="0" w:line="240" w:lineRule="auto"/>
              <w:jc w:val="right"/>
              <w:rPr>
                <w:color w:val="7F7F7F" w:themeColor="text2"/>
                <w:sz w:val="16"/>
                <w:szCs w:val="16"/>
              </w:rPr>
            </w:pPr>
            <w:r w:rsidRPr="00913551">
              <w:rPr>
                <w:color w:val="7F7F7F" w:themeColor="text2"/>
                <w:sz w:val="16"/>
                <w:szCs w:val="16"/>
              </w:rPr>
              <w:t xml:space="preserve">* </w:t>
            </w:r>
          </w:p>
        </w:tc>
        <w:tc>
          <w:tcPr>
            <w:tcW w:w="7649" w:type="dxa"/>
            <w:tcMar>
              <w:left w:w="0" w:type="dxa"/>
              <w:right w:w="28" w:type="dxa"/>
            </w:tcMar>
          </w:tcPr>
          <w:p w:rsidR="00D10E9D" w:rsidRPr="00913551" w:rsidRDefault="00D10E9D" w:rsidP="00D10E9D">
            <w:pPr>
              <w:pStyle w:val="Note"/>
              <w:spacing w:after="0"/>
              <w:rPr>
                <w:color w:val="7F7F7F" w:themeColor="text2"/>
              </w:rPr>
            </w:pPr>
            <w:r w:rsidRPr="00913551">
              <w:rPr>
                <w:color w:val="7F7F7F" w:themeColor="text2"/>
              </w:rPr>
              <w:t>Including training not directly related to an occupation.</w:t>
            </w:r>
          </w:p>
        </w:tc>
      </w:tr>
    </w:tbl>
    <w:p w:rsidR="00D10E9D" w:rsidRDefault="00D10E9D"/>
    <w:p w:rsidR="00D10E9D" w:rsidRDefault="00D10E9D"/>
    <w:p w:rsidR="00D10E9D" w:rsidRDefault="00D10E9D">
      <w:r>
        <w:rPr>
          <w:b/>
        </w:rPr>
        <w:br w:type="page"/>
      </w: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D10E9D" w:rsidTr="00D10E9D">
        <w:tc>
          <w:tcPr>
            <w:tcW w:w="1134" w:type="dxa"/>
            <w:tcMar>
              <w:left w:w="0" w:type="dxa"/>
              <w:right w:w="0" w:type="dxa"/>
            </w:tcMar>
          </w:tcPr>
          <w:p w:rsidR="00D10E9D" w:rsidRDefault="00D10E9D" w:rsidP="005A7424">
            <w:pPr>
              <w:pStyle w:val="Quote"/>
              <w:tabs>
                <w:tab w:val="left" w:pos="1134"/>
              </w:tabs>
              <w:rPr>
                <w:b w:val="0"/>
                <w:color w:val="B41F22" w:themeColor="accent1"/>
              </w:rPr>
            </w:pPr>
            <w:r>
              <w:rPr>
                <w:b w:val="0"/>
                <w:color w:val="B41F22" w:themeColor="accent1"/>
              </w:rPr>
              <w:lastRenderedPageBreak/>
              <w:t>Table 1.3</w:t>
            </w:r>
            <w:r w:rsidR="0084117E">
              <w:rPr>
                <w:b w:val="0"/>
                <w:color w:val="B41F22" w:themeColor="accent1"/>
              </w:rPr>
              <w:t>6</w:t>
            </w:r>
            <w:r>
              <w:rPr>
                <w:b w:val="0"/>
                <w:color w:val="B41F22" w:themeColor="accent1"/>
              </w:rPr>
              <w:t>.2:</w:t>
            </w:r>
          </w:p>
        </w:tc>
        <w:tc>
          <w:tcPr>
            <w:tcW w:w="6946" w:type="dxa"/>
            <w:tcMar>
              <w:left w:w="0" w:type="dxa"/>
              <w:right w:w="0" w:type="dxa"/>
            </w:tcMar>
          </w:tcPr>
          <w:p w:rsidR="00D10E9D" w:rsidRDefault="00D10E9D" w:rsidP="007E03F8">
            <w:pPr>
              <w:pStyle w:val="Quote"/>
              <w:tabs>
                <w:tab w:val="left" w:pos="1134"/>
              </w:tabs>
              <w:rPr>
                <w:b w:val="0"/>
                <w:color w:val="B41F22" w:themeColor="accent1"/>
              </w:rPr>
            </w:pPr>
            <w:r w:rsidRPr="00D10E9D">
              <w:rPr>
                <w:b w:val="0"/>
                <w:color w:val="B41F22" w:themeColor="accent1"/>
              </w:rPr>
              <w:t xml:space="preserve">Change in the number of the top 10 occupations for </w:t>
            </w:r>
            <w:r w:rsidR="001D22F4">
              <w:rPr>
                <w:b w:val="0"/>
                <w:color w:val="B41F22" w:themeColor="accent1"/>
              </w:rPr>
              <w:t xml:space="preserve">domestic </w:t>
            </w:r>
            <w:r w:rsidRPr="00D10E9D">
              <w:rPr>
                <w:b w:val="0"/>
                <w:color w:val="B41F22" w:themeColor="accent1"/>
              </w:rPr>
              <w:t xml:space="preserve">fee-for-service enrolments </w:t>
            </w:r>
            <w:r w:rsidR="007E03F8">
              <w:rPr>
                <w:b w:val="0"/>
                <w:color w:val="B41F22" w:themeColor="accent1"/>
              </w:rPr>
              <w:t>at</w:t>
            </w:r>
            <w:r w:rsidRPr="00D10E9D">
              <w:rPr>
                <w:b w:val="0"/>
                <w:color w:val="B41F22" w:themeColor="accent1"/>
              </w:rPr>
              <w:t xml:space="preserve"> TAFE (half year)</w:t>
            </w:r>
          </w:p>
        </w:tc>
      </w:tr>
    </w:tbl>
    <w:tbl>
      <w:tblPr>
        <w:tblW w:w="8095" w:type="dxa"/>
        <w:tblInd w:w="93" w:type="dxa"/>
        <w:tblLayout w:type="fixed"/>
        <w:tblLook w:val="04A0" w:firstRow="1" w:lastRow="0" w:firstColumn="1" w:lastColumn="0" w:noHBand="0" w:noVBand="1"/>
      </w:tblPr>
      <w:tblGrid>
        <w:gridCol w:w="2180"/>
        <w:gridCol w:w="1183"/>
        <w:gridCol w:w="1183"/>
        <w:gridCol w:w="1183"/>
        <w:gridCol w:w="1183"/>
        <w:gridCol w:w="1183"/>
      </w:tblGrid>
      <w:tr w:rsidR="00D10E9D" w:rsidRPr="00D10E9D" w:rsidTr="00D10E9D">
        <w:trPr>
          <w:trHeight w:val="720"/>
        </w:trPr>
        <w:tc>
          <w:tcPr>
            <w:tcW w:w="2180" w:type="dxa"/>
            <w:tcBorders>
              <w:top w:val="nil"/>
              <w:left w:val="nil"/>
              <w:bottom w:val="nil"/>
              <w:right w:val="nil"/>
            </w:tcBorders>
            <w:shd w:val="clear" w:color="000000" w:fill="7F7F7F"/>
            <w:noWrap/>
            <w:vAlign w:val="center"/>
            <w:hideMark/>
          </w:tcPr>
          <w:p w:rsidR="00D10E9D" w:rsidRPr="00D10E9D" w:rsidRDefault="00D10E9D" w:rsidP="00D10E9D">
            <w:pPr>
              <w:rPr>
                <w:rFonts w:cs="Arial"/>
                <w:color w:val="FFFFFF"/>
                <w:szCs w:val="18"/>
                <w:lang w:eastAsia="en-AU"/>
              </w:rPr>
            </w:pPr>
            <w:r w:rsidRPr="00D10E9D">
              <w:rPr>
                <w:rFonts w:cs="Arial"/>
                <w:color w:val="FFFFFF"/>
                <w:szCs w:val="18"/>
                <w:lang w:eastAsia="en-AU"/>
              </w:rPr>
              <w:t> </w:t>
            </w:r>
          </w:p>
        </w:tc>
        <w:tc>
          <w:tcPr>
            <w:tcW w:w="1183" w:type="dxa"/>
            <w:tcBorders>
              <w:top w:val="nil"/>
              <w:left w:val="nil"/>
              <w:bottom w:val="nil"/>
              <w:right w:val="nil"/>
            </w:tcBorders>
            <w:shd w:val="clear" w:color="000000" w:fill="7F7F7F"/>
            <w:vAlign w:val="center"/>
            <w:hideMark/>
          </w:tcPr>
          <w:p w:rsidR="00D10E9D" w:rsidRPr="00D10E9D" w:rsidRDefault="00D10E9D" w:rsidP="00D10E9D">
            <w:pPr>
              <w:jc w:val="right"/>
              <w:rPr>
                <w:rFonts w:cs="Arial"/>
                <w:b/>
                <w:bCs/>
                <w:color w:val="FFFFFF"/>
                <w:szCs w:val="18"/>
                <w:lang w:eastAsia="en-AU"/>
              </w:rPr>
            </w:pPr>
            <w:r w:rsidRPr="00D10E9D">
              <w:rPr>
                <w:rFonts w:cs="Arial"/>
                <w:b/>
                <w:bCs/>
                <w:color w:val="FFFFFF"/>
                <w:szCs w:val="18"/>
                <w:lang w:eastAsia="en-AU"/>
              </w:rPr>
              <w:t>% change 2010 to 2015</w:t>
            </w:r>
          </w:p>
        </w:tc>
        <w:tc>
          <w:tcPr>
            <w:tcW w:w="1183" w:type="dxa"/>
            <w:tcBorders>
              <w:top w:val="nil"/>
              <w:left w:val="nil"/>
              <w:bottom w:val="nil"/>
              <w:right w:val="nil"/>
            </w:tcBorders>
            <w:shd w:val="clear" w:color="000000" w:fill="7F7F7F"/>
            <w:vAlign w:val="center"/>
            <w:hideMark/>
          </w:tcPr>
          <w:p w:rsidR="00D10E9D" w:rsidRPr="00D10E9D" w:rsidRDefault="00D10E9D" w:rsidP="00D10E9D">
            <w:pPr>
              <w:jc w:val="right"/>
              <w:rPr>
                <w:rFonts w:cs="Arial"/>
                <w:b/>
                <w:bCs/>
                <w:color w:val="FFFFFF"/>
                <w:szCs w:val="18"/>
                <w:lang w:eastAsia="en-AU"/>
              </w:rPr>
            </w:pPr>
            <w:r w:rsidRPr="00D10E9D">
              <w:rPr>
                <w:rFonts w:cs="Arial"/>
                <w:b/>
                <w:bCs/>
                <w:color w:val="FFFFFF"/>
                <w:szCs w:val="18"/>
                <w:lang w:eastAsia="en-AU"/>
              </w:rPr>
              <w:t>% change 2011 to 2015</w:t>
            </w:r>
          </w:p>
        </w:tc>
        <w:tc>
          <w:tcPr>
            <w:tcW w:w="1183" w:type="dxa"/>
            <w:tcBorders>
              <w:top w:val="nil"/>
              <w:left w:val="nil"/>
              <w:bottom w:val="nil"/>
              <w:right w:val="nil"/>
            </w:tcBorders>
            <w:shd w:val="clear" w:color="000000" w:fill="7F7F7F"/>
            <w:vAlign w:val="center"/>
            <w:hideMark/>
          </w:tcPr>
          <w:p w:rsidR="00D10E9D" w:rsidRPr="00D10E9D" w:rsidRDefault="00D10E9D" w:rsidP="00D10E9D">
            <w:pPr>
              <w:jc w:val="right"/>
              <w:rPr>
                <w:rFonts w:cs="Arial"/>
                <w:b/>
                <w:bCs/>
                <w:color w:val="FFFFFF"/>
                <w:szCs w:val="18"/>
                <w:lang w:eastAsia="en-AU"/>
              </w:rPr>
            </w:pPr>
            <w:r w:rsidRPr="00D10E9D">
              <w:rPr>
                <w:rFonts w:cs="Arial"/>
                <w:b/>
                <w:bCs/>
                <w:color w:val="FFFFFF"/>
                <w:szCs w:val="18"/>
                <w:lang w:eastAsia="en-AU"/>
              </w:rPr>
              <w:t>% change 2012 to 2015</w:t>
            </w:r>
          </w:p>
        </w:tc>
        <w:tc>
          <w:tcPr>
            <w:tcW w:w="1183" w:type="dxa"/>
            <w:tcBorders>
              <w:top w:val="nil"/>
              <w:left w:val="nil"/>
              <w:bottom w:val="nil"/>
              <w:right w:val="nil"/>
            </w:tcBorders>
            <w:shd w:val="clear" w:color="000000" w:fill="7F7F7F"/>
            <w:vAlign w:val="center"/>
            <w:hideMark/>
          </w:tcPr>
          <w:p w:rsidR="00D10E9D" w:rsidRPr="00D10E9D" w:rsidRDefault="00D10E9D" w:rsidP="00D10E9D">
            <w:pPr>
              <w:jc w:val="right"/>
              <w:rPr>
                <w:rFonts w:cs="Arial"/>
                <w:b/>
                <w:bCs/>
                <w:color w:val="FFFFFF"/>
                <w:szCs w:val="18"/>
                <w:lang w:eastAsia="en-AU"/>
              </w:rPr>
            </w:pPr>
            <w:r w:rsidRPr="00D10E9D">
              <w:rPr>
                <w:rFonts w:cs="Arial"/>
                <w:b/>
                <w:bCs/>
                <w:color w:val="FFFFFF"/>
                <w:szCs w:val="18"/>
                <w:lang w:eastAsia="en-AU"/>
              </w:rPr>
              <w:t>% change 2013 to 2015</w:t>
            </w:r>
          </w:p>
        </w:tc>
        <w:tc>
          <w:tcPr>
            <w:tcW w:w="1183" w:type="dxa"/>
            <w:tcBorders>
              <w:top w:val="nil"/>
              <w:left w:val="nil"/>
              <w:bottom w:val="nil"/>
              <w:right w:val="nil"/>
            </w:tcBorders>
            <w:shd w:val="clear" w:color="000000" w:fill="7F7F7F"/>
            <w:vAlign w:val="center"/>
            <w:hideMark/>
          </w:tcPr>
          <w:p w:rsidR="00D10E9D" w:rsidRPr="00D10E9D" w:rsidRDefault="00D10E9D" w:rsidP="00D10E9D">
            <w:pPr>
              <w:jc w:val="right"/>
              <w:rPr>
                <w:rFonts w:cs="Arial"/>
                <w:b/>
                <w:bCs/>
                <w:color w:val="FFFFFF"/>
                <w:szCs w:val="18"/>
                <w:lang w:eastAsia="en-AU"/>
              </w:rPr>
            </w:pPr>
            <w:r w:rsidRPr="00D10E9D">
              <w:rPr>
                <w:rFonts w:cs="Arial"/>
                <w:b/>
                <w:bCs/>
                <w:color w:val="FFFFFF"/>
                <w:szCs w:val="18"/>
                <w:lang w:eastAsia="en-AU"/>
              </w:rPr>
              <w:t>% change 2014 to 2015</w:t>
            </w:r>
          </w:p>
        </w:tc>
      </w:tr>
      <w:tr w:rsidR="00D10E9D" w:rsidRPr="00D10E9D" w:rsidTr="00D10E9D">
        <w:trPr>
          <w:trHeight w:val="480"/>
        </w:trPr>
        <w:tc>
          <w:tcPr>
            <w:tcW w:w="2180" w:type="dxa"/>
            <w:tcBorders>
              <w:top w:val="nil"/>
              <w:left w:val="nil"/>
              <w:bottom w:val="nil"/>
              <w:right w:val="nil"/>
            </w:tcBorders>
            <w:shd w:val="clear" w:color="auto" w:fill="auto"/>
            <w:vAlign w:val="center"/>
            <w:hideMark/>
          </w:tcPr>
          <w:p w:rsidR="00D10E9D" w:rsidRPr="00D10E9D" w:rsidRDefault="00D10E9D" w:rsidP="00D10E9D">
            <w:pPr>
              <w:rPr>
                <w:rFonts w:cs="Arial"/>
                <w:color w:val="7F7F7F"/>
                <w:szCs w:val="18"/>
                <w:lang w:eastAsia="en-AU"/>
              </w:rPr>
            </w:pPr>
            <w:r w:rsidRPr="00D10E9D">
              <w:rPr>
                <w:rFonts w:cs="Arial"/>
                <w:color w:val="7F7F7F"/>
                <w:szCs w:val="18"/>
                <w:lang w:eastAsia="en-AU"/>
              </w:rPr>
              <w:t>Food Preparation Assistants</w:t>
            </w:r>
          </w:p>
        </w:tc>
        <w:tc>
          <w:tcPr>
            <w:tcW w:w="1183"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-16%</w:t>
            </w:r>
          </w:p>
        </w:tc>
        <w:tc>
          <w:tcPr>
            <w:tcW w:w="1183"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-19%</w:t>
            </w:r>
          </w:p>
        </w:tc>
        <w:tc>
          <w:tcPr>
            <w:tcW w:w="1183"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-30%</w:t>
            </w:r>
          </w:p>
        </w:tc>
        <w:tc>
          <w:tcPr>
            <w:tcW w:w="1183"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-11%</w:t>
            </w:r>
          </w:p>
        </w:tc>
        <w:tc>
          <w:tcPr>
            <w:tcW w:w="1183"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-58%</w:t>
            </w:r>
          </w:p>
        </w:tc>
      </w:tr>
      <w:tr w:rsidR="00D10E9D" w:rsidRPr="00D10E9D" w:rsidTr="00D10E9D">
        <w:trPr>
          <w:trHeight w:val="480"/>
        </w:trPr>
        <w:tc>
          <w:tcPr>
            <w:tcW w:w="2180" w:type="dxa"/>
            <w:tcBorders>
              <w:top w:val="nil"/>
              <w:left w:val="nil"/>
              <w:bottom w:val="nil"/>
              <w:right w:val="nil"/>
            </w:tcBorders>
            <w:shd w:val="clear" w:color="auto" w:fill="auto"/>
            <w:vAlign w:val="center"/>
            <w:hideMark/>
          </w:tcPr>
          <w:p w:rsidR="00D10E9D" w:rsidRPr="00D10E9D" w:rsidRDefault="00D10E9D" w:rsidP="00D10E9D">
            <w:pPr>
              <w:rPr>
                <w:rFonts w:cs="Arial"/>
                <w:color w:val="7F7F7F"/>
                <w:szCs w:val="18"/>
                <w:lang w:eastAsia="en-AU"/>
              </w:rPr>
            </w:pPr>
            <w:r w:rsidRPr="00D10E9D">
              <w:rPr>
                <w:rFonts w:cs="Arial"/>
                <w:color w:val="7F7F7F"/>
                <w:szCs w:val="18"/>
                <w:lang w:eastAsia="en-AU"/>
              </w:rPr>
              <w:t>Personal Carers and Assistants</w:t>
            </w:r>
          </w:p>
        </w:tc>
        <w:tc>
          <w:tcPr>
            <w:tcW w:w="1183"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96%</w:t>
            </w:r>
          </w:p>
        </w:tc>
        <w:tc>
          <w:tcPr>
            <w:tcW w:w="1183"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123%</w:t>
            </w:r>
          </w:p>
        </w:tc>
        <w:tc>
          <w:tcPr>
            <w:tcW w:w="1183"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-16%</w:t>
            </w:r>
          </w:p>
        </w:tc>
        <w:tc>
          <w:tcPr>
            <w:tcW w:w="1183"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-3%</w:t>
            </w:r>
          </w:p>
        </w:tc>
        <w:tc>
          <w:tcPr>
            <w:tcW w:w="1183"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-7%</w:t>
            </w:r>
          </w:p>
        </w:tc>
      </w:tr>
      <w:tr w:rsidR="00D10E9D" w:rsidRPr="00D10E9D" w:rsidTr="00D10E9D">
        <w:trPr>
          <w:trHeight w:val="480"/>
        </w:trPr>
        <w:tc>
          <w:tcPr>
            <w:tcW w:w="2180" w:type="dxa"/>
            <w:tcBorders>
              <w:top w:val="nil"/>
              <w:left w:val="nil"/>
              <w:bottom w:val="nil"/>
              <w:right w:val="nil"/>
            </w:tcBorders>
            <w:shd w:val="clear" w:color="auto" w:fill="auto"/>
            <w:vAlign w:val="center"/>
            <w:hideMark/>
          </w:tcPr>
          <w:p w:rsidR="00D10E9D" w:rsidRPr="00D10E9D" w:rsidRDefault="00D10E9D" w:rsidP="00D10E9D">
            <w:pPr>
              <w:rPr>
                <w:rFonts w:cs="Arial"/>
                <w:color w:val="7F7F7F"/>
                <w:szCs w:val="18"/>
                <w:lang w:eastAsia="en-AU"/>
              </w:rPr>
            </w:pPr>
            <w:r w:rsidRPr="00D10E9D">
              <w:rPr>
                <w:rFonts w:cs="Arial"/>
                <w:color w:val="7F7F7F"/>
                <w:szCs w:val="18"/>
                <w:lang w:eastAsia="en-AU"/>
              </w:rPr>
              <w:t>Construction and Mining Labourers</w:t>
            </w:r>
          </w:p>
        </w:tc>
        <w:tc>
          <w:tcPr>
            <w:tcW w:w="1183"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-39%</w:t>
            </w:r>
          </w:p>
        </w:tc>
        <w:tc>
          <w:tcPr>
            <w:tcW w:w="1183"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-41%</w:t>
            </w:r>
          </w:p>
        </w:tc>
        <w:tc>
          <w:tcPr>
            <w:tcW w:w="1183"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-36%</w:t>
            </w:r>
          </w:p>
        </w:tc>
        <w:tc>
          <w:tcPr>
            <w:tcW w:w="1183"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-19%</w:t>
            </w:r>
          </w:p>
        </w:tc>
        <w:tc>
          <w:tcPr>
            <w:tcW w:w="1183"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-10%</w:t>
            </w:r>
          </w:p>
        </w:tc>
      </w:tr>
      <w:tr w:rsidR="00D10E9D" w:rsidRPr="00D10E9D" w:rsidTr="00D10E9D">
        <w:trPr>
          <w:trHeight w:val="480"/>
        </w:trPr>
        <w:tc>
          <w:tcPr>
            <w:tcW w:w="2180" w:type="dxa"/>
            <w:tcBorders>
              <w:top w:val="nil"/>
              <w:left w:val="nil"/>
              <w:bottom w:val="nil"/>
              <w:right w:val="nil"/>
            </w:tcBorders>
            <w:shd w:val="clear" w:color="auto" w:fill="auto"/>
            <w:vAlign w:val="center"/>
            <w:hideMark/>
          </w:tcPr>
          <w:p w:rsidR="00D10E9D" w:rsidRPr="00D10E9D" w:rsidRDefault="00D10E9D" w:rsidP="00D10E9D">
            <w:pPr>
              <w:rPr>
                <w:rFonts w:cs="Arial"/>
                <w:color w:val="7F7F7F"/>
                <w:szCs w:val="18"/>
                <w:lang w:eastAsia="en-AU"/>
              </w:rPr>
            </w:pPr>
            <w:r w:rsidRPr="00D10E9D">
              <w:rPr>
                <w:rFonts w:cs="Arial"/>
                <w:color w:val="7F7F7F"/>
                <w:szCs w:val="18"/>
                <w:lang w:eastAsia="en-AU"/>
              </w:rPr>
              <w:t>Office and Practice Managers</w:t>
            </w:r>
          </w:p>
        </w:tc>
        <w:tc>
          <w:tcPr>
            <w:tcW w:w="1183"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176%</w:t>
            </w:r>
          </w:p>
        </w:tc>
        <w:tc>
          <w:tcPr>
            <w:tcW w:w="1183"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118%</w:t>
            </w:r>
          </w:p>
        </w:tc>
        <w:tc>
          <w:tcPr>
            <w:tcW w:w="1183"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94%</w:t>
            </w:r>
          </w:p>
        </w:tc>
        <w:tc>
          <w:tcPr>
            <w:tcW w:w="1183"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247%</w:t>
            </w:r>
          </w:p>
        </w:tc>
        <w:tc>
          <w:tcPr>
            <w:tcW w:w="1183"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54%</w:t>
            </w:r>
          </w:p>
        </w:tc>
      </w:tr>
      <w:tr w:rsidR="00D10E9D" w:rsidRPr="00D10E9D" w:rsidTr="00D10E9D">
        <w:trPr>
          <w:trHeight w:val="480"/>
        </w:trPr>
        <w:tc>
          <w:tcPr>
            <w:tcW w:w="2180" w:type="dxa"/>
            <w:tcBorders>
              <w:top w:val="nil"/>
              <w:left w:val="nil"/>
              <w:bottom w:val="nil"/>
              <w:right w:val="nil"/>
            </w:tcBorders>
            <w:shd w:val="clear" w:color="auto" w:fill="auto"/>
            <w:vAlign w:val="center"/>
            <w:hideMark/>
          </w:tcPr>
          <w:p w:rsidR="00D10E9D" w:rsidRPr="00D10E9D" w:rsidRDefault="00D10E9D" w:rsidP="00D10E9D">
            <w:pPr>
              <w:rPr>
                <w:rFonts w:cs="Arial"/>
                <w:color w:val="7F7F7F"/>
                <w:szCs w:val="18"/>
                <w:lang w:eastAsia="en-AU"/>
              </w:rPr>
            </w:pPr>
            <w:r w:rsidRPr="00D10E9D">
              <w:rPr>
                <w:rFonts w:cs="Arial"/>
                <w:color w:val="7F7F7F"/>
                <w:szCs w:val="18"/>
                <w:lang w:eastAsia="en-AU"/>
              </w:rPr>
              <w:t>Miscellaneous Labourers</w:t>
            </w:r>
          </w:p>
        </w:tc>
        <w:tc>
          <w:tcPr>
            <w:tcW w:w="1183"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53%</w:t>
            </w:r>
          </w:p>
        </w:tc>
        <w:tc>
          <w:tcPr>
            <w:tcW w:w="1183"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43%</w:t>
            </w:r>
          </w:p>
        </w:tc>
        <w:tc>
          <w:tcPr>
            <w:tcW w:w="1183"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12%</w:t>
            </w:r>
          </w:p>
        </w:tc>
        <w:tc>
          <w:tcPr>
            <w:tcW w:w="1183"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20%</w:t>
            </w:r>
          </w:p>
        </w:tc>
        <w:tc>
          <w:tcPr>
            <w:tcW w:w="1183"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15%</w:t>
            </w:r>
          </w:p>
        </w:tc>
      </w:tr>
      <w:tr w:rsidR="00D10E9D" w:rsidRPr="00D10E9D" w:rsidTr="00D10E9D">
        <w:trPr>
          <w:trHeight w:val="480"/>
        </w:trPr>
        <w:tc>
          <w:tcPr>
            <w:tcW w:w="2180" w:type="dxa"/>
            <w:tcBorders>
              <w:top w:val="nil"/>
              <w:left w:val="nil"/>
              <w:bottom w:val="nil"/>
              <w:right w:val="nil"/>
            </w:tcBorders>
            <w:shd w:val="clear" w:color="auto" w:fill="auto"/>
            <w:vAlign w:val="center"/>
            <w:hideMark/>
          </w:tcPr>
          <w:p w:rsidR="00D10E9D" w:rsidRPr="00D10E9D" w:rsidRDefault="00D10E9D" w:rsidP="00D10E9D">
            <w:pPr>
              <w:rPr>
                <w:rFonts w:cs="Arial"/>
                <w:color w:val="7F7F7F"/>
                <w:szCs w:val="18"/>
                <w:lang w:eastAsia="en-AU"/>
              </w:rPr>
            </w:pPr>
            <w:r w:rsidRPr="00D10E9D">
              <w:rPr>
                <w:rFonts w:cs="Arial"/>
                <w:color w:val="7F7F7F"/>
                <w:szCs w:val="18"/>
                <w:lang w:eastAsia="en-AU"/>
              </w:rPr>
              <w:t>Farm, Forestry and Garden Workers</w:t>
            </w:r>
          </w:p>
        </w:tc>
        <w:tc>
          <w:tcPr>
            <w:tcW w:w="1183"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-4%</w:t>
            </w:r>
          </w:p>
        </w:tc>
        <w:tc>
          <w:tcPr>
            <w:tcW w:w="1183"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-14%</w:t>
            </w:r>
          </w:p>
        </w:tc>
        <w:tc>
          <w:tcPr>
            <w:tcW w:w="1183"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-3%</w:t>
            </w:r>
          </w:p>
        </w:tc>
        <w:tc>
          <w:tcPr>
            <w:tcW w:w="1183"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-12%</w:t>
            </w:r>
          </w:p>
        </w:tc>
        <w:tc>
          <w:tcPr>
            <w:tcW w:w="1183"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0%</w:t>
            </w:r>
          </w:p>
        </w:tc>
      </w:tr>
      <w:tr w:rsidR="00D10E9D" w:rsidRPr="00D10E9D" w:rsidTr="00D10E9D">
        <w:trPr>
          <w:trHeight w:val="720"/>
        </w:trPr>
        <w:tc>
          <w:tcPr>
            <w:tcW w:w="2180" w:type="dxa"/>
            <w:tcBorders>
              <w:top w:val="nil"/>
              <w:left w:val="nil"/>
              <w:bottom w:val="nil"/>
              <w:right w:val="nil"/>
            </w:tcBorders>
            <w:shd w:val="clear" w:color="auto" w:fill="auto"/>
            <w:vAlign w:val="center"/>
            <w:hideMark/>
          </w:tcPr>
          <w:p w:rsidR="00D10E9D" w:rsidRPr="00D10E9D" w:rsidRDefault="00D10E9D" w:rsidP="00D10E9D">
            <w:pPr>
              <w:rPr>
                <w:rFonts w:cs="Arial"/>
                <w:color w:val="7F7F7F"/>
                <w:szCs w:val="18"/>
                <w:lang w:eastAsia="en-AU"/>
              </w:rPr>
            </w:pPr>
            <w:r w:rsidRPr="00D10E9D">
              <w:rPr>
                <w:rFonts w:cs="Arial"/>
                <w:color w:val="7F7F7F"/>
                <w:szCs w:val="18"/>
                <w:lang w:eastAsia="en-AU"/>
              </w:rPr>
              <w:t>Building and Engineering Technicians</w:t>
            </w:r>
          </w:p>
        </w:tc>
        <w:tc>
          <w:tcPr>
            <w:tcW w:w="1183"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203%</w:t>
            </w:r>
          </w:p>
        </w:tc>
        <w:tc>
          <w:tcPr>
            <w:tcW w:w="1183"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82%</w:t>
            </w:r>
          </w:p>
        </w:tc>
        <w:tc>
          <w:tcPr>
            <w:tcW w:w="1183"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14%</w:t>
            </w:r>
          </w:p>
        </w:tc>
        <w:tc>
          <w:tcPr>
            <w:tcW w:w="1183"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13%</w:t>
            </w:r>
          </w:p>
        </w:tc>
        <w:tc>
          <w:tcPr>
            <w:tcW w:w="1183"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-19%</w:t>
            </w:r>
          </w:p>
        </w:tc>
      </w:tr>
      <w:tr w:rsidR="00D10E9D" w:rsidRPr="00D10E9D" w:rsidTr="00D10E9D">
        <w:trPr>
          <w:trHeight w:val="480"/>
        </w:trPr>
        <w:tc>
          <w:tcPr>
            <w:tcW w:w="2180" w:type="dxa"/>
            <w:tcBorders>
              <w:top w:val="nil"/>
              <w:left w:val="nil"/>
              <w:bottom w:val="nil"/>
              <w:right w:val="nil"/>
            </w:tcBorders>
            <w:shd w:val="clear" w:color="auto" w:fill="auto"/>
            <w:vAlign w:val="center"/>
            <w:hideMark/>
          </w:tcPr>
          <w:p w:rsidR="00D10E9D" w:rsidRPr="00D10E9D" w:rsidRDefault="00D10E9D" w:rsidP="00D10E9D">
            <w:pPr>
              <w:rPr>
                <w:rFonts w:cs="Arial"/>
                <w:color w:val="7F7F7F"/>
                <w:szCs w:val="18"/>
                <w:lang w:eastAsia="en-AU"/>
              </w:rPr>
            </w:pPr>
            <w:r w:rsidRPr="00D10E9D">
              <w:rPr>
                <w:rFonts w:cs="Arial"/>
                <w:color w:val="7F7F7F"/>
                <w:szCs w:val="18"/>
                <w:lang w:eastAsia="en-AU"/>
              </w:rPr>
              <w:t>Cleaners and Laundry Workers</w:t>
            </w:r>
          </w:p>
        </w:tc>
        <w:tc>
          <w:tcPr>
            <w:tcW w:w="1183"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42%</w:t>
            </w:r>
          </w:p>
        </w:tc>
        <w:tc>
          <w:tcPr>
            <w:tcW w:w="1183"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61%</w:t>
            </w:r>
          </w:p>
        </w:tc>
        <w:tc>
          <w:tcPr>
            <w:tcW w:w="1183"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27%</w:t>
            </w:r>
          </w:p>
        </w:tc>
        <w:tc>
          <w:tcPr>
            <w:tcW w:w="1183"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9%</w:t>
            </w:r>
          </w:p>
        </w:tc>
        <w:tc>
          <w:tcPr>
            <w:tcW w:w="1183"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13%</w:t>
            </w:r>
          </w:p>
        </w:tc>
      </w:tr>
      <w:tr w:rsidR="00D10E9D" w:rsidRPr="00D10E9D" w:rsidTr="00D10E9D">
        <w:trPr>
          <w:trHeight w:val="480"/>
        </w:trPr>
        <w:tc>
          <w:tcPr>
            <w:tcW w:w="2180" w:type="dxa"/>
            <w:tcBorders>
              <w:top w:val="nil"/>
              <w:left w:val="nil"/>
              <w:bottom w:val="nil"/>
              <w:right w:val="nil"/>
            </w:tcBorders>
            <w:shd w:val="clear" w:color="auto" w:fill="auto"/>
            <w:vAlign w:val="center"/>
            <w:hideMark/>
          </w:tcPr>
          <w:p w:rsidR="00D10E9D" w:rsidRPr="00D10E9D" w:rsidRDefault="00D10E9D" w:rsidP="00D10E9D">
            <w:pPr>
              <w:rPr>
                <w:rFonts w:cs="Arial"/>
                <w:color w:val="7F7F7F"/>
                <w:szCs w:val="18"/>
                <w:lang w:eastAsia="en-AU"/>
              </w:rPr>
            </w:pPr>
            <w:r w:rsidRPr="00D10E9D">
              <w:rPr>
                <w:rFonts w:cs="Arial"/>
                <w:color w:val="7F7F7F"/>
                <w:szCs w:val="18"/>
                <w:lang w:eastAsia="en-AU"/>
              </w:rPr>
              <w:t>Personal Service and Travel Workers</w:t>
            </w:r>
          </w:p>
        </w:tc>
        <w:tc>
          <w:tcPr>
            <w:tcW w:w="1183"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62%</w:t>
            </w:r>
          </w:p>
        </w:tc>
        <w:tc>
          <w:tcPr>
            <w:tcW w:w="1183"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48%</w:t>
            </w:r>
          </w:p>
        </w:tc>
        <w:tc>
          <w:tcPr>
            <w:tcW w:w="1183"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15%</w:t>
            </w:r>
          </w:p>
        </w:tc>
        <w:tc>
          <w:tcPr>
            <w:tcW w:w="1183"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22%</w:t>
            </w:r>
          </w:p>
        </w:tc>
        <w:tc>
          <w:tcPr>
            <w:tcW w:w="1183"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-4%</w:t>
            </w:r>
          </w:p>
        </w:tc>
      </w:tr>
      <w:tr w:rsidR="00D10E9D" w:rsidRPr="00D10E9D" w:rsidTr="00D10E9D">
        <w:trPr>
          <w:trHeight w:val="480"/>
        </w:trPr>
        <w:tc>
          <w:tcPr>
            <w:tcW w:w="2180" w:type="dxa"/>
            <w:tcBorders>
              <w:top w:val="nil"/>
              <w:left w:val="nil"/>
              <w:bottom w:val="nil"/>
              <w:right w:val="nil"/>
            </w:tcBorders>
            <w:shd w:val="clear" w:color="auto" w:fill="auto"/>
            <w:vAlign w:val="center"/>
            <w:hideMark/>
          </w:tcPr>
          <w:p w:rsidR="00D10E9D" w:rsidRPr="00D10E9D" w:rsidRDefault="00D10E9D" w:rsidP="00D10E9D">
            <w:pPr>
              <w:rPr>
                <w:rFonts w:cs="Arial"/>
                <w:color w:val="7F7F7F"/>
                <w:szCs w:val="18"/>
                <w:lang w:eastAsia="en-AU"/>
              </w:rPr>
            </w:pPr>
            <w:r w:rsidRPr="00D10E9D">
              <w:rPr>
                <w:rFonts w:cs="Arial"/>
                <w:color w:val="7F7F7F"/>
                <w:szCs w:val="18"/>
                <w:lang w:eastAsia="en-AU"/>
              </w:rPr>
              <w:t>Stationary Plant Operators</w:t>
            </w:r>
          </w:p>
        </w:tc>
        <w:tc>
          <w:tcPr>
            <w:tcW w:w="1183"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92%</w:t>
            </w:r>
          </w:p>
        </w:tc>
        <w:tc>
          <w:tcPr>
            <w:tcW w:w="1183"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80%</w:t>
            </w:r>
          </w:p>
        </w:tc>
        <w:tc>
          <w:tcPr>
            <w:tcW w:w="1183"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-24%</w:t>
            </w:r>
          </w:p>
        </w:tc>
        <w:tc>
          <w:tcPr>
            <w:tcW w:w="1183"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-16%</w:t>
            </w:r>
          </w:p>
        </w:tc>
        <w:tc>
          <w:tcPr>
            <w:tcW w:w="1183"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43%</w:t>
            </w:r>
          </w:p>
        </w:tc>
      </w:tr>
      <w:tr w:rsidR="00D10E9D" w:rsidRPr="00D10E9D" w:rsidTr="00D10E9D">
        <w:trPr>
          <w:trHeight w:val="300"/>
        </w:trPr>
        <w:tc>
          <w:tcPr>
            <w:tcW w:w="2180" w:type="dxa"/>
            <w:tcBorders>
              <w:top w:val="nil"/>
              <w:left w:val="nil"/>
              <w:bottom w:val="nil"/>
              <w:right w:val="nil"/>
            </w:tcBorders>
            <w:shd w:val="clear" w:color="auto" w:fill="auto"/>
            <w:noWrap/>
            <w:vAlign w:val="center"/>
            <w:hideMark/>
          </w:tcPr>
          <w:p w:rsidR="00D10E9D" w:rsidRPr="00D10E9D" w:rsidRDefault="00D10E9D" w:rsidP="00D10E9D">
            <w:pPr>
              <w:rPr>
                <w:rFonts w:cs="Arial"/>
                <w:color w:val="7F7F7F"/>
                <w:szCs w:val="18"/>
                <w:lang w:eastAsia="en-AU"/>
              </w:rPr>
            </w:pPr>
            <w:r w:rsidRPr="00D10E9D">
              <w:rPr>
                <w:rFonts w:cs="Arial"/>
                <w:color w:val="7F7F7F"/>
                <w:szCs w:val="18"/>
                <w:lang w:eastAsia="en-AU"/>
              </w:rPr>
              <w:t>Other*</w:t>
            </w:r>
          </w:p>
        </w:tc>
        <w:tc>
          <w:tcPr>
            <w:tcW w:w="1183"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-31%</w:t>
            </w:r>
          </w:p>
        </w:tc>
        <w:tc>
          <w:tcPr>
            <w:tcW w:w="1183"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-23%</w:t>
            </w:r>
          </w:p>
        </w:tc>
        <w:tc>
          <w:tcPr>
            <w:tcW w:w="1183"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-28%</w:t>
            </w:r>
          </w:p>
        </w:tc>
        <w:tc>
          <w:tcPr>
            <w:tcW w:w="1183"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-11%</w:t>
            </w:r>
          </w:p>
        </w:tc>
        <w:tc>
          <w:tcPr>
            <w:tcW w:w="1183" w:type="dxa"/>
            <w:tcBorders>
              <w:top w:val="nil"/>
              <w:left w:val="nil"/>
              <w:bottom w:val="nil"/>
              <w:right w:val="nil"/>
            </w:tcBorders>
            <w:shd w:val="clear" w:color="auto" w:fill="auto"/>
            <w:noWrap/>
            <w:vAlign w:val="center"/>
            <w:hideMark/>
          </w:tcPr>
          <w:p w:rsidR="00D10E9D" w:rsidRPr="00D10E9D" w:rsidRDefault="00D10E9D" w:rsidP="00D10E9D">
            <w:pPr>
              <w:jc w:val="right"/>
              <w:rPr>
                <w:rFonts w:cs="Arial"/>
                <w:color w:val="7F7F7F"/>
                <w:szCs w:val="18"/>
                <w:lang w:eastAsia="en-AU"/>
              </w:rPr>
            </w:pPr>
            <w:r w:rsidRPr="00D10E9D">
              <w:rPr>
                <w:rFonts w:cs="Arial"/>
                <w:color w:val="7F7F7F"/>
                <w:szCs w:val="18"/>
                <w:lang w:eastAsia="en-AU"/>
              </w:rPr>
              <w:t>-12%</w:t>
            </w:r>
          </w:p>
        </w:tc>
      </w:tr>
      <w:tr w:rsidR="00D10E9D" w:rsidRPr="00D10E9D" w:rsidTr="00D10E9D">
        <w:trPr>
          <w:trHeight w:val="300"/>
        </w:trPr>
        <w:tc>
          <w:tcPr>
            <w:tcW w:w="2180" w:type="dxa"/>
            <w:tcBorders>
              <w:top w:val="nil"/>
              <w:left w:val="nil"/>
              <w:bottom w:val="nil"/>
              <w:right w:val="nil"/>
            </w:tcBorders>
            <w:shd w:val="clear" w:color="000000" w:fill="7F7F7F"/>
            <w:noWrap/>
            <w:vAlign w:val="center"/>
            <w:hideMark/>
          </w:tcPr>
          <w:p w:rsidR="00D10E9D" w:rsidRPr="00D10E9D" w:rsidRDefault="00D10E9D" w:rsidP="00D10E9D">
            <w:pPr>
              <w:rPr>
                <w:rFonts w:cs="Arial"/>
                <w:b/>
                <w:bCs/>
                <w:color w:val="FFFFFF"/>
                <w:szCs w:val="18"/>
                <w:lang w:eastAsia="en-AU"/>
              </w:rPr>
            </w:pPr>
            <w:r w:rsidRPr="00D10E9D">
              <w:rPr>
                <w:rFonts w:cs="Arial"/>
                <w:b/>
                <w:bCs/>
                <w:color w:val="FFFFFF"/>
                <w:szCs w:val="18"/>
                <w:lang w:eastAsia="en-AU"/>
              </w:rPr>
              <w:t>Total</w:t>
            </w:r>
          </w:p>
        </w:tc>
        <w:tc>
          <w:tcPr>
            <w:tcW w:w="1183" w:type="dxa"/>
            <w:tcBorders>
              <w:top w:val="nil"/>
              <w:left w:val="nil"/>
              <w:bottom w:val="nil"/>
              <w:right w:val="nil"/>
            </w:tcBorders>
            <w:shd w:val="clear" w:color="000000" w:fill="7F7F7F"/>
            <w:noWrap/>
            <w:vAlign w:val="center"/>
            <w:hideMark/>
          </w:tcPr>
          <w:p w:rsidR="00D10E9D" w:rsidRPr="00794B13" w:rsidRDefault="00D10E9D" w:rsidP="00D10E9D">
            <w:pPr>
              <w:jc w:val="right"/>
              <w:rPr>
                <w:rFonts w:cs="Arial"/>
                <w:b/>
                <w:color w:val="FFFFFF"/>
                <w:szCs w:val="18"/>
                <w:lang w:eastAsia="en-AU"/>
              </w:rPr>
            </w:pPr>
            <w:r w:rsidRPr="00794B13">
              <w:rPr>
                <w:rFonts w:cs="Arial"/>
                <w:b/>
                <w:color w:val="FFFFFF"/>
                <w:szCs w:val="18"/>
                <w:lang w:eastAsia="en-AU"/>
              </w:rPr>
              <w:t>-19%</w:t>
            </w:r>
          </w:p>
        </w:tc>
        <w:tc>
          <w:tcPr>
            <w:tcW w:w="1183" w:type="dxa"/>
            <w:tcBorders>
              <w:top w:val="nil"/>
              <w:left w:val="nil"/>
              <w:bottom w:val="nil"/>
              <w:right w:val="nil"/>
            </w:tcBorders>
            <w:shd w:val="clear" w:color="000000" w:fill="7F7F7F"/>
            <w:noWrap/>
            <w:vAlign w:val="center"/>
            <w:hideMark/>
          </w:tcPr>
          <w:p w:rsidR="00D10E9D" w:rsidRPr="00794B13" w:rsidRDefault="00D10E9D" w:rsidP="00D10E9D">
            <w:pPr>
              <w:jc w:val="right"/>
              <w:rPr>
                <w:rFonts w:cs="Arial"/>
                <w:b/>
                <w:color w:val="FFFFFF"/>
                <w:szCs w:val="18"/>
                <w:lang w:eastAsia="en-AU"/>
              </w:rPr>
            </w:pPr>
            <w:r w:rsidRPr="00794B13">
              <w:rPr>
                <w:rFonts w:cs="Arial"/>
                <w:b/>
                <w:color w:val="FFFFFF"/>
                <w:szCs w:val="18"/>
                <w:lang w:eastAsia="en-AU"/>
              </w:rPr>
              <w:t>-13%</w:t>
            </w:r>
          </w:p>
        </w:tc>
        <w:tc>
          <w:tcPr>
            <w:tcW w:w="1183" w:type="dxa"/>
            <w:tcBorders>
              <w:top w:val="nil"/>
              <w:left w:val="nil"/>
              <w:bottom w:val="nil"/>
              <w:right w:val="nil"/>
            </w:tcBorders>
            <w:shd w:val="clear" w:color="000000" w:fill="7F7F7F"/>
            <w:noWrap/>
            <w:vAlign w:val="center"/>
            <w:hideMark/>
          </w:tcPr>
          <w:p w:rsidR="00D10E9D" w:rsidRPr="00794B13" w:rsidRDefault="00D10E9D" w:rsidP="00D10E9D">
            <w:pPr>
              <w:jc w:val="right"/>
              <w:rPr>
                <w:rFonts w:cs="Arial"/>
                <w:b/>
                <w:color w:val="FFFFFF"/>
                <w:szCs w:val="18"/>
                <w:lang w:eastAsia="en-AU"/>
              </w:rPr>
            </w:pPr>
            <w:r w:rsidRPr="00794B13">
              <w:rPr>
                <w:rFonts w:cs="Arial"/>
                <w:b/>
                <w:color w:val="FFFFFF"/>
                <w:szCs w:val="18"/>
                <w:lang w:eastAsia="en-AU"/>
              </w:rPr>
              <w:t>-22%</w:t>
            </w:r>
          </w:p>
        </w:tc>
        <w:tc>
          <w:tcPr>
            <w:tcW w:w="1183" w:type="dxa"/>
            <w:tcBorders>
              <w:top w:val="nil"/>
              <w:left w:val="nil"/>
              <w:bottom w:val="nil"/>
              <w:right w:val="nil"/>
            </w:tcBorders>
            <w:shd w:val="clear" w:color="000000" w:fill="7F7F7F"/>
            <w:noWrap/>
            <w:vAlign w:val="center"/>
            <w:hideMark/>
          </w:tcPr>
          <w:p w:rsidR="00D10E9D" w:rsidRPr="00794B13" w:rsidRDefault="00D10E9D" w:rsidP="00D10E9D">
            <w:pPr>
              <w:jc w:val="right"/>
              <w:rPr>
                <w:rFonts w:cs="Arial"/>
                <w:b/>
                <w:color w:val="FFFFFF"/>
                <w:szCs w:val="18"/>
                <w:lang w:eastAsia="en-AU"/>
              </w:rPr>
            </w:pPr>
            <w:r w:rsidRPr="00794B13">
              <w:rPr>
                <w:rFonts w:cs="Arial"/>
                <w:b/>
                <w:color w:val="FFFFFF"/>
                <w:szCs w:val="18"/>
                <w:lang w:eastAsia="en-AU"/>
              </w:rPr>
              <w:t>-6%</w:t>
            </w:r>
          </w:p>
        </w:tc>
        <w:tc>
          <w:tcPr>
            <w:tcW w:w="1183" w:type="dxa"/>
            <w:tcBorders>
              <w:top w:val="nil"/>
              <w:left w:val="nil"/>
              <w:bottom w:val="nil"/>
              <w:right w:val="nil"/>
            </w:tcBorders>
            <w:shd w:val="clear" w:color="000000" w:fill="7F7F7F"/>
            <w:noWrap/>
            <w:vAlign w:val="center"/>
            <w:hideMark/>
          </w:tcPr>
          <w:p w:rsidR="00D10E9D" w:rsidRPr="00794B13" w:rsidRDefault="00D10E9D" w:rsidP="00D10E9D">
            <w:pPr>
              <w:jc w:val="right"/>
              <w:rPr>
                <w:rFonts w:cs="Arial"/>
                <w:b/>
                <w:color w:val="FFFFFF"/>
                <w:szCs w:val="18"/>
                <w:lang w:eastAsia="en-AU"/>
              </w:rPr>
            </w:pPr>
            <w:r w:rsidRPr="00794B13">
              <w:rPr>
                <w:rFonts w:cs="Arial"/>
                <w:b/>
                <w:color w:val="FFFFFF"/>
                <w:szCs w:val="18"/>
                <w:lang w:eastAsia="en-AU"/>
              </w:rPr>
              <w:t>-12%</w:t>
            </w:r>
          </w:p>
        </w:tc>
      </w:tr>
    </w:tbl>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4A0" w:firstRow="1" w:lastRow="0" w:firstColumn="1" w:lastColumn="0" w:noHBand="0" w:noVBand="1"/>
      </w:tblPr>
      <w:tblGrid>
        <w:gridCol w:w="431"/>
        <w:gridCol w:w="7649"/>
      </w:tblGrid>
      <w:tr w:rsidR="00D10E9D" w:rsidRPr="00913551" w:rsidTr="00D10E9D">
        <w:tc>
          <w:tcPr>
            <w:tcW w:w="431" w:type="dxa"/>
            <w:tcMar>
              <w:left w:w="0" w:type="dxa"/>
              <w:right w:w="28" w:type="dxa"/>
            </w:tcMar>
          </w:tcPr>
          <w:p w:rsidR="00D10E9D" w:rsidRPr="00913551" w:rsidRDefault="00D10E9D" w:rsidP="00D10E9D">
            <w:pPr>
              <w:spacing w:after="0" w:line="240" w:lineRule="auto"/>
              <w:jc w:val="right"/>
              <w:rPr>
                <w:color w:val="7F7F7F" w:themeColor="text2"/>
                <w:sz w:val="16"/>
                <w:szCs w:val="16"/>
              </w:rPr>
            </w:pPr>
            <w:r w:rsidRPr="00913551">
              <w:rPr>
                <w:color w:val="7F7F7F" w:themeColor="text2"/>
                <w:sz w:val="16"/>
                <w:szCs w:val="16"/>
              </w:rPr>
              <w:t xml:space="preserve">* </w:t>
            </w:r>
          </w:p>
        </w:tc>
        <w:tc>
          <w:tcPr>
            <w:tcW w:w="7649" w:type="dxa"/>
            <w:tcMar>
              <w:left w:w="0" w:type="dxa"/>
              <w:right w:w="28" w:type="dxa"/>
            </w:tcMar>
          </w:tcPr>
          <w:p w:rsidR="00D10E9D" w:rsidRPr="00913551" w:rsidRDefault="00D10E9D" w:rsidP="00D10E9D">
            <w:pPr>
              <w:pStyle w:val="Note"/>
              <w:spacing w:after="0"/>
              <w:rPr>
                <w:color w:val="7F7F7F" w:themeColor="text2"/>
              </w:rPr>
            </w:pPr>
            <w:r w:rsidRPr="00913551">
              <w:rPr>
                <w:color w:val="7F7F7F" w:themeColor="text2"/>
              </w:rPr>
              <w:t>Including training not directly related to an occupation.</w:t>
            </w:r>
          </w:p>
        </w:tc>
      </w:tr>
    </w:tbl>
    <w:p w:rsidR="00D10E9D" w:rsidRDefault="00D10E9D"/>
    <w:p w:rsidR="00D10E9D" w:rsidRPr="00365EB2" w:rsidRDefault="00D10E9D"/>
    <w:p w:rsidR="00001B69" w:rsidRPr="00365EB2" w:rsidRDefault="00001B69">
      <w:r w:rsidRPr="00365EB2">
        <w:br w:type="page"/>
      </w:r>
    </w:p>
    <w:p w:rsidR="009610B9" w:rsidRPr="006A5927" w:rsidRDefault="009610B9" w:rsidP="009610B9">
      <w:pPr>
        <w:pStyle w:val="Heading2"/>
        <w:spacing w:after="120"/>
        <w:rPr>
          <w:color w:val="B41F22" w:themeColor="accent1"/>
        </w:rPr>
      </w:pPr>
      <w:bookmarkStart w:id="16" w:name="_Toc414375674"/>
      <w:bookmarkStart w:id="17" w:name="_Toc430684077"/>
      <w:bookmarkStart w:id="18" w:name="_Toc432758326"/>
      <w:r w:rsidRPr="006A5927">
        <w:rPr>
          <w:color w:val="B41F22" w:themeColor="accent1"/>
        </w:rPr>
        <w:lastRenderedPageBreak/>
        <w:t xml:space="preserve">Learn Local </w:t>
      </w:r>
      <w:bookmarkEnd w:id="16"/>
      <w:bookmarkEnd w:id="17"/>
      <w:r w:rsidR="00C16653">
        <w:rPr>
          <w:color w:val="B41F22" w:themeColor="accent1"/>
        </w:rPr>
        <w:t>Activity</w:t>
      </w:r>
      <w:bookmarkEnd w:id="18"/>
    </w:p>
    <w:p w:rsidR="009610B9" w:rsidRPr="00747B85" w:rsidRDefault="009610B9" w:rsidP="009610B9">
      <w:pPr>
        <w:spacing w:before="120" w:after="120"/>
        <w:rPr>
          <w:bCs/>
        </w:rPr>
      </w:pPr>
      <w:r w:rsidRPr="00747B85">
        <w:rPr>
          <w:bCs/>
        </w:rPr>
        <w:t xml:space="preserve">Through the Adult, Community and Further Education (ACFE) Board in 2015, the Victorian Government </w:t>
      </w:r>
      <w:r>
        <w:rPr>
          <w:bCs/>
        </w:rPr>
        <w:t xml:space="preserve">has </w:t>
      </w:r>
      <w:r w:rsidRPr="00747B85">
        <w:rPr>
          <w:bCs/>
        </w:rPr>
        <w:t>support</w:t>
      </w:r>
      <w:r>
        <w:rPr>
          <w:bCs/>
        </w:rPr>
        <w:t xml:space="preserve">ed </w:t>
      </w:r>
      <w:r w:rsidRPr="00747B85">
        <w:rPr>
          <w:bCs/>
        </w:rPr>
        <w:t xml:space="preserve">312 Learn Local providers and two Adult Education Institutions (AEIs), the Council for Adult Education (CAE) and Adult Multicultural Education Services (AMES). </w:t>
      </w:r>
      <w:r>
        <w:rPr>
          <w:bCs/>
        </w:rPr>
        <w:t xml:space="preserve">These organisations </w:t>
      </w:r>
      <w:r w:rsidRPr="00747B85">
        <w:rPr>
          <w:bCs/>
        </w:rPr>
        <w:t xml:space="preserve">deliver </w:t>
      </w:r>
      <w:r>
        <w:rPr>
          <w:bCs/>
        </w:rPr>
        <w:t xml:space="preserve">government funded vocational education and training to </w:t>
      </w:r>
      <w:r w:rsidRPr="00747B85">
        <w:rPr>
          <w:bCs/>
        </w:rPr>
        <w:t xml:space="preserve">Victorians with limited prior educational attainment and limited access to vocational education and training. The training </w:t>
      </w:r>
      <w:proofErr w:type="gramStart"/>
      <w:r>
        <w:rPr>
          <w:bCs/>
        </w:rPr>
        <w:t>is aimed</w:t>
      </w:r>
      <w:proofErr w:type="gramEnd"/>
      <w:r>
        <w:rPr>
          <w:bCs/>
        </w:rPr>
        <w:t xml:space="preserve"> to </w:t>
      </w:r>
      <w:r w:rsidRPr="00747B85">
        <w:rPr>
          <w:bCs/>
        </w:rPr>
        <w:t>support learners’ personal development in the knowledge, skills and attributes necessary to participate in society and secure employment.</w:t>
      </w:r>
    </w:p>
    <w:p w:rsidR="009610B9" w:rsidRPr="00AD726B" w:rsidRDefault="009610B9" w:rsidP="009610B9">
      <w:pPr>
        <w:spacing w:before="120" w:after="120"/>
        <w:rPr>
          <w:bCs/>
        </w:rPr>
      </w:pPr>
      <w:r w:rsidRPr="00747B85">
        <w:rPr>
          <w:bCs/>
        </w:rPr>
        <w:t>To 30 June 2015, 11,</w:t>
      </w:r>
      <w:r>
        <w:rPr>
          <w:bCs/>
        </w:rPr>
        <w:t>593</w:t>
      </w:r>
      <w:r w:rsidRPr="00747B85">
        <w:rPr>
          <w:bCs/>
        </w:rPr>
        <w:t xml:space="preserve"> students participated in pre-accredited program delivery with Learn Local providers and 17,129 participated in accredited program delivery with this training sector</w:t>
      </w:r>
      <w:r>
        <w:rPr>
          <w:rStyle w:val="FootnoteReference"/>
          <w:bCs/>
        </w:rPr>
        <w:footnoteReference w:id="3"/>
      </w:r>
      <w:r w:rsidRPr="00747B85">
        <w:rPr>
          <w:bCs/>
        </w:rPr>
        <w:t>.</w:t>
      </w:r>
    </w:p>
    <w:p w:rsidR="009610B9" w:rsidRPr="00DE7971" w:rsidRDefault="009610B9" w:rsidP="009610B9">
      <w:pPr>
        <w:pStyle w:val="Heading3"/>
        <w:rPr>
          <w:color w:val="7F7F7F" w:themeColor="text2"/>
        </w:rPr>
      </w:pPr>
      <w:r>
        <w:rPr>
          <w:color w:val="7F7F7F" w:themeColor="text2"/>
        </w:rPr>
        <w:t>Learn Local (ACE) Pre-accredited Training</w:t>
      </w:r>
    </w:p>
    <w:p w:rsidR="009610B9" w:rsidRPr="00365EB2" w:rsidRDefault="009610B9" w:rsidP="009610B9">
      <w:pPr>
        <w:pStyle w:val="Quote"/>
        <w:pBdr>
          <w:top w:val="single" w:sz="4" w:space="1" w:color="7F7F7F" w:themeColor="text2"/>
          <w:left w:val="single" w:sz="4" w:space="4" w:color="7F7F7F" w:themeColor="text2"/>
          <w:bottom w:val="single" w:sz="4" w:space="0" w:color="7F7F7F" w:themeColor="text2"/>
          <w:right w:val="single" w:sz="4" w:space="4" w:color="7F7F7F" w:themeColor="text2"/>
        </w:pBdr>
        <w:spacing w:before="120" w:after="120"/>
      </w:pPr>
      <w:r w:rsidRPr="00BB466D">
        <w:t>Key points</w:t>
      </w:r>
    </w:p>
    <w:p w:rsidR="009610B9" w:rsidRPr="000C3BD5" w:rsidRDefault="009610B9" w:rsidP="009610B9">
      <w:pPr>
        <w:pStyle w:val="ListParagraph"/>
        <w:numPr>
          <w:ilvl w:val="0"/>
          <w:numId w:val="18"/>
        </w:numPr>
        <w:pBdr>
          <w:top w:val="single" w:sz="4" w:space="1" w:color="7F7F7F" w:themeColor="text2"/>
          <w:left w:val="single" w:sz="4" w:space="4" w:color="7F7F7F" w:themeColor="text2"/>
          <w:bottom w:val="single" w:sz="4" w:space="0" w:color="7F7F7F" w:themeColor="text2"/>
          <w:right w:val="single" w:sz="4" w:space="4" w:color="7F7F7F" w:themeColor="text2"/>
        </w:pBdr>
        <w:spacing w:before="120" w:after="120"/>
        <w:ind w:left="426" w:hanging="426"/>
        <w:contextualSpacing w:val="0"/>
        <w:rPr>
          <w:color w:val="7F7F7F" w:themeColor="text2"/>
        </w:rPr>
      </w:pPr>
      <w:r>
        <w:rPr>
          <w:color w:val="7F7F7F" w:themeColor="text2"/>
        </w:rPr>
        <w:t>E</w:t>
      </w:r>
      <w:r w:rsidRPr="000C3BD5">
        <w:rPr>
          <w:color w:val="7F7F7F" w:themeColor="text2"/>
        </w:rPr>
        <w:t xml:space="preserve">nrolment in pre-accredited training </w:t>
      </w:r>
      <w:r>
        <w:rPr>
          <w:color w:val="7F7F7F" w:themeColor="text2"/>
        </w:rPr>
        <w:t xml:space="preserve">remained </w:t>
      </w:r>
      <w:r w:rsidRPr="000C3BD5">
        <w:rPr>
          <w:color w:val="7F7F7F" w:themeColor="text2"/>
        </w:rPr>
        <w:t xml:space="preserve">relatively stable </w:t>
      </w:r>
      <w:r>
        <w:rPr>
          <w:color w:val="7F7F7F" w:themeColor="text2"/>
        </w:rPr>
        <w:t>in the 2015 (half year), four</w:t>
      </w:r>
      <w:r w:rsidRPr="000C3BD5">
        <w:rPr>
          <w:color w:val="7F7F7F" w:themeColor="text2"/>
        </w:rPr>
        <w:t xml:space="preserve"> per cent </w:t>
      </w:r>
      <w:r>
        <w:rPr>
          <w:color w:val="7F7F7F" w:themeColor="text2"/>
        </w:rPr>
        <w:t>lower than the 2014 (half year). This was 102 per cent higher than the same period in 2010.</w:t>
      </w:r>
    </w:p>
    <w:p w:rsidR="009610B9" w:rsidRDefault="009610B9" w:rsidP="009610B9">
      <w:pPr>
        <w:pStyle w:val="ListParagraph"/>
        <w:numPr>
          <w:ilvl w:val="0"/>
          <w:numId w:val="18"/>
        </w:numPr>
        <w:pBdr>
          <w:top w:val="single" w:sz="4" w:space="1" w:color="7F7F7F" w:themeColor="text2"/>
          <w:left w:val="single" w:sz="4" w:space="4" w:color="7F7F7F" w:themeColor="text2"/>
          <w:bottom w:val="single" w:sz="4" w:space="0" w:color="7F7F7F" w:themeColor="text2"/>
          <w:right w:val="single" w:sz="4" w:space="4" w:color="7F7F7F" w:themeColor="text2"/>
        </w:pBdr>
        <w:spacing w:before="120"/>
        <w:ind w:left="425" w:hanging="425"/>
        <w:contextualSpacing w:val="0"/>
        <w:rPr>
          <w:color w:val="7F7F7F" w:themeColor="text2"/>
        </w:rPr>
      </w:pPr>
      <w:r>
        <w:rPr>
          <w:color w:val="7F7F7F" w:themeColor="text2"/>
        </w:rPr>
        <w:t>In the 2015 (half year), p</w:t>
      </w:r>
      <w:r w:rsidRPr="000C3BD5">
        <w:rPr>
          <w:color w:val="7F7F7F" w:themeColor="text2"/>
        </w:rPr>
        <w:t xml:space="preserve">articipation in pre-accredited training </w:t>
      </w:r>
      <w:r>
        <w:rPr>
          <w:color w:val="7F7F7F" w:themeColor="text2"/>
        </w:rPr>
        <w:t xml:space="preserve">across </w:t>
      </w:r>
      <w:r w:rsidRPr="000C3BD5">
        <w:rPr>
          <w:color w:val="7F7F7F" w:themeColor="text2"/>
        </w:rPr>
        <w:t xml:space="preserve">Metropolitan Melbourne </w:t>
      </w:r>
      <w:r>
        <w:rPr>
          <w:color w:val="7F7F7F" w:themeColor="text2"/>
        </w:rPr>
        <w:t xml:space="preserve">was up 18 per cent in </w:t>
      </w:r>
      <w:r w:rsidRPr="000C3BD5">
        <w:rPr>
          <w:color w:val="7F7F7F" w:themeColor="text2"/>
        </w:rPr>
        <w:t>North-Western Metropolitan Melbourne</w:t>
      </w:r>
      <w:r>
        <w:rPr>
          <w:color w:val="7F7F7F" w:themeColor="text2"/>
        </w:rPr>
        <w:t xml:space="preserve">, declined 10 per cent </w:t>
      </w:r>
      <w:r w:rsidRPr="000C3BD5">
        <w:rPr>
          <w:color w:val="7F7F7F" w:themeColor="text2"/>
        </w:rPr>
        <w:t>in Southern Metropolitan Melbourne</w:t>
      </w:r>
      <w:r>
        <w:rPr>
          <w:color w:val="7F7F7F" w:themeColor="text2"/>
        </w:rPr>
        <w:t>,</w:t>
      </w:r>
      <w:r w:rsidRPr="000C3BD5">
        <w:rPr>
          <w:color w:val="7F7F7F" w:themeColor="text2"/>
        </w:rPr>
        <w:t xml:space="preserve"> </w:t>
      </w:r>
      <w:r>
        <w:rPr>
          <w:color w:val="7F7F7F" w:themeColor="text2"/>
        </w:rPr>
        <w:t xml:space="preserve">and was </w:t>
      </w:r>
      <w:r w:rsidRPr="000C3BD5">
        <w:rPr>
          <w:color w:val="7F7F7F" w:themeColor="text2"/>
        </w:rPr>
        <w:t xml:space="preserve">down </w:t>
      </w:r>
      <w:r>
        <w:rPr>
          <w:color w:val="7F7F7F" w:themeColor="text2"/>
        </w:rPr>
        <w:t>three</w:t>
      </w:r>
      <w:r w:rsidRPr="000C3BD5">
        <w:rPr>
          <w:color w:val="7F7F7F" w:themeColor="text2"/>
        </w:rPr>
        <w:t xml:space="preserve"> per cent </w:t>
      </w:r>
      <w:r>
        <w:rPr>
          <w:color w:val="7F7F7F" w:themeColor="text2"/>
        </w:rPr>
        <w:t>in Eastern Metropolitan Melbourne.</w:t>
      </w:r>
    </w:p>
    <w:p w:rsidR="009610B9" w:rsidRDefault="009610B9" w:rsidP="009610B9">
      <w:pPr>
        <w:pStyle w:val="ListParagraph"/>
        <w:numPr>
          <w:ilvl w:val="0"/>
          <w:numId w:val="18"/>
        </w:numPr>
        <w:pBdr>
          <w:top w:val="single" w:sz="4" w:space="1" w:color="7F7F7F" w:themeColor="text2"/>
          <w:left w:val="single" w:sz="4" w:space="4" w:color="7F7F7F" w:themeColor="text2"/>
          <w:bottom w:val="single" w:sz="4" w:space="0" w:color="7F7F7F" w:themeColor="text2"/>
          <w:right w:val="single" w:sz="4" w:space="4" w:color="7F7F7F" w:themeColor="text2"/>
        </w:pBdr>
        <w:spacing w:before="120"/>
        <w:ind w:left="425" w:hanging="425"/>
        <w:contextualSpacing w:val="0"/>
        <w:rPr>
          <w:color w:val="7F7F7F" w:themeColor="text2"/>
        </w:rPr>
      </w:pPr>
      <w:r>
        <w:rPr>
          <w:color w:val="7F7F7F" w:themeColor="text2"/>
        </w:rPr>
        <w:t>In the 2015 (half year), p</w:t>
      </w:r>
      <w:r w:rsidRPr="000C3BD5">
        <w:rPr>
          <w:color w:val="7F7F7F" w:themeColor="text2"/>
        </w:rPr>
        <w:t xml:space="preserve">articipation in pre-accredited </w:t>
      </w:r>
      <w:r>
        <w:rPr>
          <w:color w:val="7F7F7F" w:themeColor="text2"/>
        </w:rPr>
        <w:t>training declined overall i</w:t>
      </w:r>
      <w:r w:rsidRPr="000C3BD5">
        <w:rPr>
          <w:color w:val="7F7F7F" w:themeColor="text2"/>
        </w:rPr>
        <w:t xml:space="preserve">n Barwon South West, Grampians, Loddon Mallee and Gippsland. </w:t>
      </w:r>
      <w:r>
        <w:rPr>
          <w:color w:val="7F7F7F" w:themeColor="text2"/>
        </w:rPr>
        <w:t xml:space="preserve">The </w:t>
      </w:r>
      <w:r w:rsidRPr="000C3BD5">
        <w:rPr>
          <w:color w:val="7F7F7F" w:themeColor="text2"/>
        </w:rPr>
        <w:t xml:space="preserve">largest </w:t>
      </w:r>
      <w:r>
        <w:rPr>
          <w:color w:val="7F7F7F" w:themeColor="text2"/>
        </w:rPr>
        <w:t xml:space="preserve">decline </w:t>
      </w:r>
      <w:r w:rsidRPr="000C3BD5">
        <w:rPr>
          <w:color w:val="7F7F7F" w:themeColor="text2"/>
        </w:rPr>
        <w:t>was in Grampians</w:t>
      </w:r>
      <w:r>
        <w:rPr>
          <w:color w:val="7F7F7F" w:themeColor="text2"/>
        </w:rPr>
        <w:t>,</w:t>
      </w:r>
      <w:r w:rsidRPr="000C3BD5">
        <w:rPr>
          <w:color w:val="7F7F7F" w:themeColor="text2"/>
        </w:rPr>
        <w:t xml:space="preserve"> 39 per cent </w:t>
      </w:r>
      <w:r>
        <w:rPr>
          <w:color w:val="7F7F7F" w:themeColor="text2"/>
        </w:rPr>
        <w:t>lower than the 2014 (half year).</w:t>
      </w:r>
    </w:p>
    <w:p w:rsidR="009610B9" w:rsidRDefault="009610B9" w:rsidP="009610B9">
      <w:pPr>
        <w:pStyle w:val="ListParagraph"/>
        <w:numPr>
          <w:ilvl w:val="0"/>
          <w:numId w:val="18"/>
        </w:numPr>
        <w:pBdr>
          <w:top w:val="single" w:sz="4" w:space="1" w:color="7F7F7F" w:themeColor="text2"/>
          <w:left w:val="single" w:sz="4" w:space="4" w:color="7F7F7F" w:themeColor="text2"/>
          <w:bottom w:val="single" w:sz="4" w:space="0" w:color="7F7F7F" w:themeColor="text2"/>
          <w:right w:val="single" w:sz="4" w:space="4" w:color="7F7F7F" w:themeColor="text2"/>
        </w:pBdr>
        <w:spacing w:before="120"/>
        <w:ind w:left="425" w:hanging="425"/>
        <w:contextualSpacing w:val="0"/>
        <w:rPr>
          <w:color w:val="7F7F7F" w:themeColor="text2"/>
        </w:rPr>
      </w:pPr>
      <w:r>
        <w:rPr>
          <w:color w:val="7F7F7F" w:themeColor="text2"/>
        </w:rPr>
        <w:t>T</w:t>
      </w:r>
      <w:r w:rsidRPr="000C3BD5">
        <w:rPr>
          <w:color w:val="7F7F7F" w:themeColor="text2"/>
        </w:rPr>
        <w:t xml:space="preserve">he two AEIs reported </w:t>
      </w:r>
      <w:r>
        <w:rPr>
          <w:color w:val="7F7F7F" w:themeColor="text2"/>
        </w:rPr>
        <w:t xml:space="preserve">a </w:t>
      </w:r>
      <w:r w:rsidRPr="000C3BD5">
        <w:rPr>
          <w:color w:val="7F7F7F" w:themeColor="text2"/>
        </w:rPr>
        <w:t xml:space="preserve">36 per cent increase </w:t>
      </w:r>
      <w:r>
        <w:rPr>
          <w:color w:val="7F7F7F" w:themeColor="text2"/>
        </w:rPr>
        <w:t xml:space="preserve">in pre-accredited program </w:t>
      </w:r>
      <w:r w:rsidRPr="000C3BD5">
        <w:rPr>
          <w:color w:val="7F7F7F" w:themeColor="text2"/>
        </w:rPr>
        <w:t xml:space="preserve">participation </w:t>
      </w:r>
      <w:r>
        <w:rPr>
          <w:color w:val="7F7F7F" w:themeColor="text2"/>
        </w:rPr>
        <w:t>in the 2015 (half year),</w:t>
      </w:r>
      <w:r w:rsidRPr="000C3BD5">
        <w:rPr>
          <w:color w:val="7F7F7F" w:themeColor="text2"/>
        </w:rPr>
        <w:t xml:space="preserve"> compar</w:t>
      </w:r>
      <w:r>
        <w:rPr>
          <w:color w:val="7F7F7F" w:themeColor="text2"/>
        </w:rPr>
        <w:t xml:space="preserve">ed </w:t>
      </w:r>
      <w:r w:rsidRPr="000C3BD5">
        <w:rPr>
          <w:color w:val="7F7F7F" w:themeColor="text2"/>
        </w:rPr>
        <w:t>to the same period in 2014.</w:t>
      </w:r>
    </w:p>
    <w:p w:rsidR="009610B9" w:rsidRPr="000C3BD5" w:rsidRDefault="009610B9" w:rsidP="009610B9">
      <w:pPr>
        <w:pStyle w:val="ListParagraph"/>
        <w:numPr>
          <w:ilvl w:val="0"/>
          <w:numId w:val="18"/>
        </w:numPr>
        <w:pBdr>
          <w:top w:val="single" w:sz="4" w:space="1" w:color="7F7F7F" w:themeColor="text2"/>
          <w:left w:val="single" w:sz="4" w:space="4" w:color="7F7F7F" w:themeColor="text2"/>
          <w:bottom w:val="single" w:sz="4" w:space="0" w:color="7F7F7F" w:themeColor="text2"/>
          <w:right w:val="single" w:sz="4" w:space="4" w:color="7F7F7F" w:themeColor="text2"/>
        </w:pBdr>
        <w:spacing w:before="120"/>
        <w:ind w:left="425" w:hanging="425"/>
        <w:contextualSpacing w:val="0"/>
        <w:rPr>
          <w:color w:val="7F7F7F" w:themeColor="text2"/>
        </w:rPr>
      </w:pPr>
      <w:r>
        <w:rPr>
          <w:color w:val="7F7F7F" w:themeColor="text2"/>
        </w:rPr>
        <w:t xml:space="preserve">There was increased </w:t>
      </w:r>
      <w:r w:rsidRPr="000C3BD5">
        <w:rPr>
          <w:color w:val="7F7F7F" w:themeColor="text2"/>
        </w:rPr>
        <w:t>participation in pre-accredited programs</w:t>
      </w:r>
      <w:r>
        <w:rPr>
          <w:color w:val="7F7F7F" w:themeColor="text2"/>
        </w:rPr>
        <w:t xml:space="preserve"> for the majority of </w:t>
      </w:r>
      <w:r w:rsidRPr="000C3BD5">
        <w:rPr>
          <w:color w:val="7F7F7F" w:themeColor="text2"/>
        </w:rPr>
        <w:t>ACFE Board Priority Learner cohorts</w:t>
      </w:r>
      <w:r w:rsidRPr="00A57D15">
        <w:rPr>
          <w:color w:val="7F7F7F" w:themeColor="text2"/>
        </w:rPr>
        <w:t xml:space="preserve"> </w:t>
      </w:r>
      <w:r>
        <w:rPr>
          <w:color w:val="7F7F7F" w:themeColor="text2"/>
        </w:rPr>
        <w:t>in the 2015 (half year). The participation of p</w:t>
      </w:r>
      <w:r w:rsidRPr="000C3BD5">
        <w:rPr>
          <w:color w:val="7F7F7F" w:themeColor="text2"/>
        </w:rPr>
        <w:t>eople of a culturally and linguistically diverse background (CALD)</w:t>
      </w:r>
      <w:r>
        <w:rPr>
          <w:color w:val="7F7F7F" w:themeColor="text2"/>
        </w:rPr>
        <w:t xml:space="preserve"> increased </w:t>
      </w:r>
      <w:r w:rsidRPr="000C3BD5">
        <w:rPr>
          <w:color w:val="7F7F7F" w:themeColor="text2"/>
        </w:rPr>
        <w:t xml:space="preserve">18 per cent. Males aged 45-64 years </w:t>
      </w:r>
      <w:r>
        <w:rPr>
          <w:color w:val="7F7F7F" w:themeColor="text2"/>
        </w:rPr>
        <w:t>increased four</w:t>
      </w:r>
      <w:r w:rsidRPr="000C3BD5">
        <w:rPr>
          <w:color w:val="7F7F7F" w:themeColor="text2"/>
        </w:rPr>
        <w:t xml:space="preserve"> per cent</w:t>
      </w:r>
      <w:r>
        <w:rPr>
          <w:color w:val="7F7F7F" w:themeColor="text2"/>
        </w:rPr>
        <w:t xml:space="preserve">, and </w:t>
      </w:r>
      <w:r w:rsidRPr="000C3BD5">
        <w:rPr>
          <w:color w:val="7F7F7F" w:themeColor="text2"/>
        </w:rPr>
        <w:t xml:space="preserve">Vulnerable workers </w:t>
      </w:r>
      <w:r>
        <w:rPr>
          <w:color w:val="7F7F7F" w:themeColor="text2"/>
        </w:rPr>
        <w:t>increased four</w:t>
      </w:r>
      <w:r w:rsidRPr="000C3BD5">
        <w:rPr>
          <w:color w:val="7F7F7F" w:themeColor="text2"/>
        </w:rPr>
        <w:t xml:space="preserve"> per cent</w:t>
      </w:r>
      <w:r>
        <w:rPr>
          <w:color w:val="7F7F7F" w:themeColor="text2"/>
        </w:rPr>
        <w:t xml:space="preserve">. </w:t>
      </w:r>
      <w:r w:rsidRPr="000C3BD5">
        <w:rPr>
          <w:color w:val="7F7F7F" w:themeColor="text2"/>
        </w:rPr>
        <w:t xml:space="preserve"> Reported students in Unemployed and Disability cohorts were stable on the levels of </w:t>
      </w:r>
      <w:r>
        <w:rPr>
          <w:color w:val="7F7F7F" w:themeColor="text2"/>
        </w:rPr>
        <w:t>the 2014 (half year)</w:t>
      </w:r>
      <w:r w:rsidRPr="000C3BD5">
        <w:rPr>
          <w:color w:val="7F7F7F" w:themeColor="text2"/>
        </w:rPr>
        <w:t xml:space="preserve">. </w:t>
      </w:r>
      <w:r>
        <w:rPr>
          <w:color w:val="7F7F7F" w:themeColor="text2"/>
        </w:rPr>
        <w:t xml:space="preserve">There was a decline of 26 per cent in the participation of </w:t>
      </w:r>
      <w:r w:rsidRPr="000C3BD5">
        <w:rPr>
          <w:color w:val="7F7F7F" w:themeColor="text2"/>
        </w:rPr>
        <w:t>Disengaged Youth, but from a relatively low base.</w:t>
      </w:r>
    </w:p>
    <w:p w:rsidR="009610B9" w:rsidRPr="000C3BD5" w:rsidRDefault="009610B9" w:rsidP="009610B9">
      <w:pPr>
        <w:pBdr>
          <w:top w:val="single" w:sz="4" w:space="1" w:color="7F7F7F" w:themeColor="text2"/>
          <w:left w:val="single" w:sz="4" w:space="4" w:color="7F7F7F" w:themeColor="text2"/>
          <w:bottom w:val="single" w:sz="4" w:space="0" w:color="7F7F7F" w:themeColor="text2"/>
          <w:right w:val="single" w:sz="4" w:space="4" w:color="7F7F7F" w:themeColor="text2"/>
        </w:pBdr>
        <w:rPr>
          <w:color w:val="7F7F7F" w:themeColor="text2"/>
        </w:rPr>
      </w:pP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9610B9" w:rsidTr="004E7315">
        <w:tc>
          <w:tcPr>
            <w:tcW w:w="1134" w:type="dxa"/>
            <w:tcMar>
              <w:left w:w="0" w:type="dxa"/>
              <w:right w:w="0" w:type="dxa"/>
            </w:tcMar>
          </w:tcPr>
          <w:p w:rsidR="009610B9" w:rsidRDefault="009610B9" w:rsidP="004E7315">
            <w:pPr>
              <w:pStyle w:val="Quote"/>
              <w:tabs>
                <w:tab w:val="left" w:pos="1134"/>
              </w:tabs>
              <w:rPr>
                <w:b w:val="0"/>
                <w:color w:val="B41F22" w:themeColor="accent1"/>
              </w:rPr>
            </w:pPr>
          </w:p>
          <w:p w:rsidR="009610B9" w:rsidRDefault="009610B9" w:rsidP="004E7315">
            <w:pPr>
              <w:pStyle w:val="Quote"/>
              <w:tabs>
                <w:tab w:val="left" w:pos="1134"/>
              </w:tabs>
              <w:rPr>
                <w:b w:val="0"/>
                <w:color w:val="B41F22" w:themeColor="accent1"/>
              </w:rPr>
            </w:pPr>
            <w:r>
              <w:rPr>
                <w:b w:val="0"/>
                <w:color w:val="B41F22" w:themeColor="accent1"/>
              </w:rPr>
              <w:t>Table 1.37.1:</w:t>
            </w:r>
          </w:p>
        </w:tc>
        <w:tc>
          <w:tcPr>
            <w:tcW w:w="6946" w:type="dxa"/>
            <w:tcMar>
              <w:left w:w="0" w:type="dxa"/>
              <w:right w:w="0" w:type="dxa"/>
            </w:tcMar>
          </w:tcPr>
          <w:p w:rsidR="009610B9" w:rsidRDefault="009610B9" w:rsidP="004E7315">
            <w:pPr>
              <w:pStyle w:val="Quote"/>
              <w:tabs>
                <w:tab w:val="left" w:pos="1134"/>
              </w:tabs>
              <w:rPr>
                <w:b w:val="0"/>
                <w:color w:val="B41F22" w:themeColor="accent1"/>
                <w:lang w:eastAsia="en-AU"/>
              </w:rPr>
            </w:pPr>
          </w:p>
          <w:p w:rsidR="009610B9" w:rsidRPr="009655A3" w:rsidRDefault="009610B9" w:rsidP="004E7315">
            <w:pPr>
              <w:pStyle w:val="Quote"/>
              <w:tabs>
                <w:tab w:val="left" w:pos="1134"/>
              </w:tabs>
              <w:rPr>
                <w:b w:val="0"/>
                <w:color w:val="B41F22" w:themeColor="accent1"/>
              </w:rPr>
            </w:pPr>
            <w:r w:rsidRPr="009655A3">
              <w:rPr>
                <w:b w:val="0"/>
                <w:color w:val="B41F22" w:themeColor="accent1"/>
                <w:lang w:eastAsia="en-AU"/>
              </w:rPr>
              <w:t>Government subsidised pre-accredited training, Learn Local (ACE) providers, 2010 to 2015 (half year)</w:t>
            </w:r>
          </w:p>
        </w:tc>
      </w:tr>
    </w:tbl>
    <w:tbl>
      <w:tblPr>
        <w:tblW w:w="8095" w:type="dxa"/>
        <w:tblInd w:w="93" w:type="dxa"/>
        <w:tblLayout w:type="fixed"/>
        <w:tblLook w:val="04A0" w:firstRow="1" w:lastRow="0" w:firstColumn="1" w:lastColumn="0" w:noHBand="0" w:noVBand="1"/>
      </w:tblPr>
      <w:tblGrid>
        <w:gridCol w:w="1960"/>
        <w:gridCol w:w="1022"/>
        <w:gridCol w:w="1023"/>
        <w:gridCol w:w="1022"/>
        <w:gridCol w:w="1023"/>
        <w:gridCol w:w="1022"/>
        <w:gridCol w:w="1023"/>
      </w:tblGrid>
      <w:tr w:rsidR="009610B9" w:rsidRPr="00210273" w:rsidTr="004E7315">
        <w:trPr>
          <w:trHeight w:val="300"/>
        </w:trPr>
        <w:tc>
          <w:tcPr>
            <w:tcW w:w="1960" w:type="dxa"/>
            <w:tcBorders>
              <w:top w:val="nil"/>
              <w:left w:val="nil"/>
              <w:bottom w:val="nil"/>
              <w:right w:val="nil"/>
            </w:tcBorders>
            <w:shd w:val="clear" w:color="000000" w:fill="7F7F7F"/>
            <w:noWrap/>
            <w:vAlign w:val="center"/>
            <w:hideMark/>
          </w:tcPr>
          <w:p w:rsidR="009610B9" w:rsidRPr="00210273" w:rsidRDefault="009610B9" w:rsidP="004E7315">
            <w:pPr>
              <w:rPr>
                <w:rFonts w:cs="Arial"/>
                <w:color w:val="FFFFFF" w:themeColor="background1"/>
                <w:szCs w:val="18"/>
                <w:lang w:eastAsia="en-AU"/>
              </w:rPr>
            </w:pPr>
            <w:r w:rsidRPr="00210273">
              <w:rPr>
                <w:rFonts w:cs="Arial"/>
                <w:color w:val="FFFFFF" w:themeColor="background1"/>
                <w:szCs w:val="18"/>
                <w:lang w:eastAsia="en-AU"/>
              </w:rPr>
              <w:t> </w:t>
            </w:r>
          </w:p>
        </w:tc>
        <w:tc>
          <w:tcPr>
            <w:tcW w:w="1022" w:type="dxa"/>
            <w:tcBorders>
              <w:top w:val="nil"/>
              <w:left w:val="nil"/>
              <w:bottom w:val="nil"/>
              <w:right w:val="nil"/>
            </w:tcBorders>
            <w:shd w:val="clear" w:color="000000" w:fill="7F7F7F"/>
            <w:noWrap/>
            <w:vAlign w:val="center"/>
            <w:hideMark/>
          </w:tcPr>
          <w:p w:rsidR="009610B9" w:rsidRPr="00210273" w:rsidRDefault="009610B9" w:rsidP="004E7315">
            <w:pPr>
              <w:jc w:val="right"/>
              <w:rPr>
                <w:rFonts w:cs="Arial"/>
                <w:b/>
                <w:bCs/>
                <w:color w:val="FFFFFF" w:themeColor="background1"/>
                <w:szCs w:val="18"/>
                <w:lang w:eastAsia="en-AU"/>
              </w:rPr>
            </w:pPr>
            <w:r w:rsidRPr="00210273">
              <w:rPr>
                <w:rFonts w:cs="Arial"/>
                <w:b/>
                <w:bCs/>
                <w:color w:val="FFFFFF" w:themeColor="background1"/>
                <w:szCs w:val="18"/>
                <w:lang w:eastAsia="en-AU"/>
              </w:rPr>
              <w:t>2010</w:t>
            </w:r>
          </w:p>
        </w:tc>
        <w:tc>
          <w:tcPr>
            <w:tcW w:w="1023" w:type="dxa"/>
            <w:tcBorders>
              <w:top w:val="nil"/>
              <w:left w:val="nil"/>
              <w:bottom w:val="nil"/>
              <w:right w:val="nil"/>
            </w:tcBorders>
            <w:shd w:val="clear" w:color="000000" w:fill="7F7F7F"/>
            <w:noWrap/>
            <w:vAlign w:val="center"/>
            <w:hideMark/>
          </w:tcPr>
          <w:p w:rsidR="009610B9" w:rsidRPr="00210273" w:rsidRDefault="009610B9" w:rsidP="004E7315">
            <w:pPr>
              <w:jc w:val="right"/>
              <w:rPr>
                <w:rFonts w:cs="Arial"/>
                <w:b/>
                <w:bCs/>
                <w:color w:val="FFFFFF" w:themeColor="background1"/>
                <w:szCs w:val="18"/>
                <w:lang w:eastAsia="en-AU"/>
              </w:rPr>
            </w:pPr>
            <w:r w:rsidRPr="00210273">
              <w:rPr>
                <w:rFonts w:cs="Arial"/>
                <w:b/>
                <w:bCs/>
                <w:color w:val="FFFFFF" w:themeColor="background1"/>
                <w:szCs w:val="18"/>
                <w:lang w:eastAsia="en-AU"/>
              </w:rPr>
              <w:t>2011</w:t>
            </w:r>
          </w:p>
        </w:tc>
        <w:tc>
          <w:tcPr>
            <w:tcW w:w="1022" w:type="dxa"/>
            <w:tcBorders>
              <w:top w:val="nil"/>
              <w:left w:val="nil"/>
              <w:bottom w:val="nil"/>
              <w:right w:val="nil"/>
            </w:tcBorders>
            <w:shd w:val="clear" w:color="000000" w:fill="7F7F7F"/>
            <w:noWrap/>
            <w:vAlign w:val="center"/>
            <w:hideMark/>
          </w:tcPr>
          <w:p w:rsidR="009610B9" w:rsidRPr="00210273" w:rsidRDefault="009610B9" w:rsidP="004E7315">
            <w:pPr>
              <w:jc w:val="right"/>
              <w:rPr>
                <w:rFonts w:cs="Arial"/>
                <w:b/>
                <w:bCs/>
                <w:color w:val="FFFFFF" w:themeColor="background1"/>
                <w:szCs w:val="18"/>
                <w:lang w:eastAsia="en-AU"/>
              </w:rPr>
            </w:pPr>
            <w:r w:rsidRPr="00210273">
              <w:rPr>
                <w:rFonts w:cs="Arial"/>
                <w:b/>
                <w:bCs/>
                <w:color w:val="FFFFFF" w:themeColor="background1"/>
                <w:szCs w:val="18"/>
                <w:lang w:eastAsia="en-AU"/>
              </w:rPr>
              <w:t>2012</w:t>
            </w:r>
          </w:p>
        </w:tc>
        <w:tc>
          <w:tcPr>
            <w:tcW w:w="1023" w:type="dxa"/>
            <w:tcBorders>
              <w:top w:val="nil"/>
              <w:left w:val="nil"/>
              <w:bottom w:val="nil"/>
              <w:right w:val="nil"/>
            </w:tcBorders>
            <w:shd w:val="clear" w:color="000000" w:fill="7F7F7F"/>
            <w:noWrap/>
            <w:vAlign w:val="center"/>
            <w:hideMark/>
          </w:tcPr>
          <w:p w:rsidR="009610B9" w:rsidRPr="00210273" w:rsidRDefault="009610B9" w:rsidP="004E7315">
            <w:pPr>
              <w:jc w:val="right"/>
              <w:rPr>
                <w:rFonts w:cs="Arial"/>
                <w:b/>
                <w:bCs/>
                <w:color w:val="FFFFFF" w:themeColor="background1"/>
                <w:szCs w:val="18"/>
                <w:lang w:eastAsia="en-AU"/>
              </w:rPr>
            </w:pPr>
            <w:r w:rsidRPr="00210273">
              <w:rPr>
                <w:rFonts w:cs="Arial"/>
                <w:b/>
                <w:bCs/>
                <w:color w:val="FFFFFF" w:themeColor="background1"/>
                <w:szCs w:val="18"/>
                <w:lang w:eastAsia="en-AU"/>
              </w:rPr>
              <w:t>2013</w:t>
            </w:r>
          </w:p>
        </w:tc>
        <w:tc>
          <w:tcPr>
            <w:tcW w:w="1022" w:type="dxa"/>
            <w:tcBorders>
              <w:top w:val="nil"/>
              <w:left w:val="nil"/>
              <w:bottom w:val="nil"/>
              <w:right w:val="nil"/>
            </w:tcBorders>
            <w:shd w:val="clear" w:color="000000" w:fill="7F7F7F"/>
            <w:noWrap/>
            <w:vAlign w:val="center"/>
            <w:hideMark/>
          </w:tcPr>
          <w:p w:rsidR="009610B9" w:rsidRPr="00210273" w:rsidRDefault="009610B9" w:rsidP="004E7315">
            <w:pPr>
              <w:jc w:val="right"/>
              <w:rPr>
                <w:rFonts w:cs="Arial"/>
                <w:b/>
                <w:bCs/>
                <w:color w:val="FFFFFF" w:themeColor="background1"/>
                <w:szCs w:val="18"/>
                <w:lang w:eastAsia="en-AU"/>
              </w:rPr>
            </w:pPr>
            <w:r w:rsidRPr="00210273">
              <w:rPr>
                <w:rFonts w:cs="Arial"/>
                <w:b/>
                <w:bCs/>
                <w:color w:val="FFFFFF" w:themeColor="background1"/>
                <w:szCs w:val="18"/>
                <w:lang w:eastAsia="en-AU"/>
              </w:rPr>
              <w:t>2014</w:t>
            </w:r>
          </w:p>
        </w:tc>
        <w:tc>
          <w:tcPr>
            <w:tcW w:w="1023" w:type="dxa"/>
            <w:tcBorders>
              <w:top w:val="nil"/>
              <w:left w:val="nil"/>
              <w:bottom w:val="nil"/>
              <w:right w:val="nil"/>
            </w:tcBorders>
            <w:shd w:val="clear" w:color="000000" w:fill="7F7F7F"/>
            <w:noWrap/>
            <w:vAlign w:val="center"/>
            <w:hideMark/>
          </w:tcPr>
          <w:p w:rsidR="009610B9" w:rsidRPr="00210273" w:rsidRDefault="009610B9" w:rsidP="004E7315">
            <w:pPr>
              <w:jc w:val="right"/>
              <w:rPr>
                <w:rFonts w:cs="Arial"/>
                <w:b/>
                <w:bCs/>
                <w:color w:val="FFFFFF" w:themeColor="background1"/>
                <w:szCs w:val="18"/>
                <w:lang w:eastAsia="en-AU"/>
              </w:rPr>
            </w:pPr>
            <w:r w:rsidRPr="00210273">
              <w:rPr>
                <w:rFonts w:cs="Arial"/>
                <w:b/>
                <w:bCs/>
                <w:color w:val="FFFFFF" w:themeColor="background1"/>
                <w:szCs w:val="18"/>
                <w:lang w:eastAsia="en-AU"/>
              </w:rPr>
              <w:t>2015</w:t>
            </w:r>
          </w:p>
        </w:tc>
      </w:tr>
      <w:tr w:rsidR="009610B9" w:rsidRPr="00210273" w:rsidTr="004E7315">
        <w:trPr>
          <w:trHeight w:val="300"/>
        </w:trPr>
        <w:tc>
          <w:tcPr>
            <w:tcW w:w="1960" w:type="dxa"/>
            <w:tcBorders>
              <w:top w:val="nil"/>
              <w:left w:val="nil"/>
              <w:bottom w:val="nil"/>
              <w:right w:val="nil"/>
            </w:tcBorders>
            <w:shd w:val="clear" w:color="auto" w:fill="auto"/>
            <w:noWrap/>
            <w:vAlign w:val="center"/>
            <w:hideMark/>
          </w:tcPr>
          <w:p w:rsidR="009610B9" w:rsidRPr="006C5E5D" w:rsidRDefault="009610B9" w:rsidP="004E7315">
            <w:pPr>
              <w:rPr>
                <w:rFonts w:cs="Arial"/>
                <w:color w:val="7F7F7F" w:themeColor="text1" w:themeTint="80"/>
                <w:szCs w:val="18"/>
                <w:lang w:eastAsia="en-AU"/>
              </w:rPr>
            </w:pPr>
            <w:r w:rsidRPr="006C5E5D">
              <w:rPr>
                <w:rFonts w:cs="Arial"/>
                <w:color w:val="7F7F7F" w:themeColor="text1" w:themeTint="80"/>
                <w:szCs w:val="18"/>
                <w:lang w:eastAsia="en-AU"/>
              </w:rPr>
              <w:t>Students</w:t>
            </w:r>
          </w:p>
        </w:tc>
        <w:tc>
          <w:tcPr>
            <w:tcW w:w="1022" w:type="dxa"/>
            <w:tcBorders>
              <w:top w:val="nil"/>
              <w:left w:val="nil"/>
              <w:bottom w:val="nil"/>
              <w:right w:val="nil"/>
            </w:tcBorders>
            <w:shd w:val="clear" w:color="auto" w:fill="auto"/>
            <w:noWrap/>
            <w:vAlign w:val="center"/>
            <w:hideMark/>
          </w:tcPr>
          <w:p w:rsidR="009610B9" w:rsidRPr="006C5E5D" w:rsidRDefault="009610B9" w:rsidP="004E7315">
            <w:pPr>
              <w:jc w:val="right"/>
              <w:rPr>
                <w:rFonts w:cs="Arial"/>
                <w:color w:val="7F7F7F" w:themeColor="text1" w:themeTint="80"/>
                <w:szCs w:val="18"/>
                <w:lang w:eastAsia="en-AU"/>
              </w:rPr>
            </w:pPr>
            <w:r w:rsidRPr="006C5E5D">
              <w:rPr>
                <w:rFonts w:cs="Arial"/>
                <w:color w:val="7F7F7F" w:themeColor="text1" w:themeTint="80"/>
                <w:szCs w:val="18"/>
                <w:lang w:eastAsia="en-AU"/>
              </w:rPr>
              <w:t>5,835</w:t>
            </w:r>
          </w:p>
        </w:tc>
        <w:tc>
          <w:tcPr>
            <w:tcW w:w="1023" w:type="dxa"/>
            <w:tcBorders>
              <w:top w:val="nil"/>
              <w:left w:val="nil"/>
              <w:bottom w:val="nil"/>
              <w:right w:val="nil"/>
            </w:tcBorders>
            <w:shd w:val="clear" w:color="auto" w:fill="auto"/>
            <w:noWrap/>
            <w:vAlign w:val="center"/>
            <w:hideMark/>
          </w:tcPr>
          <w:p w:rsidR="009610B9" w:rsidRPr="006C5E5D" w:rsidRDefault="009610B9" w:rsidP="004E7315">
            <w:pPr>
              <w:jc w:val="right"/>
              <w:rPr>
                <w:rFonts w:cs="Arial"/>
                <w:color w:val="7F7F7F" w:themeColor="text1" w:themeTint="80"/>
                <w:szCs w:val="18"/>
                <w:lang w:eastAsia="en-AU"/>
              </w:rPr>
            </w:pPr>
            <w:r w:rsidRPr="006C5E5D">
              <w:rPr>
                <w:rFonts w:cs="Arial"/>
                <w:color w:val="7F7F7F" w:themeColor="text1" w:themeTint="80"/>
                <w:szCs w:val="18"/>
                <w:lang w:eastAsia="en-AU"/>
              </w:rPr>
              <w:t>8,491</w:t>
            </w:r>
          </w:p>
        </w:tc>
        <w:tc>
          <w:tcPr>
            <w:tcW w:w="1022" w:type="dxa"/>
            <w:tcBorders>
              <w:top w:val="nil"/>
              <w:left w:val="nil"/>
              <w:bottom w:val="nil"/>
              <w:right w:val="nil"/>
            </w:tcBorders>
            <w:shd w:val="clear" w:color="auto" w:fill="auto"/>
            <w:noWrap/>
            <w:vAlign w:val="center"/>
            <w:hideMark/>
          </w:tcPr>
          <w:p w:rsidR="009610B9" w:rsidRPr="006C5E5D" w:rsidRDefault="009610B9" w:rsidP="004E7315">
            <w:pPr>
              <w:jc w:val="right"/>
              <w:rPr>
                <w:rFonts w:cs="Arial"/>
                <w:color w:val="7F7F7F" w:themeColor="text1" w:themeTint="80"/>
                <w:szCs w:val="18"/>
                <w:lang w:eastAsia="en-AU"/>
              </w:rPr>
            </w:pPr>
            <w:r w:rsidRPr="006C5E5D">
              <w:rPr>
                <w:rFonts w:cs="Arial"/>
                <w:color w:val="7F7F7F" w:themeColor="text1" w:themeTint="80"/>
                <w:szCs w:val="18"/>
                <w:lang w:eastAsia="en-AU"/>
              </w:rPr>
              <w:t>10,895</w:t>
            </w:r>
          </w:p>
        </w:tc>
        <w:tc>
          <w:tcPr>
            <w:tcW w:w="1023" w:type="dxa"/>
            <w:tcBorders>
              <w:top w:val="nil"/>
              <w:left w:val="nil"/>
              <w:bottom w:val="nil"/>
              <w:right w:val="nil"/>
            </w:tcBorders>
            <w:shd w:val="clear" w:color="auto" w:fill="auto"/>
            <w:noWrap/>
            <w:vAlign w:val="center"/>
            <w:hideMark/>
          </w:tcPr>
          <w:p w:rsidR="009610B9" w:rsidRPr="006C5E5D" w:rsidRDefault="009610B9" w:rsidP="004E7315">
            <w:pPr>
              <w:jc w:val="right"/>
              <w:rPr>
                <w:rFonts w:cs="Arial"/>
                <w:color w:val="7F7F7F" w:themeColor="text1" w:themeTint="80"/>
                <w:szCs w:val="18"/>
                <w:lang w:eastAsia="en-AU"/>
              </w:rPr>
            </w:pPr>
            <w:r w:rsidRPr="006C5E5D">
              <w:rPr>
                <w:rFonts w:cs="Arial"/>
                <w:color w:val="7F7F7F" w:themeColor="text1" w:themeTint="80"/>
                <w:szCs w:val="18"/>
                <w:lang w:eastAsia="en-AU"/>
              </w:rPr>
              <w:t>11,698</w:t>
            </w:r>
          </w:p>
        </w:tc>
        <w:tc>
          <w:tcPr>
            <w:tcW w:w="1022" w:type="dxa"/>
            <w:tcBorders>
              <w:top w:val="nil"/>
              <w:left w:val="nil"/>
              <w:bottom w:val="nil"/>
              <w:right w:val="nil"/>
            </w:tcBorders>
            <w:shd w:val="clear" w:color="auto" w:fill="auto"/>
            <w:noWrap/>
            <w:vAlign w:val="center"/>
            <w:hideMark/>
          </w:tcPr>
          <w:p w:rsidR="009610B9" w:rsidRPr="006C5E5D" w:rsidRDefault="009610B9" w:rsidP="004E7315">
            <w:pPr>
              <w:jc w:val="right"/>
              <w:rPr>
                <w:rFonts w:cs="Arial"/>
                <w:color w:val="7F7F7F" w:themeColor="text1" w:themeTint="80"/>
                <w:szCs w:val="18"/>
                <w:lang w:eastAsia="en-AU"/>
              </w:rPr>
            </w:pPr>
            <w:r w:rsidRPr="006C5E5D">
              <w:rPr>
                <w:rFonts w:cs="Arial"/>
                <w:color w:val="7F7F7F" w:themeColor="text1" w:themeTint="80"/>
                <w:szCs w:val="18"/>
                <w:lang w:eastAsia="en-AU"/>
              </w:rPr>
              <w:t>11,984</w:t>
            </w:r>
          </w:p>
        </w:tc>
        <w:tc>
          <w:tcPr>
            <w:tcW w:w="1023" w:type="dxa"/>
            <w:tcBorders>
              <w:top w:val="nil"/>
              <w:left w:val="nil"/>
              <w:bottom w:val="nil"/>
              <w:right w:val="nil"/>
            </w:tcBorders>
            <w:shd w:val="clear" w:color="auto" w:fill="auto"/>
            <w:noWrap/>
            <w:vAlign w:val="center"/>
            <w:hideMark/>
          </w:tcPr>
          <w:p w:rsidR="009610B9" w:rsidRPr="006C5E5D" w:rsidRDefault="009610B9" w:rsidP="004E7315">
            <w:pPr>
              <w:jc w:val="right"/>
              <w:rPr>
                <w:rFonts w:cs="Arial"/>
                <w:color w:val="7F7F7F" w:themeColor="text1" w:themeTint="80"/>
                <w:szCs w:val="18"/>
                <w:lang w:eastAsia="en-AU"/>
              </w:rPr>
            </w:pPr>
            <w:r w:rsidRPr="006C5E5D">
              <w:rPr>
                <w:rFonts w:cs="Arial"/>
                <w:color w:val="7F7F7F" w:themeColor="text1" w:themeTint="80"/>
                <w:szCs w:val="18"/>
                <w:lang w:eastAsia="en-AU"/>
              </w:rPr>
              <w:t>11,593</w:t>
            </w:r>
          </w:p>
        </w:tc>
      </w:tr>
      <w:tr w:rsidR="009610B9" w:rsidRPr="00210273" w:rsidTr="004E7315">
        <w:trPr>
          <w:trHeight w:val="315"/>
        </w:trPr>
        <w:tc>
          <w:tcPr>
            <w:tcW w:w="1960" w:type="dxa"/>
            <w:tcBorders>
              <w:top w:val="nil"/>
              <w:left w:val="nil"/>
              <w:bottom w:val="single" w:sz="12" w:space="0" w:color="7F7F7F"/>
              <w:right w:val="nil"/>
            </w:tcBorders>
            <w:shd w:val="clear" w:color="auto" w:fill="auto"/>
            <w:noWrap/>
            <w:vAlign w:val="center"/>
            <w:hideMark/>
          </w:tcPr>
          <w:p w:rsidR="009610B9" w:rsidRPr="006C5E5D" w:rsidRDefault="009610B9" w:rsidP="004E7315">
            <w:pPr>
              <w:rPr>
                <w:rFonts w:cs="Arial"/>
                <w:color w:val="7F7F7F" w:themeColor="text1" w:themeTint="80"/>
                <w:szCs w:val="18"/>
                <w:lang w:eastAsia="en-AU"/>
              </w:rPr>
            </w:pPr>
            <w:r w:rsidRPr="006C5E5D">
              <w:rPr>
                <w:rFonts w:cs="Arial"/>
                <w:color w:val="7F7F7F" w:themeColor="text1" w:themeTint="80"/>
                <w:szCs w:val="18"/>
                <w:lang w:eastAsia="en-AU"/>
              </w:rPr>
              <w:t>Module Enrolments</w:t>
            </w:r>
          </w:p>
        </w:tc>
        <w:tc>
          <w:tcPr>
            <w:tcW w:w="1022" w:type="dxa"/>
            <w:tcBorders>
              <w:top w:val="nil"/>
              <w:left w:val="nil"/>
              <w:bottom w:val="single" w:sz="12" w:space="0" w:color="7F7F7F"/>
              <w:right w:val="nil"/>
            </w:tcBorders>
            <w:shd w:val="clear" w:color="auto" w:fill="auto"/>
            <w:noWrap/>
            <w:vAlign w:val="center"/>
            <w:hideMark/>
          </w:tcPr>
          <w:p w:rsidR="009610B9" w:rsidRPr="006C5E5D" w:rsidRDefault="009610B9" w:rsidP="004E7315">
            <w:pPr>
              <w:jc w:val="right"/>
              <w:rPr>
                <w:rFonts w:cs="Arial"/>
                <w:color w:val="7F7F7F" w:themeColor="text1" w:themeTint="80"/>
                <w:szCs w:val="18"/>
                <w:lang w:eastAsia="en-AU"/>
              </w:rPr>
            </w:pPr>
            <w:r w:rsidRPr="006C5E5D">
              <w:rPr>
                <w:rFonts w:cs="Arial"/>
                <w:color w:val="7F7F7F" w:themeColor="text1" w:themeTint="80"/>
                <w:szCs w:val="18"/>
                <w:lang w:eastAsia="en-AU"/>
              </w:rPr>
              <w:t>8,149</w:t>
            </w:r>
          </w:p>
        </w:tc>
        <w:tc>
          <w:tcPr>
            <w:tcW w:w="1023" w:type="dxa"/>
            <w:tcBorders>
              <w:top w:val="nil"/>
              <w:left w:val="nil"/>
              <w:bottom w:val="single" w:sz="12" w:space="0" w:color="7F7F7F"/>
              <w:right w:val="nil"/>
            </w:tcBorders>
            <w:shd w:val="clear" w:color="auto" w:fill="auto"/>
            <w:noWrap/>
            <w:vAlign w:val="center"/>
            <w:hideMark/>
          </w:tcPr>
          <w:p w:rsidR="009610B9" w:rsidRPr="006C5E5D" w:rsidRDefault="009610B9" w:rsidP="004E7315">
            <w:pPr>
              <w:jc w:val="right"/>
              <w:rPr>
                <w:rFonts w:cs="Arial"/>
                <w:color w:val="7F7F7F" w:themeColor="text1" w:themeTint="80"/>
                <w:szCs w:val="18"/>
                <w:lang w:eastAsia="en-AU"/>
              </w:rPr>
            </w:pPr>
            <w:r w:rsidRPr="006C5E5D">
              <w:rPr>
                <w:rFonts w:cs="Arial"/>
                <w:color w:val="7F7F7F" w:themeColor="text1" w:themeTint="80"/>
                <w:szCs w:val="18"/>
                <w:lang w:eastAsia="en-AU"/>
              </w:rPr>
              <w:t>11,582</w:t>
            </w:r>
          </w:p>
        </w:tc>
        <w:tc>
          <w:tcPr>
            <w:tcW w:w="1022" w:type="dxa"/>
            <w:tcBorders>
              <w:top w:val="nil"/>
              <w:left w:val="nil"/>
              <w:bottom w:val="single" w:sz="12" w:space="0" w:color="7F7F7F"/>
              <w:right w:val="nil"/>
            </w:tcBorders>
            <w:shd w:val="clear" w:color="auto" w:fill="auto"/>
            <w:noWrap/>
            <w:vAlign w:val="center"/>
            <w:hideMark/>
          </w:tcPr>
          <w:p w:rsidR="009610B9" w:rsidRPr="006C5E5D" w:rsidRDefault="009610B9" w:rsidP="004E7315">
            <w:pPr>
              <w:jc w:val="right"/>
              <w:rPr>
                <w:rFonts w:cs="Arial"/>
                <w:color w:val="7F7F7F" w:themeColor="text1" w:themeTint="80"/>
                <w:szCs w:val="18"/>
                <w:lang w:eastAsia="en-AU"/>
              </w:rPr>
            </w:pPr>
            <w:r w:rsidRPr="006C5E5D">
              <w:rPr>
                <w:rFonts w:cs="Arial"/>
                <w:color w:val="7F7F7F" w:themeColor="text1" w:themeTint="80"/>
                <w:szCs w:val="18"/>
                <w:lang w:eastAsia="en-AU"/>
              </w:rPr>
              <w:t>14,407</w:t>
            </w:r>
          </w:p>
        </w:tc>
        <w:tc>
          <w:tcPr>
            <w:tcW w:w="1023" w:type="dxa"/>
            <w:tcBorders>
              <w:top w:val="nil"/>
              <w:left w:val="nil"/>
              <w:bottom w:val="single" w:sz="12" w:space="0" w:color="7F7F7F"/>
              <w:right w:val="nil"/>
            </w:tcBorders>
            <w:shd w:val="clear" w:color="auto" w:fill="auto"/>
            <w:noWrap/>
            <w:vAlign w:val="center"/>
            <w:hideMark/>
          </w:tcPr>
          <w:p w:rsidR="009610B9" w:rsidRPr="006C5E5D" w:rsidRDefault="009610B9" w:rsidP="004E7315">
            <w:pPr>
              <w:jc w:val="right"/>
              <w:rPr>
                <w:rFonts w:cs="Arial"/>
                <w:color w:val="7F7F7F" w:themeColor="text1" w:themeTint="80"/>
                <w:szCs w:val="18"/>
                <w:lang w:eastAsia="en-AU"/>
              </w:rPr>
            </w:pPr>
            <w:r w:rsidRPr="006C5E5D">
              <w:rPr>
                <w:rFonts w:cs="Arial"/>
                <w:color w:val="7F7F7F" w:themeColor="text1" w:themeTint="80"/>
                <w:szCs w:val="18"/>
                <w:lang w:eastAsia="en-AU"/>
              </w:rPr>
              <w:t>17,371</w:t>
            </w:r>
          </w:p>
        </w:tc>
        <w:tc>
          <w:tcPr>
            <w:tcW w:w="1022" w:type="dxa"/>
            <w:tcBorders>
              <w:top w:val="nil"/>
              <w:left w:val="nil"/>
              <w:bottom w:val="single" w:sz="12" w:space="0" w:color="7F7F7F"/>
              <w:right w:val="nil"/>
            </w:tcBorders>
            <w:shd w:val="clear" w:color="auto" w:fill="auto"/>
            <w:noWrap/>
            <w:vAlign w:val="center"/>
            <w:hideMark/>
          </w:tcPr>
          <w:p w:rsidR="009610B9" w:rsidRPr="006C5E5D" w:rsidRDefault="009610B9" w:rsidP="004E7315">
            <w:pPr>
              <w:jc w:val="right"/>
              <w:rPr>
                <w:rFonts w:cs="Arial"/>
                <w:color w:val="7F7F7F" w:themeColor="text1" w:themeTint="80"/>
                <w:szCs w:val="18"/>
                <w:lang w:eastAsia="en-AU"/>
              </w:rPr>
            </w:pPr>
            <w:r w:rsidRPr="006C5E5D">
              <w:rPr>
                <w:rFonts w:cs="Arial"/>
                <w:color w:val="7F7F7F" w:themeColor="text1" w:themeTint="80"/>
                <w:szCs w:val="18"/>
                <w:lang w:eastAsia="en-AU"/>
              </w:rPr>
              <w:t>17,108</w:t>
            </w:r>
          </w:p>
        </w:tc>
        <w:tc>
          <w:tcPr>
            <w:tcW w:w="1023" w:type="dxa"/>
            <w:tcBorders>
              <w:top w:val="nil"/>
              <w:left w:val="nil"/>
              <w:bottom w:val="single" w:sz="12" w:space="0" w:color="7F7F7F"/>
              <w:right w:val="nil"/>
            </w:tcBorders>
            <w:shd w:val="clear" w:color="auto" w:fill="auto"/>
            <w:noWrap/>
            <w:vAlign w:val="center"/>
            <w:hideMark/>
          </w:tcPr>
          <w:p w:rsidR="009610B9" w:rsidRPr="006C5E5D" w:rsidRDefault="009610B9" w:rsidP="004E7315">
            <w:pPr>
              <w:jc w:val="right"/>
              <w:rPr>
                <w:rFonts w:cs="Arial"/>
                <w:color w:val="7F7F7F" w:themeColor="text1" w:themeTint="80"/>
                <w:szCs w:val="18"/>
                <w:lang w:eastAsia="en-AU"/>
              </w:rPr>
            </w:pPr>
            <w:r w:rsidRPr="006C5E5D">
              <w:rPr>
                <w:rFonts w:cs="Arial"/>
                <w:color w:val="7F7F7F" w:themeColor="text1" w:themeTint="80"/>
                <w:szCs w:val="18"/>
                <w:lang w:eastAsia="en-AU"/>
              </w:rPr>
              <w:t>16,438</w:t>
            </w:r>
          </w:p>
        </w:tc>
      </w:tr>
    </w:tbl>
    <w:p w:rsidR="009610B9" w:rsidRDefault="009610B9" w:rsidP="009610B9">
      <w:pPr>
        <w:rPr>
          <w:rFonts w:cs="Arial"/>
          <w:bCs/>
          <w:color w:val="7F7F7F" w:themeColor="text2"/>
          <w:kern w:val="32"/>
          <w:szCs w:val="18"/>
        </w:rPr>
      </w:pPr>
    </w:p>
    <w:p w:rsidR="009610B9" w:rsidRDefault="009610B9" w:rsidP="009610B9">
      <w:pPr>
        <w:rPr>
          <w:rFonts w:cs="Arial"/>
          <w:bCs/>
          <w:color w:val="7F7F7F" w:themeColor="text2"/>
          <w:kern w:val="32"/>
          <w:szCs w:val="18"/>
        </w:rPr>
      </w:pPr>
      <w:r>
        <w:rPr>
          <w:rFonts w:cs="Arial"/>
          <w:bCs/>
          <w:color w:val="7F7F7F" w:themeColor="text2"/>
          <w:kern w:val="32"/>
          <w:szCs w:val="18"/>
        </w:rPr>
        <w:br w:type="page"/>
      </w: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9610B9" w:rsidRPr="009655A3" w:rsidTr="004E7315">
        <w:tc>
          <w:tcPr>
            <w:tcW w:w="1134" w:type="dxa"/>
            <w:tcMar>
              <w:left w:w="0" w:type="dxa"/>
              <w:right w:w="0" w:type="dxa"/>
            </w:tcMar>
          </w:tcPr>
          <w:p w:rsidR="009610B9" w:rsidRDefault="009610B9" w:rsidP="004E7315">
            <w:pPr>
              <w:pStyle w:val="Quote"/>
              <w:tabs>
                <w:tab w:val="left" w:pos="1134"/>
              </w:tabs>
              <w:rPr>
                <w:b w:val="0"/>
                <w:color w:val="B41F22" w:themeColor="accent1"/>
              </w:rPr>
            </w:pPr>
            <w:r>
              <w:rPr>
                <w:b w:val="0"/>
                <w:color w:val="B41F22" w:themeColor="accent1"/>
              </w:rPr>
              <w:lastRenderedPageBreak/>
              <w:t>Table 1.37.2:</w:t>
            </w:r>
          </w:p>
        </w:tc>
        <w:tc>
          <w:tcPr>
            <w:tcW w:w="6946" w:type="dxa"/>
            <w:tcMar>
              <w:left w:w="0" w:type="dxa"/>
              <w:right w:w="0" w:type="dxa"/>
            </w:tcMar>
          </w:tcPr>
          <w:p w:rsidR="009610B9" w:rsidRPr="009655A3" w:rsidRDefault="009610B9" w:rsidP="004E7315">
            <w:pPr>
              <w:pStyle w:val="Quote"/>
              <w:tabs>
                <w:tab w:val="left" w:pos="1134"/>
              </w:tabs>
              <w:rPr>
                <w:b w:val="0"/>
                <w:color w:val="B41F22" w:themeColor="accent1"/>
              </w:rPr>
            </w:pPr>
            <w:r w:rsidRPr="009655A3">
              <w:rPr>
                <w:b w:val="0"/>
                <w:color w:val="B41F22" w:themeColor="accent1"/>
              </w:rPr>
              <w:t>Government subsidised pre-accredited training, Learn Local (ACE) providers, change in number of students and module enrolments (half year)</w:t>
            </w:r>
          </w:p>
        </w:tc>
      </w:tr>
    </w:tbl>
    <w:tbl>
      <w:tblPr>
        <w:tblW w:w="8095" w:type="dxa"/>
        <w:tblInd w:w="93" w:type="dxa"/>
        <w:tblLayout w:type="fixed"/>
        <w:tblLook w:val="04A0" w:firstRow="1" w:lastRow="0" w:firstColumn="1" w:lastColumn="0" w:noHBand="0" w:noVBand="1"/>
      </w:tblPr>
      <w:tblGrid>
        <w:gridCol w:w="1960"/>
        <w:gridCol w:w="1227"/>
        <w:gridCol w:w="1227"/>
        <w:gridCol w:w="1227"/>
        <w:gridCol w:w="1227"/>
        <w:gridCol w:w="1227"/>
      </w:tblGrid>
      <w:tr w:rsidR="009610B9" w:rsidRPr="003F037A" w:rsidTr="004E7315">
        <w:trPr>
          <w:trHeight w:val="720"/>
        </w:trPr>
        <w:tc>
          <w:tcPr>
            <w:tcW w:w="1960" w:type="dxa"/>
            <w:tcBorders>
              <w:top w:val="nil"/>
              <w:left w:val="nil"/>
              <w:bottom w:val="nil"/>
              <w:right w:val="nil"/>
            </w:tcBorders>
            <w:shd w:val="clear" w:color="000000" w:fill="7F7F7F"/>
            <w:noWrap/>
            <w:vAlign w:val="center"/>
            <w:hideMark/>
          </w:tcPr>
          <w:p w:rsidR="009610B9" w:rsidRPr="003F037A" w:rsidRDefault="009610B9" w:rsidP="004E7315">
            <w:pPr>
              <w:rPr>
                <w:rFonts w:cs="Arial"/>
                <w:color w:val="FFFFFF"/>
                <w:szCs w:val="18"/>
                <w:lang w:eastAsia="en-AU"/>
              </w:rPr>
            </w:pPr>
            <w:r w:rsidRPr="003F037A">
              <w:rPr>
                <w:rFonts w:cs="Arial"/>
                <w:color w:val="FFFFFF"/>
                <w:szCs w:val="18"/>
                <w:lang w:eastAsia="en-AU"/>
              </w:rPr>
              <w:t> </w:t>
            </w:r>
          </w:p>
        </w:tc>
        <w:tc>
          <w:tcPr>
            <w:tcW w:w="1227" w:type="dxa"/>
            <w:tcBorders>
              <w:top w:val="nil"/>
              <w:left w:val="nil"/>
              <w:bottom w:val="nil"/>
              <w:right w:val="nil"/>
            </w:tcBorders>
            <w:shd w:val="clear" w:color="000000" w:fill="7F7F7F"/>
            <w:vAlign w:val="center"/>
            <w:hideMark/>
          </w:tcPr>
          <w:p w:rsidR="009610B9" w:rsidRPr="003F037A" w:rsidRDefault="009610B9" w:rsidP="004E7315">
            <w:pPr>
              <w:jc w:val="right"/>
              <w:rPr>
                <w:rFonts w:cs="Arial"/>
                <w:b/>
                <w:bCs/>
                <w:color w:val="FFFFFF"/>
                <w:szCs w:val="18"/>
                <w:lang w:eastAsia="en-AU"/>
              </w:rPr>
            </w:pPr>
            <w:r w:rsidRPr="003F037A">
              <w:rPr>
                <w:rFonts w:cs="Arial"/>
                <w:b/>
                <w:bCs/>
                <w:color w:val="FFFFFF"/>
                <w:szCs w:val="18"/>
                <w:lang w:eastAsia="en-AU"/>
              </w:rPr>
              <w:t>% change 2010 to 2015</w:t>
            </w:r>
          </w:p>
        </w:tc>
        <w:tc>
          <w:tcPr>
            <w:tcW w:w="1227" w:type="dxa"/>
            <w:tcBorders>
              <w:top w:val="nil"/>
              <w:left w:val="nil"/>
              <w:bottom w:val="nil"/>
              <w:right w:val="nil"/>
            </w:tcBorders>
            <w:shd w:val="clear" w:color="000000" w:fill="7F7F7F"/>
            <w:vAlign w:val="center"/>
            <w:hideMark/>
          </w:tcPr>
          <w:p w:rsidR="009610B9" w:rsidRPr="003F037A" w:rsidRDefault="009610B9" w:rsidP="004E7315">
            <w:pPr>
              <w:jc w:val="right"/>
              <w:rPr>
                <w:rFonts w:cs="Arial"/>
                <w:b/>
                <w:bCs/>
                <w:color w:val="FFFFFF"/>
                <w:szCs w:val="18"/>
                <w:lang w:eastAsia="en-AU"/>
              </w:rPr>
            </w:pPr>
            <w:r w:rsidRPr="003F037A">
              <w:rPr>
                <w:rFonts w:cs="Arial"/>
                <w:b/>
                <w:bCs/>
                <w:color w:val="FFFFFF"/>
                <w:szCs w:val="18"/>
                <w:lang w:eastAsia="en-AU"/>
              </w:rPr>
              <w:t>% change 2011 to 2015</w:t>
            </w:r>
          </w:p>
        </w:tc>
        <w:tc>
          <w:tcPr>
            <w:tcW w:w="1227" w:type="dxa"/>
            <w:tcBorders>
              <w:top w:val="nil"/>
              <w:left w:val="nil"/>
              <w:bottom w:val="nil"/>
              <w:right w:val="nil"/>
            </w:tcBorders>
            <w:shd w:val="clear" w:color="000000" w:fill="7F7F7F"/>
            <w:vAlign w:val="center"/>
            <w:hideMark/>
          </w:tcPr>
          <w:p w:rsidR="009610B9" w:rsidRPr="003F037A" w:rsidRDefault="009610B9" w:rsidP="004E7315">
            <w:pPr>
              <w:jc w:val="right"/>
              <w:rPr>
                <w:rFonts w:cs="Arial"/>
                <w:b/>
                <w:bCs/>
                <w:color w:val="FFFFFF"/>
                <w:szCs w:val="18"/>
                <w:lang w:eastAsia="en-AU"/>
              </w:rPr>
            </w:pPr>
            <w:r w:rsidRPr="003F037A">
              <w:rPr>
                <w:rFonts w:cs="Arial"/>
                <w:b/>
                <w:bCs/>
                <w:color w:val="FFFFFF"/>
                <w:szCs w:val="18"/>
                <w:lang w:eastAsia="en-AU"/>
              </w:rPr>
              <w:t>% change 2012 to 2015</w:t>
            </w:r>
          </w:p>
        </w:tc>
        <w:tc>
          <w:tcPr>
            <w:tcW w:w="1227" w:type="dxa"/>
            <w:tcBorders>
              <w:top w:val="nil"/>
              <w:left w:val="nil"/>
              <w:bottom w:val="nil"/>
              <w:right w:val="nil"/>
            </w:tcBorders>
            <w:shd w:val="clear" w:color="000000" w:fill="7F7F7F"/>
            <w:vAlign w:val="center"/>
            <w:hideMark/>
          </w:tcPr>
          <w:p w:rsidR="009610B9" w:rsidRPr="003F037A" w:rsidRDefault="009610B9" w:rsidP="004E7315">
            <w:pPr>
              <w:jc w:val="right"/>
              <w:rPr>
                <w:rFonts w:cs="Arial"/>
                <w:b/>
                <w:bCs/>
                <w:color w:val="FFFFFF"/>
                <w:szCs w:val="18"/>
                <w:lang w:eastAsia="en-AU"/>
              </w:rPr>
            </w:pPr>
            <w:r w:rsidRPr="003F037A">
              <w:rPr>
                <w:rFonts w:cs="Arial"/>
                <w:b/>
                <w:bCs/>
                <w:color w:val="FFFFFF"/>
                <w:szCs w:val="18"/>
                <w:lang w:eastAsia="en-AU"/>
              </w:rPr>
              <w:t>% change 2013 to 2015</w:t>
            </w:r>
          </w:p>
        </w:tc>
        <w:tc>
          <w:tcPr>
            <w:tcW w:w="1227" w:type="dxa"/>
            <w:tcBorders>
              <w:top w:val="nil"/>
              <w:left w:val="nil"/>
              <w:bottom w:val="nil"/>
              <w:right w:val="nil"/>
            </w:tcBorders>
            <w:shd w:val="clear" w:color="000000" w:fill="7F7F7F"/>
            <w:vAlign w:val="center"/>
            <w:hideMark/>
          </w:tcPr>
          <w:p w:rsidR="009610B9" w:rsidRPr="003F037A" w:rsidRDefault="009610B9" w:rsidP="004E7315">
            <w:pPr>
              <w:jc w:val="right"/>
              <w:rPr>
                <w:rFonts w:cs="Arial"/>
                <w:b/>
                <w:bCs/>
                <w:color w:val="FFFFFF"/>
                <w:szCs w:val="18"/>
                <w:lang w:eastAsia="en-AU"/>
              </w:rPr>
            </w:pPr>
            <w:r w:rsidRPr="003F037A">
              <w:rPr>
                <w:rFonts w:cs="Arial"/>
                <w:b/>
                <w:bCs/>
                <w:color w:val="FFFFFF"/>
                <w:szCs w:val="18"/>
                <w:lang w:eastAsia="en-AU"/>
              </w:rPr>
              <w:t>% change 2014 to 2015</w:t>
            </w:r>
          </w:p>
        </w:tc>
      </w:tr>
      <w:tr w:rsidR="009610B9" w:rsidRPr="00210273" w:rsidTr="004E7315">
        <w:trPr>
          <w:trHeight w:val="300"/>
        </w:trPr>
        <w:tc>
          <w:tcPr>
            <w:tcW w:w="1960" w:type="dxa"/>
            <w:tcBorders>
              <w:top w:val="nil"/>
              <w:left w:val="nil"/>
              <w:bottom w:val="nil"/>
              <w:right w:val="nil"/>
            </w:tcBorders>
            <w:shd w:val="clear" w:color="auto" w:fill="auto"/>
            <w:noWrap/>
            <w:vAlign w:val="center"/>
            <w:hideMark/>
          </w:tcPr>
          <w:p w:rsidR="009610B9" w:rsidRPr="006C5E5D" w:rsidRDefault="009610B9" w:rsidP="004E7315">
            <w:pPr>
              <w:rPr>
                <w:rFonts w:cs="Arial"/>
                <w:color w:val="7F7F7F" w:themeColor="text1" w:themeTint="80"/>
                <w:szCs w:val="18"/>
                <w:lang w:eastAsia="en-AU"/>
              </w:rPr>
            </w:pPr>
            <w:r w:rsidRPr="006C5E5D">
              <w:rPr>
                <w:rFonts w:cs="Arial"/>
                <w:color w:val="7F7F7F" w:themeColor="text1" w:themeTint="80"/>
                <w:szCs w:val="18"/>
                <w:lang w:eastAsia="en-AU"/>
              </w:rPr>
              <w:t>Students</w:t>
            </w:r>
          </w:p>
        </w:tc>
        <w:tc>
          <w:tcPr>
            <w:tcW w:w="1227" w:type="dxa"/>
            <w:tcBorders>
              <w:top w:val="nil"/>
              <w:left w:val="nil"/>
              <w:bottom w:val="nil"/>
              <w:right w:val="nil"/>
            </w:tcBorders>
            <w:shd w:val="clear" w:color="auto" w:fill="auto"/>
            <w:noWrap/>
            <w:vAlign w:val="center"/>
            <w:hideMark/>
          </w:tcPr>
          <w:p w:rsidR="009610B9" w:rsidRPr="006C5E5D" w:rsidRDefault="009610B9" w:rsidP="004E7315">
            <w:pPr>
              <w:jc w:val="right"/>
              <w:rPr>
                <w:rFonts w:cs="Arial"/>
                <w:color w:val="7F7F7F" w:themeColor="text1" w:themeTint="80"/>
                <w:szCs w:val="18"/>
                <w:lang w:eastAsia="en-AU"/>
              </w:rPr>
            </w:pPr>
            <w:r w:rsidRPr="006C5E5D">
              <w:rPr>
                <w:rFonts w:cs="Arial"/>
                <w:color w:val="7F7F7F" w:themeColor="text1" w:themeTint="80"/>
                <w:szCs w:val="18"/>
                <w:lang w:eastAsia="en-AU"/>
              </w:rPr>
              <w:t>99%</w:t>
            </w:r>
          </w:p>
        </w:tc>
        <w:tc>
          <w:tcPr>
            <w:tcW w:w="1227" w:type="dxa"/>
            <w:tcBorders>
              <w:top w:val="nil"/>
              <w:left w:val="nil"/>
              <w:bottom w:val="nil"/>
              <w:right w:val="nil"/>
            </w:tcBorders>
            <w:shd w:val="clear" w:color="auto" w:fill="auto"/>
            <w:noWrap/>
            <w:vAlign w:val="center"/>
            <w:hideMark/>
          </w:tcPr>
          <w:p w:rsidR="009610B9" w:rsidRPr="006C5E5D" w:rsidRDefault="009610B9" w:rsidP="004E7315">
            <w:pPr>
              <w:jc w:val="right"/>
              <w:rPr>
                <w:rFonts w:cs="Arial"/>
                <w:color w:val="7F7F7F" w:themeColor="text1" w:themeTint="80"/>
                <w:szCs w:val="18"/>
                <w:lang w:eastAsia="en-AU"/>
              </w:rPr>
            </w:pPr>
            <w:r w:rsidRPr="006C5E5D">
              <w:rPr>
                <w:rFonts w:cs="Arial"/>
                <w:color w:val="7F7F7F" w:themeColor="text1" w:themeTint="80"/>
                <w:szCs w:val="18"/>
                <w:lang w:eastAsia="en-AU"/>
              </w:rPr>
              <w:t>37%</w:t>
            </w:r>
          </w:p>
        </w:tc>
        <w:tc>
          <w:tcPr>
            <w:tcW w:w="1227" w:type="dxa"/>
            <w:tcBorders>
              <w:top w:val="nil"/>
              <w:left w:val="nil"/>
              <w:bottom w:val="nil"/>
              <w:right w:val="nil"/>
            </w:tcBorders>
            <w:shd w:val="clear" w:color="auto" w:fill="auto"/>
            <w:noWrap/>
            <w:vAlign w:val="center"/>
            <w:hideMark/>
          </w:tcPr>
          <w:p w:rsidR="009610B9" w:rsidRPr="006C5E5D" w:rsidRDefault="009610B9" w:rsidP="004E7315">
            <w:pPr>
              <w:jc w:val="right"/>
              <w:rPr>
                <w:rFonts w:cs="Arial"/>
                <w:color w:val="7F7F7F" w:themeColor="text1" w:themeTint="80"/>
                <w:szCs w:val="18"/>
                <w:lang w:eastAsia="en-AU"/>
              </w:rPr>
            </w:pPr>
            <w:r w:rsidRPr="006C5E5D">
              <w:rPr>
                <w:rFonts w:cs="Arial"/>
                <w:color w:val="7F7F7F" w:themeColor="text1" w:themeTint="80"/>
                <w:szCs w:val="18"/>
                <w:lang w:eastAsia="en-AU"/>
              </w:rPr>
              <w:t>6%</w:t>
            </w:r>
          </w:p>
        </w:tc>
        <w:tc>
          <w:tcPr>
            <w:tcW w:w="1227" w:type="dxa"/>
            <w:tcBorders>
              <w:top w:val="nil"/>
              <w:left w:val="nil"/>
              <w:bottom w:val="nil"/>
              <w:right w:val="nil"/>
            </w:tcBorders>
            <w:shd w:val="clear" w:color="auto" w:fill="auto"/>
            <w:noWrap/>
            <w:vAlign w:val="center"/>
            <w:hideMark/>
          </w:tcPr>
          <w:p w:rsidR="009610B9" w:rsidRPr="006C5E5D" w:rsidRDefault="009610B9" w:rsidP="004E7315">
            <w:pPr>
              <w:jc w:val="right"/>
              <w:rPr>
                <w:rFonts w:cs="Arial"/>
                <w:color w:val="7F7F7F" w:themeColor="text1" w:themeTint="80"/>
                <w:szCs w:val="18"/>
                <w:lang w:eastAsia="en-AU"/>
              </w:rPr>
            </w:pPr>
            <w:r w:rsidRPr="006C5E5D">
              <w:rPr>
                <w:rFonts w:cs="Arial"/>
                <w:color w:val="7F7F7F" w:themeColor="text1" w:themeTint="80"/>
                <w:szCs w:val="18"/>
                <w:lang w:eastAsia="en-AU"/>
              </w:rPr>
              <w:t>-1%</w:t>
            </w:r>
          </w:p>
        </w:tc>
        <w:tc>
          <w:tcPr>
            <w:tcW w:w="1227" w:type="dxa"/>
            <w:tcBorders>
              <w:top w:val="nil"/>
              <w:left w:val="nil"/>
              <w:bottom w:val="nil"/>
              <w:right w:val="nil"/>
            </w:tcBorders>
            <w:shd w:val="clear" w:color="auto" w:fill="auto"/>
            <w:noWrap/>
            <w:vAlign w:val="center"/>
            <w:hideMark/>
          </w:tcPr>
          <w:p w:rsidR="009610B9" w:rsidRPr="006C5E5D" w:rsidRDefault="009610B9" w:rsidP="004E7315">
            <w:pPr>
              <w:jc w:val="right"/>
              <w:rPr>
                <w:rFonts w:cs="Arial"/>
                <w:color w:val="7F7F7F" w:themeColor="text1" w:themeTint="80"/>
                <w:szCs w:val="18"/>
                <w:lang w:eastAsia="en-AU"/>
              </w:rPr>
            </w:pPr>
            <w:r w:rsidRPr="006C5E5D">
              <w:rPr>
                <w:rFonts w:cs="Arial"/>
                <w:color w:val="7F7F7F" w:themeColor="text1" w:themeTint="80"/>
                <w:szCs w:val="18"/>
                <w:lang w:eastAsia="en-AU"/>
              </w:rPr>
              <w:t>-3%</w:t>
            </w:r>
          </w:p>
        </w:tc>
      </w:tr>
      <w:tr w:rsidR="009610B9" w:rsidRPr="00210273" w:rsidTr="004E7315">
        <w:trPr>
          <w:trHeight w:val="315"/>
        </w:trPr>
        <w:tc>
          <w:tcPr>
            <w:tcW w:w="1960" w:type="dxa"/>
            <w:tcBorders>
              <w:top w:val="nil"/>
              <w:left w:val="nil"/>
              <w:bottom w:val="single" w:sz="12" w:space="0" w:color="7F7F7F"/>
              <w:right w:val="nil"/>
            </w:tcBorders>
            <w:shd w:val="clear" w:color="auto" w:fill="auto"/>
            <w:noWrap/>
            <w:vAlign w:val="center"/>
            <w:hideMark/>
          </w:tcPr>
          <w:p w:rsidR="009610B9" w:rsidRPr="006C5E5D" w:rsidRDefault="009610B9" w:rsidP="004E7315">
            <w:pPr>
              <w:rPr>
                <w:rFonts w:cs="Arial"/>
                <w:color w:val="7F7F7F" w:themeColor="text1" w:themeTint="80"/>
                <w:szCs w:val="18"/>
                <w:lang w:eastAsia="en-AU"/>
              </w:rPr>
            </w:pPr>
            <w:r w:rsidRPr="006C5E5D">
              <w:rPr>
                <w:rFonts w:cs="Arial"/>
                <w:color w:val="7F7F7F" w:themeColor="text1" w:themeTint="80"/>
                <w:szCs w:val="18"/>
                <w:lang w:eastAsia="en-AU"/>
              </w:rPr>
              <w:t>Module Enrolments</w:t>
            </w:r>
          </w:p>
        </w:tc>
        <w:tc>
          <w:tcPr>
            <w:tcW w:w="1227" w:type="dxa"/>
            <w:tcBorders>
              <w:top w:val="nil"/>
              <w:left w:val="nil"/>
              <w:bottom w:val="single" w:sz="12" w:space="0" w:color="7F7F7F"/>
              <w:right w:val="nil"/>
            </w:tcBorders>
            <w:shd w:val="clear" w:color="auto" w:fill="auto"/>
            <w:noWrap/>
            <w:vAlign w:val="center"/>
            <w:hideMark/>
          </w:tcPr>
          <w:p w:rsidR="009610B9" w:rsidRPr="006C5E5D" w:rsidRDefault="009610B9" w:rsidP="004E7315">
            <w:pPr>
              <w:jc w:val="right"/>
              <w:rPr>
                <w:rFonts w:cs="Arial"/>
                <w:color w:val="7F7F7F" w:themeColor="text1" w:themeTint="80"/>
                <w:szCs w:val="18"/>
                <w:lang w:eastAsia="en-AU"/>
              </w:rPr>
            </w:pPr>
            <w:r w:rsidRPr="006C5E5D">
              <w:rPr>
                <w:rFonts w:cs="Arial"/>
                <w:color w:val="7F7F7F" w:themeColor="text1" w:themeTint="80"/>
                <w:szCs w:val="18"/>
                <w:lang w:eastAsia="en-AU"/>
              </w:rPr>
              <w:t>102%</w:t>
            </w:r>
          </w:p>
        </w:tc>
        <w:tc>
          <w:tcPr>
            <w:tcW w:w="1227" w:type="dxa"/>
            <w:tcBorders>
              <w:top w:val="nil"/>
              <w:left w:val="nil"/>
              <w:bottom w:val="single" w:sz="12" w:space="0" w:color="7F7F7F"/>
              <w:right w:val="nil"/>
            </w:tcBorders>
            <w:shd w:val="clear" w:color="auto" w:fill="auto"/>
            <w:noWrap/>
            <w:vAlign w:val="center"/>
            <w:hideMark/>
          </w:tcPr>
          <w:p w:rsidR="009610B9" w:rsidRPr="006C5E5D" w:rsidRDefault="009610B9" w:rsidP="004E7315">
            <w:pPr>
              <w:jc w:val="right"/>
              <w:rPr>
                <w:rFonts w:cs="Arial"/>
                <w:color w:val="7F7F7F" w:themeColor="text1" w:themeTint="80"/>
                <w:szCs w:val="18"/>
                <w:lang w:eastAsia="en-AU"/>
              </w:rPr>
            </w:pPr>
            <w:r w:rsidRPr="006C5E5D">
              <w:rPr>
                <w:rFonts w:cs="Arial"/>
                <w:color w:val="7F7F7F" w:themeColor="text1" w:themeTint="80"/>
                <w:szCs w:val="18"/>
                <w:lang w:eastAsia="en-AU"/>
              </w:rPr>
              <w:t>42%</w:t>
            </w:r>
          </w:p>
        </w:tc>
        <w:tc>
          <w:tcPr>
            <w:tcW w:w="1227" w:type="dxa"/>
            <w:tcBorders>
              <w:top w:val="nil"/>
              <w:left w:val="nil"/>
              <w:bottom w:val="single" w:sz="12" w:space="0" w:color="7F7F7F"/>
              <w:right w:val="nil"/>
            </w:tcBorders>
            <w:shd w:val="clear" w:color="auto" w:fill="auto"/>
            <w:noWrap/>
            <w:vAlign w:val="center"/>
            <w:hideMark/>
          </w:tcPr>
          <w:p w:rsidR="009610B9" w:rsidRPr="006C5E5D" w:rsidRDefault="009610B9" w:rsidP="004E7315">
            <w:pPr>
              <w:jc w:val="right"/>
              <w:rPr>
                <w:rFonts w:cs="Arial"/>
                <w:color w:val="7F7F7F" w:themeColor="text1" w:themeTint="80"/>
                <w:szCs w:val="18"/>
                <w:lang w:eastAsia="en-AU"/>
              </w:rPr>
            </w:pPr>
            <w:r w:rsidRPr="006C5E5D">
              <w:rPr>
                <w:rFonts w:cs="Arial"/>
                <w:color w:val="7F7F7F" w:themeColor="text1" w:themeTint="80"/>
                <w:szCs w:val="18"/>
                <w:lang w:eastAsia="en-AU"/>
              </w:rPr>
              <w:t>14%</w:t>
            </w:r>
          </w:p>
        </w:tc>
        <w:tc>
          <w:tcPr>
            <w:tcW w:w="1227" w:type="dxa"/>
            <w:tcBorders>
              <w:top w:val="nil"/>
              <w:left w:val="nil"/>
              <w:bottom w:val="single" w:sz="12" w:space="0" w:color="7F7F7F"/>
              <w:right w:val="nil"/>
            </w:tcBorders>
            <w:shd w:val="clear" w:color="auto" w:fill="auto"/>
            <w:noWrap/>
            <w:vAlign w:val="center"/>
            <w:hideMark/>
          </w:tcPr>
          <w:p w:rsidR="009610B9" w:rsidRPr="006C5E5D" w:rsidRDefault="009610B9" w:rsidP="004E7315">
            <w:pPr>
              <w:jc w:val="right"/>
              <w:rPr>
                <w:rFonts w:cs="Arial"/>
                <w:color w:val="7F7F7F" w:themeColor="text1" w:themeTint="80"/>
                <w:szCs w:val="18"/>
                <w:lang w:eastAsia="en-AU"/>
              </w:rPr>
            </w:pPr>
            <w:r w:rsidRPr="006C5E5D">
              <w:rPr>
                <w:rFonts w:cs="Arial"/>
                <w:color w:val="7F7F7F" w:themeColor="text1" w:themeTint="80"/>
                <w:szCs w:val="18"/>
                <w:lang w:eastAsia="en-AU"/>
              </w:rPr>
              <w:t>-5%</w:t>
            </w:r>
          </w:p>
        </w:tc>
        <w:tc>
          <w:tcPr>
            <w:tcW w:w="1227" w:type="dxa"/>
            <w:tcBorders>
              <w:top w:val="nil"/>
              <w:left w:val="nil"/>
              <w:bottom w:val="single" w:sz="12" w:space="0" w:color="7F7F7F"/>
              <w:right w:val="nil"/>
            </w:tcBorders>
            <w:shd w:val="clear" w:color="auto" w:fill="auto"/>
            <w:noWrap/>
            <w:vAlign w:val="center"/>
            <w:hideMark/>
          </w:tcPr>
          <w:p w:rsidR="009610B9" w:rsidRPr="006C5E5D" w:rsidRDefault="009610B9" w:rsidP="004E7315">
            <w:pPr>
              <w:jc w:val="right"/>
              <w:rPr>
                <w:rFonts w:cs="Arial"/>
                <w:color w:val="7F7F7F" w:themeColor="text1" w:themeTint="80"/>
                <w:szCs w:val="18"/>
                <w:lang w:eastAsia="en-AU"/>
              </w:rPr>
            </w:pPr>
            <w:r w:rsidRPr="006C5E5D">
              <w:rPr>
                <w:rFonts w:cs="Arial"/>
                <w:color w:val="7F7F7F" w:themeColor="text1" w:themeTint="80"/>
                <w:szCs w:val="18"/>
                <w:lang w:eastAsia="en-AU"/>
              </w:rPr>
              <w:t>-4%</w:t>
            </w:r>
          </w:p>
        </w:tc>
      </w:tr>
    </w:tbl>
    <w:p w:rsidR="009610B9" w:rsidRDefault="009610B9" w:rsidP="009610B9">
      <w:pPr>
        <w:rPr>
          <w:rFonts w:cs="Arial"/>
          <w:bCs/>
          <w:color w:val="7F7F7F" w:themeColor="text2"/>
          <w:kern w:val="32"/>
          <w:szCs w:val="18"/>
        </w:rPr>
      </w:pPr>
    </w:p>
    <w:p w:rsidR="009610B9" w:rsidRDefault="009610B9" w:rsidP="009610B9">
      <w:pPr>
        <w:rPr>
          <w:rFonts w:cs="Arial"/>
          <w:bCs/>
          <w:color w:val="7F7F7F" w:themeColor="text2"/>
          <w:kern w:val="32"/>
          <w:szCs w:val="18"/>
        </w:rPr>
      </w:pP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9610B9" w:rsidRPr="009655A3" w:rsidTr="004E7315">
        <w:tc>
          <w:tcPr>
            <w:tcW w:w="1134" w:type="dxa"/>
            <w:tcMar>
              <w:left w:w="0" w:type="dxa"/>
              <w:right w:w="0" w:type="dxa"/>
            </w:tcMar>
          </w:tcPr>
          <w:p w:rsidR="009610B9" w:rsidRDefault="009610B9" w:rsidP="004E7315">
            <w:pPr>
              <w:pStyle w:val="Quote"/>
              <w:tabs>
                <w:tab w:val="left" w:pos="1134"/>
              </w:tabs>
              <w:rPr>
                <w:b w:val="0"/>
                <w:color w:val="B41F22" w:themeColor="accent1"/>
              </w:rPr>
            </w:pPr>
            <w:r>
              <w:rPr>
                <w:b w:val="0"/>
                <w:color w:val="B41F22" w:themeColor="accent1"/>
              </w:rPr>
              <w:t>Figure 1.9:</w:t>
            </w:r>
          </w:p>
        </w:tc>
        <w:tc>
          <w:tcPr>
            <w:tcW w:w="6946" w:type="dxa"/>
            <w:tcMar>
              <w:left w:w="0" w:type="dxa"/>
              <w:right w:w="0" w:type="dxa"/>
            </w:tcMar>
          </w:tcPr>
          <w:p w:rsidR="009610B9" w:rsidRPr="00AD7189" w:rsidRDefault="009610B9" w:rsidP="004E7315">
            <w:pPr>
              <w:pStyle w:val="Quote"/>
              <w:tabs>
                <w:tab w:val="left" w:pos="1134"/>
              </w:tabs>
              <w:rPr>
                <w:b w:val="0"/>
                <w:color w:val="B41F22" w:themeColor="accent1"/>
              </w:rPr>
            </w:pPr>
            <w:r w:rsidRPr="00AD7189">
              <w:rPr>
                <w:b w:val="0"/>
                <w:color w:val="B41F22" w:themeColor="accent1"/>
              </w:rPr>
              <w:t>Students enrolled in government subsidised pre-accredited training with Learn Local (ACE) providers by training delivery area, 2010 to 2015 (half year)</w:t>
            </w:r>
          </w:p>
        </w:tc>
      </w:tr>
    </w:tbl>
    <w:p w:rsidR="009610B9" w:rsidRDefault="009610B9" w:rsidP="009610B9">
      <w:pPr>
        <w:rPr>
          <w:rFonts w:cs="Arial"/>
          <w:bCs/>
          <w:color w:val="7F7F7F" w:themeColor="text2"/>
          <w:kern w:val="32"/>
          <w:szCs w:val="18"/>
        </w:rPr>
      </w:pPr>
      <w:r>
        <w:rPr>
          <w:rFonts w:cs="Arial"/>
          <w:bCs/>
          <w:noProof/>
          <w:color w:val="7F7F7F" w:themeColor="text2"/>
          <w:kern w:val="32"/>
          <w:szCs w:val="18"/>
          <w:lang w:eastAsia="en-AU"/>
        </w:rPr>
        <w:drawing>
          <wp:inline distT="0" distB="0" distL="0" distR="0" wp14:anchorId="188D1E41" wp14:editId="78CE5609">
            <wp:extent cx="5220000" cy="370973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20000" cy="3709730"/>
                    </a:xfrm>
                    <a:prstGeom prst="rect">
                      <a:avLst/>
                    </a:prstGeom>
                    <a:noFill/>
                  </pic:spPr>
                </pic:pic>
              </a:graphicData>
            </a:graphic>
          </wp:inline>
        </w:drawing>
      </w:r>
    </w:p>
    <w:tbl>
      <w:tblPr>
        <w:tblW w:w="7141" w:type="dxa"/>
        <w:tblInd w:w="709" w:type="dxa"/>
        <w:tblLook w:val="04A0" w:firstRow="1" w:lastRow="0" w:firstColumn="1" w:lastColumn="0" w:noHBand="0" w:noVBand="1"/>
      </w:tblPr>
      <w:tblGrid>
        <w:gridCol w:w="518"/>
        <w:gridCol w:w="1632"/>
        <w:gridCol w:w="599"/>
        <w:gridCol w:w="1669"/>
        <w:gridCol w:w="668"/>
        <w:gridCol w:w="2103"/>
      </w:tblGrid>
      <w:tr w:rsidR="009610B9" w:rsidRPr="00B40104" w:rsidTr="004E7315">
        <w:trPr>
          <w:trHeight w:val="265"/>
        </w:trPr>
        <w:tc>
          <w:tcPr>
            <w:tcW w:w="510" w:type="dxa"/>
            <w:tcBorders>
              <w:top w:val="single" w:sz="4" w:space="0" w:color="7F7F7F"/>
              <w:left w:val="single" w:sz="4" w:space="0" w:color="7F7F7F"/>
              <w:bottom w:val="nil"/>
              <w:right w:val="nil"/>
            </w:tcBorders>
            <w:shd w:val="clear" w:color="000000" w:fill="FFFFFF"/>
            <w:noWrap/>
            <w:tcMar>
              <w:left w:w="0" w:type="dxa"/>
              <w:right w:w="0" w:type="dxa"/>
            </w:tcMar>
            <w:vAlign w:val="center"/>
            <w:hideMark/>
          </w:tcPr>
          <w:p w:rsidR="009610B9" w:rsidRPr="00B40104" w:rsidRDefault="009610B9" w:rsidP="004E7315">
            <w:pPr>
              <w:rPr>
                <w:rFonts w:cs="Arial"/>
                <w:color w:val="7F7F7F"/>
                <w:sz w:val="16"/>
                <w:szCs w:val="18"/>
                <w:lang w:eastAsia="en-AU"/>
              </w:rPr>
            </w:pPr>
            <w:r>
              <w:rPr>
                <w:rFonts w:cs="Arial"/>
                <w:color w:val="7F7F7F"/>
                <w:sz w:val="16"/>
                <w:szCs w:val="18"/>
                <w:lang w:eastAsia="en-AU"/>
              </w:rPr>
              <w:t xml:space="preserve"> </w:t>
            </w:r>
            <w:r w:rsidRPr="00B40104">
              <w:rPr>
                <w:rFonts w:cs="Arial"/>
                <w:color w:val="7F7F7F"/>
                <w:sz w:val="16"/>
                <w:szCs w:val="18"/>
                <w:lang w:eastAsia="en-AU"/>
              </w:rPr>
              <w:t>BSW</w:t>
            </w:r>
          </w:p>
        </w:tc>
        <w:tc>
          <w:tcPr>
            <w:tcW w:w="1624" w:type="dxa"/>
            <w:tcBorders>
              <w:top w:val="single" w:sz="4" w:space="0" w:color="7F7F7F"/>
              <w:left w:val="nil"/>
              <w:bottom w:val="nil"/>
              <w:right w:val="single" w:sz="4" w:space="0" w:color="7F7F7F"/>
            </w:tcBorders>
            <w:shd w:val="clear" w:color="000000" w:fill="FFFFFF"/>
            <w:noWrap/>
            <w:tcMar>
              <w:left w:w="0" w:type="dxa"/>
              <w:right w:w="0" w:type="dxa"/>
            </w:tcMar>
            <w:vAlign w:val="center"/>
            <w:hideMark/>
          </w:tcPr>
          <w:p w:rsidR="009610B9" w:rsidRPr="00B40104" w:rsidRDefault="009610B9" w:rsidP="004E7315">
            <w:pPr>
              <w:rPr>
                <w:rFonts w:cs="Arial"/>
                <w:color w:val="7F7F7F"/>
                <w:sz w:val="16"/>
                <w:szCs w:val="18"/>
                <w:lang w:eastAsia="en-AU"/>
              </w:rPr>
            </w:pPr>
            <w:r w:rsidRPr="00B40104">
              <w:rPr>
                <w:rFonts w:cs="Arial"/>
                <w:color w:val="7F7F7F"/>
                <w:sz w:val="16"/>
                <w:szCs w:val="18"/>
                <w:lang w:eastAsia="en-AU"/>
              </w:rPr>
              <w:t>Barwon South West</w:t>
            </w:r>
          </w:p>
        </w:tc>
        <w:tc>
          <w:tcPr>
            <w:tcW w:w="591" w:type="dxa"/>
            <w:tcBorders>
              <w:top w:val="single" w:sz="4" w:space="0" w:color="7F7F7F"/>
              <w:left w:val="nil"/>
              <w:bottom w:val="nil"/>
              <w:right w:val="nil"/>
            </w:tcBorders>
            <w:shd w:val="clear" w:color="000000" w:fill="FFFFFF"/>
            <w:noWrap/>
            <w:tcMar>
              <w:left w:w="0" w:type="dxa"/>
              <w:right w:w="0" w:type="dxa"/>
            </w:tcMar>
            <w:vAlign w:val="center"/>
            <w:hideMark/>
          </w:tcPr>
          <w:p w:rsidR="009610B9" w:rsidRPr="00B40104" w:rsidRDefault="009610B9" w:rsidP="004E7315">
            <w:pPr>
              <w:rPr>
                <w:rFonts w:cs="Arial"/>
                <w:color w:val="7F7F7F"/>
                <w:sz w:val="16"/>
                <w:szCs w:val="18"/>
                <w:lang w:eastAsia="en-AU"/>
              </w:rPr>
            </w:pPr>
            <w:r>
              <w:rPr>
                <w:rFonts w:cs="Arial"/>
                <w:color w:val="7F7F7F"/>
                <w:sz w:val="16"/>
                <w:szCs w:val="18"/>
                <w:lang w:eastAsia="en-AU"/>
              </w:rPr>
              <w:t xml:space="preserve"> </w:t>
            </w:r>
            <w:r w:rsidRPr="00B40104">
              <w:rPr>
                <w:rFonts w:cs="Arial"/>
                <w:color w:val="7F7F7F"/>
                <w:sz w:val="16"/>
                <w:szCs w:val="18"/>
                <w:lang w:eastAsia="en-AU"/>
              </w:rPr>
              <w:t>HUM</w:t>
            </w:r>
          </w:p>
        </w:tc>
        <w:tc>
          <w:tcPr>
            <w:tcW w:w="1661" w:type="dxa"/>
            <w:tcBorders>
              <w:top w:val="single" w:sz="4" w:space="0" w:color="7F7F7F"/>
              <w:left w:val="nil"/>
              <w:bottom w:val="nil"/>
              <w:right w:val="single" w:sz="4" w:space="0" w:color="7F7F7F"/>
            </w:tcBorders>
            <w:shd w:val="clear" w:color="000000" w:fill="FFFFFF"/>
            <w:noWrap/>
            <w:tcMar>
              <w:left w:w="0" w:type="dxa"/>
              <w:right w:w="0" w:type="dxa"/>
            </w:tcMar>
            <w:vAlign w:val="center"/>
            <w:hideMark/>
          </w:tcPr>
          <w:p w:rsidR="009610B9" w:rsidRPr="00B40104" w:rsidRDefault="009610B9" w:rsidP="004E7315">
            <w:pPr>
              <w:rPr>
                <w:rFonts w:cs="Arial"/>
                <w:color w:val="7F7F7F"/>
                <w:sz w:val="16"/>
                <w:szCs w:val="18"/>
                <w:lang w:eastAsia="en-AU"/>
              </w:rPr>
            </w:pPr>
            <w:r w:rsidRPr="00B40104">
              <w:rPr>
                <w:rFonts w:cs="Arial"/>
                <w:color w:val="7F7F7F"/>
                <w:sz w:val="16"/>
                <w:szCs w:val="18"/>
                <w:lang w:eastAsia="en-AU"/>
              </w:rPr>
              <w:t>Hume</w:t>
            </w:r>
          </w:p>
        </w:tc>
        <w:tc>
          <w:tcPr>
            <w:tcW w:w="660" w:type="dxa"/>
            <w:tcBorders>
              <w:top w:val="single" w:sz="4" w:space="0" w:color="7F7F7F"/>
              <w:left w:val="nil"/>
              <w:bottom w:val="nil"/>
              <w:right w:val="nil"/>
            </w:tcBorders>
            <w:shd w:val="clear" w:color="000000" w:fill="FFFFFF"/>
            <w:noWrap/>
            <w:tcMar>
              <w:left w:w="0" w:type="dxa"/>
              <w:right w:w="0" w:type="dxa"/>
            </w:tcMar>
            <w:vAlign w:val="center"/>
            <w:hideMark/>
          </w:tcPr>
          <w:p w:rsidR="009610B9" w:rsidRPr="00B40104" w:rsidRDefault="009610B9" w:rsidP="004E7315">
            <w:pPr>
              <w:rPr>
                <w:rFonts w:cs="Arial"/>
                <w:color w:val="7F7F7F"/>
                <w:sz w:val="16"/>
                <w:szCs w:val="18"/>
                <w:lang w:eastAsia="en-AU"/>
              </w:rPr>
            </w:pPr>
            <w:r>
              <w:rPr>
                <w:rFonts w:cs="Arial"/>
                <w:color w:val="7F7F7F"/>
                <w:sz w:val="16"/>
                <w:szCs w:val="18"/>
                <w:lang w:eastAsia="en-AU"/>
              </w:rPr>
              <w:t xml:space="preserve"> </w:t>
            </w:r>
            <w:r w:rsidRPr="00B40104">
              <w:rPr>
                <w:rFonts w:cs="Arial"/>
                <w:color w:val="7F7F7F"/>
                <w:sz w:val="16"/>
                <w:szCs w:val="18"/>
                <w:lang w:eastAsia="en-AU"/>
              </w:rPr>
              <w:t>NWMR</w:t>
            </w:r>
          </w:p>
        </w:tc>
        <w:tc>
          <w:tcPr>
            <w:tcW w:w="2095" w:type="dxa"/>
            <w:tcBorders>
              <w:top w:val="single" w:sz="4" w:space="0" w:color="7F7F7F"/>
              <w:left w:val="nil"/>
              <w:bottom w:val="nil"/>
              <w:right w:val="single" w:sz="4" w:space="0" w:color="7F7F7F"/>
            </w:tcBorders>
            <w:shd w:val="clear" w:color="000000" w:fill="FFFFFF"/>
            <w:noWrap/>
            <w:tcMar>
              <w:left w:w="0" w:type="dxa"/>
              <w:right w:w="0" w:type="dxa"/>
            </w:tcMar>
            <w:vAlign w:val="center"/>
            <w:hideMark/>
          </w:tcPr>
          <w:p w:rsidR="009610B9" w:rsidRPr="00B40104" w:rsidRDefault="009610B9" w:rsidP="004E7315">
            <w:pPr>
              <w:rPr>
                <w:rFonts w:cs="Arial"/>
                <w:color w:val="7F7F7F"/>
                <w:sz w:val="16"/>
                <w:szCs w:val="18"/>
                <w:lang w:eastAsia="en-AU"/>
              </w:rPr>
            </w:pPr>
            <w:r w:rsidRPr="00B40104">
              <w:rPr>
                <w:rFonts w:cs="Arial"/>
                <w:color w:val="7F7F7F"/>
                <w:sz w:val="16"/>
                <w:szCs w:val="18"/>
                <w:lang w:eastAsia="en-AU"/>
              </w:rPr>
              <w:t>North Western Metropolitan</w:t>
            </w:r>
          </w:p>
        </w:tc>
      </w:tr>
      <w:tr w:rsidR="009610B9" w:rsidRPr="00B40104" w:rsidTr="004E7315">
        <w:trPr>
          <w:trHeight w:val="265"/>
        </w:trPr>
        <w:tc>
          <w:tcPr>
            <w:tcW w:w="510" w:type="dxa"/>
            <w:tcBorders>
              <w:top w:val="nil"/>
              <w:left w:val="single" w:sz="4" w:space="0" w:color="7F7F7F"/>
              <w:bottom w:val="nil"/>
              <w:right w:val="nil"/>
            </w:tcBorders>
            <w:shd w:val="clear" w:color="000000" w:fill="FFFFFF"/>
            <w:noWrap/>
            <w:tcMar>
              <w:left w:w="0" w:type="dxa"/>
              <w:right w:w="0" w:type="dxa"/>
            </w:tcMar>
            <w:vAlign w:val="center"/>
            <w:hideMark/>
          </w:tcPr>
          <w:p w:rsidR="009610B9" w:rsidRPr="00B40104" w:rsidRDefault="009610B9" w:rsidP="004E7315">
            <w:pPr>
              <w:rPr>
                <w:rFonts w:cs="Arial"/>
                <w:color w:val="7F7F7F"/>
                <w:sz w:val="16"/>
                <w:szCs w:val="18"/>
                <w:lang w:eastAsia="en-AU"/>
              </w:rPr>
            </w:pPr>
            <w:r>
              <w:rPr>
                <w:rFonts w:cs="Arial"/>
                <w:color w:val="7F7F7F"/>
                <w:sz w:val="16"/>
                <w:szCs w:val="18"/>
                <w:lang w:eastAsia="en-AU"/>
              </w:rPr>
              <w:t xml:space="preserve"> </w:t>
            </w:r>
            <w:r w:rsidRPr="00B40104">
              <w:rPr>
                <w:rFonts w:cs="Arial"/>
                <w:color w:val="7F7F7F"/>
                <w:sz w:val="16"/>
                <w:szCs w:val="18"/>
                <w:lang w:eastAsia="en-AU"/>
              </w:rPr>
              <w:t>GRA</w:t>
            </w:r>
          </w:p>
        </w:tc>
        <w:tc>
          <w:tcPr>
            <w:tcW w:w="1624" w:type="dxa"/>
            <w:tcBorders>
              <w:top w:val="nil"/>
              <w:left w:val="nil"/>
              <w:bottom w:val="nil"/>
              <w:right w:val="single" w:sz="4" w:space="0" w:color="7F7F7F"/>
            </w:tcBorders>
            <w:shd w:val="clear" w:color="000000" w:fill="FFFFFF"/>
            <w:noWrap/>
            <w:tcMar>
              <w:left w:w="0" w:type="dxa"/>
              <w:right w:w="0" w:type="dxa"/>
            </w:tcMar>
            <w:vAlign w:val="center"/>
            <w:hideMark/>
          </w:tcPr>
          <w:p w:rsidR="009610B9" w:rsidRPr="00B40104" w:rsidRDefault="009610B9" w:rsidP="004E7315">
            <w:pPr>
              <w:rPr>
                <w:rFonts w:cs="Arial"/>
                <w:color w:val="7F7F7F"/>
                <w:sz w:val="16"/>
                <w:szCs w:val="18"/>
                <w:lang w:eastAsia="en-AU"/>
              </w:rPr>
            </w:pPr>
            <w:r w:rsidRPr="00B40104">
              <w:rPr>
                <w:rFonts w:cs="Arial"/>
                <w:color w:val="7F7F7F"/>
                <w:sz w:val="16"/>
                <w:szCs w:val="18"/>
                <w:lang w:eastAsia="en-AU"/>
              </w:rPr>
              <w:t>Grampians</w:t>
            </w:r>
          </w:p>
        </w:tc>
        <w:tc>
          <w:tcPr>
            <w:tcW w:w="591" w:type="dxa"/>
            <w:tcBorders>
              <w:top w:val="nil"/>
              <w:left w:val="nil"/>
              <w:bottom w:val="nil"/>
              <w:right w:val="nil"/>
            </w:tcBorders>
            <w:shd w:val="clear" w:color="000000" w:fill="FFFFFF"/>
            <w:noWrap/>
            <w:tcMar>
              <w:left w:w="0" w:type="dxa"/>
              <w:right w:w="0" w:type="dxa"/>
            </w:tcMar>
            <w:vAlign w:val="center"/>
            <w:hideMark/>
          </w:tcPr>
          <w:p w:rsidR="009610B9" w:rsidRPr="00B40104" w:rsidRDefault="009610B9" w:rsidP="004E7315">
            <w:pPr>
              <w:rPr>
                <w:rFonts w:cs="Arial"/>
                <w:color w:val="7F7F7F"/>
                <w:sz w:val="16"/>
                <w:szCs w:val="18"/>
                <w:lang w:eastAsia="en-AU"/>
              </w:rPr>
            </w:pPr>
            <w:r>
              <w:rPr>
                <w:rFonts w:cs="Arial"/>
                <w:color w:val="7F7F7F"/>
                <w:sz w:val="16"/>
                <w:szCs w:val="18"/>
                <w:lang w:eastAsia="en-AU"/>
              </w:rPr>
              <w:t xml:space="preserve"> </w:t>
            </w:r>
            <w:r w:rsidRPr="00B40104">
              <w:rPr>
                <w:rFonts w:cs="Arial"/>
                <w:color w:val="7F7F7F"/>
                <w:sz w:val="16"/>
                <w:szCs w:val="18"/>
                <w:lang w:eastAsia="en-AU"/>
              </w:rPr>
              <w:t>GIP</w:t>
            </w:r>
          </w:p>
        </w:tc>
        <w:tc>
          <w:tcPr>
            <w:tcW w:w="1661" w:type="dxa"/>
            <w:tcBorders>
              <w:top w:val="nil"/>
              <w:left w:val="nil"/>
              <w:bottom w:val="nil"/>
              <w:right w:val="single" w:sz="4" w:space="0" w:color="7F7F7F"/>
            </w:tcBorders>
            <w:shd w:val="clear" w:color="000000" w:fill="FFFFFF"/>
            <w:noWrap/>
            <w:tcMar>
              <w:left w:w="0" w:type="dxa"/>
              <w:right w:w="0" w:type="dxa"/>
            </w:tcMar>
            <w:vAlign w:val="center"/>
            <w:hideMark/>
          </w:tcPr>
          <w:p w:rsidR="009610B9" w:rsidRPr="00B40104" w:rsidRDefault="009610B9" w:rsidP="004E7315">
            <w:pPr>
              <w:rPr>
                <w:rFonts w:cs="Arial"/>
                <w:color w:val="7F7F7F"/>
                <w:sz w:val="16"/>
                <w:szCs w:val="18"/>
                <w:lang w:eastAsia="en-AU"/>
              </w:rPr>
            </w:pPr>
            <w:r w:rsidRPr="00B40104">
              <w:rPr>
                <w:rFonts w:cs="Arial"/>
                <w:color w:val="7F7F7F"/>
                <w:sz w:val="16"/>
                <w:szCs w:val="18"/>
                <w:lang w:eastAsia="en-AU"/>
              </w:rPr>
              <w:t>Gippsland</w:t>
            </w:r>
          </w:p>
        </w:tc>
        <w:tc>
          <w:tcPr>
            <w:tcW w:w="660" w:type="dxa"/>
            <w:tcBorders>
              <w:top w:val="nil"/>
              <w:left w:val="nil"/>
              <w:bottom w:val="nil"/>
              <w:right w:val="nil"/>
            </w:tcBorders>
            <w:shd w:val="clear" w:color="000000" w:fill="FFFFFF"/>
            <w:noWrap/>
            <w:tcMar>
              <w:left w:w="0" w:type="dxa"/>
              <w:right w:w="0" w:type="dxa"/>
            </w:tcMar>
            <w:vAlign w:val="center"/>
            <w:hideMark/>
          </w:tcPr>
          <w:p w:rsidR="009610B9" w:rsidRPr="00B40104" w:rsidRDefault="009610B9" w:rsidP="004E7315">
            <w:pPr>
              <w:rPr>
                <w:rFonts w:cs="Arial"/>
                <w:color w:val="7F7F7F"/>
                <w:sz w:val="16"/>
                <w:szCs w:val="18"/>
                <w:lang w:eastAsia="en-AU"/>
              </w:rPr>
            </w:pPr>
            <w:r>
              <w:rPr>
                <w:rFonts w:cs="Arial"/>
                <w:color w:val="7F7F7F"/>
                <w:sz w:val="16"/>
                <w:szCs w:val="18"/>
                <w:lang w:eastAsia="en-AU"/>
              </w:rPr>
              <w:t xml:space="preserve"> </w:t>
            </w:r>
            <w:r w:rsidRPr="00B40104">
              <w:rPr>
                <w:rFonts w:cs="Arial"/>
                <w:color w:val="7F7F7F"/>
                <w:sz w:val="16"/>
                <w:szCs w:val="18"/>
                <w:lang w:eastAsia="en-AU"/>
              </w:rPr>
              <w:t>SMR</w:t>
            </w:r>
          </w:p>
        </w:tc>
        <w:tc>
          <w:tcPr>
            <w:tcW w:w="2095" w:type="dxa"/>
            <w:tcBorders>
              <w:top w:val="nil"/>
              <w:left w:val="nil"/>
              <w:bottom w:val="nil"/>
              <w:right w:val="single" w:sz="4" w:space="0" w:color="7F7F7F"/>
            </w:tcBorders>
            <w:shd w:val="clear" w:color="000000" w:fill="FFFFFF"/>
            <w:noWrap/>
            <w:tcMar>
              <w:left w:w="0" w:type="dxa"/>
              <w:right w:w="0" w:type="dxa"/>
            </w:tcMar>
            <w:vAlign w:val="center"/>
            <w:hideMark/>
          </w:tcPr>
          <w:p w:rsidR="009610B9" w:rsidRPr="00B40104" w:rsidRDefault="009610B9" w:rsidP="004E7315">
            <w:pPr>
              <w:rPr>
                <w:rFonts w:cs="Arial"/>
                <w:color w:val="7F7F7F"/>
                <w:sz w:val="16"/>
                <w:szCs w:val="18"/>
                <w:lang w:eastAsia="en-AU"/>
              </w:rPr>
            </w:pPr>
            <w:r w:rsidRPr="00B40104">
              <w:rPr>
                <w:rFonts w:cs="Arial"/>
                <w:color w:val="7F7F7F"/>
                <w:sz w:val="16"/>
                <w:szCs w:val="18"/>
                <w:lang w:eastAsia="en-AU"/>
              </w:rPr>
              <w:t>Southern Metropolitan</w:t>
            </w:r>
          </w:p>
        </w:tc>
      </w:tr>
      <w:tr w:rsidR="009610B9" w:rsidRPr="00B40104" w:rsidTr="004E7315">
        <w:trPr>
          <w:trHeight w:val="265"/>
        </w:trPr>
        <w:tc>
          <w:tcPr>
            <w:tcW w:w="510" w:type="dxa"/>
            <w:tcBorders>
              <w:top w:val="nil"/>
              <w:left w:val="single" w:sz="4" w:space="0" w:color="7F7F7F"/>
              <w:bottom w:val="single" w:sz="4" w:space="0" w:color="7F7F7F"/>
              <w:right w:val="nil"/>
            </w:tcBorders>
            <w:shd w:val="clear" w:color="000000" w:fill="FFFFFF"/>
            <w:noWrap/>
            <w:tcMar>
              <w:left w:w="0" w:type="dxa"/>
              <w:right w:w="0" w:type="dxa"/>
            </w:tcMar>
            <w:vAlign w:val="center"/>
            <w:hideMark/>
          </w:tcPr>
          <w:p w:rsidR="009610B9" w:rsidRPr="00B40104" w:rsidRDefault="009610B9" w:rsidP="004E7315">
            <w:pPr>
              <w:rPr>
                <w:rFonts w:cs="Arial"/>
                <w:color w:val="7F7F7F"/>
                <w:sz w:val="16"/>
                <w:szCs w:val="18"/>
                <w:lang w:eastAsia="en-AU"/>
              </w:rPr>
            </w:pPr>
            <w:r>
              <w:rPr>
                <w:rFonts w:cs="Arial"/>
                <w:color w:val="7F7F7F"/>
                <w:sz w:val="16"/>
                <w:szCs w:val="18"/>
                <w:lang w:eastAsia="en-AU"/>
              </w:rPr>
              <w:t xml:space="preserve"> </w:t>
            </w:r>
            <w:r w:rsidRPr="00B40104">
              <w:rPr>
                <w:rFonts w:cs="Arial"/>
                <w:color w:val="7F7F7F"/>
                <w:sz w:val="16"/>
                <w:szCs w:val="18"/>
                <w:lang w:eastAsia="en-AU"/>
              </w:rPr>
              <w:t>LM</w:t>
            </w:r>
          </w:p>
        </w:tc>
        <w:tc>
          <w:tcPr>
            <w:tcW w:w="1624" w:type="dxa"/>
            <w:tcBorders>
              <w:top w:val="nil"/>
              <w:left w:val="nil"/>
              <w:bottom w:val="single" w:sz="4" w:space="0" w:color="7F7F7F"/>
              <w:right w:val="single" w:sz="4" w:space="0" w:color="7F7F7F"/>
            </w:tcBorders>
            <w:shd w:val="clear" w:color="000000" w:fill="FFFFFF"/>
            <w:noWrap/>
            <w:tcMar>
              <w:left w:w="0" w:type="dxa"/>
              <w:right w:w="0" w:type="dxa"/>
            </w:tcMar>
            <w:vAlign w:val="center"/>
            <w:hideMark/>
          </w:tcPr>
          <w:p w:rsidR="009610B9" w:rsidRPr="00B40104" w:rsidRDefault="009610B9" w:rsidP="004E7315">
            <w:pPr>
              <w:rPr>
                <w:rFonts w:cs="Arial"/>
                <w:color w:val="7F7F7F"/>
                <w:sz w:val="16"/>
                <w:szCs w:val="18"/>
                <w:lang w:eastAsia="en-AU"/>
              </w:rPr>
            </w:pPr>
            <w:r w:rsidRPr="00B40104">
              <w:rPr>
                <w:rFonts w:cs="Arial"/>
                <w:color w:val="7F7F7F"/>
                <w:sz w:val="16"/>
                <w:szCs w:val="18"/>
                <w:lang w:eastAsia="en-AU"/>
              </w:rPr>
              <w:t>Loddon Mallee</w:t>
            </w:r>
          </w:p>
        </w:tc>
        <w:tc>
          <w:tcPr>
            <w:tcW w:w="591" w:type="dxa"/>
            <w:tcBorders>
              <w:top w:val="nil"/>
              <w:left w:val="nil"/>
              <w:bottom w:val="single" w:sz="4" w:space="0" w:color="7F7F7F"/>
              <w:right w:val="nil"/>
            </w:tcBorders>
            <w:shd w:val="clear" w:color="000000" w:fill="FFFFFF"/>
            <w:noWrap/>
            <w:tcMar>
              <w:left w:w="0" w:type="dxa"/>
              <w:right w:w="0" w:type="dxa"/>
            </w:tcMar>
            <w:vAlign w:val="center"/>
            <w:hideMark/>
          </w:tcPr>
          <w:p w:rsidR="009610B9" w:rsidRPr="00B40104" w:rsidRDefault="009610B9" w:rsidP="004E7315">
            <w:pPr>
              <w:rPr>
                <w:rFonts w:cs="Arial"/>
                <w:color w:val="7F7F7F"/>
                <w:sz w:val="16"/>
                <w:szCs w:val="18"/>
                <w:lang w:eastAsia="en-AU"/>
              </w:rPr>
            </w:pPr>
            <w:r>
              <w:rPr>
                <w:rFonts w:cs="Arial"/>
                <w:color w:val="7F7F7F"/>
                <w:sz w:val="16"/>
                <w:szCs w:val="18"/>
                <w:lang w:eastAsia="en-AU"/>
              </w:rPr>
              <w:t xml:space="preserve"> </w:t>
            </w:r>
            <w:r w:rsidRPr="00B40104">
              <w:rPr>
                <w:rFonts w:cs="Arial"/>
                <w:color w:val="7F7F7F"/>
                <w:sz w:val="16"/>
                <w:szCs w:val="18"/>
                <w:lang w:eastAsia="en-AU"/>
              </w:rPr>
              <w:t>EMR</w:t>
            </w:r>
          </w:p>
        </w:tc>
        <w:tc>
          <w:tcPr>
            <w:tcW w:w="1661" w:type="dxa"/>
            <w:tcBorders>
              <w:top w:val="nil"/>
              <w:left w:val="nil"/>
              <w:bottom w:val="single" w:sz="4" w:space="0" w:color="7F7F7F"/>
              <w:right w:val="single" w:sz="4" w:space="0" w:color="7F7F7F"/>
            </w:tcBorders>
            <w:shd w:val="clear" w:color="000000" w:fill="FFFFFF"/>
            <w:noWrap/>
            <w:tcMar>
              <w:left w:w="0" w:type="dxa"/>
              <w:right w:w="0" w:type="dxa"/>
            </w:tcMar>
            <w:vAlign w:val="center"/>
            <w:hideMark/>
          </w:tcPr>
          <w:p w:rsidR="009610B9" w:rsidRPr="00B40104" w:rsidRDefault="009610B9" w:rsidP="004E7315">
            <w:pPr>
              <w:rPr>
                <w:rFonts w:cs="Arial"/>
                <w:color w:val="7F7F7F"/>
                <w:sz w:val="16"/>
                <w:szCs w:val="18"/>
                <w:lang w:eastAsia="en-AU"/>
              </w:rPr>
            </w:pPr>
            <w:r w:rsidRPr="00B40104">
              <w:rPr>
                <w:rFonts w:cs="Arial"/>
                <w:color w:val="7F7F7F"/>
                <w:sz w:val="16"/>
                <w:szCs w:val="18"/>
                <w:lang w:eastAsia="en-AU"/>
              </w:rPr>
              <w:t>Eastern Metropolitan</w:t>
            </w:r>
          </w:p>
        </w:tc>
        <w:tc>
          <w:tcPr>
            <w:tcW w:w="660" w:type="dxa"/>
            <w:tcBorders>
              <w:top w:val="nil"/>
              <w:left w:val="nil"/>
              <w:bottom w:val="single" w:sz="4" w:space="0" w:color="7F7F7F"/>
              <w:right w:val="nil"/>
            </w:tcBorders>
            <w:shd w:val="clear" w:color="000000" w:fill="FFFFFF"/>
            <w:noWrap/>
            <w:tcMar>
              <w:left w:w="0" w:type="dxa"/>
              <w:right w:w="0" w:type="dxa"/>
            </w:tcMar>
            <w:vAlign w:val="center"/>
            <w:hideMark/>
          </w:tcPr>
          <w:p w:rsidR="009610B9" w:rsidRPr="00B40104" w:rsidRDefault="009610B9" w:rsidP="004E7315">
            <w:pPr>
              <w:rPr>
                <w:rFonts w:cs="Arial"/>
                <w:color w:val="7F7F7F"/>
                <w:sz w:val="16"/>
                <w:szCs w:val="18"/>
                <w:lang w:eastAsia="en-AU"/>
              </w:rPr>
            </w:pPr>
            <w:r>
              <w:rPr>
                <w:rFonts w:cs="Arial"/>
                <w:color w:val="7F7F7F"/>
                <w:sz w:val="16"/>
                <w:szCs w:val="18"/>
                <w:lang w:eastAsia="en-AU"/>
              </w:rPr>
              <w:t xml:space="preserve"> </w:t>
            </w:r>
            <w:r w:rsidRPr="00B40104">
              <w:rPr>
                <w:rFonts w:cs="Arial"/>
                <w:color w:val="7F7F7F"/>
                <w:sz w:val="16"/>
                <w:szCs w:val="18"/>
                <w:lang w:eastAsia="en-AU"/>
              </w:rPr>
              <w:t>AEIs</w:t>
            </w:r>
          </w:p>
        </w:tc>
        <w:tc>
          <w:tcPr>
            <w:tcW w:w="2095" w:type="dxa"/>
            <w:tcBorders>
              <w:top w:val="nil"/>
              <w:left w:val="nil"/>
              <w:bottom w:val="single" w:sz="4" w:space="0" w:color="7F7F7F"/>
              <w:right w:val="single" w:sz="4" w:space="0" w:color="7F7F7F"/>
            </w:tcBorders>
            <w:shd w:val="clear" w:color="000000" w:fill="FFFFFF"/>
            <w:noWrap/>
            <w:tcMar>
              <w:left w:w="0" w:type="dxa"/>
              <w:right w:w="0" w:type="dxa"/>
            </w:tcMar>
            <w:vAlign w:val="center"/>
            <w:hideMark/>
          </w:tcPr>
          <w:p w:rsidR="009610B9" w:rsidRPr="00B40104" w:rsidRDefault="009610B9" w:rsidP="004E7315">
            <w:pPr>
              <w:rPr>
                <w:rFonts w:cs="Arial"/>
                <w:color w:val="7F7F7F"/>
                <w:sz w:val="16"/>
                <w:szCs w:val="18"/>
                <w:lang w:eastAsia="en-AU"/>
              </w:rPr>
            </w:pPr>
            <w:r w:rsidRPr="00B40104">
              <w:rPr>
                <w:rFonts w:cs="Arial"/>
                <w:color w:val="7F7F7F"/>
                <w:sz w:val="16"/>
                <w:szCs w:val="18"/>
                <w:lang w:eastAsia="en-AU"/>
              </w:rPr>
              <w:t>Adult Education Institutes</w:t>
            </w:r>
          </w:p>
        </w:tc>
      </w:tr>
    </w:tbl>
    <w:p w:rsidR="009610B9" w:rsidRDefault="009610B9" w:rsidP="009610B9">
      <w:pPr>
        <w:rPr>
          <w:rFonts w:cs="Arial"/>
          <w:bCs/>
          <w:color w:val="7F7F7F" w:themeColor="text2"/>
          <w:kern w:val="32"/>
          <w:szCs w:val="18"/>
        </w:rPr>
      </w:pPr>
    </w:p>
    <w:p w:rsidR="009610B9" w:rsidRDefault="009610B9" w:rsidP="009610B9">
      <w:r>
        <w:rPr>
          <w:b/>
        </w:rPr>
        <w:br w:type="page"/>
      </w: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9610B9" w:rsidTr="004E7315">
        <w:tc>
          <w:tcPr>
            <w:tcW w:w="1134" w:type="dxa"/>
            <w:tcMar>
              <w:left w:w="0" w:type="dxa"/>
              <w:right w:w="0" w:type="dxa"/>
            </w:tcMar>
          </w:tcPr>
          <w:p w:rsidR="009610B9" w:rsidRDefault="009610B9" w:rsidP="004E7315">
            <w:pPr>
              <w:pStyle w:val="Quote"/>
              <w:tabs>
                <w:tab w:val="left" w:pos="1134"/>
              </w:tabs>
              <w:rPr>
                <w:b w:val="0"/>
                <w:color w:val="B41F22" w:themeColor="accent1"/>
              </w:rPr>
            </w:pPr>
            <w:r>
              <w:rPr>
                <w:b w:val="0"/>
                <w:color w:val="B41F22" w:themeColor="accent1"/>
              </w:rPr>
              <w:lastRenderedPageBreak/>
              <w:t>Table 1.38.1:</w:t>
            </w:r>
          </w:p>
        </w:tc>
        <w:tc>
          <w:tcPr>
            <w:tcW w:w="6946" w:type="dxa"/>
            <w:tcMar>
              <w:left w:w="0" w:type="dxa"/>
              <w:right w:w="0" w:type="dxa"/>
            </w:tcMar>
          </w:tcPr>
          <w:p w:rsidR="009610B9" w:rsidRPr="00AD7189" w:rsidRDefault="009610B9" w:rsidP="004E7315">
            <w:pPr>
              <w:pStyle w:val="Quote"/>
              <w:tabs>
                <w:tab w:val="left" w:pos="1134"/>
              </w:tabs>
              <w:rPr>
                <w:b w:val="0"/>
                <w:color w:val="B41F22" w:themeColor="accent1"/>
              </w:rPr>
            </w:pPr>
            <w:r w:rsidRPr="00AD7189">
              <w:rPr>
                <w:b w:val="0"/>
                <w:color w:val="B41F22" w:themeColor="accent1"/>
              </w:rPr>
              <w:t>ACFE Board Priority Learners enrolled in government subsidised pre-accredited training with Learn Local (ACE) providers, 2010 to 2015 (half year)</w:t>
            </w:r>
          </w:p>
        </w:tc>
      </w:tr>
    </w:tbl>
    <w:tbl>
      <w:tblPr>
        <w:tblW w:w="8095" w:type="dxa"/>
        <w:tblInd w:w="93" w:type="dxa"/>
        <w:tblLayout w:type="fixed"/>
        <w:tblLook w:val="04A0" w:firstRow="1" w:lastRow="0" w:firstColumn="1" w:lastColumn="0" w:noHBand="0" w:noVBand="1"/>
      </w:tblPr>
      <w:tblGrid>
        <w:gridCol w:w="1960"/>
        <w:gridCol w:w="1022"/>
        <w:gridCol w:w="1023"/>
        <w:gridCol w:w="1022"/>
        <w:gridCol w:w="1023"/>
        <w:gridCol w:w="1022"/>
        <w:gridCol w:w="1023"/>
      </w:tblGrid>
      <w:tr w:rsidR="009610B9" w:rsidRPr="00BB324C" w:rsidTr="004E7315">
        <w:trPr>
          <w:trHeight w:val="300"/>
        </w:trPr>
        <w:tc>
          <w:tcPr>
            <w:tcW w:w="1960" w:type="dxa"/>
            <w:tcBorders>
              <w:top w:val="nil"/>
              <w:left w:val="nil"/>
              <w:bottom w:val="nil"/>
              <w:right w:val="nil"/>
            </w:tcBorders>
            <w:shd w:val="clear" w:color="000000" w:fill="7F7F7F"/>
            <w:noWrap/>
            <w:vAlign w:val="center"/>
            <w:hideMark/>
          </w:tcPr>
          <w:p w:rsidR="009610B9" w:rsidRPr="00BB324C" w:rsidRDefault="009610B9" w:rsidP="004E7315">
            <w:pPr>
              <w:rPr>
                <w:rFonts w:cs="Arial"/>
                <w:color w:val="FFFFFF"/>
                <w:szCs w:val="18"/>
                <w:lang w:eastAsia="en-AU"/>
              </w:rPr>
            </w:pPr>
            <w:r w:rsidRPr="00BB324C">
              <w:rPr>
                <w:rFonts w:cs="Arial"/>
                <w:color w:val="FFFFFF"/>
                <w:szCs w:val="18"/>
                <w:lang w:eastAsia="en-AU"/>
              </w:rPr>
              <w:t> </w:t>
            </w:r>
          </w:p>
        </w:tc>
        <w:tc>
          <w:tcPr>
            <w:tcW w:w="1022" w:type="dxa"/>
            <w:tcBorders>
              <w:top w:val="nil"/>
              <w:left w:val="nil"/>
              <w:bottom w:val="nil"/>
              <w:right w:val="nil"/>
            </w:tcBorders>
            <w:shd w:val="clear" w:color="000000" w:fill="7F7F7F"/>
            <w:noWrap/>
            <w:vAlign w:val="center"/>
            <w:hideMark/>
          </w:tcPr>
          <w:p w:rsidR="009610B9" w:rsidRPr="00BB324C" w:rsidRDefault="009610B9" w:rsidP="004E7315">
            <w:pPr>
              <w:jc w:val="right"/>
              <w:rPr>
                <w:rFonts w:cs="Arial"/>
                <w:b/>
                <w:bCs/>
                <w:color w:val="FFFFFF"/>
                <w:szCs w:val="18"/>
                <w:lang w:eastAsia="en-AU"/>
              </w:rPr>
            </w:pPr>
            <w:r w:rsidRPr="00BB324C">
              <w:rPr>
                <w:rFonts w:cs="Arial"/>
                <w:b/>
                <w:bCs/>
                <w:color w:val="FFFFFF"/>
                <w:szCs w:val="18"/>
                <w:lang w:eastAsia="en-AU"/>
              </w:rPr>
              <w:t>2010</w:t>
            </w:r>
          </w:p>
        </w:tc>
        <w:tc>
          <w:tcPr>
            <w:tcW w:w="1023" w:type="dxa"/>
            <w:tcBorders>
              <w:top w:val="nil"/>
              <w:left w:val="nil"/>
              <w:bottom w:val="nil"/>
              <w:right w:val="nil"/>
            </w:tcBorders>
            <w:shd w:val="clear" w:color="000000" w:fill="7F7F7F"/>
            <w:noWrap/>
            <w:vAlign w:val="center"/>
            <w:hideMark/>
          </w:tcPr>
          <w:p w:rsidR="009610B9" w:rsidRPr="00BB324C" w:rsidRDefault="009610B9" w:rsidP="004E7315">
            <w:pPr>
              <w:jc w:val="right"/>
              <w:rPr>
                <w:rFonts w:cs="Arial"/>
                <w:b/>
                <w:bCs/>
                <w:color w:val="FFFFFF"/>
                <w:szCs w:val="18"/>
                <w:lang w:eastAsia="en-AU"/>
              </w:rPr>
            </w:pPr>
            <w:r w:rsidRPr="00BB324C">
              <w:rPr>
                <w:rFonts w:cs="Arial"/>
                <w:b/>
                <w:bCs/>
                <w:color w:val="FFFFFF"/>
                <w:szCs w:val="18"/>
                <w:lang w:eastAsia="en-AU"/>
              </w:rPr>
              <w:t>2011</w:t>
            </w:r>
          </w:p>
        </w:tc>
        <w:tc>
          <w:tcPr>
            <w:tcW w:w="1022" w:type="dxa"/>
            <w:tcBorders>
              <w:top w:val="nil"/>
              <w:left w:val="nil"/>
              <w:bottom w:val="nil"/>
              <w:right w:val="nil"/>
            </w:tcBorders>
            <w:shd w:val="clear" w:color="000000" w:fill="7F7F7F"/>
            <w:noWrap/>
            <w:vAlign w:val="center"/>
            <w:hideMark/>
          </w:tcPr>
          <w:p w:rsidR="009610B9" w:rsidRPr="00BB324C" w:rsidRDefault="009610B9" w:rsidP="004E7315">
            <w:pPr>
              <w:jc w:val="right"/>
              <w:rPr>
                <w:rFonts w:cs="Arial"/>
                <w:b/>
                <w:bCs/>
                <w:color w:val="FFFFFF"/>
                <w:szCs w:val="18"/>
                <w:lang w:eastAsia="en-AU"/>
              </w:rPr>
            </w:pPr>
            <w:r w:rsidRPr="00BB324C">
              <w:rPr>
                <w:rFonts w:cs="Arial"/>
                <w:b/>
                <w:bCs/>
                <w:color w:val="FFFFFF"/>
                <w:szCs w:val="18"/>
                <w:lang w:eastAsia="en-AU"/>
              </w:rPr>
              <w:t>2012</w:t>
            </w:r>
          </w:p>
        </w:tc>
        <w:tc>
          <w:tcPr>
            <w:tcW w:w="1023" w:type="dxa"/>
            <w:tcBorders>
              <w:top w:val="nil"/>
              <w:left w:val="nil"/>
              <w:bottom w:val="nil"/>
              <w:right w:val="nil"/>
            </w:tcBorders>
            <w:shd w:val="clear" w:color="000000" w:fill="7F7F7F"/>
            <w:noWrap/>
            <w:vAlign w:val="center"/>
            <w:hideMark/>
          </w:tcPr>
          <w:p w:rsidR="009610B9" w:rsidRPr="00BB324C" w:rsidRDefault="009610B9" w:rsidP="004E7315">
            <w:pPr>
              <w:jc w:val="right"/>
              <w:rPr>
                <w:rFonts w:cs="Arial"/>
                <w:b/>
                <w:bCs/>
                <w:color w:val="FFFFFF"/>
                <w:szCs w:val="18"/>
                <w:lang w:eastAsia="en-AU"/>
              </w:rPr>
            </w:pPr>
            <w:r w:rsidRPr="00BB324C">
              <w:rPr>
                <w:rFonts w:cs="Arial"/>
                <w:b/>
                <w:bCs/>
                <w:color w:val="FFFFFF"/>
                <w:szCs w:val="18"/>
                <w:lang w:eastAsia="en-AU"/>
              </w:rPr>
              <w:t>2013</w:t>
            </w:r>
          </w:p>
        </w:tc>
        <w:tc>
          <w:tcPr>
            <w:tcW w:w="1022" w:type="dxa"/>
            <w:tcBorders>
              <w:top w:val="nil"/>
              <w:left w:val="nil"/>
              <w:bottom w:val="nil"/>
              <w:right w:val="nil"/>
            </w:tcBorders>
            <w:shd w:val="clear" w:color="000000" w:fill="7F7F7F"/>
            <w:noWrap/>
            <w:vAlign w:val="center"/>
            <w:hideMark/>
          </w:tcPr>
          <w:p w:rsidR="009610B9" w:rsidRPr="00BB324C" w:rsidRDefault="009610B9" w:rsidP="004E7315">
            <w:pPr>
              <w:jc w:val="right"/>
              <w:rPr>
                <w:rFonts w:cs="Arial"/>
                <w:b/>
                <w:bCs/>
                <w:color w:val="FFFFFF"/>
                <w:szCs w:val="18"/>
                <w:lang w:eastAsia="en-AU"/>
              </w:rPr>
            </w:pPr>
            <w:r w:rsidRPr="00BB324C">
              <w:rPr>
                <w:rFonts w:cs="Arial"/>
                <w:b/>
                <w:bCs/>
                <w:color w:val="FFFFFF"/>
                <w:szCs w:val="18"/>
                <w:lang w:eastAsia="en-AU"/>
              </w:rPr>
              <w:t>2014</w:t>
            </w:r>
          </w:p>
        </w:tc>
        <w:tc>
          <w:tcPr>
            <w:tcW w:w="1023" w:type="dxa"/>
            <w:tcBorders>
              <w:top w:val="nil"/>
              <w:left w:val="nil"/>
              <w:bottom w:val="nil"/>
              <w:right w:val="nil"/>
            </w:tcBorders>
            <w:shd w:val="clear" w:color="000000" w:fill="7F7F7F"/>
            <w:noWrap/>
            <w:vAlign w:val="center"/>
            <w:hideMark/>
          </w:tcPr>
          <w:p w:rsidR="009610B9" w:rsidRPr="00BB324C" w:rsidRDefault="009610B9" w:rsidP="004E7315">
            <w:pPr>
              <w:jc w:val="right"/>
              <w:rPr>
                <w:rFonts w:cs="Arial"/>
                <w:b/>
                <w:bCs/>
                <w:color w:val="FFFFFF"/>
                <w:szCs w:val="18"/>
                <w:lang w:eastAsia="en-AU"/>
              </w:rPr>
            </w:pPr>
            <w:r w:rsidRPr="00BB324C">
              <w:rPr>
                <w:rFonts w:cs="Arial"/>
                <w:b/>
                <w:bCs/>
                <w:color w:val="FFFFFF"/>
                <w:szCs w:val="18"/>
                <w:lang w:eastAsia="en-AU"/>
              </w:rPr>
              <w:t>2015</w:t>
            </w:r>
          </w:p>
        </w:tc>
      </w:tr>
      <w:tr w:rsidR="009610B9" w:rsidRPr="00BB324C" w:rsidTr="004E7315">
        <w:trPr>
          <w:trHeight w:val="300"/>
        </w:trPr>
        <w:tc>
          <w:tcPr>
            <w:tcW w:w="1960" w:type="dxa"/>
            <w:tcBorders>
              <w:top w:val="nil"/>
              <w:left w:val="nil"/>
              <w:bottom w:val="nil"/>
              <w:right w:val="nil"/>
            </w:tcBorders>
            <w:shd w:val="clear" w:color="auto" w:fill="auto"/>
            <w:noWrap/>
            <w:vAlign w:val="center"/>
            <w:hideMark/>
          </w:tcPr>
          <w:p w:rsidR="009610B9" w:rsidRPr="00BB324C" w:rsidRDefault="009610B9" w:rsidP="004E7315">
            <w:pPr>
              <w:rPr>
                <w:rFonts w:cs="Arial"/>
                <w:color w:val="7F7F7F"/>
                <w:szCs w:val="18"/>
                <w:lang w:eastAsia="en-AU"/>
              </w:rPr>
            </w:pPr>
            <w:r w:rsidRPr="00BB324C">
              <w:rPr>
                <w:rFonts w:cs="Arial"/>
                <w:color w:val="7F7F7F"/>
                <w:szCs w:val="18"/>
                <w:lang w:eastAsia="en-AU"/>
              </w:rPr>
              <w:t>CALD (LOTE)</w:t>
            </w:r>
          </w:p>
        </w:tc>
        <w:tc>
          <w:tcPr>
            <w:tcW w:w="1022" w:type="dxa"/>
            <w:tcBorders>
              <w:top w:val="nil"/>
              <w:left w:val="nil"/>
              <w:bottom w:val="nil"/>
              <w:right w:val="nil"/>
            </w:tcBorders>
            <w:shd w:val="clear" w:color="auto" w:fill="auto"/>
            <w:noWrap/>
            <w:vAlign w:val="center"/>
            <w:hideMark/>
          </w:tcPr>
          <w:p w:rsidR="009610B9" w:rsidRPr="00BB324C" w:rsidRDefault="009610B9" w:rsidP="004E7315">
            <w:pPr>
              <w:jc w:val="right"/>
              <w:rPr>
                <w:rFonts w:cs="Arial"/>
                <w:color w:val="7F7F7F"/>
                <w:szCs w:val="18"/>
                <w:lang w:eastAsia="en-AU"/>
              </w:rPr>
            </w:pPr>
            <w:r w:rsidRPr="00BB324C">
              <w:rPr>
                <w:rFonts w:cs="Arial"/>
                <w:color w:val="7F7F7F"/>
                <w:szCs w:val="18"/>
                <w:lang w:eastAsia="en-AU"/>
              </w:rPr>
              <w:t>1,508</w:t>
            </w:r>
          </w:p>
        </w:tc>
        <w:tc>
          <w:tcPr>
            <w:tcW w:w="1023" w:type="dxa"/>
            <w:tcBorders>
              <w:top w:val="nil"/>
              <w:left w:val="nil"/>
              <w:bottom w:val="nil"/>
              <w:right w:val="nil"/>
            </w:tcBorders>
            <w:shd w:val="clear" w:color="auto" w:fill="auto"/>
            <w:noWrap/>
            <w:vAlign w:val="center"/>
            <w:hideMark/>
          </w:tcPr>
          <w:p w:rsidR="009610B9" w:rsidRPr="00BB324C" w:rsidRDefault="009610B9" w:rsidP="004E7315">
            <w:pPr>
              <w:jc w:val="right"/>
              <w:rPr>
                <w:rFonts w:cs="Arial"/>
                <w:color w:val="7F7F7F"/>
                <w:szCs w:val="18"/>
                <w:lang w:eastAsia="en-AU"/>
              </w:rPr>
            </w:pPr>
            <w:r w:rsidRPr="00BB324C">
              <w:rPr>
                <w:rFonts w:cs="Arial"/>
                <w:color w:val="7F7F7F"/>
                <w:szCs w:val="18"/>
                <w:lang w:eastAsia="en-AU"/>
              </w:rPr>
              <w:t>2,461</w:t>
            </w:r>
          </w:p>
        </w:tc>
        <w:tc>
          <w:tcPr>
            <w:tcW w:w="1022" w:type="dxa"/>
            <w:tcBorders>
              <w:top w:val="nil"/>
              <w:left w:val="nil"/>
              <w:bottom w:val="nil"/>
              <w:right w:val="nil"/>
            </w:tcBorders>
            <w:shd w:val="clear" w:color="auto" w:fill="auto"/>
            <w:noWrap/>
            <w:vAlign w:val="center"/>
            <w:hideMark/>
          </w:tcPr>
          <w:p w:rsidR="009610B9" w:rsidRPr="00BB324C" w:rsidRDefault="009610B9" w:rsidP="004E7315">
            <w:pPr>
              <w:jc w:val="right"/>
              <w:rPr>
                <w:rFonts w:cs="Arial"/>
                <w:color w:val="7F7F7F"/>
                <w:szCs w:val="18"/>
                <w:lang w:eastAsia="en-AU"/>
              </w:rPr>
            </w:pPr>
            <w:r w:rsidRPr="00BB324C">
              <w:rPr>
                <w:rFonts w:cs="Arial"/>
                <w:color w:val="7F7F7F"/>
                <w:szCs w:val="18"/>
                <w:lang w:eastAsia="en-AU"/>
              </w:rPr>
              <w:t>3,402</w:t>
            </w:r>
          </w:p>
        </w:tc>
        <w:tc>
          <w:tcPr>
            <w:tcW w:w="1023" w:type="dxa"/>
            <w:tcBorders>
              <w:top w:val="nil"/>
              <w:left w:val="nil"/>
              <w:bottom w:val="nil"/>
              <w:right w:val="nil"/>
            </w:tcBorders>
            <w:shd w:val="clear" w:color="auto" w:fill="auto"/>
            <w:noWrap/>
            <w:vAlign w:val="center"/>
            <w:hideMark/>
          </w:tcPr>
          <w:p w:rsidR="009610B9" w:rsidRPr="00BB324C" w:rsidRDefault="009610B9" w:rsidP="004E7315">
            <w:pPr>
              <w:jc w:val="right"/>
              <w:rPr>
                <w:rFonts w:cs="Arial"/>
                <w:color w:val="7F7F7F"/>
                <w:szCs w:val="18"/>
                <w:lang w:eastAsia="en-AU"/>
              </w:rPr>
            </w:pPr>
            <w:r w:rsidRPr="00BB324C">
              <w:rPr>
                <w:rFonts w:cs="Arial"/>
                <w:color w:val="7F7F7F"/>
                <w:szCs w:val="18"/>
                <w:lang w:eastAsia="en-AU"/>
              </w:rPr>
              <w:t>3,649</w:t>
            </w:r>
          </w:p>
        </w:tc>
        <w:tc>
          <w:tcPr>
            <w:tcW w:w="1022" w:type="dxa"/>
            <w:tcBorders>
              <w:top w:val="nil"/>
              <w:left w:val="nil"/>
              <w:bottom w:val="nil"/>
              <w:right w:val="nil"/>
            </w:tcBorders>
            <w:shd w:val="clear" w:color="auto" w:fill="auto"/>
            <w:noWrap/>
            <w:vAlign w:val="center"/>
            <w:hideMark/>
          </w:tcPr>
          <w:p w:rsidR="009610B9" w:rsidRPr="00BB324C" w:rsidRDefault="009610B9" w:rsidP="004E7315">
            <w:pPr>
              <w:jc w:val="right"/>
              <w:rPr>
                <w:rFonts w:cs="Arial"/>
                <w:color w:val="7F7F7F"/>
                <w:szCs w:val="18"/>
                <w:lang w:eastAsia="en-AU"/>
              </w:rPr>
            </w:pPr>
            <w:r w:rsidRPr="00BB324C">
              <w:rPr>
                <w:rFonts w:cs="Arial"/>
                <w:color w:val="7F7F7F"/>
                <w:szCs w:val="18"/>
                <w:lang w:eastAsia="en-AU"/>
              </w:rPr>
              <w:t>3,361</w:t>
            </w:r>
          </w:p>
        </w:tc>
        <w:tc>
          <w:tcPr>
            <w:tcW w:w="1023" w:type="dxa"/>
            <w:tcBorders>
              <w:top w:val="nil"/>
              <w:left w:val="nil"/>
              <w:bottom w:val="nil"/>
              <w:right w:val="nil"/>
            </w:tcBorders>
            <w:shd w:val="clear" w:color="auto" w:fill="auto"/>
            <w:noWrap/>
            <w:vAlign w:val="center"/>
            <w:hideMark/>
          </w:tcPr>
          <w:p w:rsidR="009610B9" w:rsidRPr="00BB324C" w:rsidRDefault="009610B9" w:rsidP="004E7315">
            <w:pPr>
              <w:jc w:val="right"/>
              <w:rPr>
                <w:rFonts w:cs="Arial"/>
                <w:color w:val="7F7F7F"/>
                <w:szCs w:val="18"/>
                <w:lang w:eastAsia="en-AU"/>
              </w:rPr>
            </w:pPr>
            <w:r w:rsidRPr="00BB324C">
              <w:rPr>
                <w:rFonts w:cs="Arial"/>
                <w:color w:val="7F7F7F"/>
                <w:szCs w:val="18"/>
                <w:lang w:eastAsia="en-AU"/>
              </w:rPr>
              <w:t>3,981</w:t>
            </w:r>
          </w:p>
        </w:tc>
      </w:tr>
      <w:tr w:rsidR="009610B9" w:rsidRPr="00BB324C" w:rsidTr="004E7315">
        <w:trPr>
          <w:trHeight w:val="300"/>
        </w:trPr>
        <w:tc>
          <w:tcPr>
            <w:tcW w:w="1960" w:type="dxa"/>
            <w:tcBorders>
              <w:top w:val="nil"/>
              <w:left w:val="nil"/>
              <w:bottom w:val="nil"/>
              <w:right w:val="nil"/>
            </w:tcBorders>
            <w:shd w:val="clear" w:color="auto" w:fill="auto"/>
            <w:noWrap/>
            <w:vAlign w:val="center"/>
            <w:hideMark/>
          </w:tcPr>
          <w:p w:rsidR="009610B9" w:rsidRPr="00BB324C" w:rsidRDefault="009610B9" w:rsidP="004E7315">
            <w:pPr>
              <w:rPr>
                <w:rFonts w:cs="Arial"/>
                <w:color w:val="7F7F7F"/>
                <w:szCs w:val="18"/>
                <w:lang w:eastAsia="en-AU"/>
              </w:rPr>
            </w:pPr>
            <w:r w:rsidRPr="00BB324C">
              <w:rPr>
                <w:rFonts w:cs="Arial"/>
                <w:color w:val="7F7F7F"/>
                <w:szCs w:val="18"/>
                <w:lang w:eastAsia="en-AU"/>
              </w:rPr>
              <w:t>Disability</w:t>
            </w:r>
          </w:p>
        </w:tc>
        <w:tc>
          <w:tcPr>
            <w:tcW w:w="1022" w:type="dxa"/>
            <w:tcBorders>
              <w:top w:val="nil"/>
              <w:left w:val="nil"/>
              <w:bottom w:val="nil"/>
              <w:right w:val="nil"/>
            </w:tcBorders>
            <w:shd w:val="clear" w:color="auto" w:fill="auto"/>
            <w:noWrap/>
            <w:vAlign w:val="center"/>
            <w:hideMark/>
          </w:tcPr>
          <w:p w:rsidR="009610B9" w:rsidRPr="00BB324C" w:rsidRDefault="009610B9" w:rsidP="004E7315">
            <w:pPr>
              <w:jc w:val="right"/>
              <w:rPr>
                <w:rFonts w:cs="Arial"/>
                <w:color w:val="7F7F7F"/>
                <w:szCs w:val="18"/>
                <w:lang w:eastAsia="en-AU"/>
              </w:rPr>
            </w:pPr>
            <w:r w:rsidRPr="00BB324C">
              <w:rPr>
                <w:rFonts w:cs="Arial"/>
                <w:color w:val="7F7F7F"/>
                <w:szCs w:val="18"/>
                <w:lang w:eastAsia="en-AU"/>
              </w:rPr>
              <w:t>1,452</w:t>
            </w:r>
          </w:p>
        </w:tc>
        <w:tc>
          <w:tcPr>
            <w:tcW w:w="1023" w:type="dxa"/>
            <w:tcBorders>
              <w:top w:val="nil"/>
              <w:left w:val="nil"/>
              <w:bottom w:val="nil"/>
              <w:right w:val="nil"/>
            </w:tcBorders>
            <w:shd w:val="clear" w:color="auto" w:fill="auto"/>
            <w:noWrap/>
            <w:vAlign w:val="center"/>
            <w:hideMark/>
          </w:tcPr>
          <w:p w:rsidR="009610B9" w:rsidRPr="00BB324C" w:rsidRDefault="009610B9" w:rsidP="004E7315">
            <w:pPr>
              <w:jc w:val="right"/>
              <w:rPr>
                <w:rFonts w:cs="Arial"/>
                <w:color w:val="7F7F7F"/>
                <w:szCs w:val="18"/>
                <w:lang w:eastAsia="en-AU"/>
              </w:rPr>
            </w:pPr>
            <w:r w:rsidRPr="00BB324C">
              <w:rPr>
                <w:rFonts w:cs="Arial"/>
                <w:color w:val="7F7F7F"/>
                <w:szCs w:val="18"/>
                <w:lang w:eastAsia="en-AU"/>
              </w:rPr>
              <w:t>2,240</w:t>
            </w:r>
          </w:p>
        </w:tc>
        <w:tc>
          <w:tcPr>
            <w:tcW w:w="1022" w:type="dxa"/>
            <w:tcBorders>
              <w:top w:val="nil"/>
              <w:left w:val="nil"/>
              <w:bottom w:val="nil"/>
              <w:right w:val="nil"/>
            </w:tcBorders>
            <w:shd w:val="clear" w:color="auto" w:fill="auto"/>
            <w:noWrap/>
            <w:vAlign w:val="center"/>
            <w:hideMark/>
          </w:tcPr>
          <w:p w:rsidR="009610B9" w:rsidRPr="00BB324C" w:rsidRDefault="009610B9" w:rsidP="004E7315">
            <w:pPr>
              <w:jc w:val="right"/>
              <w:rPr>
                <w:rFonts w:cs="Arial"/>
                <w:color w:val="7F7F7F"/>
                <w:szCs w:val="18"/>
                <w:lang w:eastAsia="en-AU"/>
              </w:rPr>
            </w:pPr>
            <w:r w:rsidRPr="00BB324C">
              <w:rPr>
                <w:rFonts w:cs="Arial"/>
                <w:color w:val="7F7F7F"/>
                <w:szCs w:val="18"/>
                <w:lang w:eastAsia="en-AU"/>
              </w:rPr>
              <w:t>2,911</w:t>
            </w:r>
          </w:p>
        </w:tc>
        <w:tc>
          <w:tcPr>
            <w:tcW w:w="1023" w:type="dxa"/>
            <w:tcBorders>
              <w:top w:val="nil"/>
              <w:left w:val="nil"/>
              <w:bottom w:val="nil"/>
              <w:right w:val="nil"/>
            </w:tcBorders>
            <w:shd w:val="clear" w:color="auto" w:fill="auto"/>
            <w:noWrap/>
            <w:vAlign w:val="center"/>
            <w:hideMark/>
          </w:tcPr>
          <w:p w:rsidR="009610B9" w:rsidRPr="00BB324C" w:rsidRDefault="009610B9" w:rsidP="004E7315">
            <w:pPr>
              <w:jc w:val="right"/>
              <w:rPr>
                <w:rFonts w:cs="Arial"/>
                <w:color w:val="7F7F7F"/>
                <w:szCs w:val="18"/>
                <w:lang w:eastAsia="en-AU"/>
              </w:rPr>
            </w:pPr>
            <w:r w:rsidRPr="00BB324C">
              <w:rPr>
                <w:rFonts w:cs="Arial"/>
                <w:color w:val="7F7F7F"/>
                <w:szCs w:val="18"/>
                <w:lang w:eastAsia="en-AU"/>
              </w:rPr>
              <w:t>3,137</w:t>
            </w:r>
          </w:p>
        </w:tc>
        <w:tc>
          <w:tcPr>
            <w:tcW w:w="1022" w:type="dxa"/>
            <w:tcBorders>
              <w:top w:val="nil"/>
              <w:left w:val="nil"/>
              <w:bottom w:val="nil"/>
              <w:right w:val="nil"/>
            </w:tcBorders>
            <w:shd w:val="clear" w:color="auto" w:fill="auto"/>
            <w:noWrap/>
            <w:vAlign w:val="center"/>
            <w:hideMark/>
          </w:tcPr>
          <w:p w:rsidR="009610B9" w:rsidRPr="00BB324C" w:rsidRDefault="009610B9" w:rsidP="004E7315">
            <w:pPr>
              <w:jc w:val="right"/>
              <w:rPr>
                <w:rFonts w:cs="Arial"/>
                <w:color w:val="7F7F7F"/>
                <w:szCs w:val="18"/>
                <w:lang w:eastAsia="en-AU"/>
              </w:rPr>
            </w:pPr>
            <w:r w:rsidRPr="00BB324C">
              <w:rPr>
                <w:rFonts w:cs="Arial"/>
                <w:color w:val="7F7F7F"/>
                <w:szCs w:val="18"/>
                <w:lang w:eastAsia="en-AU"/>
              </w:rPr>
              <w:t>3,504</w:t>
            </w:r>
          </w:p>
        </w:tc>
        <w:tc>
          <w:tcPr>
            <w:tcW w:w="1023" w:type="dxa"/>
            <w:tcBorders>
              <w:top w:val="nil"/>
              <w:left w:val="nil"/>
              <w:bottom w:val="nil"/>
              <w:right w:val="nil"/>
            </w:tcBorders>
            <w:shd w:val="clear" w:color="auto" w:fill="auto"/>
            <w:noWrap/>
            <w:vAlign w:val="center"/>
            <w:hideMark/>
          </w:tcPr>
          <w:p w:rsidR="009610B9" w:rsidRPr="00BB324C" w:rsidRDefault="009610B9" w:rsidP="004E7315">
            <w:pPr>
              <w:jc w:val="right"/>
              <w:rPr>
                <w:rFonts w:cs="Arial"/>
                <w:color w:val="7F7F7F"/>
                <w:szCs w:val="18"/>
                <w:lang w:eastAsia="en-AU"/>
              </w:rPr>
            </w:pPr>
            <w:r w:rsidRPr="00BB324C">
              <w:rPr>
                <w:rFonts w:cs="Arial"/>
                <w:color w:val="7F7F7F"/>
                <w:szCs w:val="18"/>
                <w:lang w:eastAsia="en-AU"/>
              </w:rPr>
              <w:t>3,582</w:t>
            </w:r>
          </w:p>
        </w:tc>
      </w:tr>
      <w:tr w:rsidR="009610B9" w:rsidRPr="00BB324C" w:rsidTr="004E7315">
        <w:trPr>
          <w:trHeight w:val="300"/>
        </w:trPr>
        <w:tc>
          <w:tcPr>
            <w:tcW w:w="1960" w:type="dxa"/>
            <w:tcBorders>
              <w:top w:val="nil"/>
              <w:left w:val="nil"/>
              <w:bottom w:val="nil"/>
              <w:right w:val="nil"/>
            </w:tcBorders>
            <w:shd w:val="clear" w:color="auto" w:fill="auto"/>
            <w:noWrap/>
            <w:vAlign w:val="center"/>
            <w:hideMark/>
          </w:tcPr>
          <w:p w:rsidR="009610B9" w:rsidRPr="00BB324C" w:rsidRDefault="009610B9" w:rsidP="004E7315">
            <w:pPr>
              <w:rPr>
                <w:rFonts w:cs="Arial"/>
                <w:color w:val="7F7F7F"/>
                <w:szCs w:val="18"/>
                <w:lang w:eastAsia="en-AU"/>
              </w:rPr>
            </w:pPr>
            <w:r w:rsidRPr="00BB324C">
              <w:rPr>
                <w:rFonts w:cs="Arial"/>
                <w:color w:val="7F7F7F"/>
                <w:szCs w:val="18"/>
                <w:lang w:eastAsia="en-AU"/>
              </w:rPr>
              <w:t>Disengaged Youth</w:t>
            </w:r>
          </w:p>
        </w:tc>
        <w:tc>
          <w:tcPr>
            <w:tcW w:w="1022" w:type="dxa"/>
            <w:tcBorders>
              <w:top w:val="nil"/>
              <w:left w:val="nil"/>
              <w:bottom w:val="nil"/>
              <w:right w:val="nil"/>
            </w:tcBorders>
            <w:shd w:val="clear" w:color="auto" w:fill="auto"/>
            <w:noWrap/>
            <w:vAlign w:val="center"/>
            <w:hideMark/>
          </w:tcPr>
          <w:p w:rsidR="009610B9" w:rsidRPr="00BB324C" w:rsidRDefault="009610B9" w:rsidP="004E7315">
            <w:pPr>
              <w:jc w:val="right"/>
              <w:rPr>
                <w:rFonts w:cs="Arial"/>
                <w:color w:val="7F7F7F"/>
                <w:szCs w:val="18"/>
                <w:lang w:eastAsia="en-AU"/>
              </w:rPr>
            </w:pPr>
            <w:r w:rsidRPr="00BB324C">
              <w:rPr>
                <w:rFonts w:cs="Arial"/>
                <w:color w:val="7F7F7F"/>
                <w:szCs w:val="18"/>
                <w:lang w:eastAsia="en-AU"/>
              </w:rPr>
              <w:t>71</w:t>
            </w:r>
          </w:p>
        </w:tc>
        <w:tc>
          <w:tcPr>
            <w:tcW w:w="1023" w:type="dxa"/>
            <w:tcBorders>
              <w:top w:val="nil"/>
              <w:left w:val="nil"/>
              <w:bottom w:val="nil"/>
              <w:right w:val="nil"/>
            </w:tcBorders>
            <w:shd w:val="clear" w:color="auto" w:fill="auto"/>
            <w:noWrap/>
            <w:vAlign w:val="center"/>
            <w:hideMark/>
          </w:tcPr>
          <w:p w:rsidR="009610B9" w:rsidRPr="00BB324C" w:rsidRDefault="009610B9" w:rsidP="004E7315">
            <w:pPr>
              <w:jc w:val="right"/>
              <w:rPr>
                <w:rFonts w:cs="Arial"/>
                <w:color w:val="7F7F7F"/>
                <w:szCs w:val="18"/>
                <w:lang w:eastAsia="en-AU"/>
              </w:rPr>
            </w:pPr>
            <w:r w:rsidRPr="00BB324C">
              <w:rPr>
                <w:rFonts w:cs="Arial"/>
                <w:color w:val="7F7F7F"/>
                <w:szCs w:val="18"/>
                <w:lang w:eastAsia="en-AU"/>
              </w:rPr>
              <w:t>135</w:t>
            </w:r>
          </w:p>
        </w:tc>
        <w:tc>
          <w:tcPr>
            <w:tcW w:w="1022" w:type="dxa"/>
            <w:tcBorders>
              <w:top w:val="nil"/>
              <w:left w:val="nil"/>
              <w:bottom w:val="nil"/>
              <w:right w:val="nil"/>
            </w:tcBorders>
            <w:shd w:val="clear" w:color="auto" w:fill="auto"/>
            <w:noWrap/>
            <w:vAlign w:val="center"/>
            <w:hideMark/>
          </w:tcPr>
          <w:p w:rsidR="009610B9" w:rsidRPr="00BB324C" w:rsidRDefault="009610B9" w:rsidP="004E7315">
            <w:pPr>
              <w:jc w:val="right"/>
              <w:rPr>
                <w:rFonts w:cs="Arial"/>
                <w:color w:val="7F7F7F"/>
                <w:szCs w:val="18"/>
                <w:lang w:eastAsia="en-AU"/>
              </w:rPr>
            </w:pPr>
            <w:r w:rsidRPr="00BB324C">
              <w:rPr>
                <w:rFonts w:cs="Arial"/>
                <w:color w:val="7F7F7F"/>
                <w:szCs w:val="18"/>
                <w:lang w:eastAsia="en-AU"/>
              </w:rPr>
              <w:t>277</w:t>
            </w:r>
          </w:p>
        </w:tc>
        <w:tc>
          <w:tcPr>
            <w:tcW w:w="1023" w:type="dxa"/>
            <w:tcBorders>
              <w:top w:val="nil"/>
              <w:left w:val="nil"/>
              <w:bottom w:val="nil"/>
              <w:right w:val="nil"/>
            </w:tcBorders>
            <w:shd w:val="clear" w:color="auto" w:fill="auto"/>
            <w:noWrap/>
            <w:vAlign w:val="center"/>
            <w:hideMark/>
          </w:tcPr>
          <w:p w:rsidR="009610B9" w:rsidRPr="00BB324C" w:rsidRDefault="009610B9" w:rsidP="004E7315">
            <w:pPr>
              <w:jc w:val="right"/>
              <w:rPr>
                <w:rFonts w:cs="Arial"/>
                <w:color w:val="7F7F7F"/>
                <w:szCs w:val="18"/>
                <w:lang w:eastAsia="en-AU"/>
              </w:rPr>
            </w:pPr>
            <w:r w:rsidRPr="00BB324C">
              <w:rPr>
                <w:rFonts w:cs="Arial"/>
                <w:color w:val="7F7F7F"/>
                <w:szCs w:val="18"/>
                <w:lang w:eastAsia="en-AU"/>
              </w:rPr>
              <w:t>377</w:t>
            </w:r>
          </w:p>
        </w:tc>
        <w:tc>
          <w:tcPr>
            <w:tcW w:w="1022" w:type="dxa"/>
            <w:tcBorders>
              <w:top w:val="nil"/>
              <w:left w:val="nil"/>
              <w:bottom w:val="nil"/>
              <w:right w:val="nil"/>
            </w:tcBorders>
            <w:shd w:val="clear" w:color="auto" w:fill="auto"/>
            <w:noWrap/>
            <w:vAlign w:val="center"/>
            <w:hideMark/>
          </w:tcPr>
          <w:p w:rsidR="009610B9" w:rsidRPr="00BB324C" w:rsidRDefault="009610B9" w:rsidP="004E7315">
            <w:pPr>
              <w:jc w:val="right"/>
              <w:rPr>
                <w:rFonts w:cs="Arial"/>
                <w:color w:val="7F7F7F"/>
                <w:szCs w:val="18"/>
                <w:lang w:eastAsia="en-AU"/>
              </w:rPr>
            </w:pPr>
            <w:r w:rsidRPr="00BB324C">
              <w:rPr>
                <w:rFonts w:cs="Arial"/>
                <w:color w:val="7F7F7F"/>
                <w:szCs w:val="18"/>
                <w:lang w:eastAsia="en-AU"/>
              </w:rPr>
              <w:t>472</w:t>
            </w:r>
          </w:p>
        </w:tc>
        <w:tc>
          <w:tcPr>
            <w:tcW w:w="1023" w:type="dxa"/>
            <w:tcBorders>
              <w:top w:val="nil"/>
              <w:left w:val="nil"/>
              <w:bottom w:val="nil"/>
              <w:right w:val="nil"/>
            </w:tcBorders>
            <w:shd w:val="clear" w:color="auto" w:fill="auto"/>
            <w:noWrap/>
            <w:vAlign w:val="center"/>
            <w:hideMark/>
          </w:tcPr>
          <w:p w:rsidR="009610B9" w:rsidRPr="00BB324C" w:rsidRDefault="009610B9" w:rsidP="004E7315">
            <w:pPr>
              <w:jc w:val="right"/>
              <w:rPr>
                <w:rFonts w:cs="Arial"/>
                <w:color w:val="7F7F7F"/>
                <w:szCs w:val="18"/>
                <w:lang w:eastAsia="en-AU"/>
              </w:rPr>
            </w:pPr>
            <w:r w:rsidRPr="00BB324C">
              <w:rPr>
                <w:rFonts w:cs="Arial"/>
                <w:color w:val="7F7F7F"/>
                <w:szCs w:val="18"/>
                <w:lang w:eastAsia="en-AU"/>
              </w:rPr>
              <w:t>349</w:t>
            </w:r>
          </w:p>
        </w:tc>
      </w:tr>
      <w:tr w:rsidR="009610B9" w:rsidRPr="00BB324C" w:rsidTr="004E7315">
        <w:trPr>
          <w:trHeight w:val="300"/>
        </w:trPr>
        <w:tc>
          <w:tcPr>
            <w:tcW w:w="1960" w:type="dxa"/>
            <w:tcBorders>
              <w:top w:val="nil"/>
              <w:left w:val="nil"/>
              <w:bottom w:val="nil"/>
              <w:right w:val="nil"/>
            </w:tcBorders>
            <w:shd w:val="clear" w:color="auto" w:fill="auto"/>
            <w:noWrap/>
            <w:vAlign w:val="center"/>
            <w:hideMark/>
          </w:tcPr>
          <w:p w:rsidR="009610B9" w:rsidRPr="00BB324C" w:rsidRDefault="009610B9" w:rsidP="004E7315">
            <w:pPr>
              <w:rPr>
                <w:rFonts w:cs="Arial"/>
                <w:color w:val="7F7F7F"/>
                <w:szCs w:val="18"/>
                <w:lang w:eastAsia="en-AU"/>
              </w:rPr>
            </w:pPr>
            <w:r w:rsidRPr="00BB324C">
              <w:rPr>
                <w:rFonts w:cs="Arial"/>
                <w:color w:val="7F7F7F"/>
                <w:szCs w:val="18"/>
                <w:lang w:eastAsia="en-AU"/>
              </w:rPr>
              <w:t>Early school leavers</w:t>
            </w:r>
          </w:p>
        </w:tc>
        <w:tc>
          <w:tcPr>
            <w:tcW w:w="1022" w:type="dxa"/>
            <w:tcBorders>
              <w:top w:val="nil"/>
              <w:left w:val="nil"/>
              <w:bottom w:val="nil"/>
              <w:right w:val="nil"/>
            </w:tcBorders>
            <w:shd w:val="clear" w:color="auto" w:fill="auto"/>
            <w:noWrap/>
            <w:vAlign w:val="center"/>
            <w:hideMark/>
          </w:tcPr>
          <w:p w:rsidR="009610B9" w:rsidRPr="00BB324C" w:rsidRDefault="009610B9" w:rsidP="004E7315">
            <w:pPr>
              <w:jc w:val="right"/>
              <w:rPr>
                <w:rFonts w:cs="Arial"/>
                <w:color w:val="7F7F7F"/>
                <w:szCs w:val="18"/>
                <w:lang w:eastAsia="en-AU"/>
              </w:rPr>
            </w:pPr>
            <w:r w:rsidRPr="00BB324C">
              <w:rPr>
                <w:rFonts w:cs="Arial"/>
                <w:color w:val="7F7F7F"/>
                <w:szCs w:val="18"/>
                <w:lang w:eastAsia="en-AU"/>
              </w:rPr>
              <w:t>1,333</w:t>
            </w:r>
          </w:p>
        </w:tc>
        <w:tc>
          <w:tcPr>
            <w:tcW w:w="1023" w:type="dxa"/>
            <w:tcBorders>
              <w:top w:val="nil"/>
              <w:left w:val="nil"/>
              <w:bottom w:val="nil"/>
              <w:right w:val="nil"/>
            </w:tcBorders>
            <w:shd w:val="clear" w:color="auto" w:fill="auto"/>
            <w:noWrap/>
            <w:vAlign w:val="center"/>
            <w:hideMark/>
          </w:tcPr>
          <w:p w:rsidR="009610B9" w:rsidRPr="00BB324C" w:rsidRDefault="009610B9" w:rsidP="004E7315">
            <w:pPr>
              <w:jc w:val="right"/>
              <w:rPr>
                <w:rFonts w:cs="Arial"/>
                <w:color w:val="7F7F7F"/>
                <w:szCs w:val="18"/>
                <w:lang w:eastAsia="en-AU"/>
              </w:rPr>
            </w:pPr>
            <w:r w:rsidRPr="00BB324C">
              <w:rPr>
                <w:rFonts w:cs="Arial"/>
                <w:color w:val="7F7F7F"/>
                <w:szCs w:val="18"/>
                <w:lang w:eastAsia="en-AU"/>
              </w:rPr>
              <w:t>1,905</w:t>
            </w:r>
          </w:p>
        </w:tc>
        <w:tc>
          <w:tcPr>
            <w:tcW w:w="1022" w:type="dxa"/>
            <w:tcBorders>
              <w:top w:val="nil"/>
              <w:left w:val="nil"/>
              <w:bottom w:val="nil"/>
              <w:right w:val="nil"/>
            </w:tcBorders>
            <w:shd w:val="clear" w:color="auto" w:fill="auto"/>
            <w:noWrap/>
            <w:vAlign w:val="center"/>
            <w:hideMark/>
          </w:tcPr>
          <w:p w:rsidR="009610B9" w:rsidRPr="00BB324C" w:rsidRDefault="009610B9" w:rsidP="004E7315">
            <w:pPr>
              <w:jc w:val="right"/>
              <w:rPr>
                <w:rFonts w:cs="Arial"/>
                <w:color w:val="7F7F7F"/>
                <w:szCs w:val="18"/>
                <w:lang w:eastAsia="en-AU"/>
              </w:rPr>
            </w:pPr>
            <w:r w:rsidRPr="00BB324C">
              <w:rPr>
                <w:rFonts w:cs="Arial"/>
                <w:color w:val="7F7F7F"/>
                <w:szCs w:val="18"/>
                <w:lang w:eastAsia="en-AU"/>
              </w:rPr>
              <w:t>2,206</w:t>
            </w:r>
          </w:p>
        </w:tc>
        <w:tc>
          <w:tcPr>
            <w:tcW w:w="1023" w:type="dxa"/>
            <w:tcBorders>
              <w:top w:val="nil"/>
              <w:left w:val="nil"/>
              <w:bottom w:val="nil"/>
              <w:right w:val="nil"/>
            </w:tcBorders>
            <w:shd w:val="clear" w:color="auto" w:fill="auto"/>
            <w:noWrap/>
            <w:vAlign w:val="center"/>
            <w:hideMark/>
          </w:tcPr>
          <w:p w:rsidR="009610B9" w:rsidRPr="00BB324C" w:rsidRDefault="009610B9" w:rsidP="004E7315">
            <w:pPr>
              <w:jc w:val="right"/>
              <w:rPr>
                <w:rFonts w:cs="Arial"/>
                <w:color w:val="7F7F7F"/>
                <w:szCs w:val="18"/>
                <w:lang w:eastAsia="en-AU"/>
              </w:rPr>
            </w:pPr>
            <w:r w:rsidRPr="00BB324C">
              <w:rPr>
                <w:rFonts w:cs="Arial"/>
                <w:color w:val="7F7F7F"/>
                <w:szCs w:val="18"/>
                <w:lang w:eastAsia="en-AU"/>
              </w:rPr>
              <w:t>2,548</w:t>
            </w:r>
          </w:p>
        </w:tc>
        <w:tc>
          <w:tcPr>
            <w:tcW w:w="1022" w:type="dxa"/>
            <w:tcBorders>
              <w:top w:val="nil"/>
              <w:left w:val="nil"/>
              <w:bottom w:val="nil"/>
              <w:right w:val="nil"/>
            </w:tcBorders>
            <w:shd w:val="clear" w:color="auto" w:fill="auto"/>
            <w:noWrap/>
            <w:vAlign w:val="center"/>
            <w:hideMark/>
          </w:tcPr>
          <w:p w:rsidR="009610B9" w:rsidRPr="00BB324C" w:rsidRDefault="009610B9" w:rsidP="004E7315">
            <w:pPr>
              <w:jc w:val="right"/>
              <w:rPr>
                <w:rFonts w:cs="Arial"/>
                <w:color w:val="7F7F7F"/>
                <w:szCs w:val="18"/>
                <w:lang w:eastAsia="en-AU"/>
              </w:rPr>
            </w:pPr>
            <w:r w:rsidRPr="00BB324C">
              <w:rPr>
                <w:rFonts w:cs="Arial"/>
                <w:color w:val="7F7F7F"/>
                <w:szCs w:val="18"/>
                <w:lang w:eastAsia="en-AU"/>
              </w:rPr>
              <w:t>2,523</w:t>
            </w:r>
          </w:p>
        </w:tc>
        <w:tc>
          <w:tcPr>
            <w:tcW w:w="1023" w:type="dxa"/>
            <w:tcBorders>
              <w:top w:val="nil"/>
              <w:left w:val="nil"/>
              <w:bottom w:val="nil"/>
              <w:right w:val="nil"/>
            </w:tcBorders>
            <w:shd w:val="clear" w:color="auto" w:fill="auto"/>
            <w:noWrap/>
            <w:vAlign w:val="center"/>
            <w:hideMark/>
          </w:tcPr>
          <w:p w:rsidR="009610B9" w:rsidRPr="00BB324C" w:rsidRDefault="009610B9" w:rsidP="004E7315">
            <w:pPr>
              <w:jc w:val="right"/>
              <w:rPr>
                <w:rFonts w:cs="Arial"/>
                <w:color w:val="7F7F7F"/>
                <w:szCs w:val="18"/>
                <w:lang w:eastAsia="en-AU"/>
              </w:rPr>
            </w:pPr>
            <w:r w:rsidRPr="00BB324C">
              <w:rPr>
                <w:rFonts w:cs="Arial"/>
                <w:color w:val="7F7F7F"/>
                <w:szCs w:val="18"/>
                <w:lang w:eastAsia="en-AU"/>
              </w:rPr>
              <w:t>2,276</w:t>
            </w:r>
          </w:p>
        </w:tc>
      </w:tr>
      <w:tr w:rsidR="009610B9" w:rsidRPr="00BB324C" w:rsidTr="004E7315">
        <w:trPr>
          <w:trHeight w:val="300"/>
        </w:trPr>
        <w:tc>
          <w:tcPr>
            <w:tcW w:w="1960" w:type="dxa"/>
            <w:tcBorders>
              <w:top w:val="nil"/>
              <w:left w:val="nil"/>
              <w:bottom w:val="nil"/>
              <w:right w:val="nil"/>
            </w:tcBorders>
            <w:shd w:val="clear" w:color="auto" w:fill="auto"/>
            <w:noWrap/>
            <w:vAlign w:val="center"/>
            <w:hideMark/>
          </w:tcPr>
          <w:p w:rsidR="009610B9" w:rsidRPr="00BB324C" w:rsidRDefault="009610B9" w:rsidP="004E7315">
            <w:pPr>
              <w:rPr>
                <w:rFonts w:cs="Arial"/>
                <w:color w:val="7F7F7F"/>
                <w:szCs w:val="18"/>
                <w:lang w:eastAsia="en-AU"/>
              </w:rPr>
            </w:pPr>
            <w:r w:rsidRPr="00BB324C">
              <w:rPr>
                <w:rFonts w:cs="Arial"/>
                <w:color w:val="7F7F7F"/>
                <w:szCs w:val="18"/>
                <w:lang w:eastAsia="en-AU"/>
              </w:rPr>
              <w:t>Indigenous</w:t>
            </w:r>
          </w:p>
        </w:tc>
        <w:tc>
          <w:tcPr>
            <w:tcW w:w="1022" w:type="dxa"/>
            <w:tcBorders>
              <w:top w:val="nil"/>
              <w:left w:val="nil"/>
              <w:bottom w:val="nil"/>
              <w:right w:val="nil"/>
            </w:tcBorders>
            <w:shd w:val="clear" w:color="auto" w:fill="auto"/>
            <w:noWrap/>
            <w:vAlign w:val="center"/>
            <w:hideMark/>
          </w:tcPr>
          <w:p w:rsidR="009610B9" w:rsidRPr="00BB324C" w:rsidRDefault="009610B9" w:rsidP="004E7315">
            <w:pPr>
              <w:jc w:val="right"/>
              <w:rPr>
                <w:rFonts w:cs="Arial"/>
                <w:color w:val="7F7F7F"/>
                <w:szCs w:val="18"/>
                <w:lang w:eastAsia="en-AU"/>
              </w:rPr>
            </w:pPr>
            <w:r w:rsidRPr="00BB324C">
              <w:rPr>
                <w:rFonts w:cs="Arial"/>
                <w:color w:val="7F7F7F"/>
                <w:szCs w:val="18"/>
                <w:lang w:eastAsia="en-AU"/>
              </w:rPr>
              <w:t>100</w:t>
            </w:r>
          </w:p>
        </w:tc>
        <w:tc>
          <w:tcPr>
            <w:tcW w:w="1023" w:type="dxa"/>
            <w:tcBorders>
              <w:top w:val="nil"/>
              <w:left w:val="nil"/>
              <w:bottom w:val="nil"/>
              <w:right w:val="nil"/>
            </w:tcBorders>
            <w:shd w:val="clear" w:color="auto" w:fill="auto"/>
            <w:noWrap/>
            <w:vAlign w:val="center"/>
            <w:hideMark/>
          </w:tcPr>
          <w:p w:rsidR="009610B9" w:rsidRPr="00BB324C" w:rsidRDefault="009610B9" w:rsidP="004E7315">
            <w:pPr>
              <w:jc w:val="right"/>
              <w:rPr>
                <w:rFonts w:cs="Arial"/>
                <w:color w:val="7F7F7F"/>
                <w:szCs w:val="18"/>
                <w:lang w:eastAsia="en-AU"/>
              </w:rPr>
            </w:pPr>
            <w:r w:rsidRPr="00BB324C">
              <w:rPr>
                <w:rFonts w:cs="Arial"/>
                <w:color w:val="7F7F7F"/>
                <w:szCs w:val="18"/>
                <w:lang w:eastAsia="en-AU"/>
              </w:rPr>
              <w:t>137</w:t>
            </w:r>
          </w:p>
        </w:tc>
        <w:tc>
          <w:tcPr>
            <w:tcW w:w="1022" w:type="dxa"/>
            <w:tcBorders>
              <w:top w:val="nil"/>
              <w:left w:val="nil"/>
              <w:bottom w:val="nil"/>
              <w:right w:val="nil"/>
            </w:tcBorders>
            <w:shd w:val="clear" w:color="auto" w:fill="auto"/>
            <w:noWrap/>
            <w:vAlign w:val="center"/>
            <w:hideMark/>
          </w:tcPr>
          <w:p w:rsidR="009610B9" w:rsidRPr="00BB324C" w:rsidRDefault="009610B9" w:rsidP="004E7315">
            <w:pPr>
              <w:jc w:val="right"/>
              <w:rPr>
                <w:rFonts w:cs="Arial"/>
                <w:color w:val="7F7F7F"/>
                <w:szCs w:val="18"/>
                <w:lang w:eastAsia="en-AU"/>
              </w:rPr>
            </w:pPr>
            <w:r w:rsidRPr="00BB324C">
              <w:rPr>
                <w:rFonts w:cs="Arial"/>
                <w:color w:val="7F7F7F"/>
                <w:szCs w:val="18"/>
                <w:lang w:eastAsia="en-AU"/>
              </w:rPr>
              <w:t>181</w:t>
            </w:r>
          </w:p>
        </w:tc>
        <w:tc>
          <w:tcPr>
            <w:tcW w:w="1023" w:type="dxa"/>
            <w:tcBorders>
              <w:top w:val="nil"/>
              <w:left w:val="nil"/>
              <w:bottom w:val="nil"/>
              <w:right w:val="nil"/>
            </w:tcBorders>
            <w:shd w:val="clear" w:color="auto" w:fill="auto"/>
            <w:noWrap/>
            <w:vAlign w:val="center"/>
            <w:hideMark/>
          </w:tcPr>
          <w:p w:rsidR="009610B9" w:rsidRPr="00BB324C" w:rsidRDefault="009610B9" w:rsidP="004E7315">
            <w:pPr>
              <w:jc w:val="right"/>
              <w:rPr>
                <w:rFonts w:cs="Arial"/>
                <w:color w:val="7F7F7F"/>
                <w:szCs w:val="18"/>
                <w:lang w:eastAsia="en-AU"/>
              </w:rPr>
            </w:pPr>
            <w:r w:rsidRPr="00BB324C">
              <w:rPr>
                <w:rFonts w:cs="Arial"/>
                <w:color w:val="7F7F7F"/>
                <w:szCs w:val="18"/>
                <w:lang w:eastAsia="en-AU"/>
              </w:rPr>
              <w:t>221</w:t>
            </w:r>
          </w:p>
        </w:tc>
        <w:tc>
          <w:tcPr>
            <w:tcW w:w="1022" w:type="dxa"/>
            <w:tcBorders>
              <w:top w:val="nil"/>
              <w:left w:val="nil"/>
              <w:bottom w:val="nil"/>
              <w:right w:val="nil"/>
            </w:tcBorders>
            <w:shd w:val="clear" w:color="auto" w:fill="auto"/>
            <w:noWrap/>
            <w:vAlign w:val="center"/>
            <w:hideMark/>
          </w:tcPr>
          <w:p w:rsidR="009610B9" w:rsidRPr="00BB324C" w:rsidRDefault="009610B9" w:rsidP="004E7315">
            <w:pPr>
              <w:jc w:val="right"/>
              <w:rPr>
                <w:rFonts w:cs="Arial"/>
                <w:color w:val="7F7F7F"/>
                <w:szCs w:val="18"/>
                <w:lang w:eastAsia="en-AU"/>
              </w:rPr>
            </w:pPr>
            <w:r w:rsidRPr="00BB324C">
              <w:rPr>
                <w:rFonts w:cs="Arial"/>
                <w:color w:val="7F7F7F"/>
                <w:szCs w:val="18"/>
                <w:lang w:eastAsia="en-AU"/>
              </w:rPr>
              <w:t>179</w:t>
            </w:r>
          </w:p>
        </w:tc>
        <w:tc>
          <w:tcPr>
            <w:tcW w:w="1023" w:type="dxa"/>
            <w:tcBorders>
              <w:top w:val="nil"/>
              <w:left w:val="nil"/>
              <w:bottom w:val="nil"/>
              <w:right w:val="nil"/>
            </w:tcBorders>
            <w:shd w:val="clear" w:color="auto" w:fill="auto"/>
            <w:noWrap/>
            <w:vAlign w:val="center"/>
            <w:hideMark/>
          </w:tcPr>
          <w:p w:rsidR="009610B9" w:rsidRPr="00BB324C" w:rsidRDefault="009610B9" w:rsidP="004E7315">
            <w:pPr>
              <w:jc w:val="right"/>
              <w:rPr>
                <w:rFonts w:cs="Arial"/>
                <w:color w:val="7F7F7F"/>
                <w:szCs w:val="18"/>
                <w:lang w:eastAsia="en-AU"/>
              </w:rPr>
            </w:pPr>
            <w:r w:rsidRPr="00BB324C">
              <w:rPr>
                <w:rFonts w:cs="Arial"/>
                <w:color w:val="7F7F7F"/>
                <w:szCs w:val="18"/>
                <w:lang w:eastAsia="en-AU"/>
              </w:rPr>
              <w:t>167</w:t>
            </w:r>
          </w:p>
        </w:tc>
      </w:tr>
      <w:tr w:rsidR="009610B9" w:rsidRPr="00BB324C" w:rsidTr="004E7315">
        <w:trPr>
          <w:trHeight w:val="300"/>
        </w:trPr>
        <w:tc>
          <w:tcPr>
            <w:tcW w:w="1960" w:type="dxa"/>
            <w:tcBorders>
              <w:top w:val="nil"/>
              <w:left w:val="nil"/>
              <w:bottom w:val="nil"/>
              <w:right w:val="nil"/>
            </w:tcBorders>
            <w:shd w:val="clear" w:color="auto" w:fill="auto"/>
            <w:noWrap/>
            <w:vAlign w:val="center"/>
            <w:hideMark/>
          </w:tcPr>
          <w:p w:rsidR="009610B9" w:rsidRPr="00BB324C" w:rsidRDefault="009610B9" w:rsidP="004E7315">
            <w:pPr>
              <w:rPr>
                <w:rFonts w:cs="Arial"/>
                <w:color w:val="7F7F7F"/>
                <w:szCs w:val="18"/>
                <w:lang w:eastAsia="en-AU"/>
              </w:rPr>
            </w:pPr>
            <w:r w:rsidRPr="00BB324C">
              <w:rPr>
                <w:rFonts w:cs="Arial"/>
                <w:color w:val="7F7F7F"/>
                <w:szCs w:val="18"/>
                <w:lang w:eastAsia="en-AU"/>
              </w:rPr>
              <w:t>Males 45 to 64</w:t>
            </w:r>
          </w:p>
        </w:tc>
        <w:tc>
          <w:tcPr>
            <w:tcW w:w="1022" w:type="dxa"/>
            <w:tcBorders>
              <w:top w:val="nil"/>
              <w:left w:val="nil"/>
              <w:bottom w:val="nil"/>
              <w:right w:val="nil"/>
            </w:tcBorders>
            <w:shd w:val="clear" w:color="auto" w:fill="auto"/>
            <w:noWrap/>
            <w:vAlign w:val="center"/>
            <w:hideMark/>
          </w:tcPr>
          <w:p w:rsidR="009610B9" w:rsidRPr="00BB324C" w:rsidRDefault="009610B9" w:rsidP="004E7315">
            <w:pPr>
              <w:jc w:val="right"/>
              <w:rPr>
                <w:rFonts w:cs="Arial"/>
                <w:color w:val="7F7F7F"/>
                <w:szCs w:val="18"/>
                <w:lang w:eastAsia="en-AU"/>
              </w:rPr>
            </w:pPr>
            <w:r w:rsidRPr="00BB324C">
              <w:rPr>
                <w:rFonts w:cs="Arial"/>
                <w:color w:val="7F7F7F"/>
                <w:szCs w:val="18"/>
                <w:lang w:eastAsia="en-AU"/>
              </w:rPr>
              <w:t>668</w:t>
            </w:r>
          </w:p>
        </w:tc>
        <w:tc>
          <w:tcPr>
            <w:tcW w:w="1023" w:type="dxa"/>
            <w:tcBorders>
              <w:top w:val="nil"/>
              <w:left w:val="nil"/>
              <w:bottom w:val="nil"/>
              <w:right w:val="nil"/>
            </w:tcBorders>
            <w:shd w:val="clear" w:color="auto" w:fill="auto"/>
            <w:noWrap/>
            <w:vAlign w:val="center"/>
            <w:hideMark/>
          </w:tcPr>
          <w:p w:rsidR="009610B9" w:rsidRPr="00BB324C" w:rsidRDefault="009610B9" w:rsidP="004E7315">
            <w:pPr>
              <w:jc w:val="right"/>
              <w:rPr>
                <w:rFonts w:cs="Arial"/>
                <w:color w:val="7F7F7F"/>
                <w:szCs w:val="18"/>
                <w:lang w:eastAsia="en-AU"/>
              </w:rPr>
            </w:pPr>
            <w:r w:rsidRPr="00BB324C">
              <w:rPr>
                <w:rFonts w:cs="Arial"/>
                <w:color w:val="7F7F7F"/>
                <w:szCs w:val="18"/>
                <w:lang w:eastAsia="en-AU"/>
              </w:rPr>
              <w:t>901</w:t>
            </w:r>
          </w:p>
        </w:tc>
        <w:tc>
          <w:tcPr>
            <w:tcW w:w="1022" w:type="dxa"/>
            <w:tcBorders>
              <w:top w:val="nil"/>
              <w:left w:val="nil"/>
              <w:bottom w:val="nil"/>
              <w:right w:val="nil"/>
            </w:tcBorders>
            <w:shd w:val="clear" w:color="auto" w:fill="auto"/>
            <w:noWrap/>
            <w:vAlign w:val="center"/>
            <w:hideMark/>
          </w:tcPr>
          <w:p w:rsidR="009610B9" w:rsidRPr="00BB324C" w:rsidRDefault="009610B9" w:rsidP="004E7315">
            <w:pPr>
              <w:jc w:val="right"/>
              <w:rPr>
                <w:rFonts w:cs="Arial"/>
                <w:color w:val="7F7F7F"/>
                <w:szCs w:val="18"/>
                <w:lang w:eastAsia="en-AU"/>
              </w:rPr>
            </w:pPr>
            <w:r w:rsidRPr="00BB324C">
              <w:rPr>
                <w:rFonts w:cs="Arial"/>
                <w:color w:val="7F7F7F"/>
                <w:szCs w:val="18"/>
                <w:lang w:eastAsia="en-AU"/>
              </w:rPr>
              <w:t>1,204</w:t>
            </w:r>
          </w:p>
        </w:tc>
        <w:tc>
          <w:tcPr>
            <w:tcW w:w="1023" w:type="dxa"/>
            <w:tcBorders>
              <w:top w:val="nil"/>
              <w:left w:val="nil"/>
              <w:bottom w:val="nil"/>
              <w:right w:val="nil"/>
            </w:tcBorders>
            <w:shd w:val="clear" w:color="auto" w:fill="auto"/>
            <w:noWrap/>
            <w:vAlign w:val="center"/>
            <w:hideMark/>
          </w:tcPr>
          <w:p w:rsidR="009610B9" w:rsidRPr="00BB324C" w:rsidRDefault="009610B9" w:rsidP="004E7315">
            <w:pPr>
              <w:jc w:val="right"/>
              <w:rPr>
                <w:rFonts w:cs="Arial"/>
                <w:color w:val="7F7F7F"/>
                <w:szCs w:val="18"/>
                <w:lang w:eastAsia="en-AU"/>
              </w:rPr>
            </w:pPr>
            <w:r w:rsidRPr="00BB324C">
              <w:rPr>
                <w:rFonts w:cs="Arial"/>
                <w:color w:val="7F7F7F"/>
                <w:szCs w:val="18"/>
                <w:lang w:eastAsia="en-AU"/>
              </w:rPr>
              <w:t>1,245</w:t>
            </w:r>
          </w:p>
        </w:tc>
        <w:tc>
          <w:tcPr>
            <w:tcW w:w="1022" w:type="dxa"/>
            <w:tcBorders>
              <w:top w:val="nil"/>
              <w:left w:val="nil"/>
              <w:bottom w:val="nil"/>
              <w:right w:val="nil"/>
            </w:tcBorders>
            <w:shd w:val="clear" w:color="auto" w:fill="auto"/>
            <w:noWrap/>
            <w:vAlign w:val="center"/>
            <w:hideMark/>
          </w:tcPr>
          <w:p w:rsidR="009610B9" w:rsidRPr="00BB324C" w:rsidRDefault="009610B9" w:rsidP="004E7315">
            <w:pPr>
              <w:jc w:val="right"/>
              <w:rPr>
                <w:rFonts w:cs="Arial"/>
                <w:color w:val="7F7F7F"/>
                <w:szCs w:val="18"/>
                <w:lang w:eastAsia="en-AU"/>
              </w:rPr>
            </w:pPr>
            <w:r w:rsidRPr="00BB324C">
              <w:rPr>
                <w:rFonts w:cs="Arial"/>
                <w:color w:val="7F7F7F"/>
                <w:szCs w:val="18"/>
                <w:lang w:eastAsia="en-AU"/>
              </w:rPr>
              <w:t>1,219</w:t>
            </w:r>
          </w:p>
        </w:tc>
        <w:tc>
          <w:tcPr>
            <w:tcW w:w="1023" w:type="dxa"/>
            <w:tcBorders>
              <w:top w:val="nil"/>
              <w:left w:val="nil"/>
              <w:bottom w:val="nil"/>
              <w:right w:val="nil"/>
            </w:tcBorders>
            <w:shd w:val="clear" w:color="auto" w:fill="auto"/>
            <w:noWrap/>
            <w:vAlign w:val="center"/>
            <w:hideMark/>
          </w:tcPr>
          <w:p w:rsidR="009610B9" w:rsidRPr="00BB324C" w:rsidRDefault="009610B9" w:rsidP="004E7315">
            <w:pPr>
              <w:jc w:val="right"/>
              <w:rPr>
                <w:rFonts w:cs="Arial"/>
                <w:color w:val="7F7F7F"/>
                <w:szCs w:val="18"/>
                <w:lang w:eastAsia="en-AU"/>
              </w:rPr>
            </w:pPr>
            <w:r w:rsidRPr="00BB324C">
              <w:rPr>
                <w:rFonts w:cs="Arial"/>
                <w:color w:val="7F7F7F"/>
                <w:szCs w:val="18"/>
                <w:lang w:eastAsia="en-AU"/>
              </w:rPr>
              <w:t>1,273</w:t>
            </w:r>
          </w:p>
        </w:tc>
      </w:tr>
      <w:tr w:rsidR="009610B9" w:rsidRPr="00BB324C" w:rsidTr="004E7315">
        <w:trPr>
          <w:trHeight w:val="300"/>
        </w:trPr>
        <w:tc>
          <w:tcPr>
            <w:tcW w:w="1960" w:type="dxa"/>
            <w:tcBorders>
              <w:top w:val="nil"/>
              <w:left w:val="nil"/>
              <w:bottom w:val="nil"/>
              <w:right w:val="nil"/>
            </w:tcBorders>
            <w:shd w:val="clear" w:color="auto" w:fill="auto"/>
            <w:noWrap/>
            <w:vAlign w:val="center"/>
            <w:hideMark/>
          </w:tcPr>
          <w:p w:rsidR="009610B9" w:rsidRPr="00BB324C" w:rsidRDefault="009610B9" w:rsidP="004E7315">
            <w:pPr>
              <w:rPr>
                <w:rFonts w:cs="Arial"/>
                <w:color w:val="7F7F7F"/>
                <w:szCs w:val="18"/>
                <w:lang w:eastAsia="en-AU"/>
              </w:rPr>
            </w:pPr>
            <w:r w:rsidRPr="00BB324C">
              <w:rPr>
                <w:rFonts w:cs="Arial"/>
                <w:color w:val="7F7F7F"/>
                <w:szCs w:val="18"/>
                <w:lang w:eastAsia="en-AU"/>
              </w:rPr>
              <w:t>Unemployed</w:t>
            </w:r>
          </w:p>
        </w:tc>
        <w:tc>
          <w:tcPr>
            <w:tcW w:w="1022" w:type="dxa"/>
            <w:tcBorders>
              <w:top w:val="nil"/>
              <w:left w:val="nil"/>
              <w:bottom w:val="nil"/>
              <w:right w:val="nil"/>
            </w:tcBorders>
            <w:shd w:val="clear" w:color="auto" w:fill="auto"/>
            <w:noWrap/>
            <w:vAlign w:val="center"/>
            <w:hideMark/>
          </w:tcPr>
          <w:p w:rsidR="009610B9" w:rsidRPr="00BB324C" w:rsidRDefault="009610B9" w:rsidP="004E7315">
            <w:pPr>
              <w:jc w:val="right"/>
              <w:rPr>
                <w:rFonts w:cs="Arial"/>
                <w:color w:val="7F7F7F"/>
                <w:szCs w:val="18"/>
                <w:lang w:eastAsia="en-AU"/>
              </w:rPr>
            </w:pPr>
            <w:r w:rsidRPr="00BB324C">
              <w:rPr>
                <w:rFonts w:cs="Arial"/>
                <w:color w:val="7F7F7F"/>
                <w:szCs w:val="18"/>
                <w:lang w:eastAsia="en-AU"/>
              </w:rPr>
              <w:t>1,335</w:t>
            </w:r>
          </w:p>
        </w:tc>
        <w:tc>
          <w:tcPr>
            <w:tcW w:w="1023" w:type="dxa"/>
            <w:tcBorders>
              <w:top w:val="nil"/>
              <w:left w:val="nil"/>
              <w:bottom w:val="nil"/>
              <w:right w:val="nil"/>
            </w:tcBorders>
            <w:shd w:val="clear" w:color="auto" w:fill="auto"/>
            <w:noWrap/>
            <w:vAlign w:val="center"/>
            <w:hideMark/>
          </w:tcPr>
          <w:p w:rsidR="009610B9" w:rsidRPr="00BB324C" w:rsidRDefault="009610B9" w:rsidP="004E7315">
            <w:pPr>
              <w:jc w:val="right"/>
              <w:rPr>
                <w:rFonts w:cs="Arial"/>
                <w:color w:val="7F7F7F"/>
                <w:szCs w:val="18"/>
                <w:lang w:eastAsia="en-AU"/>
              </w:rPr>
            </w:pPr>
            <w:r w:rsidRPr="00BB324C">
              <w:rPr>
                <w:rFonts w:cs="Arial"/>
                <w:color w:val="7F7F7F"/>
                <w:szCs w:val="18"/>
                <w:lang w:eastAsia="en-AU"/>
              </w:rPr>
              <w:t>1,975</w:t>
            </w:r>
          </w:p>
        </w:tc>
        <w:tc>
          <w:tcPr>
            <w:tcW w:w="1022" w:type="dxa"/>
            <w:tcBorders>
              <w:top w:val="nil"/>
              <w:left w:val="nil"/>
              <w:bottom w:val="nil"/>
              <w:right w:val="nil"/>
            </w:tcBorders>
            <w:shd w:val="clear" w:color="auto" w:fill="auto"/>
            <w:noWrap/>
            <w:vAlign w:val="center"/>
            <w:hideMark/>
          </w:tcPr>
          <w:p w:rsidR="009610B9" w:rsidRPr="00BB324C" w:rsidRDefault="009610B9" w:rsidP="004E7315">
            <w:pPr>
              <w:jc w:val="right"/>
              <w:rPr>
                <w:rFonts w:cs="Arial"/>
                <w:color w:val="7F7F7F"/>
                <w:szCs w:val="18"/>
                <w:lang w:eastAsia="en-AU"/>
              </w:rPr>
            </w:pPr>
            <w:r w:rsidRPr="00BB324C">
              <w:rPr>
                <w:rFonts w:cs="Arial"/>
                <w:color w:val="7F7F7F"/>
                <w:szCs w:val="18"/>
                <w:lang w:eastAsia="en-AU"/>
              </w:rPr>
              <w:t>2,574</w:t>
            </w:r>
          </w:p>
        </w:tc>
        <w:tc>
          <w:tcPr>
            <w:tcW w:w="1023" w:type="dxa"/>
            <w:tcBorders>
              <w:top w:val="nil"/>
              <w:left w:val="nil"/>
              <w:bottom w:val="nil"/>
              <w:right w:val="nil"/>
            </w:tcBorders>
            <w:shd w:val="clear" w:color="auto" w:fill="auto"/>
            <w:noWrap/>
            <w:vAlign w:val="center"/>
            <w:hideMark/>
          </w:tcPr>
          <w:p w:rsidR="009610B9" w:rsidRPr="00BB324C" w:rsidRDefault="009610B9" w:rsidP="004E7315">
            <w:pPr>
              <w:jc w:val="right"/>
              <w:rPr>
                <w:rFonts w:cs="Arial"/>
                <w:color w:val="7F7F7F"/>
                <w:szCs w:val="18"/>
                <w:lang w:eastAsia="en-AU"/>
              </w:rPr>
            </w:pPr>
            <w:r w:rsidRPr="00BB324C">
              <w:rPr>
                <w:rFonts w:cs="Arial"/>
                <w:color w:val="7F7F7F"/>
                <w:szCs w:val="18"/>
                <w:lang w:eastAsia="en-AU"/>
              </w:rPr>
              <w:t>3,145</w:t>
            </w:r>
          </w:p>
        </w:tc>
        <w:tc>
          <w:tcPr>
            <w:tcW w:w="1022" w:type="dxa"/>
            <w:tcBorders>
              <w:top w:val="nil"/>
              <w:left w:val="nil"/>
              <w:bottom w:val="nil"/>
              <w:right w:val="nil"/>
            </w:tcBorders>
            <w:shd w:val="clear" w:color="auto" w:fill="auto"/>
            <w:noWrap/>
            <w:vAlign w:val="center"/>
            <w:hideMark/>
          </w:tcPr>
          <w:p w:rsidR="009610B9" w:rsidRPr="00BB324C" w:rsidRDefault="009610B9" w:rsidP="004E7315">
            <w:pPr>
              <w:jc w:val="right"/>
              <w:rPr>
                <w:rFonts w:cs="Arial"/>
                <w:color w:val="7F7F7F"/>
                <w:szCs w:val="18"/>
                <w:lang w:eastAsia="en-AU"/>
              </w:rPr>
            </w:pPr>
            <w:r w:rsidRPr="00BB324C">
              <w:rPr>
                <w:rFonts w:cs="Arial"/>
                <w:color w:val="7F7F7F"/>
                <w:szCs w:val="18"/>
                <w:lang w:eastAsia="en-AU"/>
              </w:rPr>
              <w:t>3,245</w:t>
            </w:r>
          </w:p>
        </w:tc>
        <w:tc>
          <w:tcPr>
            <w:tcW w:w="1023" w:type="dxa"/>
            <w:tcBorders>
              <w:top w:val="nil"/>
              <w:left w:val="nil"/>
              <w:bottom w:val="nil"/>
              <w:right w:val="nil"/>
            </w:tcBorders>
            <w:shd w:val="clear" w:color="auto" w:fill="auto"/>
            <w:noWrap/>
            <w:vAlign w:val="center"/>
            <w:hideMark/>
          </w:tcPr>
          <w:p w:rsidR="009610B9" w:rsidRPr="00BB324C" w:rsidRDefault="009610B9" w:rsidP="004E7315">
            <w:pPr>
              <w:jc w:val="right"/>
              <w:rPr>
                <w:rFonts w:cs="Arial"/>
                <w:color w:val="7F7F7F"/>
                <w:szCs w:val="18"/>
                <w:lang w:eastAsia="en-AU"/>
              </w:rPr>
            </w:pPr>
            <w:r w:rsidRPr="00BB324C">
              <w:rPr>
                <w:rFonts w:cs="Arial"/>
                <w:color w:val="7F7F7F"/>
                <w:szCs w:val="18"/>
                <w:lang w:eastAsia="en-AU"/>
              </w:rPr>
              <w:t>3,276</w:t>
            </w:r>
          </w:p>
        </w:tc>
      </w:tr>
      <w:tr w:rsidR="009610B9" w:rsidRPr="00BB324C" w:rsidTr="004E7315">
        <w:trPr>
          <w:trHeight w:val="315"/>
        </w:trPr>
        <w:tc>
          <w:tcPr>
            <w:tcW w:w="1960" w:type="dxa"/>
            <w:tcBorders>
              <w:top w:val="nil"/>
              <w:left w:val="nil"/>
              <w:bottom w:val="single" w:sz="12" w:space="0" w:color="7F7F7F"/>
              <w:right w:val="nil"/>
            </w:tcBorders>
            <w:shd w:val="clear" w:color="auto" w:fill="auto"/>
            <w:noWrap/>
            <w:vAlign w:val="center"/>
            <w:hideMark/>
          </w:tcPr>
          <w:p w:rsidR="009610B9" w:rsidRPr="00BB324C" w:rsidRDefault="009610B9" w:rsidP="004E7315">
            <w:pPr>
              <w:rPr>
                <w:rFonts w:cs="Arial"/>
                <w:color w:val="7F7F7F"/>
                <w:szCs w:val="18"/>
                <w:lang w:eastAsia="en-AU"/>
              </w:rPr>
            </w:pPr>
            <w:r w:rsidRPr="00BB324C">
              <w:rPr>
                <w:rFonts w:cs="Arial"/>
                <w:color w:val="7F7F7F"/>
                <w:szCs w:val="18"/>
                <w:lang w:eastAsia="en-AU"/>
              </w:rPr>
              <w:t>Vulnerable workers</w:t>
            </w:r>
          </w:p>
        </w:tc>
        <w:tc>
          <w:tcPr>
            <w:tcW w:w="1022" w:type="dxa"/>
            <w:tcBorders>
              <w:top w:val="nil"/>
              <w:left w:val="nil"/>
              <w:bottom w:val="single" w:sz="12" w:space="0" w:color="7F7F7F"/>
              <w:right w:val="nil"/>
            </w:tcBorders>
            <w:shd w:val="clear" w:color="auto" w:fill="auto"/>
            <w:noWrap/>
            <w:vAlign w:val="center"/>
            <w:hideMark/>
          </w:tcPr>
          <w:p w:rsidR="009610B9" w:rsidRPr="00BB324C" w:rsidRDefault="009610B9" w:rsidP="004E7315">
            <w:pPr>
              <w:jc w:val="right"/>
              <w:rPr>
                <w:rFonts w:cs="Arial"/>
                <w:color w:val="7F7F7F"/>
                <w:szCs w:val="18"/>
                <w:lang w:eastAsia="en-AU"/>
              </w:rPr>
            </w:pPr>
            <w:r w:rsidRPr="00BB324C">
              <w:rPr>
                <w:rFonts w:cs="Arial"/>
                <w:color w:val="7F7F7F"/>
                <w:szCs w:val="18"/>
                <w:lang w:eastAsia="en-AU"/>
              </w:rPr>
              <w:t>1,447</w:t>
            </w:r>
          </w:p>
        </w:tc>
        <w:tc>
          <w:tcPr>
            <w:tcW w:w="1023" w:type="dxa"/>
            <w:tcBorders>
              <w:top w:val="nil"/>
              <w:left w:val="nil"/>
              <w:bottom w:val="single" w:sz="12" w:space="0" w:color="7F7F7F"/>
              <w:right w:val="nil"/>
            </w:tcBorders>
            <w:shd w:val="clear" w:color="auto" w:fill="auto"/>
            <w:noWrap/>
            <w:vAlign w:val="center"/>
            <w:hideMark/>
          </w:tcPr>
          <w:p w:rsidR="009610B9" w:rsidRPr="00BB324C" w:rsidRDefault="009610B9" w:rsidP="004E7315">
            <w:pPr>
              <w:jc w:val="right"/>
              <w:rPr>
                <w:rFonts w:cs="Arial"/>
                <w:color w:val="7F7F7F"/>
                <w:szCs w:val="18"/>
                <w:lang w:eastAsia="en-AU"/>
              </w:rPr>
            </w:pPr>
            <w:r w:rsidRPr="00BB324C">
              <w:rPr>
                <w:rFonts w:cs="Arial"/>
                <w:color w:val="7F7F7F"/>
                <w:szCs w:val="18"/>
                <w:lang w:eastAsia="en-AU"/>
              </w:rPr>
              <w:t>2,112</w:t>
            </w:r>
          </w:p>
        </w:tc>
        <w:tc>
          <w:tcPr>
            <w:tcW w:w="1022" w:type="dxa"/>
            <w:tcBorders>
              <w:top w:val="nil"/>
              <w:left w:val="nil"/>
              <w:bottom w:val="single" w:sz="12" w:space="0" w:color="7F7F7F"/>
              <w:right w:val="nil"/>
            </w:tcBorders>
            <w:shd w:val="clear" w:color="auto" w:fill="auto"/>
            <w:noWrap/>
            <w:vAlign w:val="center"/>
            <w:hideMark/>
          </w:tcPr>
          <w:p w:rsidR="009610B9" w:rsidRPr="00BB324C" w:rsidRDefault="009610B9" w:rsidP="004E7315">
            <w:pPr>
              <w:jc w:val="right"/>
              <w:rPr>
                <w:rFonts w:cs="Arial"/>
                <w:color w:val="7F7F7F"/>
                <w:szCs w:val="18"/>
                <w:lang w:eastAsia="en-AU"/>
              </w:rPr>
            </w:pPr>
            <w:r w:rsidRPr="00BB324C">
              <w:rPr>
                <w:rFonts w:cs="Arial"/>
                <w:color w:val="7F7F7F"/>
                <w:szCs w:val="18"/>
                <w:lang w:eastAsia="en-AU"/>
              </w:rPr>
              <w:t>2,688</w:t>
            </w:r>
          </w:p>
        </w:tc>
        <w:tc>
          <w:tcPr>
            <w:tcW w:w="1023" w:type="dxa"/>
            <w:tcBorders>
              <w:top w:val="nil"/>
              <w:left w:val="nil"/>
              <w:bottom w:val="single" w:sz="12" w:space="0" w:color="7F7F7F"/>
              <w:right w:val="nil"/>
            </w:tcBorders>
            <w:shd w:val="clear" w:color="auto" w:fill="auto"/>
            <w:noWrap/>
            <w:vAlign w:val="center"/>
            <w:hideMark/>
          </w:tcPr>
          <w:p w:rsidR="009610B9" w:rsidRPr="00BB324C" w:rsidRDefault="009610B9" w:rsidP="004E7315">
            <w:pPr>
              <w:jc w:val="right"/>
              <w:rPr>
                <w:rFonts w:cs="Arial"/>
                <w:color w:val="7F7F7F"/>
                <w:szCs w:val="18"/>
                <w:lang w:eastAsia="en-AU"/>
              </w:rPr>
            </w:pPr>
            <w:r w:rsidRPr="00BB324C">
              <w:rPr>
                <w:rFonts w:cs="Arial"/>
                <w:color w:val="7F7F7F"/>
                <w:szCs w:val="18"/>
                <w:lang w:eastAsia="en-AU"/>
              </w:rPr>
              <w:t>2,831</w:t>
            </w:r>
          </w:p>
        </w:tc>
        <w:tc>
          <w:tcPr>
            <w:tcW w:w="1022" w:type="dxa"/>
            <w:tcBorders>
              <w:top w:val="nil"/>
              <w:left w:val="nil"/>
              <w:bottom w:val="single" w:sz="12" w:space="0" w:color="7F7F7F"/>
              <w:right w:val="nil"/>
            </w:tcBorders>
            <w:shd w:val="clear" w:color="auto" w:fill="auto"/>
            <w:noWrap/>
            <w:vAlign w:val="center"/>
            <w:hideMark/>
          </w:tcPr>
          <w:p w:rsidR="009610B9" w:rsidRPr="00BB324C" w:rsidRDefault="009610B9" w:rsidP="004E7315">
            <w:pPr>
              <w:jc w:val="right"/>
              <w:rPr>
                <w:rFonts w:cs="Arial"/>
                <w:color w:val="7F7F7F"/>
                <w:szCs w:val="18"/>
                <w:lang w:eastAsia="en-AU"/>
              </w:rPr>
            </w:pPr>
            <w:r w:rsidRPr="00BB324C">
              <w:rPr>
                <w:rFonts w:cs="Arial"/>
                <w:color w:val="7F7F7F"/>
                <w:szCs w:val="18"/>
                <w:lang w:eastAsia="en-AU"/>
              </w:rPr>
              <w:t>2,813</w:t>
            </w:r>
          </w:p>
        </w:tc>
        <w:tc>
          <w:tcPr>
            <w:tcW w:w="1023" w:type="dxa"/>
            <w:tcBorders>
              <w:top w:val="nil"/>
              <w:left w:val="nil"/>
              <w:bottom w:val="single" w:sz="12" w:space="0" w:color="7F7F7F"/>
              <w:right w:val="nil"/>
            </w:tcBorders>
            <w:shd w:val="clear" w:color="auto" w:fill="auto"/>
            <w:noWrap/>
            <w:vAlign w:val="center"/>
            <w:hideMark/>
          </w:tcPr>
          <w:p w:rsidR="009610B9" w:rsidRPr="00BB324C" w:rsidRDefault="009610B9" w:rsidP="004E7315">
            <w:pPr>
              <w:jc w:val="right"/>
              <w:rPr>
                <w:rFonts w:cs="Arial"/>
                <w:color w:val="7F7F7F"/>
                <w:szCs w:val="18"/>
                <w:lang w:eastAsia="en-AU"/>
              </w:rPr>
            </w:pPr>
            <w:r w:rsidRPr="00BB324C">
              <w:rPr>
                <w:rFonts w:cs="Arial"/>
                <w:color w:val="7F7F7F"/>
                <w:szCs w:val="18"/>
                <w:lang w:eastAsia="en-AU"/>
              </w:rPr>
              <w:t>2,921</w:t>
            </w:r>
          </w:p>
        </w:tc>
      </w:tr>
    </w:tbl>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4A0" w:firstRow="1" w:lastRow="0" w:firstColumn="1" w:lastColumn="0" w:noHBand="0" w:noVBand="1"/>
      </w:tblPr>
      <w:tblGrid>
        <w:gridCol w:w="459"/>
        <w:gridCol w:w="7763"/>
      </w:tblGrid>
      <w:tr w:rsidR="009610B9" w:rsidRPr="00913551" w:rsidTr="004E7315">
        <w:tc>
          <w:tcPr>
            <w:tcW w:w="459" w:type="dxa"/>
            <w:tcMar>
              <w:left w:w="0" w:type="dxa"/>
              <w:right w:w="28" w:type="dxa"/>
            </w:tcMar>
          </w:tcPr>
          <w:p w:rsidR="009610B9" w:rsidRPr="00913551" w:rsidRDefault="009610B9" w:rsidP="004E7315">
            <w:pPr>
              <w:spacing w:after="0" w:line="240" w:lineRule="auto"/>
              <w:jc w:val="right"/>
              <w:rPr>
                <w:i/>
                <w:color w:val="7F7F7F" w:themeColor="text2"/>
                <w:sz w:val="16"/>
                <w:szCs w:val="16"/>
              </w:rPr>
            </w:pPr>
            <w:r w:rsidRPr="00913551">
              <w:rPr>
                <w:i/>
                <w:color w:val="7F7F7F" w:themeColor="text2"/>
                <w:sz w:val="16"/>
                <w:szCs w:val="16"/>
              </w:rPr>
              <w:t xml:space="preserve">Note: </w:t>
            </w:r>
          </w:p>
        </w:tc>
        <w:tc>
          <w:tcPr>
            <w:tcW w:w="7763" w:type="dxa"/>
            <w:tcMar>
              <w:left w:w="0" w:type="dxa"/>
              <w:right w:w="28" w:type="dxa"/>
            </w:tcMar>
          </w:tcPr>
          <w:p w:rsidR="009610B9" w:rsidRPr="00913551" w:rsidRDefault="009610B9" w:rsidP="004E7315">
            <w:pPr>
              <w:spacing w:after="0" w:line="240" w:lineRule="auto"/>
              <w:rPr>
                <w:i/>
                <w:color w:val="7F7F7F" w:themeColor="text2"/>
                <w:sz w:val="16"/>
                <w:szCs w:val="16"/>
              </w:rPr>
            </w:pPr>
            <w:r w:rsidRPr="00913551">
              <w:rPr>
                <w:i/>
                <w:sz w:val="16"/>
                <w:szCs w:val="16"/>
              </w:rPr>
              <w:t xml:space="preserve">ACFE Board Priority Learner categories are not mutually exclusive. Category details available at: </w:t>
            </w:r>
            <w:hyperlink r:id="rId33" w:history="1">
              <w:r w:rsidRPr="00913551">
                <w:rPr>
                  <w:rStyle w:val="Hyperlink"/>
                  <w:i/>
                  <w:sz w:val="16"/>
                  <w:szCs w:val="16"/>
                </w:rPr>
                <w:t>www.education.vic.gov.au/Documents/about/research/acfepublications/hardtoreachlearn.pdf</w:t>
              </w:r>
            </w:hyperlink>
          </w:p>
        </w:tc>
      </w:tr>
    </w:tbl>
    <w:p w:rsidR="009610B9" w:rsidRDefault="009610B9" w:rsidP="009610B9">
      <w:pPr>
        <w:rPr>
          <w:rFonts w:cs="Arial"/>
          <w:bCs/>
          <w:color w:val="7F7F7F" w:themeColor="text2"/>
          <w:kern w:val="32"/>
          <w:szCs w:val="18"/>
        </w:rPr>
      </w:pPr>
    </w:p>
    <w:p w:rsidR="009610B9" w:rsidRDefault="009610B9" w:rsidP="009610B9">
      <w:pPr>
        <w:rPr>
          <w:rFonts w:cs="Arial"/>
          <w:bCs/>
          <w:color w:val="7F7F7F" w:themeColor="text2"/>
          <w:kern w:val="32"/>
          <w:szCs w:val="18"/>
        </w:rPr>
      </w:pP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9610B9" w:rsidTr="004E7315">
        <w:tc>
          <w:tcPr>
            <w:tcW w:w="1134" w:type="dxa"/>
            <w:tcMar>
              <w:left w:w="0" w:type="dxa"/>
              <w:right w:w="0" w:type="dxa"/>
            </w:tcMar>
          </w:tcPr>
          <w:p w:rsidR="009610B9" w:rsidRDefault="009610B9" w:rsidP="004E7315">
            <w:pPr>
              <w:pStyle w:val="Quote"/>
              <w:tabs>
                <w:tab w:val="left" w:pos="1134"/>
              </w:tabs>
              <w:rPr>
                <w:b w:val="0"/>
                <w:color w:val="B41F22" w:themeColor="accent1"/>
              </w:rPr>
            </w:pPr>
            <w:r>
              <w:rPr>
                <w:b w:val="0"/>
                <w:color w:val="B41F22" w:themeColor="accent1"/>
              </w:rPr>
              <w:t>Table 1.38.2:</w:t>
            </w:r>
          </w:p>
        </w:tc>
        <w:tc>
          <w:tcPr>
            <w:tcW w:w="6946" w:type="dxa"/>
            <w:tcMar>
              <w:left w:w="0" w:type="dxa"/>
              <w:right w:w="0" w:type="dxa"/>
            </w:tcMar>
          </w:tcPr>
          <w:p w:rsidR="009610B9" w:rsidRPr="00321F13" w:rsidRDefault="009610B9" w:rsidP="004E7315">
            <w:pPr>
              <w:pStyle w:val="Quote"/>
              <w:tabs>
                <w:tab w:val="left" w:pos="1134"/>
              </w:tabs>
              <w:rPr>
                <w:b w:val="0"/>
                <w:color w:val="B41F22" w:themeColor="accent1"/>
              </w:rPr>
            </w:pPr>
            <w:r w:rsidRPr="00321F13">
              <w:rPr>
                <w:b w:val="0"/>
                <w:color w:val="B41F22" w:themeColor="accent1"/>
              </w:rPr>
              <w:t>Change in number of ACFE Board Priority Learners enrolled in government subsidised pre-accredited training with Learn Local (ACE) providers (half year)</w:t>
            </w:r>
          </w:p>
        </w:tc>
      </w:tr>
    </w:tbl>
    <w:tbl>
      <w:tblPr>
        <w:tblW w:w="8095" w:type="dxa"/>
        <w:tblInd w:w="93" w:type="dxa"/>
        <w:tblLayout w:type="fixed"/>
        <w:tblLook w:val="04A0" w:firstRow="1" w:lastRow="0" w:firstColumn="1" w:lastColumn="0" w:noHBand="0" w:noVBand="1"/>
      </w:tblPr>
      <w:tblGrid>
        <w:gridCol w:w="1960"/>
        <w:gridCol w:w="1227"/>
        <w:gridCol w:w="1227"/>
        <w:gridCol w:w="1227"/>
        <w:gridCol w:w="1227"/>
        <w:gridCol w:w="1227"/>
      </w:tblGrid>
      <w:tr w:rsidR="009610B9" w:rsidRPr="00D20BFA" w:rsidTr="004E7315">
        <w:trPr>
          <w:trHeight w:val="720"/>
        </w:trPr>
        <w:tc>
          <w:tcPr>
            <w:tcW w:w="1960" w:type="dxa"/>
            <w:tcBorders>
              <w:top w:val="nil"/>
              <w:left w:val="nil"/>
              <w:bottom w:val="nil"/>
              <w:right w:val="nil"/>
            </w:tcBorders>
            <w:shd w:val="clear" w:color="000000" w:fill="7F7F7F"/>
            <w:noWrap/>
            <w:vAlign w:val="center"/>
            <w:hideMark/>
          </w:tcPr>
          <w:p w:rsidR="009610B9" w:rsidRPr="00D20BFA" w:rsidRDefault="009610B9" w:rsidP="004E7315">
            <w:pPr>
              <w:rPr>
                <w:rFonts w:cs="Arial"/>
                <w:color w:val="FFFFFF"/>
                <w:szCs w:val="18"/>
                <w:lang w:eastAsia="en-AU"/>
              </w:rPr>
            </w:pPr>
            <w:r w:rsidRPr="00D20BFA">
              <w:rPr>
                <w:rFonts w:cs="Arial"/>
                <w:color w:val="FFFFFF"/>
                <w:szCs w:val="18"/>
                <w:lang w:eastAsia="en-AU"/>
              </w:rPr>
              <w:t> </w:t>
            </w:r>
          </w:p>
        </w:tc>
        <w:tc>
          <w:tcPr>
            <w:tcW w:w="1227" w:type="dxa"/>
            <w:tcBorders>
              <w:top w:val="nil"/>
              <w:left w:val="nil"/>
              <w:bottom w:val="nil"/>
              <w:right w:val="nil"/>
            </w:tcBorders>
            <w:shd w:val="clear" w:color="000000" w:fill="7F7F7F"/>
            <w:vAlign w:val="center"/>
            <w:hideMark/>
          </w:tcPr>
          <w:p w:rsidR="009610B9" w:rsidRPr="00D20BFA" w:rsidRDefault="009610B9" w:rsidP="004E7315">
            <w:pPr>
              <w:jc w:val="right"/>
              <w:rPr>
                <w:rFonts w:cs="Arial"/>
                <w:b/>
                <w:bCs/>
                <w:color w:val="FFFFFF"/>
                <w:szCs w:val="18"/>
                <w:lang w:eastAsia="en-AU"/>
              </w:rPr>
            </w:pPr>
            <w:r w:rsidRPr="00D20BFA">
              <w:rPr>
                <w:rFonts w:cs="Arial"/>
                <w:b/>
                <w:bCs/>
                <w:color w:val="FFFFFF"/>
                <w:szCs w:val="18"/>
                <w:lang w:eastAsia="en-AU"/>
              </w:rPr>
              <w:t>% change 2010 to 2015</w:t>
            </w:r>
          </w:p>
        </w:tc>
        <w:tc>
          <w:tcPr>
            <w:tcW w:w="1227" w:type="dxa"/>
            <w:tcBorders>
              <w:top w:val="nil"/>
              <w:left w:val="nil"/>
              <w:bottom w:val="nil"/>
              <w:right w:val="nil"/>
            </w:tcBorders>
            <w:shd w:val="clear" w:color="000000" w:fill="7F7F7F"/>
            <w:vAlign w:val="center"/>
            <w:hideMark/>
          </w:tcPr>
          <w:p w:rsidR="009610B9" w:rsidRPr="00D20BFA" w:rsidRDefault="009610B9" w:rsidP="004E7315">
            <w:pPr>
              <w:jc w:val="right"/>
              <w:rPr>
                <w:rFonts w:cs="Arial"/>
                <w:b/>
                <w:bCs/>
                <w:color w:val="FFFFFF"/>
                <w:szCs w:val="18"/>
                <w:lang w:eastAsia="en-AU"/>
              </w:rPr>
            </w:pPr>
            <w:r w:rsidRPr="00D20BFA">
              <w:rPr>
                <w:rFonts w:cs="Arial"/>
                <w:b/>
                <w:bCs/>
                <w:color w:val="FFFFFF"/>
                <w:szCs w:val="18"/>
                <w:lang w:eastAsia="en-AU"/>
              </w:rPr>
              <w:t>% change 2011 to 2015</w:t>
            </w:r>
          </w:p>
        </w:tc>
        <w:tc>
          <w:tcPr>
            <w:tcW w:w="1227" w:type="dxa"/>
            <w:tcBorders>
              <w:top w:val="nil"/>
              <w:left w:val="nil"/>
              <w:bottom w:val="nil"/>
              <w:right w:val="nil"/>
            </w:tcBorders>
            <w:shd w:val="clear" w:color="000000" w:fill="7F7F7F"/>
            <w:vAlign w:val="center"/>
            <w:hideMark/>
          </w:tcPr>
          <w:p w:rsidR="009610B9" w:rsidRPr="00D20BFA" w:rsidRDefault="009610B9" w:rsidP="004E7315">
            <w:pPr>
              <w:jc w:val="right"/>
              <w:rPr>
                <w:rFonts w:cs="Arial"/>
                <w:b/>
                <w:bCs/>
                <w:color w:val="FFFFFF"/>
                <w:szCs w:val="18"/>
                <w:lang w:eastAsia="en-AU"/>
              </w:rPr>
            </w:pPr>
            <w:r w:rsidRPr="00D20BFA">
              <w:rPr>
                <w:rFonts w:cs="Arial"/>
                <w:b/>
                <w:bCs/>
                <w:color w:val="FFFFFF"/>
                <w:szCs w:val="18"/>
                <w:lang w:eastAsia="en-AU"/>
              </w:rPr>
              <w:t>% change 2012 to 2015</w:t>
            </w:r>
          </w:p>
        </w:tc>
        <w:tc>
          <w:tcPr>
            <w:tcW w:w="1227" w:type="dxa"/>
            <w:tcBorders>
              <w:top w:val="nil"/>
              <w:left w:val="nil"/>
              <w:bottom w:val="nil"/>
              <w:right w:val="nil"/>
            </w:tcBorders>
            <w:shd w:val="clear" w:color="000000" w:fill="7F7F7F"/>
            <w:vAlign w:val="center"/>
            <w:hideMark/>
          </w:tcPr>
          <w:p w:rsidR="009610B9" w:rsidRPr="00D20BFA" w:rsidRDefault="009610B9" w:rsidP="004E7315">
            <w:pPr>
              <w:jc w:val="right"/>
              <w:rPr>
                <w:rFonts w:cs="Arial"/>
                <w:b/>
                <w:bCs/>
                <w:color w:val="FFFFFF"/>
                <w:szCs w:val="18"/>
                <w:lang w:eastAsia="en-AU"/>
              </w:rPr>
            </w:pPr>
            <w:r w:rsidRPr="00D20BFA">
              <w:rPr>
                <w:rFonts w:cs="Arial"/>
                <w:b/>
                <w:bCs/>
                <w:color w:val="FFFFFF"/>
                <w:szCs w:val="18"/>
                <w:lang w:eastAsia="en-AU"/>
              </w:rPr>
              <w:t>% change 2013 to 2015</w:t>
            </w:r>
          </w:p>
        </w:tc>
        <w:tc>
          <w:tcPr>
            <w:tcW w:w="1227" w:type="dxa"/>
            <w:tcBorders>
              <w:top w:val="nil"/>
              <w:left w:val="nil"/>
              <w:bottom w:val="nil"/>
              <w:right w:val="nil"/>
            </w:tcBorders>
            <w:shd w:val="clear" w:color="000000" w:fill="7F7F7F"/>
            <w:vAlign w:val="center"/>
            <w:hideMark/>
          </w:tcPr>
          <w:p w:rsidR="009610B9" w:rsidRPr="00D20BFA" w:rsidRDefault="009610B9" w:rsidP="004E7315">
            <w:pPr>
              <w:jc w:val="right"/>
              <w:rPr>
                <w:rFonts w:cs="Arial"/>
                <w:b/>
                <w:bCs/>
                <w:color w:val="FFFFFF"/>
                <w:szCs w:val="18"/>
                <w:lang w:eastAsia="en-AU"/>
              </w:rPr>
            </w:pPr>
            <w:r w:rsidRPr="00D20BFA">
              <w:rPr>
                <w:rFonts w:cs="Arial"/>
                <w:b/>
                <w:bCs/>
                <w:color w:val="FFFFFF"/>
                <w:szCs w:val="18"/>
                <w:lang w:eastAsia="en-AU"/>
              </w:rPr>
              <w:t>% change 2014 to 2015</w:t>
            </w:r>
          </w:p>
        </w:tc>
      </w:tr>
      <w:tr w:rsidR="009610B9" w:rsidRPr="00D20BFA" w:rsidTr="004E7315">
        <w:trPr>
          <w:trHeight w:val="300"/>
        </w:trPr>
        <w:tc>
          <w:tcPr>
            <w:tcW w:w="1960" w:type="dxa"/>
            <w:tcBorders>
              <w:top w:val="nil"/>
              <w:left w:val="nil"/>
              <w:bottom w:val="nil"/>
              <w:right w:val="nil"/>
            </w:tcBorders>
            <w:shd w:val="clear" w:color="auto" w:fill="auto"/>
            <w:noWrap/>
            <w:vAlign w:val="center"/>
            <w:hideMark/>
          </w:tcPr>
          <w:p w:rsidR="009610B9" w:rsidRPr="00D20BFA" w:rsidRDefault="009610B9" w:rsidP="004E7315">
            <w:pPr>
              <w:rPr>
                <w:rFonts w:cs="Arial"/>
                <w:color w:val="7F7F7F"/>
                <w:szCs w:val="18"/>
                <w:lang w:eastAsia="en-AU"/>
              </w:rPr>
            </w:pPr>
            <w:r w:rsidRPr="00D20BFA">
              <w:rPr>
                <w:rFonts w:cs="Arial"/>
                <w:color w:val="7F7F7F"/>
                <w:szCs w:val="18"/>
                <w:lang w:eastAsia="en-AU"/>
              </w:rPr>
              <w:t>CALD (LOTE)</w:t>
            </w:r>
          </w:p>
        </w:tc>
        <w:tc>
          <w:tcPr>
            <w:tcW w:w="1227" w:type="dxa"/>
            <w:tcBorders>
              <w:top w:val="nil"/>
              <w:left w:val="nil"/>
              <w:bottom w:val="nil"/>
              <w:right w:val="nil"/>
            </w:tcBorders>
            <w:shd w:val="clear" w:color="auto" w:fill="auto"/>
            <w:noWrap/>
            <w:vAlign w:val="center"/>
            <w:hideMark/>
          </w:tcPr>
          <w:p w:rsidR="009610B9" w:rsidRPr="00D20BFA" w:rsidRDefault="009610B9" w:rsidP="004E7315">
            <w:pPr>
              <w:jc w:val="right"/>
              <w:rPr>
                <w:rFonts w:cs="Arial"/>
                <w:color w:val="7F7F7F"/>
                <w:szCs w:val="18"/>
                <w:lang w:eastAsia="en-AU"/>
              </w:rPr>
            </w:pPr>
            <w:r w:rsidRPr="00D20BFA">
              <w:rPr>
                <w:rFonts w:cs="Arial"/>
                <w:color w:val="7F7F7F"/>
                <w:szCs w:val="18"/>
                <w:lang w:eastAsia="en-AU"/>
              </w:rPr>
              <w:t>164%</w:t>
            </w:r>
          </w:p>
        </w:tc>
        <w:tc>
          <w:tcPr>
            <w:tcW w:w="1227" w:type="dxa"/>
            <w:tcBorders>
              <w:top w:val="nil"/>
              <w:left w:val="nil"/>
              <w:bottom w:val="nil"/>
              <w:right w:val="nil"/>
            </w:tcBorders>
            <w:shd w:val="clear" w:color="auto" w:fill="auto"/>
            <w:noWrap/>
            <w:vAlign w:val="center"/>
            <w:hideMark/>
          </w:tcPr>
          <w:p w:rsidR="009610B9" w:rsidRPr="00D20BFA" w:rsidRDefault="009610B9" w:rsidP="004E7315">
            <w:pPr>
              <w:jc w:val="right"/>
              <w:rPr>
                <w:rFonts w:cs="Arial"/>
                <w:color w:val="7F7F7F"/>
                <w:szCs w:val="18"/>
                <w:lang w:eastAsia="en-AU"/>
              </w:rPr>
            </w:pPr>
            <w:r w:rsidRPr="00D20BFA">
              <w:rPr>
                <w:rFonts w:cs="Arial"/>
                <w:color w:val="7F7F7F"/>
                <w:szCs w:val="18"/>
                <w:lang w:eastAsia="en-AU"/>
              </w:rPr>
              <w:t>62%</w:t>
            </w:r>
          </w:p>
        </w:tc>
        <w:tc>
          <w:tcPr>
            <w:tcW w:w="1227" w:type="dxa"/>
            <w:tcBorders>
              <w:top w:val="nil"/>
              <w:left w:val="nil"/>
              <w:bottom w:val="nil"/>
              <w:right w:val="nil"/>
            </w:tcBorders>
            <w:shd w:val="clear" w:color="auto" w:fill="auto"/>
            <w:noWrap/>
            <w:vAlign w:val="center"/>
            <w:hideMark/>
          </w:tcPr>
          <w:p w:rsidR="009610B9" w:rsidRPr="00D20BFA" w:rsidRDefault="009610B9" w:rsidP="004E7315">
            <w:pPr>
              <w:jc w:val="right"/>
              <w:rPr>
                <w:rFonts w:cs="Arial"/>
                <w:color w:val="7F7F7F"/>
                <w:szCs w:val="18"/>
                <w:lang w:eastAsia="en-AU"/>
              </w:rPr>
            </w:pPr>
            <w:r w:rsidRPr="00D20BFA">
              <w:rPr>
                <w:rFonts w:cs="Arial"/>
                <w:color w:val="7F7F7F"/>
                <w:szCs w:val="18"/>
                <w:lang w:eastAsia="en-AU"/>
              </w:rPr>
              <w:t>17%</w:t>
            </w:r>
          </w:p>
        </w:tc>
        <w:tc>
          <w:tcPr>
            <w:tcW w:w="1227" w:type="dxa"/>
            <w:tcBorders>
              <w:top w:val="nil"/>
              <w:left w:val="nil"/>
              <w:bottom w:val="nil"/>
              <w:right w:val="nil"/>
            </w:tcBorders>
            <w:shd w:val="clear" w:color="auto" w:fill="auto"/>
            <w:noWrap/>
            <w:vAlign w:val="center"/>
            <w:hideMark/>
          </w:tcPr>
          <w:p w:rsidR="009610B9" w:rsidRPr="00D20BFA" w:rsidRDefault="009610B9" w:rsidP="004E7315">
            <w:pPr>
              <w:jc w:val="right"/>
              <w:rPr>
                <w:rFonts w:cs="Arial"/>
                <w:color w:val="7F7F7F"/>
                <w:szCs w:val="18"/>
                <w:lang w:eastAsia="en-AU"/>
              </w:rPr>
            </w:pPr>
            <w:r w:rsidRPr="00D20BFA">
              <w:rPr>
                <w:rFonts w:cs="Arial"/>
                <w:color w:val="7F7F7F"/>
                <w:szCs w:val="18"/>
                <w:lang w:eastAsia="en-AU"/>
              </w:rPr>
              <w:t>9%</w:t>
            </w:r>
          </w:p>
        </w:tc>
        <w:tc>
          <w:tcPr>
            <w:tcW w:w="1227" w:type="dxa"/>
            <w:tcBorders>
              <w:top w:val="nil"/>
              <w:left w:val="nil"/>
              <w:bottom w:val="nil"/>
              <w:right w:val="nil"/>
            </w:tcBorders>
            <w:shd w:val="clear" w:color="auto" w:fill="auto"/>
            <w:noWrap/>
            <w:vAlign w:val="center"/>
            <w:hideMark/>
          </w:tcPr>
          <w:p w:rsidR="009610B9" w:rsidRPr="00D20BFA" w:rsidRDefault="009610B9" w:rsidP="004E7315">
            <w:pPr>
              <w:jc w:val="right"/>
              <w:rPr>
                <w:rFonts w:cs="Arial"/>
                <w:color w:val="7F7F7F"/>
                <w:szCs w:val="18"/>
                <w:lang w:eastAsia="en-AU"/>
              </w:rPr>
            </w:pPr>
            <w:r w:rsidRPr="00D20BFA">
              <w:rPr>
                <w:rFonts w:cs="Arial"/>
                <w:color w:val="7F7F7F"/>
                <w:szCs w:val="18"/>
                <w:lang w:eastAsia="en-AU"/>
              </w:rPr>
              <w:t>18%</w:t>
            </w:r>
          </w:p>
        </w:tc>
      </w:tr>
      <w:tr w:rsidR="009610B9" w:rsidRPr="00D20BFA" w:rsidTr="004E7315">
        <w:trPr>
          <w:trHeight w:val="300"/>
        </w:trPr>
        <w:tc>
          <w:tcPr>
            <w:tcW w:w="1960" w:type="dxa"/>
            <w:tcBorders>
              <w:top w:val="nil"/>
              <w:left w:val="nil"/>
              <w:bottom w:val="nil"/>
              <w:right w:val="nil"/>
            </w:tcBorders>
            <w:shd w:val="clear" w:color="auto" w:fill="auto"/>
            <w:noWrap/>
            <w:vAlign w:val="center"/>
            <w:hideMark/>
          </w:tcPr>
          <w:p w:rsidR="009610B9" w:rsidRPr="00D20BFA" w:rsidRDefault="009610B9" w:rsidP="004E7315">
            <w:pPr>
              <w:rPr>
                <w:rFonts w:cs="Arial"/>
                <w:color w:val="7F7F7F"/>
                <w:szCs w:val="18"/>
                <w:lang w:eastAsia="en-AU"/>
              </w:rPr>
            </w:pPr>
            <w:r w:rsidRPr="00D20BFA">
              <w:rPr>
                <w:rFonts w:cs="Arial"/>
                <w:color w:val="7F7F7F"/>
                <w:szCs w:val="18"/>
                <w:lang w:eastAsia="en-AU"/>
              </w:rPr>
              <w:t>Disability</w:t>
            </w:r>
          </w:p>
        </w:tc>
        <w:tc>
          <w:tcPr>
            <w:tcW w:w="1227" w:type="dxa"/>
            <w:tcBorders>
              <w:top w:val="nil"/>
              <w:left w:val="nil"/>
              <w:bottom w:val="nil"/>
              <w:right w:val="nil"/>
            </w:tcBorders>
            <w:shd w:val="clear" w:color="auto" w:fill="auto"/>
            <w:noWrap/>
            <w:vAlign w:val="center"/>
            <w:hideMark/>
          </w:tcPr>
          <w:p w:rsidR="009610B9" w:rsidRPr="00D20BFA" w:rsidRDefault="009610B9" w:rsidP="004E7315">
            <w:pPr>
              <w:jc w:val="right"/>
              <w:rPr>
                <w:rFonts w:cs="Arial"/>
                <w:color w:val="7F7F7F"/>
                <w:szCs w:val="18"/>
                <w:lang w:eastAsia="en-AU"/>
              </w:rPr>
            </w:pPr>
            <w:r w:rsidRPr="00D20BFA">
              <w:rPr>
                <w:rFonts w:cs="Arial"/>
                <w:color w:val="7F7F7F"/>
                <w:szCs w:val="18"/>
                <w:lang w:eastAsia="en-AU"/>
              </w:rPr>
              <w:t>147%</w:t>
            </w:r>
          </w:p>
        </w:tc>
        <w:tc>
          <w:tcPr>
            <w:tcW w:w="1227" w:type="dxa"/>
            <w:tcBorders>
              <w:top w:val="nil"/>
              <w:left w:val="nil"/>
              <w:bottom w:val="nil"/>
              <w:right w:val="nil"/>
            </w:tcBorders>
            <w:shd w:val="clear" w:color="auto" w:fill="auto"/>
            <w:noWrap/>
            <w:vAlign w:val="center"/>
            <w:hideMark/>
          </w:tcPr>
          <w:p w:rsidR="009610B9" w:rsidRPr="00D20BFA" w:rsidRDefault="009610B9" w:rsidP="004E7315">
            <w:pPr>
              <w:jc w:val="right"/>
              <w:rPr>
                <w:rFonts w:cs="Arial"/>
                <w:color w:val="7F7F7F"/>
                <w:szCs w:val="18"/>
                <w:lang w:eastAsia="en-AU"/>
              </w:rPr>
            </w:pPr>
            <w:r w:rsidRPr="00D20BFA">
              <w:rPr>
                <w:rFonts w:cs="Arial"/>
                <w:color w:val="7F7F7F"/>
                <w:szCs w:val="18"/>
                <w:lang w:eastAsia="en-AU"/>
              </w:rPr>
              <w:t>60%</w:t>
            </w:r>
          </w:p>
        </w:tc>
        <w:tc>
          <w:tcPr>
            <w:tcW w:w="1227" w:type="dxa"/>
            <w:tcBorders>
              <w:top w:val="nil"/>
              <w:left w:val="nil"/>
              <w:bottom w:val="nil"/>
              <w:right w:val="nil"/>
            </w:tcBorders>
            <w:shd w:val="clear" w:color="auto" w:fill="auto"/>
            <w:noWrap/>
            <w:vAlign w:val="center"/>
            <w:hideMark/>
          </w:tcPr>
          <w:p w:rsidR="009610B9" w:rsidRPr="00D20BFA" w:rsidRDefault="009610B9" w:rsidP="004E7315">
            <w:pPr>
              <w:jc w:val="right"/>
              <w:rPr>
                <w:rFonts w:cs="Arial"/>
                <w:color w:val="7F7F7F"/>
                <w:szCs w:val="18"/>
                <w:lang w:eastAsia="en-AU"/>
              </w:rPr>
            </w:pPr>
            <w:r w:rsidRPr="00D20BFA">
              <w:rPr>
                <w:rFonts w:cs="Arial"/>
                <w:color w:val="7F7F7F"/>
                <w:szCs w:val="18"/>
                <w:lang w:eastAsia="en-AU"/>
              </w:rPr>
              <w:t>23%</w:t>
            </w:r>
          </w:p>
        </w:tc>
        <w:tc>
          <w:tcPr>
            <w:tcW w:w="1227" w:type="dxa"/>
            <w:tcBorders>
              <w:top w:val="nil"/>
              <w:left w:val="nil"/>
              <w:bottom w:val="nil"/>
              <w:right w:val="nil"/>
            </w:tcBorders>
            <w:shd w:val="clear" w:color="auto" w:fill="auto"/>
            <w:noWrap/>
            <w:vAlign w:val="center"/>
            <w:hideMark/>
          </w:tcPr>
          <w:p w:rsidR="009610B9" w:rsidRPr="00D20BFA" w:rsidRDefault="009610B9" w:rsidP="004E7315">
            <w:pPr>
              <w:jc w:val="right"/>
              <w:rPr>
                <w:rFonts w:cs="Arial"/>
                <w:color w:val="7F7F7F"/>
                <w:szCs w:val="18"/>
                <w:lang w:eastAsia="en-AU"/>
              </w:rPr>
            </w:pPr>
            <w:r w:rsidRPr="00D20BFA">
              <w:rPr>
                <w:rFonts w:cs="Arial"/>
                <w:color w:val="7F7F7F"/>
                <w:szCs w:val="18"/>
                <w:lang w:eastAsia="en-AU"/>
              </w:rPr>
              <w:t>14%</w:t>
            </w:r>
          </w:p>
        </w:tc>
        <w:tc>
          <w:tcPr>
            <w:tcW w:w="1227" w:type="dxa"/>
            <w:tcBorders>
              <w:top w:val="nil"/>
              <w:left w:val="nil"/>
              <w:bottom w:val="nil"/>
              <w:right w:val="nil"/>
            </w:tcBorders>
            <w:shd w:val="clear" w:color="auto" w:fill="auto"/>
            <w:noWrap/>
            <w:vAlign w:val="center"/>
            <w:hideMark/>
          </w:tcPr>
          <w:p w:rsidR="009610B9" w:rsidRPr="00D20BFA" w:rsidRDefault="009610B9" w:rsidP="004E7315">
            <w:pPr>
              <w:jc w:val="right"/>
              <w:rPr>
                <w:rFonts w:cs="Arial"/>
                <w:color w:val="7F7F7F"/>
                <w:szCs w:val="18"/>
                <w:lang w:eastAsia="en-AU"/>
              </w:rPr>
            </w:pPr>
            <w:r w:rsidRPr="00D20BFA">
              <w:rPr>
                <w:rFonts w:cs="Arial"/>
                <w:color w:val="7F7F7F"/>
                <w:szCs w:val="18"/>
                <w:lang w:eastAsia="en-AU"/>
              </w:rPr>
              <w:t>2%</w:t>
            </w:r>
          </w:p>
        </w:tc>
      </w:tr>
      <w:tr w:rsidR="009610B9" w:rsidRPr="00D20BFA" w:rsidTr="004E7315">
        <w:trPr>
          <w:trHeight w:val="300"/>
        </w:trPr>
        <w:tc>
          <w:tcPr>
            <w:tcW w:w="1960" w:type="dxa"/>
            <w:tcBorders>
              <w:top w:val="nil"/>
              <w:left w:val="nil"/>
              <w:bottom w:val="nil"/>
              <w:right w:val="nil"/>
            </w:tcBorders>
            <w:shd w:val="clear" w:color="auto" w:fill="auto"/>
            <w:noWrap/>
            <w:vAlign w:val="center"/>
            <w:hideMark/>
          </w:tcPr>
          <w:p w:rsidR="009610B9" w:rsidRPr="00D20BFA" w:rsidRDefault="009610B9" w:rsidP="004E7315">
            <w:pPr>
              <w:rPr>
                <w:rFonts w:cs="Arial"/>
                <w:color w:val="7F7F7F"/>
                <w:szCs w:val="18"/>
                <w:lang w:eastAsia="en-AU"/>
              </w:rPr>
            </w:pPr>
            <w:r w:rsidRPr="00D20BFA">
              <w:rPr>
                <w:rFonts w:cs="Arial"/>
                <w:color w:val="7F7F7F"/>
                <w:szCs w:val="18"/>
                <w:lang w:eastAsia="en-AU"/>
              </w:rPr>
              <w:t>Disengaged Youth</w:t>
            </w:r>
          </w:p>
        </w:tc>
        <w:tc>
          <w:tcPr>
            <w:tcW w:w="1227" w:type="dxa"/>
            <w:tcBorders>
              <w:top w:val="nil"/>
              <w:left w:val="nil"/>
              <w:bottom w:val="nil"/>
              <w:right w:val="nil"/>
            </w:tcBorders>
            <w:shd w:val="clear" w:color="auto" w:fill="auto"/>
            <w:noWrap/>
            <w:vAlign w:val="center"/>
            <w:hideMark/>
          </w:tcPr>
          <w:p w:rsidR="009610B9" w:rsidRPr="00D20BFA" w:rsidRDefault="009610B9" w:rsidP="004E7315">
            <w:pPr>
              <w:jc w:val="right"/>
              <w:rPr>
                <w:rFonts w:cs="Arial"/>
                <w:color w:val="7F7F7F"/>
                <w:szCs w:val="18"/>
                <w:lang w:eastAsia="en-AU"/>
              </w:rPr>
            </w:pPr>
            <w:r w:rsidRPr="00D20BFA">
              <w:rPr>
                <w:rFonts w:cs="Arial"/>
                <w:color w:val="7F7F7F"/>
                <w:szCs w:val="18"/>
                <w:lang w:eastAsia="en-AU"/>
              </w:rPr>
              <w:t>392%</w:t>
            </w:r>
          </w:p>
        </w:tc>
        <w:tc>
          <w:tcPr>
            <w:tcW w:w="1227" w:type="dxa"/>
            <w:tcBorders>
              <w:top w:val="nil"/>
              <w:left w:val="nil"/>
              <w:bottom w:val="nil"/>
              <w:right w:val="nil"/>
            </w:tcBorders>
            <w:shd w:val="clear" w:color="auto" w:fill="auto"/>
            <w:noWrap/>
            <w:vAlign w:val="center"/>
            <w:hideMark/>
          </w:tcPr>
          <w:p w:rsidR="009610B9" w:rsidRPr="00D20BFA" w:rsidRDefault="009610B9" w:rsidP="004E7315">
            <w:pPr>
              <w:jc w:val="right"/>
              <w:rPr>
                <w:rFonts w:cs="Arial"/>
                <w:color w:val="7F7F7F"/>
                <w:szCs w:val="18"/>
                <w:lang w:eastAsia="en-AU"/>
              </w:rPr>
            </w:pPr>
            <w:r w:rsidRPr="00D20BFA">
              <w:rPr>
                <w:rFonts w:cs="Arial"/>
                <w:color w:val="7F7F7F"/>
                <w:szCs w:val="18"/>
                <w:lang w:eastAsia="en-AU"/>
              </w:rPr>
              <w:t>159%</w:t>
            </w:r>
          </w:p>
        </w:tc>
        <w:tc>
          <w:tcPr>
            <w:tcW w:w="1227" w:type="dxa"/>
            <w:tcBorders>
              <w:top w:val="nil"/>
              <w:left w:val="nil"/>
              <w:bottom w:val="nil"/>
              <w:right w:val="nil"/>
            </w:tcBorders>
            <w:shd w:val="clear" w:color="auto" w:fill="auto"/>
            <w:noWrap/>
            <w:vAlign w:val="center"/>
            <w:hideMark/>
          </w:tcPr>
          <w:p w:rsidR="009610B9" w:rsidRPr="00D20BFA" w:rsidRDefault="009610B9" w:rsidP="004E7315">
            <w:pPr>
              <w:jc w:val="right"/>
              <w:rPr>
                <w:rFonts w:cs="Arial"/>
                <w:color w:val="7F7F7F"/>
                <w:szCs w:val="18"/>
                <w:lang w:eastAsia="en-AU"/>
              </w:rPr>
            </w:pPr>
            <w:r w:rsidRPr="00D20BFA">
              <w:rPr>
                <w:rFonts w:cs="Arial"/>
                <w:color w:val="7F7F7F"/>
                <w:szCs w:val="18"/>
                <w:lang w:eastAsia="en-AU"/>
              </w:rPr>
              <w:t>26%</w:t>
            </w:r>
          </w:p>
        </w:tc>
        <w:tc>
          <w:tcPr>
            <w:tcW w:w="1227" w:type="dxa"/>
            <w:tcBorders>
              <w:top w:val="nil"/>
              <w:left w:val="nil"/>
              <w:bottom w:val="nil"/>
              <w:right w:val="nil"/>
            </w:tcBorders>
            <w:shd w:val="clear" w:color="auto" w:fill="auto"/>
            <w:noWrap/>
            <w:vAlign w:val="center"/>
            <w:hideMark/>
          </w:tcPr>
          <w:p w:rsidR="009610B9" w:rsidRPr="00D20BFA" w:rsidRDefault="009610B9" w:rsidP="004E7315">
            <w:pPr>
              <w:jc w:val="right"/>
              <w:rPr>
                <w:rFonts w:cs="Arial"/>
                <w:color w:val="7F7F7F"/>
                <w:szCs w:val="18"/>
                <w:lang w:eastAsia="en-AU"/>
              </w:rPr>
            </w:pPr>
            <w:r w:rsidRPr="00D20BFA">
              <w:rPr>
                <w:rFonts w:cs="Arial"/>
                <w:color w:val="7F7F7F"/>
                <w:szCs w:val="18"/>
                <w:lang w:eastAsia="en-AU"/>
              </w:rPr>
              <w:t>-7%</w:t>
            </w:r>
          </w:p>
        </w:tc>
        <w:tc>
          <w:tcPr>
            <w:tcW w:w="1227" w:type="dxa"/>
            <w:tcBorders>
              <w:top w:val="nil"/>
              <w:left w:val="nil"/>
              <w:bottom w:val="nil"/>
              <w:right w:val="nil"/>
            </w:tcBorders>
            <w:shd w:val="clear" w:color="auto" w:fill="auto"/>
            <w:noWrap/>
            <w:vAlign w:val="center"/>
            <w:hideMark/>
          </w:tcPr>
          <w:p w:rsidR="009610B9" w:rsidRPr="00D20BFA" w:rsidRDefault="009610B9" w:rsidP="004E7315">
            <w:pPr>
              <w:jc w:val="right"/>
              <w:rPr>
                <w:rFonts w:cs="Arial"/>
                <w:color w:val="7F7F7F"/>
                <w:szCs w:val="18"/>
                <w:lang w:eastAsia="en-AU"/>
              </w:rPr>
            </w:pPr>
            <w:r w:rsidRPr="00D20BFA">
              <w:rPr>
                <w:rFonts w:cs="Arial"/>
                <w:color w:val="7F7F7F"/>
                <w:szCs w:val="18"/>
                <w:lang w:eastAsia="en-AU"/>
              </w:rPr>
              <w:t>-26%</w:t>
            </w:r>
          </w:p>
        </w:tc>
      </w:tr>
      <w:tr w:rsidR="009610B9" w:rsidRPr="00D20BFA" w:rsidTr="004E7315">
        <w:trPr>
          <w:trHeight w:val="300"/>
        </w:trPr>
        <w:tc>
          <w:tcPr>
            <w:tcW w:w="1960" w:type="dxa"/>
            <w:tcBorders>
              <w:top w:val="nil"/>
              <w:left w:val="nil"/>
              <w:bottom w:val="nil"/>
              <w:right w:val="nil"/>
            </w:tcBorders>
            <w:shd w:val="clear" w:color="auto" w:fill="auto"/>
            <w:noWrap/>
            <w:vAlign w:val="center"/>
            <w:hideMark/>
          </w:tcPr>
          <w:p w:rsidR="009610B9" w:rsidRPr="00D20BFA" w:rsidRDefault="009610B9" w:rsidP="004E7315">
            <w:pPr>
              <w:rPr>
                <w:rFonts w:cs="Arial"/>
                <w:color w:val="7F7F7F"/>
                <w:szCs w:val="18"/>
                <w:lang w:eastAsia="en-AU"/>
              </w:rPr>
            </w:pPr>
            <w:r w:rsidRPr="00D20BFA">
              <w:rPr>
                <w:rFonts w:cs="Arial"/>
                <w:color w:val="7F7F7F"/>
                <w:szCs w:val="18"/>
                <w:lang w:eastAsia="en-AU"/>
              </w:rPr>
              <w:t>Early school leavers</w:t>
            </w:r>
          </w:p>
        </w:tc>
        <w:tc>
          <w:tcPr>
            <w:tcW w:w="1227" w:type="dxa"/>
            <w:tcBorders>
              <w:top w:val="nil"/>
              <w:left w:val="nil"/>
              <w:bottom w:val="nil"/>
              <w:right w:val="nil"/>
            </w:tcBorders>
            <w:shd w:val="clear" w:color="auto" w:fill="auto"/>
            <w:noWrap/>
            <w:vAlign w:val="center"/>
            <w:hideMark/>
          </w:tcPr>
          <w:p w:rsidR="009610B9" w:rsidRPr="00D20BFA" w:rsidRDefault="009610B9" w:rsidP="004E7315">
            <w:pPr>
              <w:jc w:val="right"/>
              <w:rPr>
                <w:rFonts w:cs="Arial"/>
                <w:color w:val="7F7F7F"/>
                <w:szCs w:val="18"/>
                <w:lang w:eastAsia="en-AU"/>
              </w:rPr>
            </w:pPr>
            <w:r w:rsidRPr="00D20BFA">
              <w:rPr>
                <w:rFonts w:cs="Arial"/>
                <w:color w:val="7F7F7F"/>
                <w:szCs w:val="18"/>
                <w:lang w:eastAsia="en-AU"/>
              </w:rPr>
              <w:t>71%</w:t>
            </w:r>
          </w:p>
        </w:tc>
        <w:tc>
          <w:tcPr>
            <w:tcW w:w="1227" w:type="dxa"/>
            <w:tcBorders>
              <w:top w:val="nil"/>
              <w:left w:val="nil"/>
              <w:bottom w:val="nil"/>
              <w:right w:val="nil"/>
            </w:tcBorders>
            <w:shd w:val="clear" w:color="auto" w:fill="auto"/>
            <w:noWrap/>
            <w:vAlign w:val="center"/>
            <w:hideMark/>
          </w:tcPr>
          <w:p w:rsidR="009610B9" w:rsidRPr="00D20BFA" w:rsidRDefault="009610B9" w:rsidP="004E7315">
            <w:pPr>
              <w:jc w:val="right"/>
              <w:rPr>
                <w:rFonts w:cs="Arial"/>
                <w:color w:val="7F7F7F"/>
                <w:szCs w:val="18"/>
                <w:lang w:eastAsia="en-AU"/>
              </w:rPr>
            </w:pPr>
            <w:r w:rsidRPr="00D20BFA">
              <w:rPr>
                <w:rFonts w:cs="Arial"/>
                <w:color w:val="7F7F7F"/>
                <w:szCs w:val="18"/>
                <w:lang w:eastAsia="en-AU"/>
              </w:rPr>
              <w:t>19%</w:t>
            </w:r>
          </w:p>
        </w:tc>
        <w:tc>
          <w:tcPr>
            <w:tcW w:w="1227" w:type="dxa"/>
            <w:tcBorders>
              <w:top w:val="nil"/>
              <w:left w:val="nil"/>
              <w:bottom w:val="nil"/>
              <w:right w:val="nil"/>
            </w:tcBorders>
            <w:shd w:val="clear" w:color="auto" w:fill="auto"/>
            <w:noWrap/>
            <w:vAlign w:val="center"/>
            <w:hideMark/>
          </w:tcPr>
          <w:p w:rsidR="009610B9" w:rsidRPr="00D20BFA" w:rsidRDefault="009610B9" w:rsidP="004E7315">
            <w:pPr>
              <w:jc w:val="right"/>
              <w:rPr>
                <w:rFonts w:cs="Arial"/>
                <w:color w:val="7F7F7F"/>
                <w:szCs w:val="18"/>
                <w:lang w:eastAsia="en-AU"/>
              </w:rPr>
            </w:pPr>
            <w:r w:rsidRPr="00D20BFA">
              <w:rPr>
                <w:rFonts w:cs="Arial"/>
                <w:color w:val="7F7F7F"/>
                <w:szCs w:val="18"/>
                <w:lang w:eastAsia="en-AU"/>
              </w:rPr>
              <w:t>3%</w:t>
            </w:r>
          </w:p>
        </w:tc>
        <w:tc>
          <w:tcPr>
            <w:tcW w:w="1227" w:type="dxa"/>
            <w:tcBorders>
              <w:top w:val="nil"/>
              <w:left w:val="nil"/>
              <w:bottom w:val="nil"/>
              <w:right w:val="nil"/>
            </w:tcBorders>
            <w:shd w:val="clear" w:color="auto" w:fill="auto"/>
            <w:noWrap/>
            <w:vAlign w:val="center"/>
            <w:hideMark/>
          </w:tcPr>
          <w:p w:rsidR="009610B9" w:rsidRPr="00D20BFA" w:rsidRDefault="009610B9" w:rsidP="004E7315">
            <w:pPr>
              <w:jc w:val="right"/>
              <w:rPr>
                <w:rFonts w:cs="Arial"/>
                <w:color w:val="7F7F7F"/>
                <w:szCs w:val="18"/>
                <w:lang w:eastAsia="en-AU"/>
              </w:rPr>
            </w:pPr>
            <w:r w:rsidRPr="00D20BFA">
              <w:rPr>
                <w:rFonts w:cs="Arial"/>
                <w:color w:val="7F7F7F"/>
                <w:szCs w:val="18"/>
                <w:lang w:eastAsia="en-AU"/>
              </w:rPr>
              <w:t>-11%</w:t>
            </w:r>
          </w:p>
        </w:tc>
        <w:tc>
          <w:tcPr>
            <w:tcW w:w="1227" w:type="dxa"/>
            <w:tcBorders>
              <w:top w:val="nil"/>
              <w:left w:val="nil"/>
              <w:bottom w:val="nil"/>
              <w:right w:val="nil"/>
            </w:tcBorders>
            <w:shd w:val="clear" w:color="auto" w:fill="auto"/>
            <w:noWrap/>
            <w:vAlign w:val="center"/>
            <w:hideMark/>
          </w:tcPr>
          <w:p w:rsidR="009610B9" w:rsidRPr="00D20BFA" w:rsidRDefault="009610B9" w:rsidP="004E7315">
            <w:pPr>
              <w:jc w:val="right"/>
              <w:rPr>
                <w:rFonts w:cs="Arial"/>
                <w:color w:val="7F7F7F"/>
                <w:szCs w:val="18"/>
                <w:lang w:eastAsia="en-AU"/>
              </w:rPr>
            </w:pPr>
            <w:r w:rsidRPr="00D20BFA">
              <w:rPr>
                <w:rFonts w:cs="Arial"/>
                <w:color w:val="7F7F7F"/>
                <w:szCs w:val="18"/>
                <w:lang w:eastAsia="en-AU"/>
              </w:rPr>
              <w:t>-10%</w:t>
            </w:r>
          </w:p>
        </w:tc>
      </w:tr>
      <w:tr w:rsidR="009610B9" w:rsidRPr="00D20BFA" w:rsidTr="004E7315">
        <w:trPr>
          <w:trHeight w:val="300"/>
        </w:trPr>
        <w:tc>
          <w:tcPr>
            <w:tcW w:w="1960" w:type="dxa"/>
            <w:tcBorders>
              <w:top w:val="nil"/>
              <w:left w:val="nil"/>
              <w:bottom w:val="nil"/>
              <w:right w:val="nil"/>
            </w:tcBorders>
            <w:shd w:val="clear" w:color="auto" w:fill="auto"/>
            <w:noWrap/>
            <w:vAlign w:val="center"/>
            <w:hideMark/>
          </w:tcPr>
          <w:p w:rsidR="009610B9" w:rsidRPr="00D20BFA" w:rsidRDefault="009610B9" w:rsidP="004E7315">
            <w:pPr>
              <w:rPr>
                <w:rFonts w:cs="Arial"/>
                <w:color w:val="7F7F7F"/>
                <w:szCs w:val="18"/>
                <w:lang w:eastAsia="en-AU"/>
              </w:rPr>
            </w:pPr>
            <w:r w:rsidRPr="00D20BFA">
              <w:rPr>
                <w:rFonts w:cs="Arial"/>
                <w:color w:val="7F7F7F"/>
                <w:szCs w:val="18"/>
                <w:lang w:eastAsia="en-AU"/>
              </w:rPr>
              <w:t>Indigenous</w:t>
            </w:r>
          </w:p>
        </w:tc>
        <w:tc>
          <w:tcPr>
            <w:tcW w:w="1227" w:type="dxa"/>
            <w:tcBorders>
              <w:top w:val="nil"/>
              <w:left w:val="nil"/>
              <w:bottom w:val="nil"/>
              <w:right w:val="nil"/>
            </w:tcBorders>
            <w:shd w:val="clear" w:color="auto" w:fill="auto"/>
            <w:noWrap/>
            <w:vAlign w:val="center"/>
            <w:hideMark/>
          </w:tcPr>
          <w:p w:rsidR="009610B9" w:rsidRPr="00D20BFA" w:rsidRDefault="009610B9" w:rsidP="004E7315">
            <w:pPr>
              <w:jc w:val="right"/>
              <w:rPr>
                <w:rFonts w:cs="Arial"/>
                <w:color w:val="7F7F7F"/>
                <w:szCs w:val="18"/>
                <w:lang w:eastAsia="en-AU"/>
              </w:rPr>
            </w:pPr>
            <w:r w:rsidRPr="00D20BFA">
              <w:rPr>
                <w:rFonts w:cs="Arial"/>
                <w:color w:val="7F7F7F"/>
                <w:szCs w:val="18"/>
                <w:lang w:eastAsia="en-AU"/>
              </w:rPr>
              <w:t>67%</w:t>
            </w:r>
          </w:p>
        </w:tc>
        <w:tc>
          <w:tcPr>
            <w:tcW w:w="1227" w:type="dxa"/>
            <w:tcBorders>
              <w:top w:val="nil"/>
              <w:left w:val="nil"/>
              <w:bottom w:val="nil"/>
              <w:right w:val="nil"/>
            </w:tcBorders>
            <w:shd w:val="clear" w:color="auto" w:fill="auto"/>
            <w:noWrap/>
            <w:vAlign w:val="center"/>
            <w:hideMark/>
          </w:tcPr>
          <w:p w:rsidR="009610B9" w:rsidRPr="00D20BFA" w:rsidRDefault="009610B9" w:rsidP="004E7315">
            <w:pPr>
              <w:jc w:val="right"/>
              <w:rPr>
                <w:rFonts w:cs="Arial"/>
                <w:color w:val="7F7F7F"/>
                <w:szCs w:val="18"/>
                <w:lang w:eastAsia="en-AU"/>
              </w:rPr>
            </w:pPr>
            <w:r w:rsidRPr="00D20BFA">
              <w:rPr>
                <w:rFonts w:cs="Arial"/>
                <w:color w:val="7F7F7F"/>
                <w:szCs w:val="18"/>
                <w:lang w:eastAsia="en-AU"/>
              </w:rPr>
              <w:t>22%</w:t>
            </w:r>
          </w:p>
        </w:tc>
        <w:tc>
          <w:tcPr>
            <w:tcW w:w="1227" w:type="dxa"/>
            <w:tcBorders>
              <w:top w:val="nil"/>
              <w:left w:val="nil"/>
              <w:bottom w:val="nil"/>
              <w:right w:val="nil"/>
            </w:tcBorders>
            <w:shd w:val="clear" w:color="auto" w:fill="auto"/>
            <w:noWrap/>
            <w:vAlign w:val="center"/>
            <w:hideMark/>
          </w:tcPr>
          <w:p w:rsidR="009610B9" w:rsidRPr="00D20BFA" w:rsidRDefault="009610B9" w:rsidP="004E7315">
            <w:pPr>
              <w:jc w:val="right"/>
              <w:rPr>
                <w:rFonts w:cs="Arial"/>
                <w:color w:val="7F7F7F"/>
                <w:szCs w:val="18"/>
                <w:lang w:eastAsia="en-AU"/>
              </w:rPr>
            </w:pPr>
            <w:r w:rsidRPr="00D20BFA">
              <w:rPr>
                <w:rFonts w:cs="Arial"/>
                <w:color w:val="7F7F7F"/>
                <w:szCs w:val="18"/>
                <w:lang w:eastAsia="en-AU"/>
              </w:rPr>
              <w:t>-8%</w:t>
            </w:r>
          </w:p>
        </w:tc>
        <w:tc>
          <w:tcPr>
            <w:tcW w:w="1227" w:type="dxa"/>
            <w:tcBorders>
              <w:top w:val="nil"/>
              <w:left w:val="nil"/>
              <w:bottom w:val="nil"/>
              <w:right w:val="nil"/>
            </w:tcBorders>
            <w:shd w:val="clear" w:color="auto" w:fill="auto"/>
            <w:noWrap/>
            <w:vAlign w:val="center"/>
            <w:hideMark/>
          </w:tcPr>
          <w:p w:rsidR="009610B9" w:rsidRPr="00D20BFA" w:rsidRDefault="009610B9" w:rsidP="004E7315">
            <w:pPr>
              <w:jc w:val="right"/>
              <w:rPr>
                <w:rFonts w:cs="Arial"/>
                <w:color w:val="7F7F7F"/>
                <w:szCs w:val="18"/>
                <w:lang w:eastAsia="en-AU"/>
              </w:rPr>
            </w:pPr>
            <w:r w:rsidRPr="00D20BFA">
              <w:rPr>
                <w:rFonts w:cs="Arial"/>
                <w:color w:val="7F7F7F"/>
                <w:szCs w:val="18"/>
                <w:lang w:eastAsia="en-AU"/>
              </w:rPr>
              <w:t>-24%</w:t>
            </w:r>
          </w:p>
        </w:tc>
        <w:tc>
          <w:tcPr>
            <w:tcW w:w="1227" w:type="dxa"/>
            <w:tcBorders>
              <w:top w:val="nil"/>
              <w:left w:val="nil"/>
              <w:bottom w:val="nil"/>
              <w:right w:val="nil"/>
            </w:tcBorders>
            <w:shd w:val="clear" w:color="auto" w:fill="auto"/>
            <w:noWrap/>
            <w:vAlign w:val="center"/>
            <w:hideMark/>
          </w:tcPr>
          <w:p w:rsidR="009610B9" w:rsidRPr="00D20BFA" w:rsidRDefault="009610B9" w:rsidP="004E7315">
            <w:pPr>
              <w:jc w:val="right"/>
              <w:rPr>
                <w:rFonts w:cs="Arial"/>
                <w:color w:val="7F7F7F"/>
                <w:szCs w:val="18"/>
                <w:lang w:eastAsia="en-AU"/>
              </w:rPr>
            </w:pPr>
            <w:r w:rsidRPr="00D20BFA">
              <w:rPr>
                <w:rFonts w:cs="Arial"/>
                <w:color w:val="7F7F7F"/>
                <w:szCs w:val="18"/>
                <w:lang w:eastAsia="en-AU"/>
              </w:rPr>
              <w:t>-7%</w:t>
            </w:r>
          </w:p>
        </w:tc>
      </w:tr>
      <w:tr w:rsidR="009610B9" w:rsidRPr="00D20BFA" w:rsidTr="004E7315">
        <w:trPr>
          <w:trHeight w:val="300"/>
        </w:trPr>
        <w:tc>
          <w:tcPr>
            <w:tcW w:w="1960" w:type="dxa"/>
            <w:tcBorders>
              <w:top w:val="nil"/>
              <w:left w:val="nil"/>
              <w:bottom w:val="nil"/>
              <w:right w:val="nil"/>
            </w:tcBorders>
            <w:shd w:val="clear" w:color="auto" w:fill="auto"/>
            <w:noWrap/>
            <w:vAlign w:val="center"/>
            <w:hideMark/>
          </w:tcPr>
          <w:p w:rsidR="009610B9" w:rsidRPr="00D20BFA" w:rsidRDefault="009610B9" w:rsidP="004E7315">
            <w:pPr>
              <w:rPr>
                <w:rFonts w:cs="Arial"/>
                <w:color w:val="7F7F7F"/>
                <w:szCs w:val="18"/>
                <w:lang w:eastAsia="en-AU"/>
              </w:rPr>
            </w:pPr>
            <w:r w:rsidRPr="00D20BFA">
              <w:rPr>
                <w:rFonts w:cs="Arial"/>
                <w:color w:val="7F7F7F"/>
                <w:szCs w:val="18"/>
                <w:lang w:eastAsia="en-AU"/>
              </w:rPr>
              <w:t>Males 45 to 64</w:t>
            </w:r>
          </w:p>
        </w:tc>
        <w:tc>
          <w:tcPr>
            <w:tcW w:w="1227" w:type="dxa"/>
            <w:tcBorders>
              <w:top w:val="nil"/>
              <w:left w:val="nil"/>
              <w:bottom w:val="nil"/>
              <w:right w:val="nil"/>
            </w:tcBorders>
            <w:shd w:val="clear" w:color="auto" w:fill="auto"/>
            <w:noWrap/>
            <w:vAlign w:val="center"/>
            <w:hideMark/>
          </w:tcPr>
          <w:p w:rsidR="009610B9" w:rsidRPr="00D20BFA" w:rsidRDefault="009610B9" w:rsidP="004E7315">
            <w:pPr>
              <w:jc w:val="right"/>
              <w:rPr>
                <w:rFonts w:cs="Arial"/>
                <w:color w:val="7F7F7F"/>
                <w:szCs w:val="18"/>
                <w:lang w:eastAsia="en-AU"/>
              </w:rPr>
            </w:pPr>
            <w:r w:rsidRPr="00D20BFA">
              <w:rPr>
                <w:rFonts w:cs="Arial"/>
                <w:color w:val="7F7F7F"/>
                <w:szCs w:val="18"/>
                <w:lang w:eastAsia="en-AU"/>
              </w:rPr>
              <w:t>91%</w:t>
            </w:r>
          </w:p>
        </w:tc>
        <w:tc>
          <w:tcPr>
            <w:tcW w:w="1227" w:type="dxa"/>
            <w:tcBorders>
              <w:top w:val="nil"/>
              <w:left w:val="nil"/>
              <w:bottom w:val="nil"/>
              <w:right w:val="nil"/>
            </w:tcBorders>
            <w:shd w:val="clear" w:color="auto" w:fill="auto"/>
            <w:noWrap/>
            <w:vAlign w:val="center"/>
            <w:hideMark/>
          </w:tcPr>
          <w:p w:rsidR="009610B9" w:rsidRPr="00D20BFA" w:rsidRDefault="009610B9" w:rsidP="004E7315">
            <w:pPr>
              <w:jc w:val="right"/>
              <w:rPr>
                <w:rFonts w:cs="Arial"/>
                <w:color w:val="7F7F7F"/>
                <w:szCs w:val="18"/>
                <w:lang w:eastAsia="en-AU"/>
              </w:rPr>
            </w:pPr>
            <w:r w:rsidRPr="00D20BFA">
              <w:rPr>
                <w:rFonts w:cs="Arial"/>
                <w:color w:val="7F7F7F"/>
                <w:szCs w:val="18"/>
                <w:lang w:eastAsia="en-AU"/>
              </w:rPr>
              <w:t>41%</w:t>
            </w:r>
          </w:p>
        </w:tc>
        <w:tc>
          <w:tcPr>
            <w:tcW w:w="1227" w:type="dxa"/>
            <w:tcBorders>
              <w:top w:val="nil"/>
              <w:left w:val="nil"/>
              <w:bottom w:val="nil"/>
              <w:right w:val="nil"/>
            </w:tcBorders>
            <w:shd w:val="clear" w:color="auto" w:fill="auto"/>
            <w:noWrap/>
            <w:vAlign w:val="center"/>
            <w:hideMark/>
          </w:tcPr>
          <w:p w:rsidR="009610B9" w:rsidRPr="00D20BFA" w:rsidRDefault="009610B9" w:rsidP="004E7315">
            <w:pPr>
              <w:jc w:val="right"/>
              <w:rPr>
                <w:rFonts w:cs="Arial"/>
                <w:color w:val="7F7F7F"/>
                <w:szCs w:val="18"/>
                <w:lang w:eastAsia="en-AU"/>
              </w:rPr>
            </w:pPr>
            <w:r w:rsidRPr="00D20BFA">
              <w:rPr>
                <w:rFonts w:cs="Arial"/>
                <w:color w:val="7F7F7F"/>
                <w:szCs w:val="18"/>
                <w:lang w:eastAsia="en-AU"/>
              </w:rPr>
              <w:t>6%</w:t>
            </w:r>
          </w:p>
        </w:tc>
        <w:tc>
          <w:tcPr>
            <w:tcW w:w="1227" w:type="dxa"/>
            <w:tcBorders>
              <w:top w:val="nil"/>
              <w:left w:val="nil"/>
              <w:bottom w:val="nil"/>
              <w:right w:val="nil"/>
            </w:tcBorders>
            <w:shd w:val="clear" w:color="auto" w:fill="auto"/>
            <w:noWrap/>
            <w:vAlign w:val="center"/>
            <w:hideMark/>
          </w:tcPr>
          <w:p w:rsidR="009610B9" w:rsidRPr="00D20BFA" w:rsidRDefault="009610B9" w:rsidP="004E7315">
            <w:pPr>
              <w:jc w:val="right"/>
              <w:rPr>
                <w:rFonts w:cs="Arial"/>
                <w:color w:val="7F7F7F"/>
                <w:szCs w:val="18"/>
                <w:lang w:eastAsia="en-AU"/>
              </w:rPr>
            </w:pPr>
            <w:r w:rsidRPr="00D20BFA">
              <w:rPr>
                <w:rFonts w:cs="Arial"/>
                <w:color w:val="7F7F7F"/>
                <w:szCs w:val="18"/>
                <w:lang w:eastAsia="en-AU"/>
              </w:rPr>
              <w:t>2%</w:t>
            </w:r>
          </w:p>
        </w:tc>
        <w:tc>
          <w:tcPr>
            <w:tcW w:w="1227" w:type="dxa"/>
            <w:tcBorders>
              <w:top w:val="nil"/>
              <w:left w:val="nil"/>
              <w:bottom w:val="nil"/>
              <w:right w:val="nil"/>
            </w:tcBorders>
            <w:shd w:val="clear" w:color="auto" w:fill="auto"/>
            <w:noWrap/>
            <w:vAlign w:val="center"/>
            <w:hideMark/>
          </w:tcPr>
          <w:p w:rsidR="009610B9" w:rsidRPr="00D20BFA" w:rsidRDefault="009610B9" w:rsidP="004E7315">
            <w:pPr>
              <w:jc w:val="right"/>
              <w:rPr>
                <w:rFonts w:cs="Arial"/>
                <w:color w:val="7F7F7F"/>
                <w:szCs w:val="18"/>
                <w:lang w:eastAsia="en-AU"/>
              </w:rPr>
            </w:pPr>
            <w:r w:rsidRPr="00D20BFA">
              <w:rPr>
                <w:rFonts w:cs="Arial"/>
                <w:color w:val="7F7F7F"/>
                <w:szCs w:val="18"/>
                <w:lang w:eastAsia="en-AU"/>
              </w:rPr>
              <w:t>4%</w:t>
            </w:r>
          </w:p>
        </w:tc>
      </w:tr>
      <w:tr w:rsidR="009610B9" w:rsidRPr="00D20BFA" w:rsidTr="004E7315">
        <w:trPr>
          <w:trHeight w:val="300"/>
        </w:trPr>
        <w:tc>
          <w:tcPr>
            <w:tcW w:w="1960" w:type="dxa"/>
            <w:tcBorders>
              <w:top w:val="nil"/>
              <w:left w:val="nil"/>
              <w:bottom w:val="nil"/>
              <w:right w:val="nil"/>
            </w:tcBorders>
            <w:shd w:val="clear" w:color="auto" w:fill="auto"/>
            <w:noWrap/>
            <w:vAlign w:val="center"/>
            <w:hideMark/>
          </w:tcPr>
          <w:p w:rsidR="009610B9" w:rsidRPr="00D20BFA" w:rsidRDefault="009610B9" w:rsidP="004E7315">
            <w:pPr>
              <w:rPr>
                <w:rFonts w:cs="Arial"/>
                <w:color w:val="7F7F7F"/>
                <w:szCs w:val="18"/>
                <w:lang w:eastAsia="en-AU"/>
              </w:rPr>
            </w:pPr>
            <w:r w:rsidRPr="00D20BFA">
              <w:rPr>
                <w:rFonts w:cs="Arial"/>
                <w:color w:val="7F7F7F"/>
                <w:szCs w:val="18"/>
                <w:lang w:eastAsia="en-AU"/>
              </w:rPr>
              <w:t>Unemployed</w:t>
            </w:r>
          </w:p>
        </w:tc>
        <w:tc>
          <w:tcPr>
            <w:tcW w:w="1227" w:type="dxa"/>
            <w:tcBorders>
              <w:top w:val="nil"/>
              <w:left w:val="nil"/>
              <w:bottom w:val="nil"/>
              <w:right w:val="nil"/>
            </w:tcBorders>
            <w:shd w:val="clear" w:color="auto" w:fill="auto"/>
            <w:noWrap/>
            <w:vAlign w:val="center"/>
            <w:hideMark/>
          </w:tcPr>
          <w:p w:rsidR="009610B9" w:rsidRPr="00D20BFA" w:rsidRDefault="009610B9" w:rsidP="004E7315">
            <w:pPr>
              <w:jc w:val="right"/>
              <w:rPr>
                <w:rFonts w:cs="Arial"/>
                <w:color w:val="7F7F7F"/>
                <w:szCs w:val="18"/>
                <w:lang w:eastAsia="en-AU"/>
              </w:rPr>
            </w:pPr>
            <w:r w:rsidRPr="00D20BFA">
              <w:rPr>
                <w:rFonts w:cs="Arial"/>
                <w:color w:val="7F7F7F"/>
                <w:szCs w:val="18"/>
                <w:lang w:eastAsia="en-AU"/>
              </w:rPr>
              <w:t>145%</w:t>
            </w:r>
          </w:p>
        </w:tc>
        <w:tc>
          <w:tcPr>
            <w:tcW w:w="1227" w:type="dxa"/>
            <w:tcBorders>
              <w:top w:val="nil"/>
              <w:left w:val="nil"/>
              <w:bottom w:val="nil"/>
              <w:right w:val="nil"/>
            </w:tcBorders>
            <w:shd w:val="clear" w:color="auto" w:fill="auto"/>
            <w:noWrap/>
            <w:vAlign w:val="center"/>
            <w:hideMark/>
          </w:tcPr>
          <w:p w:rsidR="009610B9" w:rsidRPr="00D20BFA" w:rsidRDefault="009610B9" w:rsidP="004E7315">
            <w:pPr>
              <w:jc w:val="right"/>
              <w:rPr>
                <w:rFonts w:cs="Arial"/>
                <w:color w:val="7F7F7F"/>
                <w:szCs w:val="18"/>
                <w:lang w:eastAsia="en-AU"/>
              </w:rPr>
            </w:pPr>
            <w:r w:rsidRPr="00D20BFA">
              <w:rPr>
                <w:rFonts w:cs="Arial"/>
                <w:color w:val="7F7F7F"/>
                <w:szCs w:val="18"/>
                <w:lang w:eastAsia="en-AU"/>
              </w:rPr>
              <w:t>66%</w:t>
            </w:r>
          </w:p>
        </w:tc>
        <w:tc>
          <w:tcPr>
            <w:tcW w:w="1227" w:type="dxa"/>
            <w:tcBorders>
              <w:top w:val="nil"/>
              <w:left w:val="nil"/>
              <w:bottom w:val="nil"/>
              <w:right w:val="nil"/>
            </w:tcBorders>
            <w:shd w:val="clear" w:color="auto" w:fill="auto"/>
            <w:noWrap/>
            <w:vAlign w:val="center"/>
            <w:hideMark/>
          </w:tcPr>
          <w:p w:rsidR="009610B9" w:rsidRPr="00D20BFA" w:rsidRDefault="009610B9" w:rsidP="004E7315">
            <w:pPr>
              <w:jc w:val="right"/>
              <w:rPr>
                <w:rFonts w:cs="Arial"/>
                <w:color w:val="7F7F7F"/>
                <w:szCs w:val="18"/>
                <w:lang w:eastAsia="en-AU"/>
              </w:rPr>
            </w:pPr>
            <w:r w:rsidRPr="00D20BFA">
              <w:rPr>
                <w:rFonts w:cs="Arial"/>
                <w:color w:val="7F7F7F"/>
                <w:szCs w:val="18"/>
                <w:lang w:eastAsia="en-AU"/>
              </w:rPr>
              <w:t>27%</w:t>
            </w:r>
          </w:p>
        </w:tc>
        <w:tc>
          <w:tcPr>
            <w:tcW w:w="1227" w:type="dxa"/>
            <w:tcBorders>
              <w:top w:val="nil"/>
              <w:left w:val="nil"/>
              <w:bottom w:val="nil"/>
              <w:right w:val="nil"/>
            </w:tcBorders>
            <w:shd w:val="clear" w:color="auto" w:fill="auto"/>
            <w:noWrap/>
            <w:vAlign w:val="center"/>
            <w:hideMark/>
          </w:tcPr>
          <w:p w:rsidR="009610B9" w:rsidRPr="00D20BFA" w:rsidRDefault="009610B9" w:rsidP="004E7315">
            <w:pPr>
              <w:jc w:val="right"/>
              <w:rPr>
                <w:rFonts w:cs="Arial"/>
                <w:color w:val="7F7F7F"/>
                <w:szCs w:val="18"/>
                <w:lang w:eastAsia="en-AU"/>
              </w:rPr>
            </w:pPr>
            <w:r w:rsidRPr="00D20BFA">
              <w:rPr>
                <w:rFonts w:cs="Arial"/>
                <w:color w:val="7F7F7F"/>
                <w:szCs w:val="18"/>
                <w:lang w:eastAsia="en-AU"/>
              </w:rPr>
              <w:t>4%</w:t>
            </w:r>
          </w:p>
        </w:tc>
        <w:tc>
          <w:tcPr>
            <w:tcW w:w="1227" w:type="dxa"/>
            <w:tcBorders>
              <w:top w:val="nil"/>
              <w:left w:val="nil"/>
              <w:bottom w:val="nil"/>
              <w:right w:val="nil"/>
            </w:tcBorders>
            <w:shd w:val="clear" w:color="auto" w:fill="auto"/>
            <w:noWrap/>
            <w:vAlign w:val="center"/>
            <w:hideMark/>
          </w:tcPr>
          <w:p w:rsidR="009610B9" w:rsidRPr="00D20BFA" w:rsidRDefault="009610B9" w:rsidP="004E7315">
            <w:pPr>
              <w:jc w:val="right"/>
              <w:rPr>
                <w:rFonts w:cs="Arial"/>
                <w:color w:val="7F7F7F"/>
                <w:szCs w:val="18"/>
                <w:lang w:eastAsia="en-AU"/>
              </w:rPr>
            </w:pPr>
            <w:r w:rsidRPr="00D20BFA">
              <w:rPr>
                <w:rFonts w:cs="Arial"/>
                <w:color w:val="7F7F7F"/>
                <w:szCs w:val="18"/>
                <w:lang w:eastAsia="en-AU"/>
              </w:rPr>
              <w:t>1%</w:t>
            </w:r>
          </w:p>
        </w:tc>
      </w:tr>
      <w:tr w:rsidR="009610B9" w:rsidRPr="00D20BFA" w:rsidTr="004E7315">
        <w:trPr>
          <w:trHeight w:val="315"/>
        </w:trPr>
        <w:tc>
          <w:tcPr>
            <w:tcW w:w="1960" w:type="dxa"/>
            <w:tcBorders>
              <w:top w:val="nil"/>
              <w:left w:val="nil"/>
              <w:bottom w:val="single" w:sz="12" w:space="0" w:color="7F7F7F"/>
              <w:right w:val="nil"/>
            </w:tcBorders>
            <w:shd w:val="clear" w:color="auto" w:fill="auto"/>
            <w:noWrap/>
            <w:vAlign w:val="center"/>
            <w:hideMark/>
          </w:tcPr>
          <w:p w:rsidR="009610B9" w:rsidRPr="00D20BFA" w:rsidRDefault="009610B9" w:rsidP="004E7315">
            <w:pPr>
              <w:rPr>
                <w:rFonts w:cs="Arial"/>
                <w:color w:val="7F7F7F"/>
                <w:szCs w:val="18"/>
                <w:lang w:eastAsia="en-AU"/>
              </w:rPr>
            </w:pPr>
            <w:r w:rsidRPr="00D20BFA">
              <w:rPr>
                <w:rFonts w:cs="Arial"/>
                <w:color w:val="7F7F7F"/>
                <w:szCs w:val="18"/>
                <w:lang w:eastAsia="en-AU"/>
              </w:rPr>
              <w:t>Vulnerable workers</w:t>
            </w:r>
          </w:p>
        </w:tc>
        <w:tc>
          <w:tcPr>
            <w:tcW w:w="1227" w:type="dxa"/>
            <w:tcBorders>
              <w:top w:val="nil"/>
              <w:left w:val="nil"/>
              <w:bottom w:val="single" w:sz="12" w:space="0" w:color="7F7F7F"/>
              <w:right w:val="nil"/>
            </w:tcBorders>
            <w:shd w:val="clear" w:color="auto" w:fill="auto"/>
            <w:noWrap/>
            <w:vAlign w:val="center"/>
            <w:hideMark/>
          </w:tcPr>
          <w:p w:rsidR="009610B9" w:rsidRPr="00D20BFA" w:rsidRDefault="009610B9" w:rsidP="004E7315">
            <w:pPr>
              <w:jc w:val="right"/>
              <w:rPr>
                <w:rFonts w:cs="Arial"/>
                <w:color w:val="7F7F7F"/>
                <w:szCs w:val="18"/>
                <w:lang w:eastAsia="en-AU"/>
              </w:rPr>
            </w:pPr>
            <w:r w:rsidRPr="00D20BFA">
              <w:rPr>
                <w:rFonts w:cs="Arial"/>
                <w:color w:val="7F7F7F"/>
                <w:szCs w:val="18"/>
                <w:lang w:eastAsia="en-AU"/>
              </w:rPr>
              <w:t>102%</w:t>
            </w:r>
          </w:p>
        </w:tc>
        <w:tc>
          <w:tcPr>
            <w:tcW w:w="1227" w:type="dxa"/>
            <w:tcBorders>
              <w:top w:val="nil"/>
              <w:left w:val="nil"/>
              <w:bottom w:val="single" w:sz="12" w:space="0" w:color="7F7F7F"/>
              <w:right w:val="nil"/>
            </w:tcBorders>
            <w:shd w:val="clear" w:color="auto" w:fill="auto"/>
            <w:noWrap/>
            <w:vAlign w:val="center"/>
            <w:hideMark/>
          </w:tcPr>
          <w:p w:rsidR="009610B9" w:rsidRPr="00D20BFA" w:rsidRDefault="009610B9" w:rsidP="004E7315">
            <w:pPr>
              <w:jc w:val="right"/>
              <w:rPr>
                <w:rFonts w:cs="Arial"/>
                <w:color w:val="7F7F7F"/>
                <w:szCs w:val="18"/>
                <w:lang w:eastAsia="en-AU"/>
              </w:rPr>
            </w:pPr>
            <w:r w:rsidRPr="00D20BFA">
              <w:rPr>
                <w:rFonts w:cs="Arial"/>
                <w:color w:val="7F7F7F"/>
                <w:szCs w:val="18"/>
                <w:lang w:eastAsia="en-AU"/>
              </w:rPr>
              <w:t>38%</w:t>
            </w:r>
          </w:p>
        </w:tc>
        <w:tc>
          <w:tcPr>
            <w:tcW w:w="1227" w:type="dxa"/>
            <w:tcBorders>
              <w:top w:val="nil"/>
              <w:left w:val="nil"/>
              <w:bottom w:val="single" w:sz="12" w:space="0" w:color="7F7F7F"/>
              <w:right w:val="nil"/>
            </w:tcBorders>
            <w:shd w:val="clear" w:color="auto" w:fill="auto"/>
            <w:noWrap/>
            <w:vAlign w:val="center"/>
            <w:hideMark/>
          </w:tcPr>
          <w:p w:rsidR="009610B9" w:rsidRPr="00D20BFA" w:rsidRDefault="009610B9" w:rsidP="004E7315">
            <w:pPr>
              <w:jc w:val="right"/>
              <w:rPr>
                <w:rFonts w:cs="Arial"/>
                <w:color w:val="7F7F7F"/>
                <w:szCs w:val="18"/>
                <w:lang w:eastAsia="en-AU"/>
              </w:rPr>
            </w:pPr>
            <w:r w:rsidRPr="00D20BFA">
              <w:rPr>
                <w:rFonts w:cs="Arial"/>
                <w:color w:val="7F7F7F"/>
                <w:szCs w:val="18"/>
                <w:lang w:eastAsia="en-AU"/>
              </w:rPr>
              <w:t>9%</w:t>
            </w:r>
          </w:p>
        </w:tc>
        <w:tc>
          <w:tcPr>
            <w:tcW w:w="1227" w:type="dxa"/>
            <w:tcBorders>
              <w:top w:val="nil"/>
              <w:left w:val="nil"/>
              <w:bottom w:val="single" w:sz="12" w:space="0" w:color="7F7F7F"/>
              <w:right w:val="nil"/>
            </w:tcBorders>
            <w:shd w:val="clear" w:color="auto" w:fill="auto"/>
            <w:noWrap/>
            <w:vAlign w:val="center"/>
            <w:hideMark/>
          </w:tcPr>
          <w:p w:rsidR="009610B9" w:rsidRPr="00D20BFA" w:rsidRDefault="009610B9" w:rsidP="004E7315">
            <w:pPr>
              <w:jc w:val="right"/>
              <w:rPr>
                <w:rFonts w:cs="Arial"/>
                <w:color w:val="7F7F7F"/>
                <w:szCs w:val="18"/>
                <w:lang w:eastAsia="en-AU"/>
              </w:rPr>
            </w:pPr>
            <w:r w:rsidRPr="00D20BFA">
              <w:rPr>
                <w:rFonts w:cs="Arial"/>
                <w:color w:val="7F7F7F"/>
                <w:szCs w:val="18"/>
                <w:lang w:eastAsia="en-AU"/>
              </w:rPr>
              <w:t>3%</w:t>
            </w:r>
          </w:p>
        </w:tc>
        <w:tc>
          <w:tcPr>
            <w:tcW w:w="1227" w:type="dxa"/>
            <w:tcBorders>
              <w:top w:val="nil"/>
              <w:left w:val="nil"/>
              <w:bottom w:val="single" w:sz="12" w:space="0" w:color="7F7F7F"/>
              <w:right w:val="nil"/>
            </w:tcBorders>
            <w:shd w:val="clear" w:color="auto" w:fill="auto"/>
            <w:noWrap/>
            <w:vAlign w:val="center"/>
            <w:hideMark/>
          </w:tcPr>
          <w:p w:rsidR="009610B9" w:rsidRPr="00D20BFA" w:rsidRDefault="009610B9" w:rsidP="004E7315">
            <w:pPr>
              <w:jc w:val="right"/>
              <w:rPr>
                <w:rFonts w:cs="Arial"/>
                <w:color w:val="7F7F7F"/>
                <w:szCs w:val="18"/>
                <w:lang w:eastAsia="en-AU"/>
              </w:rPr>
            </w:pPr>
            <w:r w:rsidRPr="00D20BFA">
              <w:rPr>
                <w:rFonts w:cs="Arial"/>
                <w:color w:val="7F7F7F"/>
                <w:szCs w:val="18"/>
                <w:lang w:eastAsia="en-AU"/>
              </w:rPr>
              <w:t>4%</w:t>
            </w:r>
          </w:p>
        </w:tc>
      </w:tr>
    </w:tbl>
    <w:p w:rsidR="009610B9" w:rsidRDefault="009610B9" w:rsidP="009610B9">
      <w:pPr>
        <w:rPr>
          <w:rFonts w:cs="Arial"/>
          <w:bCs/>
          <w:color w:val="7F7F7F" w:themeColor="text2"/>
          <w:kern w:val="32"/>
          <w:szCs w:val="18"/>
        </w:rPr>
      </w:pPr>
    </w:p>
    <w:p w:rsidR="009610B9" w:rsidRDefault="009610B9" w:rsidP="009610B9">
      <w:pPr>
        <w:rPr>
          <w:rFonts w:cs="Arial"/>
          <w:bCs/>
          <w:color w:val="7F7F7F" w:themeColor="text2"/>
          <w:kern w:val="32"/>
          <w:szCs w:val="18"/>
        </w:rPr>
      </w:pPr>
    </w:p>
    <w:p w:rsidR="009610B9" w:rsidRDefault="009610B9" w:rsidP="009610B9">
      <w:pPr>
        <w:rPr>
          <w:rFonts w:cs="Arial"/>
          <w:bCs/>
          <w:color w:val="7F7F7F" w:themeColor="text2"/>
          <w:kern w:val="32"/>
          <w:szCs w:val="18"/>
        </w:rPr>
      </w:pPr>
      <w:r>
        <w:rPr>
          <w:rFonts w:cs="Arial"/>
          <w:bCs/>
          <w:color w:val="7F7F7F" w:themeColor="text2"/>
          <w:kern w:val="32"/>
          <w:szCs w:val="18"/>
        </w:rPr>
        <w:br w:type="page"/>
      </w:r>
    </w:p>
    <w:p w:rsidR="009610B9" w:rsidRPr="00DE7971" w:rsidRDefault="009610B9" w:rsidP="009610B9">
      <w:pPr>
        <w:pStyle w:val="Heading3"/>
        <w:rPr>
          <w:color w:val="7F7F7F" w:themeColor="text2"/>
        </w:rPr>
      </w:pPr>
      <w:r>
        <w:rPr>
          <w:color w:val="7F7F7F" w:themeColor="text2"/>
        </w:rPr>
        <w:lastRenderedPageBreak/>
        <w:t>Learn Local (ACE) Accredited Training</w:t>
      </w:r>
    </w:p>
    <w:p w:rsidR="009610B9" w:rsidRPr="00365EB2" w:rsidRDefault="009610B9" w:rsidP="009610B9">
      <w:pPr>
        <w:pStyle w:val="Quote"/>
        <w:pBdr>
          <w:top w:val="single" w:sz="4" w:space="1" w:color="7F7F7F" w:themeColor="text2"/>
          <w:left w:val="single" w:sz="4" w:space="4" w:color="7F7F7F" w:themeColor="text2"/>
          <w:bottom w:val="single" w:sz="4" w:space="5" w:color="7F7F7F" w:themeColor="text2"/>
          <w:right w:val="single" w:sz="4" w:space="4" w:color="7F7F7F" w:themeColor="text2"/>
        </w:pBdr>
        <w:spacing w:before="120" w:after="120"/>
      </w:pPr>
      <w:r w:rsidRPr="00BB466D">
        <w:t>Key points</w:t>
      </w:r>
    </w:p>
    <w:p w:rsidR="009610B9" w:rsidRPr="009B2012" w:rsidRDefault="009610B9" w:rsidP="009610B9">
      <w:pPr>
        <w:pStyle w:val="ListParagraph"/>
        <w:numPr>
          <w:ilvl w:val="0"/>
          <w:numId w:val="18"/>
        </w:numPr>
        <w:pBdr>
          <w:top w:val="single" w:sz="4" w:space="1" w:color="7F7F7F" w:themeColor="text2"/>
          <w:left w:val="single" w:sz="4" w:space="4" w:color="7F7F7F" w:themeColor="text2"/>
          <w:bottom w:val="single" w:sz="4" w:space="5" w:color="7F7F7F" w:themeColor="text2"/>
          <w:right w:val="single" w:sz="4" w:space="4" w:color="7F7F7F" w:themeColor="text2"/>
        </w:pBdr>
        <w:spacing w:before="120"/>
        <w:ind w:left="425" w:hanging="425"/>
        <w:contextualSpacing w:val="0"/>
        <w:rPr>
          <w:color w:val="7F7F7F" w:themeColor="text2"/>
        </w:rPr>
      </w:pPr>
      <w:r>
        <w:rPr>
          <w:color w:val="7F7F7F" w:themeColor="text2"/>
        </w:rPr>
        <w:t>Enrolments in a</w:t>
      </w:r>
      <w:r w:rsidRPr="009B2012">
        <w:rPr>
          <w:color w:val="7F7F7F" w:themeColor="text2"/>
        </w:rPr>
        <w:t xml:space="preserve">ccredited </w:t>
      </w:r>
      <w:r>
        <w:rPr>
          <w:color w:val="7F7F7F" w:themeColor="text2"/>
        </w:rPr>
        <w:t xml:space="preserve">training </w:t>
      </w:r>
      <w:r w:rsidRPr="009B2012">
        <w:rPr>
          <w:color w:val="7F7F7F" w:themeColor="text2"/>
        </w:rPr>
        <w:t xml:space="preserve">slightly </w:t>
      </w:r>
      <w:r>
        <w:rPr>
          <w:color w:val="7F7F7F" w:themeColor="text2"/>
        </w:rPr>
        <w:t>declined</w:t>
      </w:r>
      <w:r w:rsidRPr="009B2012">
        <w:rPr>
          <w:color w:val="7F7F7F" w:themeColor="text2"/>
        </w:rPr>
        <w:t xml:space="preserve"> </w:t>
      </w:r>
      <w:r>
        <w:rPr>
          <w:color w:val="7F7F7F" w:themeColor="text2"/>
        </w:rPr>
        <w:t xml:space="preserve">in the 2015 (half year) </w:t>
      </w:r>
      <w:r w:rsidRPr="009B2012">
        <w:rPr>
          <w:color w:val="7F7F7F" w:themeColor="text2"/>
        </w:rPr>
        <w:t>when compared with the same period in 2014</w:t>
      </w:r>
      <w:r>
        <w:rPr>
          <w:color w:val="7F7F7F" w:themeColor="text2"/>
        </w:rPr>
        <w:t xml:space="preserve"> (nine per cent lower)</w:t>
      </w:r>
      <w:r w:rsidRPr="009B2012">
        <w:rPr>
          <w:color w:val="7F7F7F" w:themeColor="text2"/>
        </w:rPr>
        <w:t xml:space="preserve">. </w:t>
      </w:r>
      <w:r>
        <w:rPr>
          <w:color w:val="7F7F7F" w:themeColor="text2"/>
        </w:rPr>
        <w:t>This was 22 per cent lower than the same period in 2010.</w:t>
      </w:r>
    </w:p>
    <w:p w:rsidR="009610B9" w:rsidRPr="009B2012" w:rsidRDefault="009610B9" w:rsidP="009610B9">
      <w:pPr>
        <w:pStyle w:val="ListParagraph"/>
        <w:numPr>
          <w:ilvl w:val="0"/>
          <w:numId w:val="18"/>
        </w:numPr>
        <w:pBdr>
          <w:top w:val="single" w:sz="4" w:space="1" w:color="7F7F7F" w:themeColor="text2"/>
          <w:left w:val="single" w:sz="4" w:space="4" w:color="7F7F7F" w:themeColor="text2"/>
          <w:bottom w:val="single" w:sz="4" w:space="5" w:color="7F7F7F" w:themeColor="text2"/>
          <w:right w:val="single" w:sz="4" w:space="4" w:color="7F7F7F" w:themeColor="text2"/>
        </w:pBdr>
        <w:spacing w:before="120"/>
        <w:ind w:left="425" w:hanging="425"/>
        <w:contextualSpacing w:val="0"/>
        <w:rPr>
          <w:color w:val="7F7F7F" w:themeColor="text2"/>
        </w:rPr>
      </w:pPr>
      <w:r>
        <w:rPr>
          <w:color w:val="7F7F7F" w:themeColor="text2"/>
        </w:rPr>
        <w:t xml:space="preserve">Participation in accredited training across </w:t>
      </w:r>
      <w:r w:rsidRPr="009B2012">
        <w:rPr>
          <w:color w:val="7F7F7F" w:themeColor="text2"/>
        </w:rPr>
        <w:t xml:space="preserve">Metropolitan Melbourne </w:t>
      </w:r>
      <w:r>
        <w:rPr>
          <w:color w:val="7F7F7F" w:themeColor="text2"/>
        </w:rPr>
        <w:t xml:space="preserve">in the 2015 (half year) declined by </w:t>
      </w:r>
      <w:r w:rsidRPr="009B2012">
        <w:rPr>
          <w:color w:val="7F7F7F" w:themeColor="text2"/>
        </w:rPr>
        <w:t xml:space="preserve">42 per cent </w:t>
      </w:r>
      <w:r>
        <w:rPr>
          <w:color w:val="7F7F7F" w:themeColor="text2"/>
        </w:rPr>
        <w:t xml:space="preserve">in </w:t>
      </w:r>
      <w:r w:rsidRPr="009B2012">
        <w:rPr>
          <w:color w:val="7F7F7F" w:themeColor="text2"/>
        </w:rPr>
        <w:t>Eastern Metropolitan Melbourne</w:t>
      </w:r>
      <w:r>
        <w:rPr>
          <w:color w:val="7F7F7F" w:themeColor="text2"/>
        </w:rPr>
        <w:t>, and by one</w:t>
      </w:r>
      <w:r w:rsidRPr="009B2012">
        <w:rPr>
          <w:color w:val="7F7F7F" w:themeColor="text2"/>
        </w:rPr>
        <w:t xml:space="preserve"> per cent </w:t>
      </w:r>
      <w:r>
        <w:rPr>
          <w:color w:val="7F7F7F" w:themeColor="text2"/>
        </w:rPr>
        <w:t xml:space="preserve">in </w:t>
      </w:r>
      <w:r w:rsidRPr="009B2012">
        <w:rPr>
          <w:color w:val="7F7F7F" w:themeColor="text2"/>
        </w:rPr>
        <w:t>Southern Metropolitan Melbourne</w:t>
      </w:r>
      <w:r>
        <w:rPr>
          <w:color w:val="7F7F7F" w:themeColor="text2"/>
        </w:rPr>
        <w:t xml:space="preserve">. Participation in </w:t>
      </w:r>
      <w:r w:rsidRPr="009B2012">
        <w:rPr>
          <w:color w:val="7F7F7F" w:themeColor="text2"/>
        </w:rPr>
        <w:t xml:space="preserve">North-Western Metropolitan Melbourne </w:t>
      </w:r>
      <w:r>
        <w:rPr>
          <w:color w:val="7F7F7F" w:themeColor="text2"/>
        </w:rPr>
        <w:t>was six per cent higher on the same period in 2014.</w:t>
      </w:r>
    </w:p>
    <w:p w:rsidR="009610B9" w:rsidRPr="009B2012" w:rsidRDefault="009610B9" w:rsidP="009610B9">
      <w:pPr>
        <w:pStyle w:val="ListParagraph"/>
        <w:numPr>
          <w:ilvl w:val="0"/>
          <w:numId w:val="18"/>
        </w:numPr>
        <w:pBdr>
          <w:top w:val="single" w:sz="4" w:space="1" w:color="7F7F7F" w:themeColor="text2"/>
          <w:left w:val="single" w:sz="4" w:space="4" w:color="7F7F7F" w:themeColor="text2"/>
          <w:bottom w:val="single" w:sz="4" w:space="5" w:color="7F7F7F" w:themeColor="text2"/>
          <w:right w:val="single" w:sz="4" w:space="4" w:color="7F7F7F" w:themeColor="text2"/>
        </w:pBdr>
        <w:spacing w:before="120"/>
        <w:ind w:left="425" w:hanging="425"/>
        <w:contextualSpacing w:val="0"/>
        <w:rPr>
          <w:color w:val="7F7F7F" w:themeColor="text2"/>
        </w:rPr>
      </w:pPr>
      <w:r>
        <w:rPr>
          <w:color w:val="7F7F7F" w:themeColor="text2"/>
        </w:rPr>
        <w:t>P</w:t>
      </w:r>
      <w:r w:rsidRPr="009B2012">
        <w:rPr>
          <w:color w:val="7F7F7F" w:themeColor="text2"/>
        </w:rPr>
        <w:t xml:space="preserve">articipation </w:t>
      </w:r>
      <w:r>
        <w:rPr>
          <w:color w:val="7F7F7F" w:themeColor="text2"/>
        </w:rPr>
        <w:t xml:space="preserve">in accredited training across </w:t>
      </w:r>
      <w:r w:rsidRPr="009B2012">
        <w:rPr>
          <w:color w:val="7F7F7F" w:themeColor="text2"/>
        </w:rPr>
        <w:t xml:space="preserve">regional Victorian </w:t>
      </w:r>
      <w:r>
        <w:rPr>
          <w:color w:val="7F7F7F" w:themeColor="text2"/>
        </w:rPr>
        <w:t xml:space="preserve">declined </w:t>
      </w:r>
      <w:r w:rsidRPr="009B2012">
        <w:rPr>
          <w:color w:val="7F7F7F" w:themeColor="text2"/>
        </w:rPr>
        <w:t xml:space="preserve">an average of 14 per cent </w:t>
      </w:r>
      <w:r>
        <w:rPr>
          <w:color w:val="7F7F7F" w:themeColor="text2"/>
        </w:rPr>
        <w:t>in the 2015 (half year)</w:t>
      </w:r>
      <w:r w:rsidRPr="009B2012">
        <w:rPr>
          <w:color w:val="7F7F7F" w:themeColor="text2"/>
        </w:rPr>
        <w:t xml:space="preserve">. </w:t>
      </w:r>
      <w:r>
        <w:rPr>
          <w:color w:val="7F7F7F" w:themeColor="text2"/>
        </w:rPr>
        <w:t xml:space="preserve">The most notable decline was in the </w:t>
      </w:r>
      <w:r w:rsidRPr="009B2012">
        <w:rPr>
          <w:color w:val="7F7F7F" w:themeColor="text2"/>
        </w:rPr>
        <w:t xml:space="preserve">Gippsland </w:t>
      </w:r>
      <w:r>
        <w:rPr>
          <w:color w:val="7F7F7F" w:themeColor="text2"/>
        </w:rPr>
        <w:t xml:space="preserve">region, </w:t>
      </w:r>
      <w:r w:rsidRPr="009B2012">
        <w:rPr>
          <w:color w:val="7F7F7F" w:themeColor="text2"/>
        </w:rPr>
        <w:t>35 per cent</w:t>
      </w:r>
      <w:r>
        <w:rPr>
          <w:color w:val="7F7F7F" w:themeColor="text2"/>
        </w:rPr>
        <w:t xml:space="preserve"> lower than the same period in 2014</w:t>
      </w:r>
      <w:r w:rsidRPr="009B2012">
        <w:rPr>
          <w:color w:val="7F7F7F" w:themeColor="text2"/>
        </w:rPr>
        <w:t xml:space="preserve">. </w:t>
      </w:r>
    </w:p>
    <w:p w:rsidR="009610B9" w:rsidRDefault="009610B9" w:rsidP="009610B9">
      <w:pPr>
        <w:pStyle w:val="ListParagraph"/>
        <w:numPr>
          <w:ilvl w:val="0"/>
          <w:numId w:val="18"/>
        </w:numPr>
        <w:pBdr>
          <w:top w:val="single" w:sz="4" w:space="1" w:color="7F7F7F" w:themeColor="text2"/>
          <w:left w:val="single" w:sz="4" w:space="4" w:color="7F7F7F" w:themeColor="text2"/>
          <w:bottom w:val="single" w:sz="4" w:space="5" w:color="7F7F7F" w:themeColor="text2"/>
          <w:right w:val="single" w:sz="4" w:space="4" w:color="7F7F7F" w:themeColor="text2"/>
        </w:pBdr>
        <w:spacing w:before="120"/>
        <w:ind w:left="425" w:hanging="425"/>
        <w:contextualSpacing w:val="0"/>
        <w:rPr>
          <w:color w:val="7F7F7F" w:themeColor="text2"/>
        </w:rPr>
      </w:pPr>
      <w:r w:rsidRPr="009B2012">
        <w:rPr>
          <w:color w:val="7F7F7F" w:themeColor="text2"/>
        </w:rPr>
        <w:t xml:space="preserve">The </w:t>
      </w:r>
      <w:r>
        <w:rPr>
          <w:color w:val="7F7F7F" w:themeColor="text2"/>
        </w:rPr>
        <w:t>two AEIs reported a one</w:t>
      </w:r>
      <w:r w:rsidRPr="009B2012">
        <w:rPr>
          <w:color w:val="7F7F7F" w:themeColor="text2"/>
        </w:rPr>
        <w:t xml:space="preserve"> per cent increase </w:t>
      </w:r>
      <w:r>
        <w:rPr>
          <w:color w:val="7F7F7F" w:themeColor="text2"/>
        </w:rPr>
        <w:t>in the 2015 (half year),</w:t>
      </w:r>
      <w:r w:rsidRPr="000C3BD5">
        <w:rPr>
          <w:color w:val="7F7F7F" w:themeColor="text2"/>
        </w:rPr>
        <w:t xml:space="preserve"> compar</w:t>
      </w:r>
      <w:r>
        <w:rPr>
          <w:color w:val="7F7F7F" w:themeColor="text2"/>
        </w:rPr>
        <w:t xml:space="preserve">ed </w:t>
      </w:r>
      <w:r w:rsidRPr="000C3BD5">
        <w:rPr>
          <w:color w:val="7F7F7F" w:themeColor="text2"/>
        </w:rPr>
        <w:t>to the same period in 2014.</w:t>
      </w:r>
    </w:p>
    <w:p w:rsidR="009610B9" w:rsidRPr="003A04BA" w:rsidRDefault="009610B9" w:rsidP="009610B9">
      <w:pPr>
        <w:pStyle w:val="ListParagraph"/>
        <w:numPr>
          <w:ilvl w:val="0"/>
          <w:numId w:val="18"/>
        </w:numPr>
        <w:pBdr>
          <w:top w:val="single" w:sz="4" w:space="1" w:color="7F7F7F" w:themeColor="text2"/>
          <w:left w:val="single" w:sz="4" w:space="4" w:color="7F7F7F" w:themeColor="text2"/>
          <w:bottom w:val="single" w:sz="4" w:space="5" w:color="7F7F7F" w:themeColor="text2"/>
          <w:right w:val="single" w:sz="4" w:space="4" w:color="7F7F7F" w:themeColor="text2"/>
        </w:pBdr>
        <w:spacing w:before="120"/>
        <w:ind w:left="425" w:hanging="425"/>
        <w:contextualSpacing w:val="0"/>
        <w:rPr>
          <w:color w:val="7F7F7F" w:themeColor="text2"/>
        </w:rPr>
      </w:pPr>
      <w:r w:rsidRPr="003A04BA">
        <w:rPr>
          <w:color w:val="7F7F7F" w:themeColor="text2"/>
        </w:rPr>
        <w:t xml:space="preserve">There was a stable rate of participation </w:t>
      </w:r>
      <w:r w:rsidRPr="0078049E">
        <w:t>in</w:t>
      </w:r>
      <w:r w:rsidRPr="003A04BA">
        <w:rPr>
          <w:color w:val="7F7F7F" w:themeColor="text2"/>
        </w:rPr>
        <w:t xml:space="preserve"> accredited </w:t>
      </w:r>
      <w:r>
        <w:rPr>
          <w:color w:val="7F7F7F" w:themeColor="text2"/>
        </w:rPr>
        <w:t xml:space="preserve">training </w:t>
      </w:r>
      <w:r w:rsidRPr="0078049E">
        <w:t>for</w:t>
      </w:r>
      <w:r w:rsidRPr="003A04BA">
        <w:rPr>
          <w:color w:val="7F7F7F" w:themeColor="text2"/>
        </w:rPr>
        <w:t xml:space="preserve"> the majority of ACFE Board Priority Learner cohorts in the 2015 (half year). Increases were reported for CALD students (up 22 per cent), Indigenous students (up 14 per cent), and Males aged 45-64 years (up nine per cent). In contrast, the participation of </w:t>
      </w:r>
      <w:proofErr w:type="gramStart"/>
      <w:r w:rsidRPr="003A04BA">
        <w:rPr>
          <w:color w:val="7F7F7F" w:themeColor="text2"/>
        </w:rPr>
        <w:t>Disengaged</w:t>
      </w:r>
      <w:proofErr w:type="gramEnd"/>
      <w:r w:rsidRPr="003A04BA">
        <w:rPr>
          <w:color w:val="7F7F7F" w:themeColor="text2"/>
        </w:rPr>
        <w:t xml:space="preserve"> young people declined 15 per cent and Early School Leavers declined seven per cent compared to the same period in 2014.</w:t>
      </w:r>
    </w:p>
    <w:p w:rsidR="009610B9" w:rsidRDefault="009610B9" w:rsidP="009610B9">
      <w:pPr>
        <w:rPr>
          <w:rFonts w:cs="Arial"/>
          <w:bCs/>
          <w:color w:val="7F7F7F" w:themeColor="text2"/>
          <w:kern w:val="32"/>
          <w:szCs w:val="18"/>
        </w:rPr>
      </w:pPr>
    </w:p>
    <w:p w:rsidR="009610B9" w:rsidRDefault="009610B9" w:rsidP="009610B9">
      <w:pPr>
        <w:rPr>
          <w:rFonts w:cs="Arial"/>
          <w:bCs/>
          <w:color w:val="7F7F7F" w:themeColor="text2"/>
          <w:kern w:val="32"/>
          <w:szCs w:val="18"/>
        </w:rPr>
      </w:pP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9610B9" w:rsidTr="004E7315">
        <w:tc>
          <w:tcPr>
            <w:tcW w:w="1134" w:type="dxa"/>
            <w:tcMar>
              <w:left w:w="0" w:type="dxa"/>
              <w:right w:w="0" w:type="dxa"/>
            </w:tcMar>
          </w:tcPr>
          <w:p w:rsidR="009610B9" w:rsidRDefault="009610B9" w:rsidP="004E7315">
            <w:pPr>
              <w:pStyle w:val="Quote"/>
              <w:tabs>
                <w:tab w:val="left" w:pos="1134"/>
              </w:tabs>
              <w:rPr>
                <w:b w:val="0"/>
                <w:color w:val="B41F22" w:themeColor="accent1"/>
              </w:rPr>
            </w:pPr>
            <w:r>
              <w:rPr>
                <w:b w:val="0"/>
                <w:color w:val="B41F22" w:themeColor="accent1"/>
              </w:rPr>
              <w:t>Table 1.39.1:</w:t>
            </w:r>
          </w:p>
        </w:tc>
        <w:tc>
          <w:tcPr>
            <w:tcW w:w="6946" w:type="dxa"/>
            <w:tcMar>
              <w:left w:w="0" w:type="dxa"/>
              <w:right w:w="0" w:type="dxa"/>
            </w:tcMar>
          </w:tcPr>
          <w:p w:rsidR="009610B9" w:rsidRPr="00AD7189" w:rsidRDefault="009610B9" w:rsidP="004E7315">
            <w:pPr>
              <w:pStyle w:val="Quote"/>
              <w:tabs>
                <w:tab w:val="left" w:pos="1134"/>
              </w:tabs>
              <w:rPr>
                <w:b w:val="0"/>
                <w:color w:val="B41F22" w:themeColor="accent1"/>
              </w:rPr>
            </w:pPr>
            <w:r w:rsidRPr="009C471F">
              <w:rPr>
                <w:b w:val="0"/>
                <w:color w:val="B41F22" w:themeColor="accent1"/>
              </w:rPr>
              <w:t>Government subsidised accredited training, Learn Local (ACE) providers, 2010 to 2015 (half year)</w:t>
            </w:r>
          </w:p>
        </w:tc>
      </w:tr>
    </w:tbl>
    <w:tbl>
      <w:tblPr>
        <w:tblW w:w="8095" w:type="dxa"/>
        <w:tblInd w:w="93" w:type="dxa"/>
        <w:tblLayout w:type="fixed"/>
        <w:tblLook w:val="04A0" w:firstRow="1" w:lastRow="0" w:firstColumn="1" w:lastColumn="0" w:noHBand="0" w:noVBand="1"/>
      </w:tblPr>
      <w:tblGrid>
        <w:gridCol w:w="1960"/>
        <w:gridCol w:w="1022"/>
        <w:gridCol w:w="1023"/>
        <w:gridCol w:w="1022"/>
        <w:gridCol w:w="1023"/>
        <w:gridCol w:w="1022"/>
        <w:gridCol w:w="1023"/>
      </w:tblGrid>
      <w:tr w:rsidR="009610B9" w:rsidRPr="004407F1" w:rsidTr="004E7315">
        <w:trPr>
          <w:trHeight w:val="300"/>
        </w:trPr>
        <w:tc>
          <w:tcPr>
            <w:tcW w:w="1960" w:type="dxa"/>
            <w:tcBorders>
              <w:top w:val="nil"/>
              <w:left w:val="nil"/>
              <w:bottom w:val="nil"/>
              <w:right w:val="nil"/>
            </w:tcBorders>
            <w:shd w:val="clear" w:color="000000" w:fill="7F7F7F"/>
            <w:noWrap/>
            <w:vAlign w:val="center"/>
            <w:hideMark/>
          </w:tcPr>
          <w:p w:rsidR="009610B9" w:rsidRPr="004407F1" w:rsidRDefault="009610B9" w:rsidP="004E7315">
            <w:pPr>
              <w:rPr>
                <w:rFonts w:cs="Arial"/>
                <w:color w:val="FFFFFF"/>
                <w:szCs w:val="18"/>
                <w:lang w:eastAsia="en-AU"/>
              </w:rPr>
            </w:pPr>
            <w:r w:rsidRPr="004407F1">
              <w:rPr>
                <w:rFonts w:cs="Arial"/>
                <w:color w:val="FFFFFF"/>
                <w:szCs w:val="18"/>
                <w:lang w:eastAsia="en-AU"/>
              </w:rPr>
              <w:t> </w:t>
            </w:r>
          </w:p>
        </w:tc>
        <w:tc>
          <w:tcPr>
            <w:tcW w:w="1022" w:type="dxa"/>
            <w:tcBorders>
              <w:top w:val="nil"/>
              <w:left w:val="nil"/>
              <w:bottom w:val="nil"/>
              <w:right w:val="nil"/>
            </w:tcBorders>
            <w:shd w:val="clear" w:color="000000" w:fill="7F7F7F"/>
            <w:noWrap/>
            <w:vAlign w:val="center"/>
            <w:hideMark/>
          </w:tcPr>
          <w:p w:rsidR="009610B9" w:rsidRPr="004407F1" w:rsidRDefault="009610B9" w:rsidP="004E7315">
            <w:pPr>
              <w:jc w:val="right"/>
              <w:rPr>
                <w:rFonts w:cs="Arial"/>
                <w:b/>
                <w:bCs/>
                <w:color w:val="FFFFFF"/>
                <w:szCs w:val="18"/>
                <w:lang w:eastAsia="en-AU"/>
              </w:rPr>
            </w:pPr>
            <w:r w:rsidRPr="004407F1">
              <w:rPr>
                <w:rFonts w:cs="Arial"/>
                <w:b/>
                <w:bCs/>
                <w:color w:val="FFFFFF"/>
                <w:szCs w:val="18"/>
                <w:lang w:eastAsia="en-AU"/>
              </w:rPr>
              <w:t>2010</w:t>
            </w:r>
          </w:p>
        </w:tc>
        <w:tc>
          <w:tcPr>
            <w:tcW w:w="1023" w:type="dxa"/>
            <w:tcBorders>
              <w:top w:val="nil"/>
              <w:left w:val="nil"/>
              <w:bottom w:val="nil"/>
              <w:right w:val="nil"/>
            </w:tcBorders>
            <w:shd w:val="clear" w:color="000000" w:fill="7F7F7F"/>
            <w:noWrap/>
            <w:vAlign w:val="center"/>
            <w:hideMark/>
          </w:tcPr>
          <w:p w:rsidR="009610B9" w:rsidRPr="004407F1" w:rsidRDefault="009610B9" w:rsidP="004E7315">
            <w:pPr>
              <w:jc w:val="right"/>
              <w:rPr>
                <w:rFonts w:cs="Arial"/>
                <w:b/>
                <w:bCs/>
                <w:color w:val="FFFFFF"/>
                <w:szCs w:val="18"/>
                <w:lang w:eastAsia="en-AU"/>
              </w:rPr>
            </w:pPr>
            <w:r w:rsidRPr="004407F1">
              <w:rPr>
                <w:rFonts w:cs="Arial"/>
                <w:b/>
                <w:bCs/>
                <w:color w:val="FFFFFF"/>
                <w:szCs w:val="18"/>
                <w:lang w:eastAsia="en-AU"/>
              </w:rPr>
              <w:t>2011</w:t>
            </w:r>
          </w:p>
        </w:tc>
        <w:tc>
          <w:tcPr>
            <w:tcW w:w="1022" w:type="dxa"/>
            <w:tcBorders>
              <w:top w:val="nil"/>
              <w:left w:val="nil"/>
              <w:bottom w:val="nil"/>
              <w:right w:val="nil"/>
            </w:tcBorders>
            <w:shd w:val="clear" w:color="000000" w:fill="7F7F7F"/>
            <w:noWrap/>
            <w:vAlign w:val="center"/>
            <w:hideMark/>
          </w:tcPr>
          <w:p w:rsidR="009610B9" w:rsidRPr="004407F1" w:rsidRDefault="009610B9" w:rsidP="004E7315">
            <w:pPr>
              <w:jc w:val="right"/>
              <w:rPr>
                <w:rFonts w:cs="Arial"/>
                <w:b/>
                <w:bCs/>
                <w:color w:val="FFFFFF"/>
                <w:szCs w:val="18"/>
                <w:lang w:eastAsia="en-AU"/>
              </w:rPr>
            </w:pPr>
            <w:r w:rsidRPr="004407F1">
              <w:rPr>
                <w:rFonts w:cs="Arial"/>
                <w:b/>
                <w:bCs/>
                <w:color w:val="FFFFFF"/>
                <w:szCs w:val="18"/>
                <w:lang w:eastAsia="en-AU"/>
              </w:rPr>
              <w:t>2012</w:t>
            </w:r>
          </w:p>
        </w:tc>
        <w:tc>
          <w:tcPr>
            <w:tcW w:w="1023" w:type="dxa"/>
            <w:tcBorders>
              <w:top w:val="nil"/>
              <w:left w:val="nil"/>
              <w:bottom w:val="nil"/>
              <w:right w:val="nil"/>
            </w:tcBorders>
            <w:shd w:val="clear" w:color="000000" w:fill="7F7F7F"/>
            <w:noWrap/>
            <w:vAlign w:val="center"/>
            <w:hideMark/>
          </w:tcPr>
          <w:p w:rsidR="009610B9" w:rsidRPr="004407F1" w:rsidRDefault="009610B9" w:rsidP="004E7315">
            <w:pPr>
              <w:jc w:val="right"/>
              <w:rPr>
                <w:rFonts w:cs="Arial"/>
                <w:b/>
                <w:bCs/>
                <w:color w:val="FFFFFF"/>
                <w:szCs w:val="18"/>
                <w:lang w:eastAsia="en-AU"/>
              </w:rPr>
            </w:pPr>
            <w:r w:rsidRPr="004407F1">
              <w:rPr>
                <w:rFonts w:cs="Arial"/>
                <w:b/>
                <w:bCs/>
                <w:color w:val="FFFFFF"/>
                <w:szCs w:val="18"/>
                <w:lang w:eastAsia="en-AU"/>
              </w:rPr>
              <w:t>2013</w:t>
            </w:r>
          </w:p>
        </w:tc>
        <w:tc>
          <w:tcPr>
            <w:tcW w:w="1022" w:type="dxa"/>
            <w:tcBorders>
              <w:top w:val="nil"/>
              <w:left w:val="nil"/>
              <w:bottom w:val="nil"/>
              <w:right w:val="nil"/>
            </w:tcBorders>
            <w:shd w:val="clear" w:color="000000" w:fill="7F7F7F"/>
            <w:noWrap/>
            <w:vAlign w:val="center"/>
            <w:hideMark/>
          </w:tcPr>
          <w:p w:rsidR="009610B9" w:rsidRPr="004407F1" w:rsidRDefault="009610B9" w:rsidP="004E7315">
            <w:pPr>
              <w:jc w:val="right"/>
              <w:rPr>
                <w:rFonts w:cs="Arial"/>
                <w:b/>
                <w:bCs/>
                <w:color w:val="FFFFFF"/>
                <w:szCs w:val="18"/>
                <w:lang w:eastAsia="en-AU"/>
              </w:rPr>
            </w:pPr>
            <w:r w:rsidRPr="004407F1">
              <w:rPr>
                <w:rFonts w:cs="Arial"/>
                <w:b/>
                <w:bCs/>
                <w:color w:val="FFFFFF"/>
                <w:szCs w:val="18"/>
                <w:lang w:eastAsia="en-AU"/>
              </w:rPr>
              <w:t>2014</w:t>
            </w:r>
          </w:p>
        </w:tc>
        <w:tc>
          <w:tcPr>
            <w:tcW w:w="1023" w:type="dxa"/>
            <w:tcBorders>
              <w:top w:val="nil"/>
              <w:left w:val="nil"/>
              <w:bottom w:val="nil"/>
              <w:right w:val="nil"/>
            </w:tcBorders>
            <w:shd w:val="clear" w:color="000000" w:fill="7F7F7F"/>
            <w:noWrap/>
            <w:vAlign w:val="center"/>
            <w:hideMark/>
          </w:tcPr>
          <w:p w:rsidR="009610B9" w:rsidRPr="004407F1" w:rsidRDefault="009610B9" w:rsidP="004E7315">
            <w:pPr>
              <w:jc w:val="right"/>
              <w:rPr>
                <w:rFonts w:cs="Arial"/>
                <w:b/>
                <w:bCs/>
                <w:color w:val="FFFFFF"/>
                <w:szCs w:val="18"/>
                <w:lang w:eastAsia="en-AU"/>
              </w:rPr>
            </w:pPr>
            <w:r w:rsidRPr="004407F1">
              <w:rPr>
                <w:rFonts w:cs="Arial"/>
                <w:b/>
                <w:bCs/>
                <w:color w:val="FFFFFF"/>
                <w:szCs w:val="18"/>
                <w:lang w:eastAsia="en-AU"/>
              </w:rPr>
              <w:t>2015</w:t>
            </w:r>
          </w:p>
        </w:tc>
      </w:tr>
      <w:tr w:rsidR="009610B9" w:rsidRPr="004407F1" w:rsidTr="004E7315">
        <w:trPr>
          <w:trHeight w:val="300"/>
        </w:trPr>
        <w:tc>
          <w:tcPr>
            <w:tcW w:w="1960" w:type="dxa"/>
            <w:tcBorders>
              <w:top w:val="nil"/>
              <w:left w:val="nil"/>
              <w:bottom w:val="nil"/>
              <w:right w:val="nil"/>
            </w:tcBorders>
            <w:shd w:val="clear" w:color="auto" w:fill="auto"/>
            <w:noWrap/>
            <w:vAlign w:val="center"/>
            <w:hideMark/>
          </w:tcPr>
          <w:p w:rsidR="009610B9" w:rsidRPr="004407F1" w:rsidRDefault="009610B9" w:rsidP="004E7315">
            <w:pPr>
              <w:rPr>
                <w:rFonts w:cs="Arial"/>
                <w:color w:val="7F7F7F"/>
                <w:szCs w:val="18"/>
                <w:lang w:eastAsia="en-AU"/>
              </w:rPr>
            </w:pPr>
            <w:r w:rsidRPr="004407F1">
              <w:rPr>
                <w:rFonts w:cs="Arial"/>
                <w:color w:val="7F7F7F"/>
                <w:szCs w:val="18"/>
                <w:lang w:eastAsia="en-AU"/>
              </w:rPr>
              <w:t>Students</w:t>
            </w:r>
          </w:p>
        </w:tc>
        <w:tc>
          <w:tcPr>
            <w:tcW w:w="1022" w:type="dxa"/>
            <w:tcBorders>
              <w:top w:val="nil"/>
              <w:left w:val="nil"/>
              <w:bottom w:val="nil"/>
              <w:right w:val="nil"/>
            </w:tcBorders>
            <w:shd w:val="clear" w:color="auto" w:fill="auto"/>
            <w:noWrap/>
            <w:vAlign w:val="center"/>
            <w:hideMark/>
          </w:tcPr>
          <w:p w:rsidR="009610B9" w:rsidRPr="004407F1" w:rsidRDefault="009610B9" w:rsidP="004E7315">
            <w:pPr>
              <w:jc w:val="right"/>
              <w:rPr>
                <w:rFonts w:cs="Arial"/>
                <w:color w:val="7F7F7F"/>
                <w:szCs w:val="18"/>
                <w:lang w:eastAsia="en-AU"/>
              </w:rPr>
            </w:pPr>
            <w:r w:rsidRPr="004407F1">
              <w:rPr>
                <w:rFonts w:cs="Arial"/>
                <w:color w:val="7F7F7F"/>
                <w:szCs w:val="18"/>
                <w:lang w:eastAsia="en-AU"/>
              </w:rPr>
              <w:t>19,927</w:t>
            </w:r>
          </w:p>
        </w:tc>
        <w:tc>
          <w:tcPr>
            <w:tcW w:w="1023" w:type="dxa"/>
            <w:tcBorders>
              <w:top w:val="nil"/>
              <w:left w:val="nil"/>
              <w:bottom w:val="nil"/>
              <w:right w:val="nil"/>
            </w:tcBorders>
            <w:shd w:val="clear" w:color="auto" w:fill="auto"/>
            <w:noWrap/>
            <w:vAlign w:val="center"/>
            <w:hideMark/>
          </w:tcPr>
          <w:p w:rsidR="009610B9" w:rsidRPr="004407F1" w:rsidRDefault="009610B9" w:rsidP="004E7315">
            <w:pPr>
              <w:jc w:val="right"/>
              <w:rPr>
                <w:rFonts w:cs="Arial"/>
                <w:color w:val="7F7F7F"/>
                <w:szCs w:val="18"/>
                <w:lang w:eastAsia="en-AU"/>
              </w:rPr>
            </w:pPr>
            <w:r w:rsidRPr="004407F1">
              <w:rPr>
                <w:rFonts w:cs="Arial"/>
                <w:color w:val="7F7F7F"/>
                <w:szCs w:val="18"/>
                <w:lang w:eastAsia="en-AU"/>
              </w:rPr>
              <w:t>18,164</w:t>
            </w:r>
          </w:p>
        </w:tc>
        <w:tc>
          <w:tcPr>
            <w:tcW w:w="1022" w:type="dxa"/>
            <w:tcBorders>
              <w:top w:val="nil"/>
              <w:left w:val="nil"/>
              <w:bottom w:val="nil"/>
              <w:right w:val="nil"/>
            </w:tcBorders>
            <w:shd w:val="clear" w:color="auto" w:fill="auto"/>
            <w:noWrap/>
            <w:vAlign w:val="center"/>
            <w:hideMark/>
          </w:tcPr>
          <w:p w:rsidR="009610B9" w:rsidRPr="004407F1" w:rsidRDefault="009610B9" w:rsidP="004E7315">
            <w:pPr>
              <w:jc w:val="right"/>
              <w:rPr>
                <w:rFonts w:cs="Arial"/>
                <w:color w:val="7F7F7F"/>
                <w:szCs w:val="18"/>
                <w:lang w:eastAsia="en-AU"/>
              </w:rPr>
            </w:pPr>
            <w:r w:rsidRPr="004407F1">
              <w:rPr>
                <w:rFonts w:cs="Arial"/>
                <w:color w:val="7F7F7F"/>
                <w:szCs w:val="18"/>
                <w:lang w:eastAsia="en-AU"/>
              </w:rPr>
              <w:t>25,189</w:t>
            </w:r>
          </w:p>
        </w:tc>
        <w:tc>
          <w:tcPr>
            <w:tcW w:w="1023" w:type="dxa"/>
            <w:tcBorders>
              <w:top w:val="nil"/>
              <w:left w:val="nil"/>
              <w:bottom w:val="nil"/>
              <w:right w:val="nil"/>
            </w:tcBorders>
            <w:shd w:val="clear" w:color="auto" w:fill="auto"/>
            <w:noWrap/>
            <w:vAlign w:val="center"/>
            <w:hideMark/>
          </w:tcPr>
          <w:p w:rsidR="009610B9" w:rsidRPr="004407F1" w:rsidRDefault="009610B9" w:rsidP="004E7315">
            <w:pPr>
              <w:jc w:val="right"/>
              <w:rPr>
                <w:rFonts w:cs="Arial"/>
                <w:color w:val="7F7F7F"/>
                <w:szCs w:val="18"/>
                <w:lang w:eastAsia="en-AU"/>
              </w:rPr>
            </w:pPr>
            <w:r w:rsidRPr="004407F1">
              <w:rPr>
                <w:rFonts w:cs="Arial"/>
                <w:color w:val="7F7F7F"/>
                <w:szCs w:val="18"/>
                <w:lang w:eastAsia="en-AU"/>
              </w:rPr>
              <w:t>20,500</w:t>
            </w:r>
          </w:p>
        </w:tc>
        <w:tc>
          <w:tcPr>
            <w:tcW w:w="1022" w:type="dxa"/>
            <w:tcBorders>
              <w:top w:val="nil"/>
              <w:left w:val="nil"/>
              <w:bottom w:val="nil"/>
              <w:right w:val="nil"/>
            </w:tcBorders>
            <w:shd w:val="clear" w:color="auto" w:fill="auto"/>
            <w:noWrap/>
            <w:vAlign w:val="center"/>
            <w:hideMark/>
          </w:tcPr>
          <w:p w:rsidR="009610B9" w:rsidRPr="004407F1" w:rsidRDefault="009610B9" w:rsidP="004E7315">
            <w:pPr>
              <w:jc w:val="right"/>
              <w:rPr>
                <w:rFonts w:cs="Arial"/>
                <w:color w:val="7F7F7F"/>
                <w:szCs w:val="18"/>
                <w:lang w:eastAsia="en-AU"/>
              </w:rPr>
            </w:pPr>
            <w:r w:rsidRPr="004407F1">
              <w:rPr>
                <w:rFonts w:cs="Arial"/>
                <w:color w:val="7F7F7F"/>
                <w:szCs w:val="18"/>
                <w:lang w:eastAsia="en-AU"/>
              </w:rPr>
              <w:t>18,234</w:t>
            </w:r>
          </w:p>
        </w:tc>
        <w:tc>
          <w:tcPr>
            <w:tcW w:w="1023" w:type="dxa"/>
            <w:tcBorders>
              <w:top w:val="nil"/>
              <w:left w:val="nil"/>
              <w:bottom w:val="nil"/>
              <w:right w:val="nil"/>
            </w:tcBorders>
            <w:shd w:val="clear" w:color="auto" w:fill="auto"/>
            <w:noWrap/>
            <w:vAlign w:val="center"/>
            <w:hideMark/>
          </w:tcPr>
          <w:p w:rsidR="009610B9" w:rsidRPr="004407F1" w:rsidRDefault="009610B9" w:rsidP="004E7315">
            <w:pPr>
              <w:jc w:val="right"/>
              <w:rPr>
                <w:rFonts w:cs="Arial"/>
                <w:color w:val="7F7F7F"/>
                <w:szCs w:val="18"/>
                <w:lang w:eastAsia="en-AU"/>
              </w:rPr>
            </w:pPr>
            <w:r w:rsidRPr="004407F1">
              <w:rPr>
                <w:rFonts w:cs="Arial"/>
                <w:color w:val="7F7F7F"/>
                <w:szCs w:val="18"/>
                <w:lang w:eastAsia="en-AU"/>
              </w:rPr>
              <w:t>17,129</w:t>
            </w:r>
          </w:p>
        </w:tc>
      </w:tr>
      <w:tr w:rsidR="009610B9" w:rsidRPr="004407F1" w:rsidTr="004E7315">
        <w:trPr>
          <w:trHeight w:val="315"/>
        </w:trPr>
        <w:tc>
          <w:tcPr>
            <w:tcW w:w="1960" w:type="dxa"/>
            <w:tcBorders>
              <w:top w:val="nil"/>
              <w:left w:val="nil"/>
              <w:bottom w:val="single" w:sz="12" w:space="0" w:color="7F7F7F"/>
              <w:right w:val="nil"/>
            </w:tcBorders>
            <w:shd w:val="clear" w:color="auto" w:fill="auto"/>
            <w:noWrap/>
            <w:vAlign w:val="center"/>
            <w:hideMark/>
          </w:tcPr>
          <w:p w:rsidR="009610B9" w:rsidRPr="004407F1" w:rsidRDefault="009610B9" w:rsidP="004E7315">
            <w:pPr>
              <w:rPr>
                <w:rFonts w:cs="Arial"/>
                <w:color w:val="7F7F7F"/>
                <w:szCs w:val="18"/>
                <w:lang w:eastAsia="en-AU"/>
              </w:rPr>
            </w:pPr>
            <w:r w:rsidRPr="004407F1">
              <w:rPr>
                <w:rFonts w:cs="Arial"/>
                <w:color w:val="7F7F7F"/>
                <w:szCs w:val="18"/>
                <w:lang w:eastAsia="en-AU"/>
              </w:rPr>
              <w:t>Course Enrolments</w:t>
            </w:r>
          </w:p>
        </w:tc>
        <w:tc>
          <w:tcPr>
            <w:tcW w:w="1022" w:type="dxa"/>
            <w:tcBorders>
              <w:top w:val="nil"/>
              <w:left w:val="nil"/>
              <w:bottom w:val="single" w:sz="12" w:space="0" w:color="7F7F7F"/>
              <w:right w:val="nil"/>
            </w:tcBorders>
            <w:shd w:val="clear" w:color="auto" w:fill="auto"/>
            <w:noWrap/>
            <w:vAlign w:val="center"/>
            <w:hideMark/>
          </w:tcPr>
          <w:p w:rsidR="009610B9" w:rsidRPr="004407F1" w:rsidRDefault="009610B9" w:rsidP="004E7315">
            <w:pPr>
              <w:jc w:val="right"/>
              <w:rPr>
                <w:rFonts w:cs="Arial"/>
                <w:color w:val="7F7F7F"/>
                <w:szCs w:val="18"/>
                <w:lang w:eastAsia="en-AU"/>
              </w:rPr>
            </w:pPr>
            <w:r w:rsidRPr="004407F1">
              <w:rPr>
                <w:rFonts w:cs="Arial"/>
                <w:color w:val="7F7F7F"/>
                <w:szCs w:val="18"/>
                <w:lang w:eastAsia="en-AU"/>
              </w:rPr>
              <w:t>24,656</w:t>
            </w:r>
          </w:p>
        </w:tc>
        <w:tc>
          <w:tcPr>
            <w:tcW w:w="1023" w:type="dxa"/>
            <w:tcBorders>
              <w:top w:val="nil"/>
              <w:left w:val="nil"/>
              <w:bottom w:val="single" w:sz="12" w:space="0" w:color="7F7F7F"/>
              <w:right w:val="nil"/>
            </w:tcBorders>
            <w:shd w:val="clear" w:color="auto" w:fill="auto"/>
            <w:noWrap/>
            <w:vAlign w:val="center"/>
            <w:hideMark/>
          </w:tcPr>
          <w:p w:rsidR="009610B9" w:rsidRPr="004407F1" w:rsidRDefault="009610B9" w:rsidP="004E7315">
            <w:pPr>
              <w:jc w:val="right"/>
              <w:rPr>
                <w:rFonts w:cs="Arial"/>
                <w:color w:val="7F7F7F"/>
                <w:szCs w:val="18"/>
                <w:lang w:eastAsia="en-AU"/>
              </w:rPr>
            </w:pPr>
            <w:r w:rsidRPr="004407F1">
              <w:rPr>
                <w:rFonts w:cs="Arial"/>
                <w:color w:val="7F7F7F"/>
                <w:szCs w:val="18"/>
                <w:lang w:eastAsia="en-AU"/>
              </w:rPr>
              <w:t>21,491</w:t>
            </w:r>
          </w:p>
        </w:tc>
        <w:tc>
          <w:tcPr>
            <w:tcW w:w="1022" w:type="dxa"/>
            <w:tcBorders>
              <w:top w:val="nil"/>
              <w:left w:val="nil"/>
              <w:bottom w:val="single" w:sz="12" w:space="0" w:color="7F7F7F"/>
              <w:right w:val="nil"/>
            </w:tcBorders>
            <w:shd w:val="clear" w:color="auto" w:fill="auto"/>
            <w:noWrap/>
            <w:vAlign w:val="center"/>
            <w:hideMark/>
          </w:tcPr>
          <w:p w:rsidR="009610B9" w:rsidRPr="004407F1" w:rsidRDefault="009610B9" w:rsidP="004E7315">
            <w:pPr>
              <w:jc w:val="right"/>
              <w:rPr>
                <w:rFonts w:cs="Arial"/>
                <w:color w:val="7F7F7F"/>
                <w:szCs w:val="18"/>
                <w:lang w:eastAsia="en-AU"/>
              </w:rPr>
            </w:pPr>
            <w:r w:rsidRPr="004407F1">
              <w:rPr>
                <w:rFonts w:cs="Arial"/>
                <w:color w:val="7F7F7F"/>
                <w:szCs w:val="18"/>
                <w:lang w:eastAsia="en-AU"/>
              </w:rPr>
              <w:t>31,510</w:t>
            </w:r>
          </w:p>
        </w:tc>
        <w:tc>
          <w:tcPr>
            <w:tcW w:w="1023" w:type="dxa"/>
            <w:tcBorders>
              <w:top w:val="nil"/>
              <w:left w:val="nil"/>
              <w:bottom w:val="single" w:sz="12" w:space="0" w:color="7F7F7F"/>
              <w:right w:val="nil"/>
            </w:tcBorders>
            <w:shd w:val="clear" w:color="auto" w:fill="auto"/>
            <w:noWrap/>
            <w:vAlign w:val="center"/>
            <w:hideMark/>
          </w:tcPr>
          <w:p w:rsidR="009610B9" w:rsidRPr="004407F1" w:rsidRDefault="009610B9" w:rsidP="004E7315">
            <w:pPr>
              <w:jc w:val="right"/>
              <w:rPr>
                <w:rFonts w:cs="Arial"/>
                <w:color w:val="7F7F7F"/>
                <w:szCs w:val="18"/>
                <w:lang w:eastAsia="en-AU"/>
              </w:rPr>
            </w:pPr>
            <w:r w:rsidRPr="004407F1">
              <w:rPr>
                <w:rFonts w:cs="Arial"/>
                <w:color w:val="7F7F7F"/>
                <w:szCs w:val="18"/>
                <w:lang w:eastAsia="en-AU"/>
              </w:rPr>
              <w:t>24,893</w:t>
            </w:r>
          </w:p>
        </w:tc>
        <w:tc>
          <w:tcPr>
            <w:tcW w:w="1022" w:type="dxa"/>
            <w:tcBorders>
              <w:top w:val="nil"/>
              <w:left w:val="nil"/>
              <w:bottom w:val="single" w:sz="12" w:space="0" w:color="7F7F7F"/>
              <w:right w:val="nil"/>
            </w:tcBorders>
            <w:shd w:val="clear" w:color="auto" w:fill="auto"/>
            <w:noWrap/>
            <w:vAlign w:val="center"/>
            <w:hideMark/>
          </w:tcPr>
          <w:p w:rsidR="009610B9" w:rsidRPr="004407F1" w:rsidRDefault="009610B9" w:rsidP="004E7315">
            <w:pPr>
              <w:jc w:val="right"/>
              <w:rPr>
                <w:rFonts w:cs="Arial"/>
                <w:color w:val="7F7F7F"/>
                <w:szCs w:val="18"/>
                <w:lang w:eastAsia="en-AU"/>
              </w:rPr>
            </w:pPr>
            <w:r w:rsidRPr="004407F1">
              <w:rPr>
                <w:rFonts w:cs="Arial"/>
                <w:color w:val="7F7F7F"/>
                <w:szCs w:val="18"/>
                <w:lang w:eastAsia="en-AU"/>
              </w:rPr>
              <w:t>21,051</w:t>
            </w:r>
          </w:p>
        </w:tc>
        <w:tc>
          <w:tcPr>
            <w:tcW w:w="1023" w:type="dxa"/>
            <w:tcBorders>
              <w:top w:val="nil"/>
              <w:left w:val="nil"/>
              <w:bottom w:val="single" w:sz="12" w:space="0" w:color="7F7F7F"/>
              <w:right w:val="nil"/>
            </w:tcBorders>
            <w:shd w:val="clear" w:color="auto" w:fill="auto"/>
            <w:noWrap/>
            <w:vAlign w:val="center"/>
            <w:hideMark/>
          </w:tcPr>
          <w:p w:rsidR="009610B9" w:rsidRPr="004407F1" w:rsidRDefault="009610B9" w:rsidP="004E7315">
            <w:pPr>
              <w:jc w:val="right"/>
              <w:rPr>
                <w:rFonts w:cs="Arial"/>
                <w:color w:val="7F7F7F"/>
                <w:szCs w:val="18"/>
                <w:lang w:eastAsia="en-AU"/>
              </w:rPr>
            </w:pPr>
            <w:r w:rsidRPr="004407F1">
              <w:rPr>
                <w:rFonts w:cs="Arial"/>
                <w:color w:val="7F7F7F"/>
                <w:szCs w:val="18"/>
                <w:lang w:eastAsia="en-AU"/>
              </w:rPr>
              <w:t>19,155</w:t>
            </w:r>
          </w:p>
        </w:tc>
      </w:tr>
    </w:tbl>
    <w:p w:rsidR="009610B9" w:rsidRDefault="009610B9" w:rsidP="009610B9">
      <w:pPr>
        <w:rPr>
          <w:rFonts w:cs="Arial"/>
          <w:bCs/>
          <w:color w:val="7F7F7F" w:themeColor="text2"/>
          <w:kern w:val="32"/>
          <w:szCs w:val="18"/>
        </w:rPr>
      </w:pPr>
    </w:p>
    <w:p w:rsidR="009610B9" w:rsidRDefault="009610B9" w:rsidP="009610B9">
      <w:pPr>
        <w:rPr>
          <w:rFonts w:cs="Arial"/>
          <w:bCs/>
          <w:color w:val="7F7F7F" w:themeColor="text2"/>
          <w:kern w:val="32"/>
          <w:szCs w:val="18"/>
        </w:rPr>
      </w:pP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9610B9" w:rsidTr="004E7315">
        <w:tc>
          <w:tcPr>
            <w:tcW w:w="1134" w:type="dxa"/>
            <w:tcMar>
              <w:left w:w="0" w:type="dxa"/>
              <w:right w:w="0" w:type="dxa"/>
            </w:tcMar>
          </w:tcPr>
          <w:p w:rsidR="009610B9" w:rsidRDefault="009610B9" w:rsidP="004E7315">
            <w:pPr>
              <w:pStyle w:val="Quote"/>
              <w:tabs>
                <w:tab w:val="left" w:pos="1134"/>
              </w:tabs>
              <w:rPr>
                <w:b w:val="0"/>
                <w:color w:val="B41F22" w:themeColor="accent1"/>
              </w:rPr>
            </w:pPr>
            <w:r>
              <w:rPr>
                <w:b w:val="0"/>
                <w:color w:val="B41F22" w:themeColor="accent1"/>
              </w:rPr>
              <w:t>Table 1.39.2:</w:t>
            </w:r>
          </w:p>
        </w:tc>
        <w:tc>
          <w:tcPr>
            <w:tcW w:w="6946" w:type="dxa"/>
            <w:tcMar>
              <w:left w:w="0" w:type="dxa"/>
              <w:right w:w="0" w:type="dxa"/>
            </w:tcMar>
          </w:tcPr>
          <w:p w:rsidR="009610B9" w:rsidRPr="00AD7189" w:rsidRDefault="009610B9" w:rsidP="004E7315">
            <w:pPr>
              <w:pStyle w:val="Quote"/>
              <w:tabs>
                <w:tab w:val="left" w:pos="1134"/>
              </w:tabs>
              <w:rPr>
                <w:b w:val="0"/>
                <w:color w:val="B41F22" w:themeColor="accent1"/>
              </w:rPr>
            </w:pPr>
            <w:r w:rsidRPr="009C471F">
              <w:rPr>
                <w:b w:val="0"/>
                <w:color w:val="B41F22" w:themeColor="accent1"/>
              </w:rPr>
              <w:t xml:space="preserve">Government subsidised accredited training, Learn Local (ACE) providers, change in </w:t>
            </w:r>
            <w:r>
              <w:rPr>
                <w:b w:val="0"/>
                <w:color w:val="B41F22" w:themeColor="accent1"/>
              </w:rPr>
              <w:t xml:space="preserve">number of students and </w:t>
            </w:r>
            <w:r w:rsidRPr="009C471F">
              <w:rPr>
                <w:b w:val="0"/>
                <w:color w:val="B41F22" w:themeColor="accent1"/>
              </w:rPr>
              <w:t>course enrolments (half year)</w:t>
            </w:r>
          </w:p>
        </w:tc>
      </w:tr>
    </w:tbl>
    <w:tbl>
      <w:tblPr>
        <w:tblW w:w="8095" w:type="dxa"/>
        <w:tblInd w:w="93" w:type="dxa"/>
        <w:tblLayout w:type="fixed"/>
        <w:tblLook w:val="04A0" w:firstRow="1" w:lastRow="0" w:firstColumn="1" w:lastColumn="0" w:noHBand="0" w:noVBand="1"/>
      </w:tblPr>
      <w:tblGrid>
        <w:gridCol w:w="1960"/>
        <w:gridCol w:w="1227"/>
        <w:gridCol w:w="1227"/>
        <w:gridCol w:w="1227"/>
        <w:gridCol w:w="1227"/>
        <w:gridCol w:w="1227"/>
      </w:tblGrid>
      <w:tr w:rsidR="009610B9" w:rsidRPr="004407F1" w:rsidTr="004E7315">
        <w:trPr>
          <w:trHeight w:val="720"/>
        </w:trPr>
        <w:tc>
          <w:tcPr>
            <w:tcW w:w="1960" w:type="dxa"/>
            <w:tcBorders>
              <w:top w:val="nil"/>
              <w:left w:val="nil"/>
              <w:bottom w:val="nil"/>
              <w:right w:val="nil"/>
            </w:tcBorders>
            <w:shd w:val="clear" w:color="000000" w:fill="7F7F7F"/>
            <w:noWrap/>
            <w:vAlign w:val="center"/>
            <w:hideMark/>
          </w:tcPr>
          <w:p w:rsidR="009610B9" w:rsidRPr="004407F1" w:rsidRDefault="009610B9" w:rsidP="004E7315">
            <w:pPr>
              <w:rPr>
                <w:rFonts w:cs="Arial"/>
                <w:color w:val="FFFFFF"/>
                <w:szCs w:val="18"/>
                <w:lang w:eastAsia="en-AU"/>
              </w:rPr>
            </w:pPr>
            <w:r w:rsidRPr="004407F1">
              <w:rPr>
                <w:rFonts w:cs="Arial"/>
                <w:color w:val="FFFFFF"/>
                <w:szCs w:val="18"/>
                <w:lang w:eastAsia="en-AU"/>
              </w:rPr>
              <w:t> </w:t>
            </w:r>
          </w:p>
        </w:tc>
        <w:tc>
          <w:tcPr>
            <w:tcW w:w="1227" w:type="dxa"/>
            <w:tcBorders>
              <w:top w:val="nil"/>
              <w:left w:val="nil"/>
              <w:bottom w:val="nil"/>
              <w:right w:val="nil"/>
            </w:tcBorders>
            <w:shd w:val="clear" w:color="000000" w:fill="7F7F7F"/>
            <w:vAlign w:val="center"/>
            <w:hideMark/>
          </w:tcPr>
          <w:p w:rsidR="009610B9" w:rsidRPr="004407F1" w:rsidRDefault="009610B9" w:rsidP="004E7315">
            <w:pPr>
              <w:jc w:val="right"/>
              <w:rPr>
                <w:rFonts w:cs="Arial"/>
                <w:b/>
                <w:bCs/>
                <w:color w:val="FFFFFF"/>
                <w:szCs w:val="18"/>
                <w:lang w:eastAsia="en-AU"/>
              </w:rPr>
            </w:pPr>
            <w:r w:rsidRPr="004407F1">
              <w:rPr>
                <w:rFonts w:cs="Arial"/>
                <w:b/>
                <w:bCs/>
                <w:color w:val="FFFFFF"/>
                <w:szCs w:val="18"/>
                <w:lang w:eastAsia="en-AU"/>
              </w:rPr>
              <w:t>% change 2010 to 2015</w:t>
            </w:r>
          </w:p>
        </w:tc>
        <w:tc>
          <w:tcPr>
            <w:tcW w:w="1227" w:type="dxa"/>
            <w:tcBorders>
              <w:top w:val="nil"/>
              <w:left w:val="nil"/>
              <w:bottom w:val="nil"/>
              <w:right w:val="nil"/>
            </w:tcBorders>
            <w:shd w:val="clear" w:color="000000" w:fill="7F7F7F"/>
            <w:vAlign w:val="center"/>
            <w:hideMark/>
          </w:tcPr>
          <w:p w:rsidR="009610B9" w:rsidRPr="004407F1" w:rsidRDefault="009610B9" w:rsidP="004E7315">
            <w:pPr>
              <w:jc w:val="right"/>
              <w:rPr>
                <w:rFonts w:cs="Arial"/>
                <w:b/>
                <w:bCs/>
                <w:color w:val="FFFFFF"/>
                <w:szCs w:val="18"/>
                <w:lang w:eastAsia="en-AU"/>
              </w:rPr>
            </w:pPr>
            <w:r w:rsidRPr="004407F1">
              <w:rPr>
                <w:rFonts w:cs="Arial"/>
                <w:b/>
                <w:bCs/>
                <w:color w:val="FFFFFF"/>
                <w:szCs w:val="18"/>
                <w:lang w:eastAsia="en-AU"/>
              </w:rPr>
              <w:t>% change 2011 to 2015</w:t>
            </w:r>
          </w:p>
        </w:tc>
        <w:tc>
          <w:tcPr>
            <w:tcW w:w="1227" w:type="dxa"/>
            <w:tcBorders>
              <w:top w:val="nil"/>
              <w:left w:val="nil"/>
              <w:bottom w:val="nil"/>
              <w:right w:val="nil"/>
            </w:tcBorders>
            <w:shd w:val="clear" w:color="000000" w:fill="7F7F7F"/>
            <w:vAlign w:val="center"/>
            <w:hideMark/>
          </w:tcPr>
          <w:p w:rsidR="009610B9" w:rsidRPr="004407F1" w:rsidRDefault="009610B9" w:rsidP="004E7315">
            <w:pPr>
              <w:jc w:val="right"/>
              <w:rPr>
                <w:rFonts w:cs="Arial"/>
                <w:b/>
                <w:bCs/>
                <w:color w:val="FFFFFF"/>
                <w:szCs w:val="18"/>
                <w:lang w:eastAsia="en-AU"/>
              </w:rPr>
            </w:pPr>
            <w:r w:rsidRPr="004407F1">
              <w:rPr>
                <w:rFonts w:cs="Arial"/>
                <w:b/>
                <w:bCs/>
                <w:color w:val="FFFFFF"/>
                <w:szCs w:val="18"/>
                <w:lang w:eastAsia="en-AU"/>
              </w:rPr>
              <w:t>% change 2012 to 2015</w:t>
            </w:r>
          </w:p>
        </w:tc>
        <w:tc>
          <w:tcPr>
            <w:tcW w:w="1227" w:type="dxa"/>
            <w:tcBorders>
              <w:top w:val="nil"/>
              <w:left w:val="nil"/>
              <w:bottom w:val="nil"/>
              <w:right w:val="nil"/>
            </w:tcBorders>
            <w:shd w:val="clear" w:color="000000" w:fill="7F7F7F"/>
            <w:vAlign w:val="center"/>
            <w:hideMark/>
          </w:tcPr>
          <w:p w:rsidR="009610B9" w:rsidRPr="004407F1" w:rsidRDefault="009610B9" w:rsidP="004E7315">
            <w:pPr>
              <w:jc w:val="right"/>
              <w:rPr>
                <w:rFonts w:cs="Arial"/>
                <w:b/>
                <w:bCs/>
                <w:color w:val="FFFFFF"/>
                <w:szCs w:val="18"/>
                <w:lang w:eastAsia="en-AU"/>
              </w:rPr>
            </w:pPr>
            <w:r w:rsidRPr="004407F1">
              <w:rPr>
                <w:rFonts w:cs="Arial"/>
                <w:b/>
                <w:bCs/>
                <w:color w:val="FFFFFF"/>
                <w:szCs w:val="18"/>
                <w:lang w:eastAsia="en-AU"/>
              </w:rPr>
              <w:t>% change 2013 to 2015</w:t>
            </w:r>
          </w:p>
        </w:tc>
        <w:tc>
          <w:tcPr>
            <w:tcW w:w="1227" w:type="dxa"/>
            <w:tcBorders>
              <w:top w:val="nil"/>
              <w:left w:val="nil"/>
              <w:bottom w:val="nil"/>
              <w:right w:val="nil"/>
            </w:tcBorders>
            <w:shd w:val="clear" w:color="000000" w:fill="7F7F7F"/>
            <w:vAlign w:val="center"/>
            <w:hideMark/>
          </w:tcPr>
          <w:p w:rsidR="009610B9" w:rsidRPr="004407F1" w:rsidRDefault="009610B9" w:rsidP="004E7315">
            <w:pPr>
              <w:jc w:val="right"/>
              <w:rPr>
                <w:rFonts w:cs="Arial"/>
                <w:b/>
                <w:bCs/>
                <w:color w:val="FFFFFF"/>
                <w:szCs w:val="18"/>
                <w:lang w:eastAsia="en-AU"/>
              </w:rPr>
            </w:pPr>
            <w:r w:rsidRPr="004407F1">
              <w:rPr>
                <w:rFonts w:cs="Arial"/>
                <w:b/>
                <w:bCs/>
                <w:color w:val="FFFFFF"/>
                <w:szCs w:val="18"/>
                <w:lang w:eastAsia="en-AU"/>
              </w:rPr>
              <w:t>% change 2014 to 2015</w:t>
            </w:r>
          </w:p>
        </w:tc>
      </w:tr>
      <w:tr w:rsidR="009610B9" w:rsidRPr="004407F1" w:rsidTr="004E7315">
        <w:trPr>
          <w:trHeight w:val="300"/>
        </w:trPr>
        <w:tc>
          <w:tcPr>
            <w:tcW w:w="1960" w:type="dxa"/>
            <w:tcBorders>
              <w:top w:val="nil"/>
              <w:left w:val="nil"/>
              <w:bottom w:val="nil"/>
              <w:right w:val="nil"/>
            </w:tcBorders>
            <w:shd w:val="clear" w:color="auto" w:fill="auto"/>
            <w:noWrap/>
            <w:vAlign w:val="center"/>
            <w:hideMark/>
          </w:tcPr>
          <w:p w:rsidR="009610B9" w:rsidRPr="004407F1" w:rsidRDefault="009610B9" w:rsidP="004E7315">
            <w:pPr>
              <w:rPr>
                <w:rFonts w:cs="Arial"/>
                <w:color w:val="7F7F7F"/>
                <w:szCs w:val="18"/>
                <w:lang w:eastAsia="en-AU"/>
              </w:rPr>
            </w:pPr>
            <w:r w:rsidRPr="004407F1">
              <w:rPr>
                <w:rFonts w:cs="Arial"/>
                <w:color w:val="7F7F7F"/>
                <w:szCs w:val="18"/>
                <w:lang w:eastAsia="en-AU"/>
              </w:rPr>
              <w:t>Students</w:t>
            </w:r>
          </w:p>
        </w:tc>
        <w:tc>
          <w:tcPr>
            <w:tcW w:w="1227" w:type="dxa"/>
            <w:tcBorders>
              <w:top w:val="nil"/>
              <w:left w:val="nil"/>
              <w:bottom w:val="nil"/>
              <w:right w:val="nil"/>
            </w:tcBorders>
            <w:shd w:val="clear" w:color="auto" w:fill="auto"/>
            <w:noWrap/>
            <w:vAlign w:val="center"/>
            <w:hideMark/>
          </w:tcPr>
          <w:p w:rsidR="009610B9" w:rsidRPr="004407F1" w:rsidRDefault="009610B9" w:rsidP="004E7315">
            <w:pPr>
              <w:jc w:val="right"/>
              <w:rPr>
                <w:rFonts w:cs="Arial"/>
                <w:color w:val="7F7F7F"/>
                <w:szCs w:val="18"/>
                <w:lang w:eastAsia="en-AU"/>
              </w:rPr>
            </w:pPr>
            <w:r w:rsidRPr="004407F1">
              <w:rPr>
                <w:rFonts w:cs="Arial"/>
                <w:color w:val="7F7F7F"/>
                <w:szCs w:val="18"/>
                <w:lang w:eastAsia="en-AU"/>
              </w:rPr>
              <w:t>-14%</w:t>
            </w:r>
          </w:p>
        </w:tc>
        <w:tc>
          <w:tcPr>
            <w:tcW w:w="1227" w:type="dxa"/>
            <w:tcBorders>
              <w:top w:val="nil"/>
              <w:left w:val="nil"/>
              <w:bottom w:val="nil"/>
              <w:right w:val="nil"/>
            </w:tcBorders>
            <w:shd w:val="clear" w:color="auto" w:fill="auto"/>
            <w:noWrap/>
            <w:vAlign w:val="center"/>
            <w:hideMark/>
          </w:tcPr>
          <w:p w:rsidR="009610B9" w:rsidRPr="004407F1" w:rsidRDefault="009610B9" w:rsidP="004E7315">
            <w:pPr>
              <w:jc w:val="right"/>
              <w:rPr>
                <w:rFonts w:cs="Arial"/>
                <w:color w:val="7F7F7F"/>
                <w:szCs w:val="18"/>
                <w:lang w:eastAsia="en-AU"/>
              </w:rPr>
            </w:pPr>
            <w:r w:rsidRPr="004407F1">
              <w:rPr>
                <w:rFonts w:cs="Arial"/>
                <w:color w:val="7F7F7F"/>
                <w:szCs w:val="18"/>
                <w:lang w:eastAsia="en-AU"/>
              </w:rPr>
              <w:t>-6%</w:t>
            </w:r>
          </w:p>
        </w:tc>
        <w:tc>
          <w:tcPr>
            <w:tcW w:w="1227" w:type="dxa"/>
            <w:tcBorders>
              <w:top w:val="nil"/>
              <w:left w:val="nil"/>
              <w:bottom w:val="nil"/>
              <w:right w:val="nil"/>
            </w:tcBorders>
            <w:shd w:val="clear" w:color="auto" w:fill="auto"/>
            <w:noWrap/>
            <w:vAlign w:val="center"/>
            <w:hideMark/>
          </w:tcPr>
          <w:p w:rsidR="009610B9" w:rsidRPr="004407F1" w:rsidRDefault="009610B9" w:rsidP="004E7315">
            <w:pPr>
              <w:jc w:val="right"/>
              <w:rPr>
                <w:rFonts w:cs="Arial"/>
                <w:color w:val="7F7F7F"/>
                <w:szCs w:val="18"/>
                <w:lang w:eastAsia="en-AU"/>
              </w:rPr>
            </w:pPr>
            <w:r w:rsidRPr="004407F1">
              <w:rPr>
                <w:rFonts w:cs="Arial"/>
                <w:color w:val="7F7F7F"/>
                <w:szCs w:val="18"/>
                <w:lang w:eastAsia="en-AU"/>
              </w:rPr>
              <w:t>-32%</w:t>
            </w:r>
          </w:p>
        </w:tc>
        <w:tc>
          <w:tcPr>
            <w:tcW w:w="1227" w:type="dxa"/>
            <w:tcBorders>
              <w:top w:val="nil"/>
              <w:left w:val="nil"/>
              <w:bottom w:val="nil"/>
              <w:right w:val="nil"/>
            </w:tcBorders>
            <w:shd w:val="clear" w:color="auto" w:fill="auto"/>
            <w:noWrap/>
            <w:vAlign w:val="center"/>
            <w:hideMark/>
          </w:tcPr>
          <w:p w:rsidR="009610B9" w:rsidRPr="004407F1" w:rsidRDefault="009610B9" w:rsidP="004E7315">
            <w:pPr>
              <w:jc w:val="right"/>
              <w:rPr>
                <w:rFonts w:cs="Arial"/>
                <w:color w:val="7F7F7F"/>
                <w:szCs w:val="18"/>
                <w:lang w:eastAsia="en-AU"/>
              </w:rPr>
            </w:pPr>
            <w:r w:rsidRPr="004407F1">
              <w:rPr>
                <w:rFonts w:cs="Arial"/>
                <w:color w:val="7F7F7F"/>
                <w:szCs w:val="18"/>
                <w:lang w:eastAsia="en-AU"/>
              </w:rPr>
              <w:t>-16%</w:t>
            </w:r>
          </w:p>
        </w:tc>
        <w:tc>
          <w:tcPr>
            <w:tcW w:w="1227" w:type="dxa"/>
            <w:tcBorders>
              <w:top w:val="nil"/>
              <w:left w:val="nil"/>
              <w:bottom w:val="nil"/>
              <w:right w:val="nil"/>
            </w:tcBorders>
            <w:shd w:val="clear" w:color="auto" w:fill="auto"/>
            <w:noWrap/>
            <w:vAlign w:val="center"/>
            <w:hideMark/>
          </w:tcPr>
          <w:p w:rsidR="009610B9" w:rsidRPr="004407F1" w:rsidRDefault="009610B9" w:rsidP="004E7315">
            <w:pPr>
              <w:jc w:val="right"/>
              <w:rPr>
                <w:rFonts w:cs="Arial"/>
                <w:color w:val="7F7F7F"/>
                <w:szCs w:val="18"/>
                <w:lang w:eastAsia="en-AU"/>
              </w:rPr>
            </w:pPr>
            <w:r w:rsidRPr="004407F1">
              <w:rPr>
                <w:rFonts w:cs="Arial"/>
                <w:color w:val="7F7F7F"/>
                <w:szCs w:val="18"/>
                <w:lang w:eastAsia="en-AU"/>
              </w:rPr>
              <w:t>-6%</w:t>
            </w:r>
          </w:p>
        </w:tc>
      </w:tr>
      <w:tr w:rsidR="009610B9" w:rsidRPr="004407F1" w:rsidTr="004E7315">
        <w:trPr>
          <w:trHeight w:val="315"/>
        </w:trPr>
        <w:tc>
          <w:tcPr>
            <w:tcW w:w="1960" w:type="dxa"/>
            <w:tcBorders>
              <w:top w:val="nil"/>
              <w:left w:val="nil"/>
              <w:bottom w:val="single" w:sz="12" w:space="0" w:color="7F7F7F"/>
              <w:right w:val="nil"/>
            </w:tcBorders>
            <w:shd w:val="clear" w:color="auto" w:fill="auto"/>
            <w:noWrap/>
            <w:vAlign w:val="center"/>
            <w:hideMark/>
          </w:tcPr>
          <w:p w:rsidR="009610B9" w:rsidRPr="004407F1" w:rsidRDefault="009610B9" w:rsidP="004E7315">
            <w:pPr>
              <w:rPr>
                <w:rFonts w:cs="Arial"/>
                <w:color w:val="7F7F7F"/>
                <w:szCs w:val="18"/>
                <w:lang w:eastAsia="en-AU"/>
              </w:rPr>
            </w:pPr>
            <w:r w:rsidRPr="004407F1">
              <w:rPr>
                <w:rFonts w:cs="Arial"/>
                <w:color w:val="7F7F7F"/>
                <w:szCs w:val="18"/>
                <w:lang w:eastAsia="en-AU"/>
              </w:rPr>
              <w:t>Course Enrolments</w:t>
            </w:r>
          </w:p>
        </w:tc>
        <w:tc>
          <w:tcPr>
            <w:tcW w:w="1227" w:type="dxa"/>
            <w:tcBorders>
              <w:top w:val="nil"/>
              <w:left w:val="nil"/>
              <w:bottom w:val="single" w:sz="12" w:space="0" w:color="7F7F7F"/>
              <w:right w:val="nil"/>
            </w:tcBorders>
            <w:shd w:val="clear" w:color="auto" w:fill="auto"/>
            <w:noWrap/>
            <w:vAlign w:val="center"/>
            <w:hideMark/>
          </w:tcPr>
          <w:p w:rsidR="009610B9" w:rsidRPr="004407F1" w:rsidRDefault="009610B9" w:rsidP="004E7315">
            <w:pPr>
              <w:jc w:val="right"/>
              <w:rPr>
                <w:rFonts w:cs="Arial"/>
                <w:color w:val="7F7F7F"/>
                <w:szCs w:val="18"/>
                <w:lang w:eastAsia="en-AU"/>
              </w:rPr>
            </w:pPr>
            <w:r w:rsidRPr="004407F1">
              <w:rPr>
                <w:rFonts w:cs="Arial"/>
                <w:color w:val="7F7F7F"/>
                <w:szCs w:val="18"/>
                <w:lang w:eastAsia="en-AU"/>
              </w:rPr>
              <w:t>-22%</w:t>
            </w:r>
          </w:p>
        </w:tc>
        <w:tc>
          <w:tcPr>
            <w:tcW w:w="1227" w:type="dxa"/>
            <w:tcBorders>
              <w:top w:val="nil"/>
              <w:left w:val="nil"/>
              <w:bottom w:val="single" w:sz="12" w:space="0" w:color="7F7F7F"/>
              <w:right w:val="nil"/>
            </w:tcBorders>
            <w:shd w:val="clear" w:color="auto" w:fill="auto"/>
            <w:noWrap/>
            <w:vAlign w:val="center"/>
            <w:hideMark/>
          </w:tcPr>
          <w:p w:rsidR="009610B9" w:rsidRPr="004407F1" w:rsidRDefault="009610B9" w:rsidP="004E7315">
            <w:pPr>
              <w:jc w:val="right"/>
              <w:rPr>
                <w:rFonts w:cs="Arial"/>
                <w:color w:val="7F7F7F"/>
                <w:szCs w:val="18"/>
                <w:lang w:eastAsia="en-AU"/>
              </w:rPr>
            </w:pPr>
            <w:r w:rsidRPr="004407F1">
              <w:rPr>
                <w:rFonts w:cs="Arial"/>
                <w:color w:val="7F7F7F"/>
                <w:szCs w:val="18"/>
                <w:lang w:eastAsia="en-AU"/>
              </w:rPr>
              <w:t>-11%</w:t>
            </w:r>
          </w:p>
        </w:tc>
        <w:tc>
          <w:tcPr>
            <w:tcW w:w="1227" w:type="dxa"/>
            <w:tcBorders>
              <w:top w:val="nil"/>
              <w:left w:val="nil"/>
              <w:bottom w:val="single" w:sz="12" w:space="0" w:color="7F7F7F"/>
              <w:right w:val="nil"/>
            </w:tcBorders>
            <w:shd w:val="clear" w:color="auto" w:fill="auto"/>
            <w:noWrap/>
            <w:vAlign w:val="center"/>
            <w:hideMark/>
          </w:tcPr>
          <w:p w:rsidR="009610B9" w:rsidRPr="004407F1" w:rsidRDefault="009610B9" w:rsidP="004E7315">
            <w:pPr>
              <w:jc w:val="right"/>
              <w:rPr>
                <w:rFonts w:cs="Arial"/>
                <w:color w:val="7F7F7F"/>
                <w:szCs w:val="18"/>
                <w:lang w:eastAsia="en-AU"/>
              </w:rPr>
            </w:pPr>
            <w:r w:rsidRPr="004407F1">
              <w:rPr>
                <w:rFonts w:cs="Arial"/>
                <w:color w:val="7F7F7F"/>
                <w:szCs w:val="18"/>
                <w:lang w:eastAsia="en-AU"/>
              </w:rPr>
              <w:t>-39%</w:t>
            </w:r>
          </w:p>
        </w:tc>
        <w:tc>
          <w:tcPr>
            <w:tcW w:w="1227" w:type="dxa"/>
            <w:tcBorders>
              <w:top w:val="nil"/>
              <w:left w:val="nil"/>
              <w:bottom w:val="single" w:sz="12" w:space="0" w:color="7F7F7F"/>
              <w:right w:val="nil"/>
            </w:tcBorders>
            <w:shd w:val="clear" w:color="auto" w:fill="auto"/>
            <w:noWrap/>
            <w:vAlign w:val="center"/>
            <w:hideMark/>
          </w:tcPr>
          <w:p w:rsidR="009610B9" w:rsidRPr="004407F1" w:rsidRDefault="009610B9" w:rsidP="004E7315">
            <w:pPr>
              <w:jc w:val="right"/>
              <w:rPr>
                <w:rFonts w:cs="Arial"/>
                <w:color w:val="7F7F7F"/>
                <w:szCs w:val="18"/>
                <w:lang w:eastAsia="en-AU"/>
              </w:rPr>
            </w:pPr>
            <w:r w:rsidRPr="004407F1">
              <w:rPr>
                <w:rFonts w:cs="Arial"/>
                <w:color w:val="7F7F7F"/>
                <w:szCs w:val="18"/>
                <w:lang w:eastAsia="en-AU"/>
              </w:rPr>
              <w:t>-23%</w:t>
            </w:r>
          </w:p>
        </w:tc>
        <w:tc>
          <w:tcPr>
            <w:tcW w:w="1227" w:type="dxa"/>
            <w:tcBorders>
              <w:top w:val="nil"/>
              <w:left w:val="nil"/>
              <w:bottom w:val="single" w:sz="12" w:space="0" w:color="7F7F7F"/>
              <w:right w:val="nil"/>
            </w:tcBorders>
            <w:shd w:val="clear" w:color="auto" w:fill="auto"/>
            <w:noWrap/>
            <w:vAlign w:val="center"/>
            <w:hideMark/>
          </w:tcPr>
          <w:p w:rsidR="009610B9" w:rsidRPr="004407F1" w:rsidRDefault="009610B9" w:rsidP="004E7315">
            <w:pPr>
              <w:jc w:val="right"/>
              <w:rPr>
                <w:rFonts w:cs="Arial"/>
                <w:color w:val="7F7F7F"/>
                <w:szCs w:val="18"/>
                <w:lang w:eastAsia="en-AU"/>
              </w:rPr>
            </w:pPr>
            <w:r w:rsidRPr="004407F1">
              <w:rPr>
                <w:rFonts w:cs="Arial"/>
                <w:color w:val="7F7F7F"/>
                <w:szCs w:val="18"/>
                <w:lang w:eastAsia="en-AU"/>
              </w:rPr>
              <w:t>-9%</w:t>
            </w:r>
          </w:p>
        </w:tc>
      </w:tr>
    </w:tbl>
    <w:p w:rsidR="009610B9" w:rsidRDefault="009610B9" w:rsidP="009610B9">
      <w:pPr>
        <w:rPr>
          <w:rFonts w:cs="Arial"/>
          <w:bCs/>
          <w:color w:val="7F7F7F" w:themeColor="text2"/>
          <w:kern w:val="32"/>
          <w:szCs w:val="18"/>
        </w:rPr>
      </w:pPr>
    </w:p>
    <w:p w:rsidR="009610B9" w:rsidRDefault="009610B9" w:rsidP="009610B9">
      <w:pPr>
        <w:rPr>
          <w:rFonts w:cs="Arial"/>
          <w:bCs/>
          <w:color w:val="7F7F7F" w:themeColor="text2"/>
          <w:kern w:val="32"/>
          <w:szCs w:val="18"/>
        </w:rPr>
      </w:pPr>
    </w:p>
    <w:p w:rsidR="009610B9" w:rsidRDefault="009610B9" w:rsidP="009610B9">
      <w:r>
        <w:rPr>
          <w:b/>
        </w:rPr>
        <w:br w:type="page"/>
      </w: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9610B9" w:rsidRPr="009655A3" w:rsidTr="004E7315">
        <w:tc>
          <w:tcPr>
            <w:tcW w:w="1134" w:type="dxa"/>
            <w:tcMar>
              <w:left w:w="0" w:type="dxa"/>
              <w:right w:w="0" w:type="dxa"/>
            </w:tcMar>
          </w:tcPr>
          <w:p w:rsidR="009610B9" w:rsidRDefault="009610B9" w:rsidP="004E7315">
            <w:pPr>
              <w:pStyle w:val="Quote"/>
              <w:tabs>
                <w:tab w:val="left" w:pos="1134"/>
              </w:tabs>
              <w:rPr>
                <w:b w:val="0"/>
                <w:color w:val="B41F22" w:themeColor="accent1"/>
              </w:rPr>
            </w:pPr>
            <w:r>
              <w:rPr>
                <w:b w:val="0"/>
                <w:color w:val="B41F22" w:themeColor="accent1"/>
              </w:rPr>
              <w:lastRenderedPageBreak/>
              <w:t>Figure 1.10:</w:t>
            </w:r>
          </w:p>
        </w:tc>
        <w:tc>
          <w:tcPr>
            <w:tcW w:w="6946" w:type="dxa"/>
            <w:tcMar>
              <w:left w:w="0" w:type="dxa"/>
              <w:right w:w="0" w:type="dxa"/>
            </w:tcMar>
          </w:tcPr>
          <w:p w:rsidR="009610B9" w:rsidRPr="00AD7189" w:rsidRDefault="009610B9" w:rsidP="004E7315">
            <w:pPr>
              <w:pStyle w:val="Quote"/>
              <w:tabs>
                <w:tab w:val="left" w:pos="1134"/>
              </w:tabs>
              <w:rPr>
                <w:b w:val="0"/>
                <w:color w:val="B41F22" w:themeColor="accent1"/>
              </w:rPr>
            </w:pPr>
            <w:r w:rsidRPr="009C471F">
              <w:rPr>
                <w:b w:val="0"/>
                <w:color w:val="B41F22" w:themeColor="accent1"/>
              </w:rPr>
              <w:t>Students enrolled in government subsidised accredited training with Learn Local (ACE) providers by training delivery area, 2010 to 2015 (half year)</w:t>
            </w:r>
          </w:p>
        </w:tc>
      </w:tr>
    </w:tbl>
    <w:p w:rsidR="009610B9" w:rsidRDefault="009610B9" w:rsidP="009610B9">
      <w:pPr>
        <w:rPr>
          <w:rFonts w:cs="Arial"/>
          <w:bCs/>
          <w:color w:val="7F7F7F" w:themeColor="text2"/>
          <w:kern w:val="32"/>
          <w:szCs w:val="18"/>
        </w:rPr>
      </w:pPr>
      <w:r>
        <w:rPr>
          <w:rFonts w:cs="Arial"/>
          <w:bCs/>
          <w:noProof/>
          <w:color w:val="7F7F7F" w:themeColor="text2"/>
          <w:kern w:val="32"/>
          <w:szCs w:val="18"/>
          <w:lang w:eastAsia="en-AU"/>
        </w:rPr>
        <w:drawing>
          <wp:inline distT="0" distB="0" distL="0" distR="0" wp14:anchorId="1EC7A0D7" wp14:editId="6B721E76">
            <wp:extent cx="5220000" cy="374166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20000" cy="3741665"/>
                    </a:xfrm>
                    <a:prstGeom prst="rect">
                      <a:avLst/>
                    </a:prstGeom>
                    <a:noFill/>
                  </pic:spPr>
                </pic:pic>
              </a:graphicData>
            </a:graphic>
          </wp:inline>
        </w:drawing>
      </w:r>
    </w:p>
    <w:tbl>
      <w:tblPr>
        <w:tblW w:w="7093" w:type="dxa"/>
        <w:tblInd w:w="709" w:type="dxa"/>
        <w:tblLook w:val="04A0" w:firstRow="1" w:lastRow="0" w:firstColumn="1" w:lastColumn="0" w:noHBand="0" w:noVBand="1"/>
      </w:tblPr>
      <w:tblGrid>
        <w:gridCol w:w="510"/>
        <w:gridCol w:w="1624"/>
        <w:gridCol w:w="591"/>
        <w:gridCol w:w="1661"/>
        <w:gridCol w:w="660"/>
        <w:gridCol w:w="2095"/>
      </w:tblGrid>
      <w:tr w:rsidR="009610B9" w:rsidRPr="00B40104" w:rsidTr="004E7315">
        <w:trPr>
          <w:trHeight w:val="265"/>
        </w:trPr>
        <w:tc>
          <w:tcPr>
            <w:tcW w:w="502" w:type="dxa"/>
            <w:tcBorders>
              <w:top w:val="single" w:sz="4" w:space="0" w:color="7F7F7F"/>
              <w:left w:val="single" w:sz="4" w:space="0" w:color="7F7F7F"/>
              <w:bottom w:val="nil"/>
              <w:right w:val="nil"/>
            </w:tcBorders>
            <w:shd w:val="clear" w:color="000000" w:fill="FFFFFF"/>
            <w:noWrap/>
            <w:tcMar>
              <w:left w:w="0" w:type="dxa"/>
              <w:right w:w="0" w:type="dxa"/>
            </w:tcMar>
            <w:vAlign w:val="center"/>
            <w:hideMark/>
          </w:tcPr>
          <w:p w:rsidR="009610B9" w:rsidRPr="00B40104" w:rsidRDefault="009610B9" w:rsidP="004E7315">
            <w:pPr>
              <w:rPr>
                <w:rFonts w:cs="Arial"/>
                <w:color w:val="7F7F7F"/>
                <w:sz w:val="16"/>
                <w:szCs w:val="18"/>
                <w:lang w:eastAsia="en-AU"/>
              </w:rPr>
            </w:pPr>
            <w:r>
              <w:rPr>
                <w:rFonts w:cs="Arial"/>
                <w:color w:val="7F7F7F"/>
                <w:sz w:val="16"/>
                <w:szCs w:val="18"/>
                <w:lang w:eastAsia="en-AU"/>
              </w:rPr>
              <w:t xml:space="preserve"> </w:t>
            </w:r>
            <w:r w:rsidRPr="00B40104">
              <w:rPr>
                <w:rFonts w:cs="Arial"/>
                <w:color w:val="7F7F7F"/>
                <w:sz w:val="16"/>
                <w:szCs w:val="18"/>
                <w:lang w:eastAsia="en-AU"/>
              </w:rPr>
              <w:t>BSW</w:t>
            </w:r>
          </w:p>
        </w:tc>
        <w:tc>
          <w:tcPr>
            <w:tcW w:w="1616" w:type="dxa"/>
            <w:tcBorders>
              <w:top w:val="single" w:sz="4" w:space="0" w:color="7F7F7F"/>
              <w:left w:val="nil"/>
              <w:bottom w:val="nil"/>
              <w:right w:val="single" w:sz="4" w:space="0" w:color="7F7F7F"/>
            </w:tcBorders>
            <w:shd w:val="clear" w:color="000000" w:fill="FFFFFF"/>
            <w:noWrap/>
            <w:tcMar>
              <w:left w:w="0" w:type="dxa"/>
              <w:right w:w="0" w:type="dxa"/>
            </w:tcMar>
            <w:vAlign w:val="center"/>
            <w:hideMark/>
          </w:tcPr>
          <w:p w:rsidR="009610B9" w:rsidRPr="00B40104" w:rsidRDefault="009610B9" w:rsidP="004E7315">
            <w:pPr>
              <w:rPr>
                <w:rFonts w:cs="Arial"/>
                <w:color w:val="7F7F7F"/>
                <w:sz w:val="16"/>
                <w:szCs w:val="18"/>
                <w:lang w:eastAsia="en-AU"/>
              </w:rPr>
            </w:pPr>
            <w:r w:rsidRPr="00B40104">
              <w:rPr>
                <w:rFonts w:cs="Arial"/>
                <w:color w:val="7F7F7F"/>
                <w:sz w:val="16"/>
                <w:szCs w:val="18"/>
                <w:lang w:eastAsia="en-AU"/>
              </w:rPr>
              <w:t>Barwon South West</w:t>
            </w:r>
          </w:p>
        </w:tc>
        <w:tc>
          <w:tcPr>
            <w:tcW w:w="583" w:type="dxa"/>
            <w:tcBorders>
              <w:top w:val="single" w:sz="4" w:space="0" w:color="7F7F7F"/>
              <w:left w:val="nil"/>
              <w:bottom w:val="nil"/>
              <w:right w:val="nil"/>
            </w:tcBorders>
            <w:shd w:val="clear" w:color="000000" w:fill="FFFFFF"/>
            <w:noWrap/>
            <w:tcMar>
              <w:left w:w="0" w:type="dxa"/>
              <w:right w:w="0" w:type="dxa"/>
            </w:tcMar>
            <w:vAlign w:val="center"/>
            <w:hideMark/>
          </w:tcPr>
          <w:p w:rsidR="009610B9" w:rsidRPr="00B40104" w:rsidRDefault="009610B9" w:rsidP="004E7315">
            <w:pPr>
              <w:rPr>
                <w:rFonts w:cs="Arial"/>
                <w:color w:val="7F7F7F"/>
                <w:sz w:val="16"/>
                <w:szCs w:val="18"/>
                <w:lang w:eastAsia="en-AU"/>
              </w:rPr>
            </w:pPr>
            <w:r>
              <w:rPr>
                <w:rFonts w:cs="Arial"/>
                <w:color w:val="7F7F7F"/>
                <w:sz w:val="16"/>
                <w:szCs w:val="18"/>
                <w:lang w:eastAsia="en-AU"/>
              </w:rPr>
              <w:t xml:space="preserve"> </w:t>
            </w:r>
            <w:r w:rsidRPr="00B40104">
              <w:rPr>
                <w:rFonts w:cs="Arial"/>
                <w:color w:val="7F7F7F"/>
                <w:sz w:val="16"/>
                <w:szCs w:val="18"/>
                <w:lang w:eastAsia="en-AU"/>
              </w:rPr>
              <w:t>HUM</w:t>
            </w:r>
          </w:p>
        </w:tc>
        <w:tc>
          <w:tcPr>
            <w:tcW w:w="1653" w:type="dxa"/>
            <w:tcBorders>
              <w:top w:val="single" w:sz="4" w:space="0" w:color="7F7F7F"/>
              <w:left w:val="nil"/>
              <w:bottom w:val="nil"/>
              <w:right w:val="single" w:sz="4" w:space="0" w:color="7F7F7F"/>
            </w:tcBorders>
            <w:shd w:val="clear" w:color="000000" w:fill="FFFFFF"/>
            <w:noWrap/>
            <w:tcMar>
              <w:left w:w="0" w:type="dxa"/>
              <w:right w:w="0" w:type="dxa"/>
            </w:tcMar>
            <w:vAlign w:val="center"/>
            <w:hideMark/>
          </w:tcPr>
          <w:p w:rsidR="009610B9" w:rsidRPr="00B40104" w:rsidRDefault="009610B9" w:rsidP="004E7315">
            <w:pPr>
              <w:rPr>
                <w:rFonts w:cs="Arial"/>
                <w:color w:val="7F7F7F"/>
                <w:sz w:val="16"/>
                <w:szCs w:val="18"/>
                <w:lang w:eastAsia="en-AU"/>
              </w:rPr>
            </w:pPr>
            <w:r w:rsidRPr="00B40104">
              <w:rPr>
                <w:rFonts w:cs="Arial"/>
                <w:color w:val="7F7F7F"/>
                <w:sz w:val="16"/>
                <w:szCs w:val="18"/>
                <w:lang w:eastAsia="en-AU"/>
              </w:rPr>
              <w:t>Hume</w:t>
            </w:r>
          </w:p>
        </w:tc>
        <w:tc>
          <w:tcPr>
            <w:tcW w:w="652" w:type="dxa"/>
            <w:tcBorders>
              <w:top w:val="single" w:sz="4" w:space="0" w:color="7F7F7F"/>
              <w:left w:val="nil"/>
              <w:bottom w:val="nil"/>
              <w:right w:val="nil"/>
            </w:tcBorders>
            <w:shd w:val="clear" w:color="000000" w:fill="FFFFFF"/>
            <w:noWrap/>
            <w:tcMar>
              <w:left w:w="0" w:type="dxa"/>
              <w:right w:w="0" w:type="dxa"/>
            </w:tcMar>
            <w:vAlign w:val="center"/>
            <w:hideMark/>
          </w:tcPr>
          <w:p w:rsidR="009610B9" w:rsidRPr="00B40104" w:rsidRDefault="009610B9" w:rsidP="004E7315">
            <w:pPr>
              <w:rPr>
                <w:rFonts w:cs="Arial"/>
                <w:color w:val="7F7F7F"/>
                <w:sz w:val="16"/>
                <w:szCs w:val="18"/>
                <w:lang w:eastAsia="en-AU"/>
              </w:rPr>
            </w:pPr>
            <w:r>
              <w:rPr>
                <w:rFonts w:cs="Arial"/>
                <w:color w:val="7F7F7F"/>
                <w:sz w:val="16"/>
                <w:szCs w:val="18"/>
                <w:lang w:eastAsia="en-AU"/>
              </w:rPr>
              <w:t xml:space="preserve"> </w:t>
            </w:r>
            <w:r w:rsidRPr="00B40104">
              <w:rPr>
                <w:rFonts w:cs="Arial"/>
                <w:color w:val="7F7F7F"/>
                <w:sz w:val="16"/>
                <w:szCs w:val="18"/>
                <w:lang w:eastAsia="en-AU"/>
              </w:rPr>
              <w:t>NWMR</w:t>
            </w:r>
          </w:p>
        </w:tc>
        <w:tc>
          <w:tcPr>
            <w:tcW w:w="2087" w:type="dxa"/>
            <w:tcBorders>
              <w:top w:val="single" w:sz="4" w:space="0" w:color="7F7F7F"/>
              <w:left w:val="nil"/>
              <w:bottom w:val="nil"/>
              <w:right w:val="single" w:sz="4" w:space="0" w:color="7F7F7F"/>
            </w:tcBorders>
            <w:shd w:val="clear" w:color="000000" w:fill="FFFFFF"/>
            <w:noWrap/>
            <w:tcMar>
              <w:left w:w="0" w:type="dxa"/>
              <w:right w:w="0" w:type="dxa"/>
            </w:tcMar>
            <w:vAlign w:val="center"/>
            <w:hideMark/>
          </w:tcPr>
          <w:p w:rsidR="009610B9" w:rsidRPr="00B40104" w:rsidRDefault="009610B9" w:rsidP="004E7315">
            <w:pPr>
              <w:rPr>
                <w:rFonts w:cs="Arial"/>
                <w:color w:val="7F7F7F"/>
                <w:sz w:val="16"/>
                <w:szCs w:val="18"/>
                <w:lang w:eastAsia="en-AU"/>
              </w:rPr>
            </w:pPr>
            <w:r w:rsidRPr="00B40104">
              <w:rPr>
                <w:rFonts w:cs="Arial"/>
                <w:color w:val="7F7F7F"/>
                <w:sz w:val="16"/>
                <w:szCs w:val="18"/>
                <w:lang w:eastAsia="en-AU"/>
              </w:rPr>
              <w:t>North Western Metropolitan</w:t>
            </w:r>
          </w:p>
        </w:tc>
      </w:tr>
      <w:tr w:rsidR="009610B9" w:rsidRPr="00B40104" w:rsidTr="004E7315">
        <w:trPr>
          <w:trHeight w:val="265"/>
        </w:trPr>
        <w:tc>
          <w:tcPr>
            <w:tcW w:w="502" w:type="dxa"/>
            <w:tcBorders>
              <w:top w:val="nil"/>
              <w:left w:val="single" w:sz="4" w:space="0" w:color="7F7F7F"/>
              <w:bottom w:val="nil"/>
              <w:right w:val="nil"/>
            </w:tcBorders>
            <w:shd w:val="clear" w:color="000000" w:fill="FFFFFF"/>
            <w:noWrap/>
            <w:tcMar>
              <w:left w:w="0" w:type="dxa"/>
              <w:right w:w="0" w:type="dxa"/>
            </w:tcMar>
            <w:vAlign w:val="center"/>
            <w:hideMark/>
          </w:tcPr>
          <w:p w:rsidR="009610B9" w:rsidRPr="00B40104" w:rsidRDefault="009610B9" w:rsidP="004E7315">
            <w:pPr>
              <w:rPr>
                <w:rFonts w:cs="Arial"/>
                <w:color w:val="7F7F7F"/>
                <w:sz w:val="16"/>
                <w:szCs w:val="18"/>
                <w:lang w:eastAsia="en-AU"/>
              </w:rPr>
            </w:pPr>
            <w:r>
              <w:rPr>
                <w:rFonts w:cs="Arial"/>
                <w:color w:val="7F7F7F"/>
                <w:sz w:val="16"/>
                <w:szCs w:val="18"/>
                <w:lang w:eastAsia="en-AU"/>
              </w:rPr>
              <w:t xml:space="preserve"> </w:t>
            </w:r>
            <w:r w:rsidRPr="00B40104">
              <w:rPr>
                <w:rFonts w:cs="Arial"/>
                <w:color w:val="7F7F7F"/>
                <w:sz w:val="16"/>
                <w:szCs w:val="18"/>
                <w:lang w:eastAsia="en-AU"/>
              </w:rPr>
              <w:t>GRA</w:t>
            </w:r>
          </w:p>
        </w:tc>
        <w:tc>
          <w:tcPr>
            <w:tcW w:w="1616" w:type="dxa"/>
            <w:tcBorders>
              <w:top w:val="nil"/>
              <w:left w:val="nil"/>
              <w:bottom w:val="nil"/>
              <w:right w:val="single" w:sz="4" w:space="0" w:color="7F7F7F"/>
            </w:tcBorders>
            <w:shd w:val="clear" w:color="000000" w:fill="FFFFFF"/>
            <w:noWrap/>
            <w:tcMar>
              <w:left w:w="0" w:type="dxa"/>
              <w:right w:w="0" w:type="dxa"/>
            </w:tcMar>
            <w:vAlign w:val="center"/>
            <w:hideMark/>
          </w:tcPr>
          <w:p w:rsidR="009610B9" w:rsidRPr="00B40104" w:rsidRDefault="009610B9" w:rsidP="004E7315">
            <w:pPr>
              <w:rPr>
                <w:rFonts w:cs="Arial"/>
                <w:color w:val="7F7F7F"/>
                <w:sz w:val="16"/>
                <w:szCs w:val="18"/>
                <w:lang w:eastAsia="en-AU"/>
              </w:rPr>
            </w:pPr>
            <w:r w:rsidRPr="00B40104">
              <w:rPr>
                <w:rFonts w:cs="Arial"/>
                <w:color w:val="7F7F7F"/>
                <w:sz w:val="16"/>
                <w:szCs w:val="18"/>
                <w:lang w:eastAsia="en-AU"/>
              </w:rPr>
              <w:t>Grampians</w:t>
            </w:r>
          </w:p>
        </w:tc>
        <w:tc>
          <w:tcPr>
            <w:tcW w:w="583" w:type="dxa"/>
            <w:tcBorders>
              <w:top w:val="nil"/>
              <w:left w:val="nil"/>
              <w:bottom w:val="nil"/>
              <w:right w:val="nil"/>
            </w:tcBorders>
            <w:shd w:val="clear" w:color="000000" w:fill="FFFFFF"/>
            <w:noWrap/>
            <w:tcMar>
              <w:left w:w="0" w:type="dxa"/>
              <w:right w:w="0" w:type="dxa"/>
            </w:tcMar>
            <w:vAlign w:val="center"/>
            <w:hideMark/>
          </w:tcPr>
          <w:p w:rsidR="009610B9" w:rsidRPr="00B40104" w:rsidRDefault="009610B9" w:rsidP="004E7315">
            <w:pPr>
              <w:rPr>
                <w:rFonts w:cs="Arial"/>
                <w:color w:val="7F7F7F"/>
                <w:sz w:val="16"/>
                <w:szCs w:val="18"/>
                <w:lang w:eastAsia="en-AU"/>
              </w:rPr>
            </w:pPr>
            <w:r>
              <w:rPr>
                <w:rFonts w:cs="Arial"/>
                <w:color w:val="7F7F7F"/>
                <w:sz w:val="16"/>
                <w:szCs w:val="18"/>
                <w:lang w:eastAsia="en-AU"/>
              </w:rPr>
              <w:t xml:space="preserve"> </w:t>
            </w:r>
            <w:r w:rsidRPr="00B40104">
              <w:rPr>
                <w:rFonts w:cs="Arial"/>
                <w:color w:val="7F7F7F"/>
                <w:sz w:val="16"/>
                <w:szCs w:val="18"/>
                <w:lang w:eastAsia="en-AU"/>
              </w:rPr>
              <w:t>GIP</w:t>
            </w:r>
          </w:p>
        </w:tc>
        <w:tc>
          <w:tcPr>
            <w:tcW w:w="1653" w:type="dxa"/>
            <w:tcBorders>
              <w:top w:val="nil"/>
              <w:left w:val="nil"/>
              <w:bottom w:val="nil"/>
              <w:right w:val="single" w:sz="4" w:space="0" w:color="7F7F7F"/>
            </w:tcBorders>
            <w:shd w:val="clear" w:color="000000" w:fill="FFFFFF"/>
            <w:noWrap/>
            <w:tcMar>
              <w:left w:w="0" w:type="dxa"/>
              <w:right w:w="0" w:type="dxa"/>
            </w:tcMar>
            <w:vAlign w:val="center"/>
            <w:hideMark/>
          </w:tcPr>
          <w:p w:rsidR="009610B9" w:rsidRPr="00B40104" w:rsidRDefault="009610B9" w:rsidP="004E7315">
            <w:pPr>
              <w:rPr>
                <w:rFonts w:cs="Arial"/>
                <w:color w:val="7F7F7F"/>
                <w:sz w:val="16"/>
                <w:szCs w:val="18"/>
                <w:lang w:eastAsia="en-AU"/>
              </w:rPr>
            </w:pPr>
            <w:r w:rsidRPr="00B40104">
              <w:rPr>
                <w:rFonts w:cs="Arial"/>
                <w:color w:val="7F7F7F"/>
                <w:sz w:val="16"/>
                <w:szCs w:val="18"/>
                <w:lang w:eastAsia="en-AU"/>
              </w:rPr>
              <w:t>Gippsland</w:t>
            </w:r>
          </w:p>
        </w:tc>
        <w:tc>
          <w:tcPr>
            <w:tcW w:w="652" w:type="dxa"/>
            <w:tcBorders>
              <w:top w:val="nil"/>
              <w:left w:val="nil"/>
              <w:bottom w:val="nil"/>
              <w:right w:val="nil"/>
            </w:tcBorders>
            <w:shd w:val="clear" w:color="000000" w:fill="FFFFFF"/>
            <w:noWrap/>
            <w:tcMar>
              <w:left w:w="0" w:type="dxa"/>
              <w:right w:w="0" w:type="dxa"/>
            </w:tcMar>
            <w:vAlign w:val="center"/>
            <w:hideMark/>
          </w:tcPr>
          <w:p w:rsidR="009610B9" w:rsidRPr="00B40104" w:rsidRDefault="009610B9" w:rsidP="004E7315">
            <w:pPr>
              <w:rPr>
                <w:rFonts w:cs="Arial"/>
                <w:color w:val="7F7F7F"/>
                <w:sz w:val="16"/>
                <w:szCs w:val="18"/>
                <w:lang w:eastAsia="en-AU"/>
              </w:rPr>
            </w:pPr>
            <w:r>
              <w:rPr>
                <w:rFonts w:cs="Arial"/>
                <w:color w:val="7F7F7F"/>
                <w:sz w:val="16"/>
                <w:szCs w:val="18"/>
                <w:lang w:eastAsia="en-AU"/>
              </w:rPr>
              <w:t xml:space="preserve"> </w:t>
            </w:r>
            <w:r w:rsidRPr="00B40104">
              <w:rPr>
                <w:rFonts w:cs="Arial"/>
                <w:color w:val="7F7F7F"/>
                <w:sz w:val="16"/>
                <w:szCs w:val="18"/>
                <w:lang w:eastAsia="en-AU"/>
              </w:rPr>
              <w:t>SMR</w:t>
            </w:r>
          </w:p>
        </w:tc>
        <w:tc>
          <w:tcPr>
            <w:tcW w:w="2087" w:type="dxa"/>
            <w:tcBorders>
              <w:top w:val="nil"/>
              <w:left w:val="nil"/>
              <w:bottom w:val="nil"/>
              <w:right w:val="single" w:sz="4" w:space="0" w:color="7F7F7F"/>
            </w:tcBorders>
            <w:shd w:val="clear" w:color="000000" w:fill="FFFFFF"/>
            <w:noWrap/>
            <w:tcMar>
              <w:left w:w="0" w:type="dxa"/>
              <w:right w:w="0" w:type="dxa"/>
            </w:tcMar>
            <w:vAlign w:val="center"/>
            <w:hideMark/>
          </w:tcPr>
          <w:p w:rsidR="009610B9" w:rsidRPr="00B40104" w:rsidRDefault="009610B9" w:rsidP="004E7315">
            <w:pPr>
              <w:rPr>
                <w:rFonts w:cs="Arial"/>
                <w:color w:val="7F7F7F"/>
                <w:sz w:val="16"/>
                <w:szCs w:val="18"/>
                <w:lang w:eastAsia="en-AU"/>
              </w:rPr>
            </w:pPr>
            <w:r w:rsidRPr="00B40104">
              <w:rPr>
                <w:rFonts w:cs="Arial"/>
                <w:color w:val="7F7F7F"/>
                <w:sz w:val="16"/>
                <w:szCs w:val="18"/>
                <w:lang w:eastAsia="en-AU"/>
              </w:rPr>
              <w:t>Southern Metropolitan</w:t>
            </w:r>
          </w:p>
        </w:tc>
      </w:tr>
      <w:tr w:rsidR="009610B9" w:rsidRPr="00B40104" w:rsidTr="004E7315">
        <w:trPr>
          <w:trHeight w:val="265"/>
        </w:trPr>
        <w:tc>
          <w:tcPr>
            <w:tcW w:w="502" w:type="dxa"/>
            <w:tcBorders>
              <w:top w:val="nil"/>
              <w:left w:val="single" w:sz="4" w:space="0" w:color="7F7F7F"/>
              <w:bottom w:val="single" w:sz="4" w:space="0" w:color="7F7F7F"/>
              <w:right w:val="nil"/>
            </w:tcBorders>
            <w:shd w:val="clear" w:color="000000" w:fill="FFFFFF"/>
            <w:noWrap/>
            <w:tcMar>
              <w:left w:w="0" w:type="dxa"/>
              <w:right w:w="0" w:type="dxa"/>
            </w:tcMar>
            <w:vAlign w:val="center"/>
            <w:hideMark/>
          </w:tcPr>
          <w:p w:rsidR="009610B9" w:rsidRPr="00B40104" w:rsidRDefault="009610B9" w:rsidP="004E7315">
            <w:pPr>
              <w:rPr>
                <w:rFonts w:cs="Arial"/>
                <w:color w:val="7F7F7F"/>
                <w:sz w:val="16"/>
                <w:szCs w:val="18"/>
                <w:lang w:eastAsia="en-AU"/>
              </w:rPr>
            </w:pPr>
            <w:r>
              <w:rPr>
                <w:rFonts w:cs="Arial"/>
                <w:color w:val="7F7F7F"/>
                <w:sz w:val="16"/>
                <w:szCs w:val="18"/>
                <w:lang w:eastAsia="en-AU"/>
              </w:rPr>
              <w:t xml:space="preserve"> </w:t>
            </w:r>
            <w:r w:rsidRPr="00B40104">
              <w:rPr>
                <w:rFonts w:cs="Arial"/>
                <w:color w:val="7F7F7F"/>
                <w:sz w:val="16"/>
                <w:szCs w:val="18"/>
                <w:lang w:eastAsia="en-AU"/>
              </w:rPr>
              <w:t>LM</w:t>
            </w:r>
          </w:p>
        </w:tc>
        <w:tc>
          <w:tcPr>
            <w:tcW w:w="1616" w:type="dxa"/>
            <w:tcBorders>
              <w:top w:val="nil"/>
              <w:left w:val="nil"/>
              <w:bottom w:val="single" w:sz="4" w:space="0" w:color="7F7F7F"/>
              <w:right w:val="single" w:sz="4" w:space="0" w:color="7F7F7F"/>
            </w:tcBorders>
            <w:shd w:val="clear" w:color="000000" w:fill="FFFFFF"/>
            <w:noWrap/>
            <w:tcMar>
              <w:left w:w="0" w:type="dxa"/>
              <w:right w:w="0" w:type="dxa"/>
            </w:tcMar>
            <w:vAlign w:val="center"/>
            <w:hideMark/>
          </w:tcPr>
          <w:p w:rsidR="009610B9" w:rsidRPr="00B40104" w:rsidRDefault="009610B9" w:rsidP="004E7315">
            <w:pPr>
              <w:rPr>
                <w:rFonts w:cs="Arial"/>
                <w:color w:val="7F7F7F"/>
                <w:sz w:val="16"/>
                <w:szCs w:val="18"/>
                <w:lang w:eastAsia="en-AU"/>
              </w:rPr>
            </w:pPr>
            <w:r w:rsidRPr="00B40104">
              <w:rPr>
                <w:rFonts w:cs="Arial"/>
                <w:color w:val="7F7F7F"/>
                <w:sz w:val="16"/>
                <w:szCs w:val="18"/>
                <w:lang w:eastAsia="en-AU"/>
              </w:rPr>
              <w:t>Loddon Mallee</w:t>
            </w:r>
          </w:p>
        </w:tc>
        <w:tc>
          <w:tcPr>
            <w:tcW w:w="583" w:type="dxa"/>
            <w:tcBorders>
              <w:top w:val="nil"/>
              <w:left w:val="nil"/>
              <w:bottom w:val="single" w:sz="4" w:space="0" w:color="7F7F7F"/>
              <w:right w:val="nil"/>
            </w:tcBorders>
            <w:shd w:val="clear" w:color="000000" w:fill="FFFFFF"/>
            <w:noWrap/>
            <w:tcMar>
              <w:left w:w="0" w:type="dxa"/>
              <w:right w:w="0" w:type="dxa"/>
            </w:tcMar>
            <w:vAlign w:val="center"/>
            <w:hideMark/>
          </w:tcPr>
          <w:p w:rsidR="009610B9" w:rsidRPr="00B40104" w:rsidRDefault="009610B9" w:rsidP="004E7315">
            <w:pPr>
              <w:rPr>
                <w:rFonts w:cs="Arial"/>
                <w:color w:val="7F7F7F"/>
                <w:sz w:val="16"/>
                <w:szCs w:val="18"/>
                <w:lang w:eastAsia="en-AU"/>
              </w:rPr>
            </w:pPr>
            <w:r>
              <w:rPr>
                <w:rFonts w:cs="Arial"/>
                <w:color w:val="7F7F7F"/>
                <w:sz w:val="16"/>
                <w:szCs w:val="18"/>
                <w:lang w:eastAsia="en-AU"/>
              </w:rPr>
              <w:t xml:space="preserve"> </w:t>
            </w:r>
            <w:r w:rsidRPr="00B40104">
              <w:rPr>
                <w:rFonts w:cs="Arial"/>
                <w:color w:val="7F7F7F"/>
                <w:sz w:val="16"/>
                <w:szCs w:val="18"/>
                <w:lang w:eastAsia="en-AU"/>
              </w:rPr>
              <w:t>EMR</w:t>
            </w:r>
          </w:p>
        </w:tc>
        <w:tc>
          <w:tcPr>
            <w:tcW w:w="1653" w:type="dxa"/>
            <w:tcBorders>
              <w:top w:val="nil"/>
              <w:left w:val="nil"/>
              <w:bottom w:val="single" w:sz="4" w:space="0" w:color="7F7F7F"/>
              <w:right w:val="single" w:sz="4" w:space="0" w:color="7F7F7F"/>
            </w:tcBorders>
            <w:shd w:val="clear" w:color="000000" w:fill="FFFFFF"/>
            <w:noWrap/>
            <w:tcMar>
              <w:left w:w="0" w:type="dxa"/>
              <w:right w:w="0" w:type="dxa"/>
            </w:tcMar>
            <w:vAlign w:val="center"/>
            <w:hideMark/>
          </w:tcPr>
          <w:p w:rsidR="009610B9" w:rsidRPr="00B40104" w:rsidRDefault="009610B9" w:rsidP="004E7315">
            <w:pPr>
              <w:rPr>
                <w:rFonts w:cs="Arial"/>
                <w:color w:val="7F7F7F"/>
                <w:sz w:val="16"/>
                <w:szCs w:val="18"/>
                <w:lang w:eastAsia="en-AU"/>
              </w:rPr>
            </w:pPr>
            <w:r w:rsidRPr="00B40104">
              <w:rPr>
                <w:rFonts w:cs="Arial"/>
                <w:color w:val="7F7F7F"/>
                <w:sz w:val="16"/>
                <w:szCs w:val="18"/>
                <w:lang w:eastAsia="en-AU"/>
              </w:rPr>
              <w:t>Eastern Metropolitan</w:t>
            </w:r>
          </w:p>
        </w:tc>
        <w:tc>
          <w:tcPr>
            <w:tcW w:w="652" w:type="dxa"/>
            <w:tcBorders>
              <w:top w:val="nil"/>
              <w:left w:val="nil"/>
              <w:bottom w:val="single" w:sz="4" w:space="0" w:color="7F7F7F"/>
              <w:right w:val="nil"/>
            </w:tcBorders>
            <w:shd w:val="clear" w:color="000000" w:fill="FFFFFF"/>
            <w:noWrap/>
            <w:tcMar>
              <w:left w:w="0" w:type="dxa"/>
              <w:right w:w="0" w:type="dxa"/>
            </w:tcMar>
            <w:vAlign w:val="center"/>
            <w:hideMark/>
          </w:tcPr>
          <w:p w:rsidR="009610B9" w:rsidRPr="00B40104" w:rsidRDefault="009610B9" w:rsidP="004E7315">
            <w:pPr>
              <w:rPr>
                <w:rFonts w:cs="Arial"/>
                <w:color w:val="7F7F7F"/>
                <w:sz w:val="16"/>
                <w:szCs w:val="18"/>
                <w:lang w:eastAsia="en-AU"/>
              </w:rPr>
            </w:pPr>
            <w:r>
              <w:rPr>
                <w:rFonts w:cs="Arial"/>
                <w:color w:val="7F7F7F"/>
                <w:sz w:val="16"/>
                <w:szCs w:val="18"/>
                <w:lang w:eastAsia="en-AU"/>
              </w:rPr>
              <w:t xml:space="preserve"> </w:t>
            </w:r>
            <w:r w:rsidRPr="00B40104">
              <w:rPr>
                <w:rFonts w:cs="Arial"/>
                <w:color w:val="7F7F7F"/>
                <w:sz w:val="16"/>
                <w:szCs w:val="18"/>
                <w:lang w:eastAsia="en-AU"/>
              </w:rPr>
              <w:t>AEIs</w:t>
            </w:r>
          </w:p>
        </w:tc>
        <w:tc>
          <w:tcPr>
            <w:tcW w:w="2087" w:type="dxa"/>
            <w:tcBorders>
              <w:top w:val="nil"/>
              <w:left w:val="nil"/>
              <w:bottom w:val="single" w:sz="4" w:space="0" w:color="7F7F7F"/>
              <w:right w:val="single" w:sz="4" w:space="0" w:color="7F7F7F"/>
            </w:tcBorders>
            <w:shd w:val="clear" w:color="000000" w:fill="FFFFFF"/>
            <w:noWrap/>
            <w:tcMar>
              <w:left w:w="0" w:type="dxa"/>
              <w:right w:w="0" w:type="dxa"/>
            </w:tcMar>
            <w:vAlign w:val="center"/>
            <w:hideMark/>
          </w:tcPr>
          <w:p w:rsidR="009610B9" w:rsidRPr="00B40104" w:rsidRDefault="009610B9" w:rsidP="004E7315">
            <w:pPr>
              <w:rPr>
                <w:rFonts w:cs="Arial"/>
                <w:color w:val="7F7F7F"/>
                <w:sz w:val="16"/>
                <w:szCs w:val="18"/>
                <w:lang w:eastAsia="en-AU"/>
              </w:rPr>
            </w:pPr>
            <w:r w:rsidRPr="00B40104">
              <w:rPr>
                <w:rFonts w:cs="Arial"/>
                <w:color w:val="7F7F7F"/>
                <w:sz w:val="16"/>
                <w:szCs w:val="18"/>
                <w:lang w:eastAsia="en-AU"/>
              </w:rPr>
              <w:t>Adult Education Institutes</w:t>
            </w:r>
          </w:p>
        </w:tc>
      </w:tr>
    </w:tbl>
    <w:p w:rsidR="009610B9" w:rsidRDefault="009610B9" w:rsidP="009610B9">
      <w:pPr>
        <w:rPr>
          <w:rFonts w:cs="Arial"/>
          <w:bCs/>
          <w:color w:val="7F7F7F" w:themeColor="text2"/>
          <w:kern w:val="32"/>
          <w:szCs w:val="18"/>
        </w:rPr>
      </w:pPr>
    </w:p>
    <w:p w:rsidR="009610B9" w:rsidRDefault="009610B9" w:rsidP="009610B9">
      <w:pPr>
        <w:rPr>
          <w:rFonts w:cs="Arial"/>
          <w:bCs/>
          <w:color w:val="7F7F7F" w:themeColor="text2"/>
          <w:kern w:val="32"/>
          <w:szCs w:val="18"/>
        </w:rPr>
      </w:pP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9610B9" w:rsidTr="004E7315">
        <w:tc>
          <w:tcPr>
            <w:tcW w:w="1134" w:type="dxa"/>
            <w:tcMar>
              <w:left w:w="0" w:type="dxa"/>
              <w:right w:w="0" w:type="dxa"/>
            </w:tcMar>
          </w:tcPr>
          <w:p w:rsidR="009610B9" w:rsidRDefault="009610B9" w:rsidP="004E7315">
            <w:pPr>
              <w:pStyle w:val="Quote"/>
              <w:tabs>
                <w:tab w:val="left" w:pos="1134"/>
              </w:tabs>
              <w:rPr>
                <w:b w:val="0"/>
                <w:color w:val="B41F22" w:themeColor="accent1"/>
              </w:rPr>
            </w:pPr>
            <w:r>
              <w:rPr>
                <w:b w:val="0"/>
                <w:color w:val="B41F22" w:themeColor="accent1"/>
              </w:rPr>
              <w:t>Table 1.40.1:</w:t>
            </w:r>
          </w:p>
        </w:tc>
        <w:tc>
          <w:tcPr>
            <w:tcW w:w="6946" w:type="dxa"/>
            <w:tcMar>
              <w:left w:w="0" w:type="dxa"/>
              <w:right w:w="0" w:type="dxa"/>
            </w:tcMar>
          </w:tcPr>
          <w:p w:rsidR="009610B9" w:rsidRPr="00AD7189" w:rsidRDefault="009610B9" w:rsidP="004E7315">
            <w:pPr>
              <w:pStyle w:val="Quote"/>
              <w:tabs>
                <w:tab w:val="left" w:pos="1134"/>
              </w:tabs>
              <w:rPr>
                <w:b w:val="0"/>
                <w:color w:val="B41F22" w:themeColor="accent1"/>
              </w:rPr>
            </w:pPr>
            <w:r w:rsidRPr="00E86C31">
              <w:rPr>
                <w:b w:val="0"/>
                <w:color w:val="B41F22" w:themeColor="accent1"/>
              </w:rPr>
              <w:t>ACFE Board Priority Learners enrolled in government subsidised accredited training with Learn Local (ACE) providers, 2010 to 2015 (half year)</w:t>
            </w:r>
          </w:p>
        </w:tc>
      </w:tr>
    </w:tbl>
    <w:tbl>
      <w:tblPr>
        <w:tblW w:w="8095" w:type="dxa"/>
        <w:tblInd w:w="93" w:type="dxa"/>
        <w:tblLayout w:type="fixed"/>
        <w:tblLook w:val="04A0" w:firstRow="1" w:lastRow="0" w:firstColumn="1" w:lastColumn="0" w:noHBand="0" w:noVBand="1"/>
      </w:tblPr>
      <w:tblGrid>
        <w:gridCol w:w="1960"/>
        <w:gridCol w:w="1022"/>
        <w:gridCol w:w="1023"/>
        <w:gridCol w:w="1022"/>
        <w:gridCol w:w="1023"/>
        <w:gridCol w:w="1022"/>
        <w:gridCol w:w="1023"/>
      </w:tblGrid>
      <w:tr w:rsidR="009610B9" w:rsidRPr="006F27B6" w:rsidTr="004E7315">
        <w:trPr>
          <w:trHeight w:val="300"/>
        </w:trPr>
        <w:tc>
          <w:tcPr>
            <w:tcW w:w="1960" w:type="dxa"/>
            <w:tcBorders>
              <w:top w:val="nil"/>
              <w:left w:val="nil"/>
              <w:bottom w:val="nil"/>
              <w:right w:val="nil"/>
            </w:tcBorders>
            <w:shd w:val="clear" w:color="000000" w:fill="7F7F7F"/>
            <w:noWrap/>
            <w:vAlign w:val="center"/>
            <w:hideMark/>
          </w:tcPr>
          <w:p w:rsidR="009610B9" w:rsidRPr="006F27B6" w:rsidRDefault="009610B9" w:rsidP="004E7315">
            <w:pPr>
              <w:rPr>
                <w:rFonts w:cs="Arial"/>
                <w:color w:val="FFFFFF"/>
                <w:szCs w:val="18"/>
                <w:lang w:eastAsia="en-AU"/>
              </w:rPr>
            </w:pPr>
            <w:r w:rsidRPr="006F27B6">
              <w:rPr>
                <w:rFonts w:cs="Arial"/>
                <w:color w:val="FFFFFF"/>
                <w:szCs w:val="18"/>
                <w:lang w:eastAsia="en-AU"/>
              </w:rPr>
              <w:t> </w:t>
            </w:r>
          </w:p>
        </w:tc>
        <w:tc>
          <w:tcPr>
            <w:tcW w:w="1022" w:type="dxa"/>
            <w:tcBorders>
              <w:top w:val="nil"/>
              <w:left w:val="nil"/>
              <w:bottom w:val="nil"/>
              <w:right w:val="nil"/>
            </w:tcBorders>
            <w:shd w:val="clear" w:color="000000" w:fill="7F7F7F"/>
            <w:noWrap/>
            <w:vAlign w:val="center"/>
            <w:hideMark/>
          </w:tcPr>
          <w:p w:rsidR="009610B9" w:rsidRPr="006F27B6" w:rsidRDefault="009610B9" w:rsidP="004E7315">
            <w:pPr>
              <w:jc w:val="right"/>
              <w:rPr>
                <w:rFonts w:cs="Arial"/>
                <w:b/>
                <w:bCs/>
                <w:color w:val="FFFFFF"/>
                <w:szCs w:val="18"/>
                <w:lang w:eastAsia="en-AU"/>
              </w:rPr>
            </w:pPr>
            <w:r w:rsidRPr="006F27B6">
              <w:rPr>
                <w:rFonts w:cs="Arial"/>
                <w:b/>
                <w:bCs/>
                <w:color w:val="FFFFFF"/>
                <w:szCs w:val="18"/>
                <w:lang w:eastAsia="en-AU"/>
              </w:rPr>
              <w:t>2010</w:t>
            </w:r>
          </w:p>
        </w:tc>
        <w:tc>
          <w:tcPr>
            <w:tcW w:w="1023" w:type="dxa"/>
            <w:tcBorders>
              <w:top w:val="nil"/>
              <w:left w:val="nil"/>
              <w:bottom w:val="nil"/>
              <w:right w:val="nil"/>
            </w:tcBorders>
            <w:shd w:val="clear" w:color="000000" w:fill="7F7F7F"/>
            <w:noWrap/>
            <w:vAlign w:val="center"/>
            <w:hideMark/>
          </w:tcPr>
          <w:p w:rsidR="009610B9" w:rsidRPr="006F27B6" w:rsidRDefault="009610B9" w:rsidP="004E7315">
            <w:pPr>
              <w:jc w:val="right"/>
              <w:rPr>
                <w:rFonts w:cs="Arial"/>
                <w:b/>
                <w:bCs/>
                <w:color w:val="FFFFFF"/>
                <w:szCs w:val="18"/>
                <w:lang w:eastAsia="en-AU"/>
              </w:rPr>
            </w:pPr>
            <w:r w:rsidRPr="006F27B6">
              <w:rPr>
                <w:rFonts w:cs="Arial"/>
                <w:b/>
                <w:bCs/>
                <w:color w:val="FFFFFF"/>
                <w:szCs w:val="18"/>
                <w:lang w:eastAsia="en-AU"/>
              </w:rPr>
              <w:t>2011</w:t>
            </w:r>
          </w:p>
        </w:tc>
        <w:tc>
          <w:tcPr>
            <w:tcW w:w="1022" w:type="dxa"/>
            <w:tcBorders>
              <w:top w:val="nil"/>
              <w:left w:val="nil"/>
              <w:bottom w:val="nil"/>
              <w:right w:val="nil"/>
            </w:tcBorders>
            <w:shd w:val="clear" w:color="000000" w:fill="7F7F7F"/>
            <w:noWrap/>
            <w:vAlign w:val="center"/>
            <w:hideMark/>
          </w:tcPr>
          <w:p w:rsidR="009610B9" w:rsidRPr="006F27B6" w:rsidRDefault="009610B9" w:rsidP="004E7315">
            <w:pPr>
              <w:jc w:val="right"/>
              <w:rPr>
                <w:rFonts w:cs="Arial"/>
                <w:b/>
                <w:bCs/>
                <w:color w:val="FFFFFF"/>
                <w:szCs w:val="18"/>
                <w:lang w:eastAsia="en-AU"/>
              </w:rPr>
            </w:pPr>
            <w:r w:rsidRPr="006F27B6">
              <w:rPr>
                <w:rFonts w:cs="Arial"/>
                <w:b/>
                <w:bCs/>
                <w:color w:val="FFFFFF"/>
                <w:szCs w:val="18"/>
                <w:lang w:eastAsia="en-AU"/>
              </w:rPr>
              <w:t>2012</w:t>
            </w:r>
          </w:p>
        </w:tc>
        <w:tc>
          <w:tcPr>
            <w:tcW w:w="1023" w:type="dxa"/>
            <w:tcBorders>
              <w:top w:val="nil"/>
              <w:left w:val="nil"/>
              <w:bottom w:val="nil"/>
              <w:right w:val="nil"/>
            </w:tcBorders>
            <w:shd w:val="clear" w:color="000000" w:fill="7F7F7F"/>
            <w:noWrap/>
            <w:vAlign w:val="center"/>
            <w:hideMark/>
          </w:tcPr>
          <w:p w:rsidR="009610B9" w:rsidRPr="006F27B6" w:rsidRDefault="009610B9" w:rsidP="004E7315">
            <w:pPr>
              <w:jc w:val="right"/>
              <w:rPr>
                <w:rFonts w:cs="Arial"/>
                <w:b/>
                <w:bCs/>
                <w:color w:val="FFFFFF"/>
                <w:szCs w:val="18"/>
                <w:lang w:eastAsia="en-AU"/>
              </w:rPr>
            </w:pPr>
            <w:r w:rsidRPr="006F27B6">
              <w:rPr>
                <w:rFonts w:cs="Arial"/>
                <w:b/>
                <w:bCs/>
                <w:color w:val="FFFFFF"/>
                <w:szCs w:val="18"/>
                <w:lang w:eastAsia="en-AU"/>
              </w:rPr>
              <w:t>2013</w:t>
            </w:r>
          </w:p>
        </w:tc>
        <w:tc>
          <w:tcPr>
            <w:tcW w:w="1022" w:type="dxa"/>
            <w:tcBorders>
              <w:top w:val="nil"/>
              <w:left w:val="nil"/>
              <w:bottom w:val="nil"/>
              <w:right w:val="nil"/>
            </w:tcBorders>
            <w:shd w:val="clear" w:color="000000" w:fill="7F7F7F"/>
            <w:noWrap/>
            <w:vAlign w:val="center"/>
            <w:hideMark/>
          </w:tcPr>
          <w:p w:rsidR="009610B9" w:rsidRPr="006F27B6" w:rsidRDefault="009610B9" w:rsidP="004E7315">
            <w:pPr>
              <w:jc w:val="right"/>
              <w:rPr>
                <w:rFonts w:cs="Arial"/>
                <w:b/>
                <w:bCs/>
                <w:color w:val="FFFFFF"/>
                <w:szCs w:val="18"/>
                <w:lang w:eastAsia="en-AU"/>
              </w:rPr>
            </w:pPr>
            <w:r w:rsidRPr="006F27B6">
              <w:rPr>
                <w:rFonts w:cs="Arial"/>
                <w:b/>
                <w:bCs/>
                <w:color w:val="FFFFFF"/>
                <w:szCs w:val="18"/>
                <w:lang w:eastAsia="en-AU"/>
              </w:rPr>
              <w:t>2014</w:t>
            </w:r>
          </w:p>
        </w:tc>
        <w:tc>
          <w:tcPr>
            <w:tcW w:w="1023" w:type="dxa"/>
            <w:tcBorders>
              <w:top w:val="nil"/>
              <w:left w:val="nil"/>
              <w:bottom w:val="nil"/>
              <w:right w:val="nil"/>
            </w:tcBorders>
            <w:shd w:val="clear" w:color="000000" w:fill="7F7F7F"/>
            <w:noWrap/>
            <w:vAlign w:val="center"/>
            <w:hideMark/>
          </w:tcPr>
          <w:p w:rsidR="009610B9" w:rsidRPr="006F27B6" w:rsidRDefault="009610B9" w:rsidP="004E7315">
            <w:pPr>
              <w:jc w:val="right"/>
              <w:rPr>
                <w:rFonts w:cs="Arial"/>
                <w:b/>
                <w:bCs/>
                <w:color w:val="FFFFFF"/>
                <w:szCs w:val="18"/>
                <w:lang w:eastAsia="en-AU"/>
              </w:rPr>
            </w:pPr>
            <w:r w:rsidRPr="006F27B6">
              <w:rPr>
                <w:rFonts w:cs="Arial"/>
                <w:b/>
                <w:bCs/>
                <w:color w:val="FFFFFF"/>
                <w:szCs w:val="18"/>
                <w:lang w:eastAsia="en-AU"/>
              </w:rPr>
              <w:t>2015</w:t>
            </w:r>
          </w:p>
        </w:tc>
      </w:tr>
      <w:tr w:rsidR="009610B9" w:rsidRPr="006F27B6" w:rsidTr="004E7315">
        <w:trPr>
          <w:trHeight w:val="300"/>
        </w:trPr>
        <w:tc>
          <w:tcPr>
            <w:tcW w:w="1960" w:type="dxa"/>
            <w:tcBorders>
              <w:top w:val="nil"/>
              <w:left w:val="nil"/>
              <w:bottom w:val="nil"/>
              <w:right w:val="nil"/>
            </w:tcBorders>
            <w:shd w:val="clear" w:color="auto" w:fill="auto"/>
            <w:noWrap/>
            <w:vAlign w:val="center"/>
            <w:hideMark/>
          </w:tcPr>
          <w:p w:rsidR="009610B9" w:rsidRPr="006F27B6" w:rsidRDefault="009610B9" w:rsidP="004E7315">
            <w:pPr>
              <w:rPr>
                <w:rFonts w:cs="Arial"/>
                <w:color w:val="7F7F7F"/>
                <w:szCs w:val="18"/>
                <w:lang w:eastAsia="en-AU"/>
              </w:rPr>
            </w:pPr>
            <w:r w:rsidRPr="006F27B6">
              <w:rPr>
                <w:rFonts w:cs="Arial"/>
                <w:color w:val="7F7F7F"/>
                <w:szCs w:val="18"/>
                <w:lang w:eastAsia="en-AU"/>
              </w:rPr>
              <w:t>CALD (LOTE)</w:t>
            </w:r>
          </w:p>
        </w:tc>
        <w:tc>
          <w:tcPr>
            <w:tcW w:w="1022" w:type="dxa"/>
            <w:tcBorders>
              <w:top w:val="nil"/>
              <w:left w:val="nil"/>
              <w:bottom w:val="nil"/>
              <w:right w:val="nil"/>
            </w:tcBorders>
            <w:shd w:val="clear" w:color="auto" w:fill="auto"/>
            <w:noWrap/>
            <w:vAlign w:val="center"/>
            <w:hideMark/>
          </w:tcPr>
          <w:p w:rsidR="009610B9" w:rsidRPr="006F27B6" w:rsidRDefault="009610B9" w:rsidP="004E7315">
            <w:pPr>
              <w:jc w:val="right"/>
              <w:rPr>
                <w:rFonts w:cs="Arial"/>
                <w:color w:val="7F7F7F"/>
                <w:szCs w:val="18"/>
                <w:lang w:eastAsia="en-AU"/>
              </w:rPr>
            </w:pPr>
            <w:r w:rsidRPr="006F27B6">
              <w:rPr>
                <w:rFonts w:cs="Arial"/>
                <w:color w:val="7F7F7F"/>
                <w:szCs w:val="18"/>
                <w:lang w:eastAsia="en-AU"/>
              </w:rPr>
              <w:t>4,583</w:t>
            </w:r>
          </w:p>
        </w:tc>
        <w:tc>
          <w:tcPr>
            <w:tcW w:w="1023" w:type="dxa"/>
            <w:tcBorders>
              <w:top w:val="nil"/>
              <w:left w:val="nil"/>
              <w:bottom w:val="nil"/>
              <w:right w:val="nil"/>
            </w:tcBorders>
            <w:shd w:val="clear" w:color="auto" w:fill="auto"/>
            <w:noWrap/>
            <w:vAlign w:val="center"/>
            <w:hideMark/>
          </w:tcPr>
          <w:p w:rsidR="009610B9" w:rsidRPr="006F27B6" w:rsidRDefault="009610B9" w:rsidP="004E7315">
            <w:pPr>
              <w:jc w:val="right"/>
              <w:rPr>
                <w:rFonts w:cs="Arial"/>
                <w:color w:val="7F7F7F"/>
                <w:szCs w:val="18"/>
                <w:lang w:eastAsia="en-AU"/>
              </w:rPr>
            </w:pPr>
            <w:r w:rsidRPr="006F27B6">
              <w:rPr>
                <w:rFonts w:cs="Arial"/>
                <w:color w:val="7F7F7F"/>
                <w:szCs w:val="18"/>
                <w:lang w:eastAsia="en-AU"/>
              </w:rPr>
              <w:t>4,360</w:t>
            </w:r>
          </w:p>
        </w:tc>
        <w:tc>
          <w:tcPr>
            <w:tcW w:w="1022" w:type="dxa"/>
            <w:tcBorders>
              <w:top w:val="nil"/>
              <w:left w:val="nil"/>
              <w:bottom w:val="nil"/>
              <w:right w:val="nil"/>
            </w:tcBorders>
            <w:shd w:val="clear" w:color="auto" w:fill="auto"/>
            <w:noWrap/>
            <w:vAlign w:val="center"/>
            <w:hideMark/>
          </w:tcPr>
          <w:p w:rsidR="009610B9" w:rsidRPr="006F27B6" w:rsidRDefault="009610B9" w:rsidP="004E7315">
            <w:pPr>
              <w:jc w:val="right"/>
              <w:rPr>
                <w:rFonts w:cs="Arial"/>
                <w:color w:val="7F7F7F"/>
                <w:szCs w:val="18"/>
                <w:lang w:eastAsia="en-AU"/>
              </w:rPr>
            </w:pPr>
            <w:r w:rsidRPr="006F27B6">
              <w:rPr>
                <w:rFonts w:cs="Arial"/>
                <w:color w:val="7F7F7F"/>
                <w:szCs w:val="18"/>
                <w:lang w:eastAsia="en-AU"/>
              </w:rPr>
              <w:t>5,964</w:t>
            </w:r>
          </w:p>
        </w:tc>
        <w:tc>
          <w:tcPr>
            <w:tcW w:w="1023" w:type="dxa"/>
            <w:tcBorders>
              <w:top w:val="nil"/>
              <w:left w:val="nil"/>
              <w:bottom w:val="nil"/>
              <w:right w:val="nil"/>
            </w:tcBorders>
            <w:shd w:val="clear" w:color="auto" w:fill="auto"/>
            <w:noWrap/>
            <w:vAlign w:val="center"/>
            <w:hideMark/>
          </w:tcPr>
          <w:p w:rsidR="009610B9" w:rsidRPr="006F27B6" w:rsidRDefault="009610B9" w:rsidP="004E7315">
            <w:pPr>
              <w:jc w:val="right"/>
              <w:rPr>
                <w:rFonts w:cs="Arial"/>
                <w:color w:val="7F7F7F"/>
                <w:szCs w:val="18"/>
                <w:lang w:eastAsia="en-AU"/>
              </w:rPr>
            </w:pPr>
            <w:r w:rsidRPr="006F27B6">
              <w:rPr>
                <w:rFonts w:cs="Arial"/>
                <w:color w:val="7F7F7F"/>
                <w:szCs w:val="18"/>
                <w:lang w:eastAsia="en-AU"/>
              </w:rPr>
              <w:t>5,874</w:t>
            </w:r>
          </w:p>
        </w:tc>
        <w:tc>
          <w:tcPr>
            <w:tcW w:w="1022" w:type="dxa"/>
            <w:tcBorders>
              <w:top w:val="nil"/>
              <w:left w:val="nil"/>
              <w:bottom w:val="nil"/>
              <w:right w:val="nil"/>
            </w:tcBorders>
            <w:shd w:val="clear" w:color="auto" w:fill="auto"/>
            <w:noWrap/>
            <w:vAlign w:val="center"/>
            <w:hideMark/>
          </w:tcPr>
          <w:p w:rsidR="009610B9" w:rsidRPr="006F27B6" w:rsidRDefault="009610B9" w:rsidP="004E7315">
            <w:pPr>
              <w:jc w:val="right"/>
              <w:rPr>
                <w:rFonts w:cs="Arial"/>
                <w:color w:val="7F7F7F"/>
                <w:szCs w:val="18"/>
                <w:lang w:eastAsia="en-AU"/>
              </w:rPr>
            </w:pPr>
            <w:r w:rsidRPr="006F27B6">
              <w:rPr>
                <w:rFonts w:cs="Arial"/>
                <w:color w:val="7F7F7F"/>
                <w:szCs w:val="18"/>
                <w:lang w:eastAsia="en-AU"/>
              </w:rPr>
              <w:t>5,158</w:t>
            </w:r>
          </w:p>
        </w:tc>
        <w:tc>
          <w:tcPr>
            <w:tcW w:w="1023" w:type="dxa"/>
            <w:tcBorders>
              <w:top w:val="nil"/>
              <w:left w:val="nil"/>
              <w:bottom w:val="nil"/>
              <w:right w:val="nil"/>
            </w:tcBorders>
            <w:shd w:val="clear" w:color="auto" w:fill="auto"/>
            <w:noWrap/>
            <w:vAlign w:val="center"/>
            <w:hideMark/>
          </w:tcPr>
          <w:p w:rsidR="009610B9" w:rsidRPr="006F27B6" w:rsidRDefault="009610B9" w:rsidP="004E7315">
            <w:pPr>
              <w:jc w:val="right"/>
              <w:rPr>
                <w:rFonts w:cs="Arial"/>
                <w:color w:val="7F7F7F"/>
                <w:szCs w:val="18"/>
                <w:lang w:eastAsia="en-AU"/>
              </w:rPr>
            </w:pPr>
            <w:r w:rsidRPr="006F27B6">
              <w:rPr>
                <w:rFonts w:cs="Arial"/>
                <w:color w:val="7F7F7F"/>
                <w:szCs w:val="18"/>
                <w:lang w:eastAsia="en-AU"/>
              </w:rPr>
              <w:t>6,298</w:t>
            </w:r>
          </w:p>
        </w:tc>
      </w:tr>
      <w:tr w:rsidR="009610B9" w:rsidRPr="006F27B6" w:rsidTr="004E7315">
        <w:trPr>
          <w:trHeight w:val="300"/>
        </w:trPr>
        <w:tc>
          <w:tcPr>
            <w:tcW w:w="1960" w:type="dxa"/>
            <w:tcBorders>
              <w:top w:val="nil"/>
              <w:left w:val="nil"/>
              <w:bottom w:val="nil"/>
              <w:right w:val="nil"/>
            </w:tcBorders>
            <w:shd w:val="clear" w:color="auto" w:fill="auto"/>
            <w:noWrap/>
            <w:vAlign w:val="center"/>
            <w:hideMark/>
          </w:tcPr>
          <w:p w:rsidR="009610B9" w:rsidRPr="006F27B6" w:rsidRDefault="009610B9" w:rsidP="004E7315">
            <w:pPr>
              <w:rPr>
                <w:rFonts w:cs="Arial"/>
                <w:color w:val="7F7F7F"/>
                <w:szCs w:val="18"/>
                <w:lang w:eastAsia="en-AU"/>
              </w:rPr>
            </w:pPr>
            <w:r w:rsidRPr="006F27B6">
              <w:rPr>
                <w:rFonts w:cs="Arial"/>
                <w:color w:val="7F7F7F"/>
                <w:szCs w:val="18"/>
                <w:lang w:eastAsia="en-AU"/>
              </w:rPr>
              <w:t>Disability</w:t>
            </w:r>
          </w:p>
        </w:tc>
        <w:tc>
          <w:tcPr>
            <w:tcW w:w="1022" w:type="dxa"/>
            <w:tcBorders>
              <w:top w:val="nil"/>
              <w:left w:val="nil"/>
              <w:bottom w:val="nil"/>
              <w:right w:val="nil"/>
            </w:tcBorders>
            <w:shd w:val="clear" w:color="auto" w:fill="auto"/>
            <w:noWrap/>
            <w:vAlign w:val="center"/>
            <w:hideMark/>
          </w:tcPr>
          <w:p w:rsidR="009610B9" w:rsidRPr="006F27B6" w:rsidRDefault="009610B9" w:rsidP="004E7315">
            <w:pPr>
              <w:jc w:val="right"/>
              <w:rPr>
                <w:rFonts w:cs="Arial"/>
                <w:color w:val="7F7F7F"/>
                <w:szCs w:val="18"/>
                <w:lang w:eastAsia="en-AU"/>
              </w:rPr>
            </w:pPr>
            <w:r w:rsidRPr="006F27B6">
              <w:rPr>
                <w:rFonts w:cs="Arial"/>
                <w:color w:val="7F7F7F"/>
                <w:szCs w:val="18"/>
                <w:lang w:eastAsia="en-AU"/>
              </w:rPr>
              <w:t>3,283</w:t>
            </w:r>
          </w:p>
        </w:tc>
        <w:tc>
          <w:tcPr>
            <w:tcW w:w="1023" w:type="dxa"/>
            <w:tcBorders>
              <w:top w:val="nil"/>
              <w:left w:val="nil"/>
              <w:bottom w:val="nil"/>
              <w:right w:val="nil"/>
            </w:tcBorders>
            <w:shd w:val="clear" w:color="auto" w:fill="auto"/>
            <w:noWrap/>
            <w:vAlign w:val="center"/>
            <w:hideMark/>
          </w:tcPr>
          <w:p w:rsidR="009610B9" w:rsidRPr="006F27B6" w:rsidRDefault="009610B9" w:rsidP="004E7315">
            <w:pPr>
              <w:jc w:val="right"/>
              <w:rPr>
                <w:rFonts w:cs="Arial"/>
                <w:color w:val="7F7F7F"/>
                <w:szCs w:val="18"/>
                <w:lang w:eastAsia="en-AU"/>
              </w:rPr>
            </w:pPr>
            <w:r w:rsidRPr="006F27B6">
              <w:rPr>
                <w:rFonts w:cs="Arial"/>
                <w:color w:val="7F7F7F"/>
                <w:szCs w:val="18"/>
                <w:lang w:eastAsia="en-AU"/>
              </w:rPr>
              <w:t>3,302</w:t>
            </w:r>
          </w:p>
        </w:tc>
        <w:tc>
          <w:tcPr>
            <w:tcW w:w="1022" w:type="dxa"/>
            <w:tcBorders>
              <w:top w:val="nil"/>
              <w:left w:val="nil"/>
              <w:bottom w:val="nil"/>
              <w:right w:val="nil"/>
            </w:tcBorders>
            <w:shd w:val="clear" w:color="auto" w:fill="auto"/>
            <w:noWrap/>
            <w:vAlign w:val="center"/>
            <w:hideMark/>
          </w:tcPr>
          <w:p w:rsidR="009610B9" w:rsidRPr="006F27B6" w:rsidRDefault="009610B9" w:rsidP="004E7315">
            <w:pPr>
              <w:jc w:val="right"/>
              <w:rPr>
                <w:rFonts w:cs="Arial"/>
                <w:color w:val="7F7F7F"/>
                <w:szCs w:val="18"/>
                <w:lang w:eastAsia="en-AU"/>
              </w:rPr>
            </w:pPr>
            <w:r w:rsidRPr="006F27B6">
              <w:rPr>
                <w:rFonts w:cs="Arial"/>
                <w:color w:val="7F7F7F"/>
                <w:szCs w:val="18"/>
                <w:lang w:eastAsia="en-AU"/>
              </w:rPr>
              <w:t>4,310</w:t>
            </w:r>
          </w:p>
        </w:tc>
        <w:tc>
          <w:tcPr>
            <w:tcW w:w="1023" w:type="dxa"/>
            <w:tcBorders>
              <w:top w:val="nil"/>
              <w:left w:val="nil"/>
              <w:bottom w:val="nil"/>
              <w:right w:val="nil"/>
            </w:tcBorders>
            <w:shd w:val="clear" w:color="auto" w:fill="auto"/>
            <w:noWrap/>
            <w:vAlign w:val="center"/>
            <w:hideMark/>
          </w:tcPr>
          <w:p w:rsidR="009610B9" w:rsidRPr="006F27B6" w:rsidRDefault="009610B9" w:rsidP="004E7315">
            <w:pPr>
              <w:jc w:val="right"/>
              <w:rPr>
                <w:rFonts w:cs="Arial"/>
                <w:color w:val="7F7F7F"/>
                <w:szCs w:val="18"/>
                <w:lang w:eastAsia="en-AU"/>
              </w:rPr>
            </w:pPr>
            <w:r w:rsidRPr="006F27B6">
              <w:rPr>
                <w:rFonts w:cs="Arial"/>
                <w:color w:val="7F7F7F"/>
                <w:szCs w:val="18"/>
                <w:lang w:eastAsia="en-AU"/>
              </w:rPr>
              <w:t>3,964</w:t>
            </w:r>
          </w:p>
        </w:tc>
        <w:tc>
          <w:tcPr>
            <w:tcW w:w="1022" w:type="dxa"/>
            <w:tcBorders>
              <w:top w:val="nil"/>
              <w:left w:val="nil"/>
              <w:bottom w:val="nil"/>
              <w:right w:val="nil"/>
            </w:tcBorders>
            <w:shd w:val="clear" w:color="auto" w:fill="auto"/>
            <w:noWrap/>
            <w:vAlign w:val="center"/>
            <w:hideMark/>
          </w:tcPr>
          <w:p w:rsidR="009610B9" w:rsidRPr="006F27B6" w:rsidRDefault="009610B9" w:rsidP="004E7315">
            <w:pPr>
              <w:jc w:val="right"/>
              <w:rPr>
                <w:rFonts w:cs="Arial"/>
                <w:color w:val="7F7F7F"/>
                <w:szCs w:val="18"/>
                <w:lang w:eastAsia="en-AU"/>
              </w:rPr>
            </w:pPr>
            <w:r w:rsidRPr="006F27B6">
              <w:rPr>
                <w:rFonts w:cs="Arial"/>
                <w:color w:val="7F7F7F"/>
                <w:szCs w:val="18"/>
                <w:lang w:eastAsia="en-AU"/>
              </w:rPr>
              <w:t>4,267</w:t>
            </w:r>
          </w:p>
        </w:tc>
        <w:tc>
          <w:tcPr>
            <w:tcW w:w="1023" w:type="dxa"/>
            <w:tcBorders>
              <w:top w:val="nil"/>
              <w:left w:val="nil"/>
              <w:bottom w:val="nil"/>
              <w:right w:val="nil"/>
            </w:tcBorders>
            <w:shd w:val="clear" w:color="auto" w:fill="auto"/>
            <w:noWrap/>
            <w:vAlign w:val="center"/>
            <w:hideMark/>
          </w:tcPr>
          <w:p w:rsidR="009610B9" w:rsidRPr="006F27B6" w:rsidRDefault="009610B9" w:rsidP="004E7315">
            <w:pPr>
              <w:jc w:val="right"/>
              <w:rPr>
                <w:rFonts w:cs="Arial"/>
                <w:color w:val="7F7F7F"/>
                <w:szCs w:val="18"/>
                <w:lang w:eastAsia="en-AU"/>
              </w:rPr>
            </w:pPr>
            <w:r w:rsidRPr="006F27B6">
              <w:rPr>
                <w:rFonts w:cs="Arial"/>
                <w:color w:val="7F7F7F"/>
                <w:szCs w:val="18"/>
                <w:lang w:eastAsia="en-AU"/>
              </w:rPr>
              <w:t>4,557</w:t>
            </w:r>
          </w:p>
        </w:tc>
      </w:tr>
      <w:tr w:rsidR="009610B9" w:rsidRPr="006F27B6" w:rsidTr="004E7315">
        <w:trPr>
          <w:trHeight w:val="300"/>
        </w:trPr>
        <w:tc>
          <w:tcPr>
            <w:tcW w:w="1960" w:type="dxa"/>
            <w:tcBorders>
              <w:top w:val="nil"/>
              <w:left w:val="nil"/>
              <w:bottom w:val="nil"/>
              <w:right w:val="nil"/>
            </w:tcBorders>
            <w:shd w:val="clear" w:color="auto" w:fill="auto"/>
            <w:noWrap/>
            <w:vAlign w:val="center"/>
            <w:hideMark/>
          </w:tcPr>
          <w:p w:rsidR="009610B9" w:rsidRPr="006F27B6" w:rsidRDefault="009610B9" w:rsidP="004E7315">
            <w:pPr>
              <w:rPr>
                <w:rFonts w:cs="Arial"/>
                <w:color w:val="7F7F7F"/>
                <w:szCs w:val="18"/>
                <w:lang w:eastAsia="en-AU"/>
              </w:rPr>
            </w:pPr>
            <w:r w:rsidRPr="006F27B6">
              <w:rPr>
                <w:rFonts w:cs="Arial"/>
                <w:color w:val="7F7F7F"/>
                <w:szCs w:val="18"/>
                <w:lang w:eastAsia="en-AU"/>
              </w:rPr>
              <w:t>Disengaged Youth</w:t>
            </w:r>
          </w:p>
        </w:tc>
        <w:tc>
          <w:tcPr>
            <w:tcW w:w="1022" w:type="dxa"/>
            <w:tcBorders>
              <w:top w:val="nil"/>
              <w:left w:val="nil"/>
              <w:bottom w:val="nil"/>
              <w:right w:val="nil"/>
            </w:tcBorders>
            <w:shd w:val="clear" w:color="auto" w:fill="auto"/>
            <w:noWrap/>
            <w:vAlign w:val="center"/>
            <w:hideMark/>
          </w:tcPr>
          <w:p w:rsidR="009610B9" w:rsidRPr="006F27B6" w:rsidRDefault="009610B9" w:rsidP="004E7315">
            <w:pPr>
              <w:jc w:val="right"/>
              <w:rPr>
                <w:rFonts w:cs="Arial"/>
                <w:color w:val="7F7F7F"/>
                <w:szCs w:val="18"/>
                <w:lang w:eastAsia="en-AU"/>
              </w:rPr>
            </w:pPr>
            <w:r w:rsidRPr="006F27B6">
              <w:rPr>
                <w:rFonts w:cs="Arial"/>
                <w:color w:val="7F7F7F"/>
                <w:szCs w:val="18"/>
                <w:lang w:eastAsia="en-AU"/>
              </w:rPr>
              <w:t>1,320</w:t>
            </w:r>
          </w:p>
        </w:tc>
        <w:tc>
          <w:tcPr>
            <w:tcW w:w="1023" w:type="dxa"/>
            <w:tcBorders>
              <w:top w:val="nil"/>
              <w:left w:val="nil"/>
              <w:bottom w:val="nil"/>
              <w:right w:val="nil"/>
            </w:tcBorders>
            <w:shd w:val="clear" w:color="auto" w:fill="auto"/>
            <w:noWrap/>
            <w:vAlign w:val="center"/>
            <w:hideMark/>
          </w:tcPr>
          <w:p w:rsidR="009610B9" w:rsidRPr="006F27B6" w:rsidRDefault="009610B9" w:rsidP="004E7315">
            <w:pPr>
              <w:jc w:val="right"/>
              <w:rPr>
                <w:rFonts w:cs="Arial"/>
                <w:color w:val="7F7F7F"/>
                <w:szCs w:val="18"/>
                <w:lang w:eastAsia="en-AU"/>
              </w:rPr>
            </w:pPr>
            <w:r w:rsidRPr="006F27B6">
              <w:rPr>
                <w:rFonts w:cs="Arial"/>
                <w:color w:val="7F7F7F"/>
                <w:szCs w:val="18"/>
                <w:lang w:eastAsia="en-AU"/>
              </w:rPr>
              <w:t>1,516</w:t>
            </w:r>
          </w:p>
        </w:tc>
        <w:tc>
          <w:tcPr>
            <w:tcW w:w="1022" w:type="dxa"/>
            <w:tcBorders>
              <w:top w:val="nil"/>
              <w:left w:val="nil"/>
              <w:bottom w:val="nil"/>
              <w:right w:val="nil"/>
            </w:tcBorders>
            <w:shd w:val="clear" w:color="auto" w:fill="auto"/>
            <w:noWrap/>
            <w:vAlign w:val="center"/>
            <w:hideMark/>
          </w:tcPr>
          <w:p w:rsidR="009610B9" w:rsidRPr="006F27B6" w:rsidRDefault="009610B9" w:rsidP="004E7315">
            <w:pPr>
              <w:jc w:val="right"/>
              <w:rPr>
                <w:rFonts w:cs="Arial"/>
                <w:color w:val="7F7F7F"/>
                <w:szCs w:val="18"/>
                <w:lang w:eastAsia="en-AU"/>
              </w:rPr>
            </w:pPr>
            <w:r w:rsidRPr="006F27B6">
              <w:rPr>
                <w:rFonts w:cs="Arial"/>
                <w:color w:val="7F7F7F"/>
                <w:szCs w:val="18"/>
                <w:lang w:eastAsia="en-AU"/>
              </w:rPr>
              <w:t>2,463</w:t>
            </w:r>
          </w:p>
        </w:tc>
        <w:tc>
          <w:tcPr>
            <w:tcW w:w="1023" w:type="dxa"/>
            <w:tcBorders>
              <w:top w:val="nil"/>
              <w:left w:val="nil"/>
              <w:bottom w:val="nil"/>
              <w:right w:val="nil"/>
            </w:tcBorders>
            <w:shd w:val="clear" w:color="auto" w:fill="auto"/>
            <w:noWrap/>
            <w:vAlign w:val="center"/>
            <w:hideMark/>
          </w:tcPr>
          <w:p w:rsidR="009610B9" w:rsidRPr="006F27B6" w:rsidRDefault="009610B9" w:rsidP="004E7315">
            <w:pPr>
              <w:jc w:val="right"/>
              <w:rPr>
                <w:rFonts w:cs="Arial"/>
                <w:color w:val="7F7F7F"/>
                <w:szCs w:val="18"/>
                <w:lang w:eastAsia="en-AU"/>
              </w:rPr>
            </w:pPr>
            <w:r w:rsidRPr="006F27B6">
              <w:rPr>
                <w:rFonts w:cs="Arial"/>
                <w:color w:val="7F7F7F"/>
                <w:szCs w:val="18"/>
                <w:lang w:eastAsia="en-AU"/>
              </w:rPr>
              <w:t>1,989</w:t>
            </w:r>
          </w:p>
        </w:tc>
        <w:tc>
          <w:tcPr>
            <w:tcW w:w="1022" w:type="dxa"/>
            <w:tcBorders>
              <w:top w:val="nil"/>
              <w:left w:val="nil"/>
              <w:bottom w:val="nil"/>
              <w:right w:val="nil"/>
            </w:tcBorders>
            <w:shd w:val="clear" w:color="auto" w:fill="auto"/>
            <w:noWrap/>
            <w:vAlign w:val="center"/>
            <w:hideMark/>
          </w:tcPr>
          <w:p w:rsidR="009610B9" w:rsidRPr="006F27B6" w:rsidRDefault="009610B9" w:rsidP="004E7315">
            <w:pPr>
              <w:jc w:val="right"/>
              <w:rPr>
                <w:rFonts w:cs="Arial"/>
                <w:color w:val="7F7F7F"/>
                <w:szCs w:val="18"/>
                <w:lang w:eastAsia="en-AU"/>
              </w:rPr>
            </w:pPr>
            <w:r w:rsidRPr="006F27B6">
              <w:rPr>
                <w:rFonts w:cs="Arial"/>
                <w:color w:val="7F7F7F"/>
                <w:szCs w:val="18"/>
                <w:lang w:eastAsia="en-AU"/>
              </w:rPr>
              <w:t>1,907</w:t>
            </w:r>
          </w:p>
        </w:tc>
        <w:tc>
          <w:tcPr>
            <w:tcW w:w="1023" w:type="dxa"/>
            <w:tcBorders>
              <w:top w:val="nil"/>
              <w:left w:val="nil"/>
              <w:bottom w:val="nil"/>
              <w:right w:val="nil"/>
            </w:tcBorders>
            <w:shd w:val="clear" w:color="auto" w:fill="auto"/>
            <w:noWrap/>
            <w:vAlign w:val="center"/>
            <w:hideMark/>
          </w:tcPr>
          <w:p w:rsidR="009610B9" w:rsidRPr="006F27B6" w:rsidRDefault="009610B9" w:rsidP="004E7315">
            <w:pPr>
              <w:jc w:val="right"/>
              <w:rPr>
                <w:rFonts w:cs="Arial"/>
                <w:color w:val="7F7F7F"/>
                <w:szCs w:val="18"/>
                <w:lang w:eastAsia="en-AU"/>
              </w:rPr>
            </w:pPr>
            <w:r w:rsidRPr="006F27B6">
              <w:rPr>
                <w:rFonts w:cs="Arial"/>
                <w:color w:val="7F7F7F"/>
                <w:szCs w:val="18"/>
                <w:lang w:eastAsia="en-AU"/>
              </w:rPr>
              <w:t>1,616</w:t>
            </w:r>
          </w:p>
        </w:tc>
      </w:tr>
      <w:tr w:rsidR="009610B9" w:rsidRPr="006F27B6" w:rsidTr="004E7315">
        <w:trPr>
          <w:trHeight w:val="300"/>
        </w:trPr>
        <w:tc>
          <w:tcPr>
            <w:tcW w:w="1960" w:type="dxa"/>
            <w:tcBorders>
              <w:top w:val="nil"/>
              <w:left w:val="nil"/>
              <w:bottom w:val="nil"/>
              <w:right w:val="nil"/>
            </w:tcBorders>
            <w:shd w:val="clear" w:color="auto" w:fill="auto"/>
            <w:noWrap/>
            <w:vAlign w:val="center"/>
            <w:hideMark/>
          </w:tcPr>
          <w:p w:rsidR="009610B9" w:rsidRPr="006F27B6" w:rsidRDefault="009610B9" w:rsidP="004E7315">
            <w:pPr>
              <w:rPr>
                <w:rFonts w:cs="Arial"/>
                <w:color w:val="7F7F7F"/>
                <w:szCs w:val="18"/>
                <w:lang w:eastAsia="en-AU"/>
              </w:rPr>
            </w:pPr>
            <w:r w:rsidRPr="006F27B6">
              <w:rPr>
                <w:rFonts w:cs="Arial"/>
                <w:color w:val="7F7F7F"/>
                <w:szCs w:val="18"/>
                <w:lang w:eastAsia="en-AU"/>
              </w:rPr>
              <w:t>Early school leavers</w:t>
            </w:r>
          </w:p>
        </w:tc>
        <w:tc>
          <w:tcPr>
            <w:tcW w:w="1022" w:type="dxa"/>
            <w:tcBorders>
              <w:top w:val="nil"/>
              <w:left w:val="nil"/>
              <w:bottom w:val="nil"/>
              <w:right w:val="nil"/>
            </w:tcBorders>
            <w:shd w:val="clear" w:color="auto" w:fill="auto"/>
            <w:noWrap/>
            <w:vAlign w:val="center"/>
            <w:hideMark/>
          </w:tcPr>
          <w:p w:rsidR="009610B9" w:rsidRPr="006F27B6" w:rsidRDefault="009610B9" w:rsidP="004E7315">
            <w:pPr>
              <w:jc w:val="right"/>
              <w:rPr>
                <w:rFonts w:cs="Arial"/>
                <w:color w:val="7F7F7F"/>
                <w:szCs w:val="18"/>
                <w:lang w:eastAsia="en-AU"/>
              </w:rPr>
            </w:pPr>
            <w:r w:rsidRPr="006F27B6">
              <w:rPr>
                <w:rFonts w:cs="Arial"/>
                <w:color w:val="7F7F7F"/>
                <w:szCs w:val="18"/>
                <w:lang w:eastAsia="en-AU"/>
              </w:rPr>
              <w:t>4,771</w:t>
            </w:r>
          </w:p>
        </w:tc>
        <w:tc>
          <w:tcPr>
            <w:tcW w:w="1023" w:type="dxa"/>
            <w:tcBorders>
              <w:top w:val="nil"/>
              <w:left w:val="nil"/>
              <w:bottom w:val="nil"/>
              <w:right w:val="nil"/>
            </w:tcBorders>
            <w:shd w:val="clear" w:color="auto" w:fill="auto"/>
            <w:noWrap/>
            <w:vAlign w:val="center"/>
            <w:hideMark/>
          </w:tcPr>
          <w:p w:rsidR="009610B9" w:rsidRPr="006F27B6" w:rsidRDefault="009610B9" w:rsidP="004E7315">
            <w:pPr>
              <w:jc w:val="right"/>
              <w:rPr>
                <w:rFonts w:cs="Arial"/>
                <w:color w:val="7F7F7F"/>
                <w:szCs w:val="18"/>
                <w:lang w:eastAsia="en-AU"/>
              </w:rPr>
            </w:pPr>
            <w:r w:rsidRPr="006F27B6">
              <w:rPr>
                <w:rFonts w:cs="Arial"/>
                <w:color w:val="7F7F7F"/>
                <w:szCs w:val="18"/>
                <w:lang w:eastAsia="en-AU"/>
              </w:rPr>
              <w:t>4,662</w:t>
            </w:r>
          </w:p>
        </w:tc>
        <w:tc>
          <w:tcPr>
            <w:tcW w:w="1022" w:type="dxa"/>
            <w:tcBorders>
              <w:top w:val="nil"/>
              <w:left w:val="nil"/>
              <w:bottom w:val="nil"/>
              <w:right w:val="nil"/>
            </w:tcBorders>
            <w:shd w:val="clear" w:color="auto" w:fill="auto"/>
            <w:noWrap/>
            <w:vAlign w:val="center"/>
            <w:hideMark/>
          </w:tcPr>
          <w:p w:rsidR="009610B9" w:rsidRPr="006F27B6" w:rsidRDefault="009610B9" w:rsidP="004E7315">
            <w:pPr>
              <w:jc w:val="right"/>
              <w:rPr>
                <w:rFonts w:cs="Arial"/>
                <w:color w:val="7F7F7F"/>
                <w:szCs w:val="18"/>
                <w:lang w:eastAsia="en-AU"/>
              </w:rPr>
            </w:pPr>
            <w:r w:rsidRPr="006F27B6">
              <w:rPr>
                <w:rFonts w:cs="Arial"/>
                <w:color w:val="7F7F7F"/>
                <w:szCs w:val="18"/>
                <w:lang w:eastAsia="en-AU"/>
              </w:rPr>
              <w:t>6,328</w:t>
            </w:r>
          </w:p>
        </w:tc>
        <w:tc>
          <w:tcPr>
            <w:tcW w:w="1023" w:type="dxa"/>
            <w:tcBorders>
              <w:top w:val="nil"/>
              <w:left w:val="nil"/>
              <w:bottom w:val="nil"/>
              <w:right w:val="nil"/>
            </w:tcBorders>
            <w:shd w:val="clear" w:color="auto" w:fill="auto"/>
            <w:noWrap/>
            <w:vAlign w:val="center"/>
            <w:hideMark/>
          </w:tcPr>
          <w:p w:rsidR="009610B9" w:rsidRPr="006F27B6" w:rsidRDefault="009610B9" w:rsidP="004E7315">
            <w:pPr>
              <w:jc w:val="right"/>
              <w:rPr>
                <w:rFonts w:cs="Arial"/>
                <w:color w:val="7F7F7F"/>
                <w:szCs w:val="18"/>
                <w:lang w:eastAsia="en-AU"/>
              </w:rPr>
            </w:pPr>
            <w:r w:rsidRPr="006F27B6">
              <w:rPr>
                <w:rFonts w:cs="Arial"/>
                <w:color w:val="7F7F7F"/>
                <w:szCs w:val="18"/>
                <w:lang w:eastAsia="en-AU"/>
              </w:rPr>
              <w:t>4,707</w:t>
            </w:r>
          </w:p>
        </w:tc>
        <w:tc>
          <w:tcPr>
            <w:tcW w:w="1022" w:type="dxa"/>
            <w:tcBorders>
              <w:top w:val="nil"/>
              <w:left w:val="nil"/>
              <w:bottom w:val="nil"/>
              <w:right w:val="nil"/>
            </w:tcBorders>
            <w:shd w:val="clear" w:color="auto" w:fill="auto"/>
            <w:noWrap/>
            <w:vAlign w:val="center"/>
            <w:hideMark/>
          </w:tcPr>
          <w:p w:rsidR="009610B9" w:rsidRPr="006F27B6" w:rsidRDefault="009610B9" w:rsidP="004E7315">
            <w:pPr>
              <w:jc w:val="right"/>
              <w:rPr>
                <w:rFonts w:cs="Arial"/>
                <w:color w:val="7F7F7F"/>
                <w:szCs w:val="18"/>
                <w:lang w:eastAsia="en-AU"/>
              </w:rPr>
            </w:pPr>
            <w:r w:rsidRPr="006F27B6">
              <w:rPr>
                <w:rFonts w:cs="Arial"/>
                <w:color w:val="7F7F7F"/>
                <w:szCs w:val="18"/>
                <w:lang w:eastAsia="en-AU"/>
              </w:rPr>
              <w:t>4,203</w:t>
            </w:r>
          </w:p>
        </w:tc>
        <w:tc>
          <w:tcPr>
            <w:tcW w:w="1023" w:type="dxa"/>
            <w:tcBorders>
              <w:top w:val="nil"/>
              <w:left w:val="nil"/>
              <w:bottom w:val="nil"/>
              <w:right w:val="nil"/>
            </w:tcBorders>
            <w:shd w:val="clear" w:color="auto" w:fill="auto"/>
            <w:noWrap/>
            <w:vAlign w:val="center"/>
            <w:hideMark/>
          </w:tcPr>
          <w:p w:rsidR="009610B9" w:rsidRPr="006F27B6" w:rsidRDefault="009610B9" w:rsidP="004E7315">
            <w:pPr>
              <w:jc w:val="right"/>
              <w:rPr>
                <w:rFonts w:cs="Arial"/>
                <w:color w:val="7F7F7F"/>
                <w:szCs w:val="18"/>
                <w:lang w:eastAsia="en-AU"/>
              </w:rPr>
            </w:pPr>
            <w:r w:rsidRPr="006F27B6">
              <w:rPr>
                <w:rFonts w:cs="Arial"/>
                <w:color w:val="7F7F7F"/>
                <w:szCs w:val="18"/>
                <w:lang w:eastAsia="en-AU"/>
              </w:rPr>
              <w:t>3,890</w:t>
            </w:r>
          </w:p>
        </w:tc>
      </w:tr>
      <w:tr w:rsidR="009610B9" w:rsidRPr="006F27B6" w:rsidTr="004E7315">
        <w:trPr>
          <w:trHeight w:val="300"/>
        </w:trPr>
        <w:tc>
          <w:tcPr>
            <w:tcW w:w="1960" w:type="dxa"/>
            <w:tcBorders>
              <w:top w:val="nil"/>
              <w:left w:val="nil"/>
              <w:bottom w:val="nil"/>
              <w:right w:val="nil"/>
            </w:tcBorders>
            <w:shd w:val="clear" w:color="auto" w:fill="auto"/>
            <w:noWrap/>
            <w:vAlign w:val="center"/>
            <w:hideMark/>
          </w:tcPr>
          <w:p w:rsidR="009610B9" w:rsidRPr="006F27B6" w:rsidRDefault="009610B9" w:rsidP="004E7315">
            <w:pPr>
              <w:rPr>
                <w:rFonts w:cs="Arial"/>
                <w:color w:val="7F7F7F"/>
                <w:szCs w:val="18"/>
                <w:lang w:eastAsia="en-AU"/>
              </w:rPr>
            </w:pPr>
            <w:r w:rsidRPr="006F27B6">
              <w:rPr>
                <w:rFonts w:cs="Arial"/>
                <w:color w:val="7F7F7F"/>
                <w:szCs w:val="18"/>
                <w:lang w:eastAsia="en-AU"/>
              </w:rPr>
              <w:t>Indigenous</w:t>
            </w:r>
          </w:p>
        </w:tc>
        <w:tc>
          <w:tcPr>
            <w:tcW w:w="1022" w:type="dxa"/>
            <w:tcBorders>
              <w:top w:val="nil"/>
              <w:left w:val="nil"/>
              <w:bottom w:val="nil"/>
              <w:right w:val="nil"/>
            </w:tcBorders>
            <w:shd w:val="clear" w:color="auto" w:fill="auto"/>
            <w:noWrap/>
            <w:vAlign w:val="center"/>
            <w:hideMark/>
          </w:tcPr>
          <w:p w:rsidR="009610B9" w:rsidRPr="006F27B6" w:rsidRDefault="009610B9" w:rsidP="004E7315">
            <w:pPr>
              <w:jc w:val="right"/>
              <w:rPr>
                <w:rFonts w:cs="Arial"/>
                <w:color w:val="7F7F7F"/>
                <w:szCs w:val="18"/>
                <w:lang w:eastAsia="en-AU"/>
              </w:rPr>
            </w:pPr>
            <w:r w:rsidRPr="006F27B6">
              <w:rPr>
                <w:rFonts w:cs="Arial"/>
                <w:color w:val="7F7F7F"/>
                <w:szCs w:val="18"/>
                <w:lang w:eastAsia="en-AU"/>
              </w:rPr>
              <w:t>220</w:t>
            </w:r>
          </w:p>
        </w:tc>
        <w:tc>
          <w:tcPr>
            <w:tcW w:w="1023" w:type="dxa"/>
            <w:tcBorders>
              <w:top w:val="nil"/>
              <w:left w:val="nil"/>
              <w:bottom w:val="nil"/>
              <w:right w:val="nil"/>
            </w:tcBorders>
            <w:shd w:val="clear" w:color="auto" w:fill="auto"/>
            <w:noWrap/>
            <w:vAlign w:val="center"/>
            <w:hideMark/>
          </w:tcPr>
          <w:p w:rsidR="009610B9" w:rsidRPr="006F27B6" w:rsidRDefault="009610B9" w:rsidP="004E7315">
            <w:pPr>
              <w:jc w:val="right"/>
              <w:rPr>
                <w:rFonts w:cs="Arial"/>
                <w:color w:val="7F7F7F"/>
                <w:szCs w:val="18"/>
                <w:lang w:eastAsia="en-AU"/>
              </w:rPr>
            </w:pPr>
            <w:r w:rsidRPr="006F27B6">
              <w:rPr>
                <w:rFonts w:cs="Arial"/>
                <w:color w:val="7F7F7F"/>
                <w:szCs w:val="18"/>
                <w:lang w:eastAsia="en-AU"/>
              </w:rPr>
              <w:t>289</w:t>
            </w:r>
          </w:p>
        </w:tc>
        <w:tc>
          <w:tcPr>
            <w:tcW w:w="1022" w:type="dxa"/>
            <w:tcBorders>
              <w:top w:val="nil"/>
              <w:left w:val="nil"/>
              <w:bottom w:val="nil"/>
              <w:right w:val="nil"/>
            </w:tcBorders>
            <w:shd w:val="clear" w:color="auto" w:fill="auto"/>
            <w:noWrap/>
            <w:vAlign w:val="center"/>
            <w:hideMark/>
          </w:tcPr>
          <w:p w:rsidR="009610B9" w:rsidRPr="006F27B6" w:rsidRDefault="009610B9" w:rsidP="004E7315">
            <w:pPr>
              <w:jc w:val="right"/>
              <w:rPr>
                <w:rFonts w:cs="Arial"/>
                <w:color w:val="7F7F7F"/>
                <w:szCs w:val="18"/>
                <w:lang w:eastAsia="en-AU"/>
              </w:rPr>
            </w:pPr>
            <w:r w:rsidRPr="006F27B6">
              <w:rPr>
                <w:rFonts w:cs="Arial"/>
                <w:color w:val="7F7F7F"/>
                <w:szCs w:val="18"/>
                <w:lang w:eastAsia="en-AU"/>
              </w:rPr>
              <w:t>354</w:t>
            </w:r>
          </w:p>
        </w:tc>
        <w:tc>
          <w:tcPr>
            <w:tcW w:w="1023" w:type="dxa"/>
            <w:tcBorders>
              <w:top w:val="nil"/>
              <w:left w:val="nil"/>
              <w:bottom w:val="nil"/>
              <w:right w:val="nil"/>
            </w:tcBorders>
            <w:shd w:val="clear" w:color="auto" w:fill="auto"/>
            <w:noWrap/>
            <w:vAlign w:val="center"/>
            <w:hideMark/>
          </w:tcPr>
          <w:p w:rsidR="009610B9" w:rsidRPr="006F27B6" w:rsidRDefault="009610B9" w:rsidP="004E7315">
            <w:pPr>
              <w:jc w:val="right"/>
              <w:rPr>
                <w:rFonts w:cs="Arial"/>
                <w:color w:val="7F7F7F"/>
                <w:szCs w:val="18"/>
                <w:lang w:eastAsia="en-AU"/>
              </w:rPr>
            </w:pPr>
            <w:r w:rsidRPr="006F27B6">
              <w:rPr>
                <w:rFonts w:cs="Arial"/>
                <w:color w:val="7F7F7F"/>
                <w:szCs w:val="18"/>
                <w:lang w:eastAsia="en-AU"/>
              </w:rPr>
              <w:t>354</w:t>
            </w:r>
          </w:p>
        </w:tc>
        <w:tc>
          <w:tcPr>
            <w:tcW w:w="1022" w:type="dxa"/>
            <w:tcBorders>
              <w:top w:val="nil"/>
              <w:left w:val="nil"/>
              <w:bottom w:val="nil"/>
              <w:right w:val="nil"/>
            </w:tcBorders>
            <w:shd w:val="clear" w:color="auto" w:fill="auto"/>
            <w:noWrap/>
            <w:vAlign w:val="center"/>
            <w:hideMark/>
          </w:tcPr>
          <w:p w:rsidR="009610B9" w:rsidRPr="006F27B6" w:rsidRDefault="009610B9" w:rsidP="004E7315">
            <w:pPr>
              <w:jc w:val="right"/>
              <w:rPr>
                <w:rFonts w:cs="Arial"/>
                <w:color w:val="7F7F7F"/>
                <w:szCs w:val="18"/>
                <w:lang w:eastAsia="en-AU"/>
              </w:rPr>
            </w:pPr>
            <w:r w:rsidRPr="006F27B6">
              <w:rPr>
                <w:rFonts w:cs="Arial"/>
                <w:color w:val="7F7F7F"/>
                <w:szCs w:val="18"/>
                <w:lang w:eastAsia="en-AU"/>
              </w:rPr>
              <w:t>352</w:t>
            </w:r>
          </w:p>
        </w:tc>
        <w:tc>
          <w:tcPr>
            <w:tcW w:w="1023" w:type="dxa"/>
            <w:tcBorders>
              <w:top w:val="nil"/>
              <w:left w:val="nil"/>
              <w:bottom w:val="nil"/>
              <w:right w:val="nil"/>
            </w:tcBorders>
            <w:shd w:val="clear" w:color="auto" w:fill="auto"/>
            <w:noWrap/>
            <w:vAlign w:val="center"/>
            <w:hideMark/>
          </w:tcPr>
          <w:p w:rsidR="009610B9" w:rsidRPr="006F27B6" w:rsidRDefault="009610B9" w:rsidP="004E7315">
            <w:pPr>
              <w:jc w:val="right"/>
              <w:rPr>
                <w:rFonts w:cs="Arial"/>
                <w:color w:val="7F7F7F"/>
                <w:szCs w:val="18"/>
                <w:lang w:eastAsia="en-AU"/>
              </w:rPr>
            </w:pPr>
            <w:r w:rsidRPr="006F27B6">
              <w:rPr>
                <w:rFonts w:cs="Arial"/>
                <w:color w:val="7F7F7F"/>
                <w:szCs w:val="18"/>
                <w:lang w:eastAsia="en-AU"/>
              </w:rPr>
              <w:t>401</w:t>
            </w:r>
          </w:p>
        </w:tc>
      </w:tr>
      <w:tr w:rsidR="009610B9" w:rsidRPr="006F27B6" w:rsidTr="004E7315">
        <w:trPr>
          <w:trHeight w:val="300"/>
        </w:trPr>
        <w:tc>
          <w:tcPr>
            <w:tcW w:w="1960" w:type="dxa"/>
            <w:tcBorders>
              <w:top w:val="nil"/>
              <w:left w:val="nil"/>
              <w:bottom w:val="nil"/>
              <w:right w:val="nil"/>
            </w:tcBorders>
            <w:shd w:val="clear" w:color="auto" w:fill="auto"/>
            <w:noWrap/>
            <w:vAlign w:val="center"/>
            <w:hideMark/>
          </w:tcPr>
          <w:p w:rsidR="009610B9" w:rsidRPr="006F27B6" w:rsidRDefault="009610B9" w:rsidP="004E7315">
            <w:pPr>
              <w:rPr>
                <w:rFonts w:cs="Arial"/>
                <w:color w:val="7F7F7F"/>
                <w:szCs w:val="18"/>
                <w:lang w:eastAsia="en-AU"/>
              </w:rPr>
            </w:pPr>
            <w:r w:rsidRPr="006F27B6">
              <w:rPr>
                <w:rFonts w:cs="Arial"/>
                <w:color w:val="7F7F7F"/>
                <w:szCs w:val="18"/>
                <w:lang w:eastAsia="en-AU"/>
              </w:rPr>
              <w:t>Males 45 to 64</w:t>
            </w:r>
          </w:p>
        </w:tc>
        <w:tc>
          <w:tcPr>
            <w:tcW w:w="1022" w:type="dxa"/>
            <w:tcBorders>
              <w:top w:val="nil"/>
              <w:left w:val="nil"/>
              <w:bottom w:val="nil"/>
              <w:right w:val="nil"/>
            </w:tcBorders>
            <w:shd w:val="clear" w:color="auto" w:fill="auto"/>
            <w:noWrap/>
            <w:vAlign w:val="center"/>
            <w:hideMark/>
          </w:tcPr>
          <w:p w:rsidR="009610B9" w:rsidRPr="006F27B6" w:rsidRDefault="009610B9" w:rsidP="004E7315">
            <w:pPr>
              <w:jc w:val="right"/>
              <w:rPr>
                <w:rFonts w:cs="Arial"/>
                <w:color w:val="7F7F7F"/>
                <w:szCs w:val="18"/>
                <w:lang w:eastAsia="en-AU"/>
              </w:rPr>
            </w:pPr>
            <w:r w:rsidRPr="006F27B6">
              <w:rPr>
                <w:rFonts w:cs="Arial"/>
                <w:color w:val="7F7F7F"/>
                <w:szCs w:val="18"/>
                <w:lang w:eastAsia="en-AU"/>
              </w:rPr>
              <w:t>1,505</w:t>
            </w:r>
          </w:p>
        </w:tc>
        <w:tc>
          <w:tcPr>
            <w:tcW w:w="1023" w:type="dxa"/>
            <w:tcBorders>
              <w:top w:val="nil"/>
              <w:left w:val="nil"/>
              <w:bottom w:val="nil"/>
              <w:right w:val="nil"/>
            </w:tcBorders>
            <w:shd w:val="clear" w:color="auto" w:fill="auto"/>
            <w:noWrap/>
            <w:vAlign w:val="center"/>
            <w:hideMark/>
          </w:tcPr>
          <w:p w:rsidR="009610B9" w:rsidRPr="006F27B6" w:rsidRDefault="009610B9" w:rsidP="004E7315">
            <w:pPr>
              <w:jc w:val="right"/>
              <w:rPr>
                <w:rFonts w:cs="Arial"/>
                <w:color w:val="7F7F7F"/>
                <w:szCs w:val="18"/>
                <w:lang w:eastAsia="en-AU"/>
              </w:rPr>
            </w:pPr>
            <w:r w:rsidRPr="006F27B6">
              <w:rPr>
                <w:rFonts w:cs="Arial"/>
                <w:color w:val="7F7F7F"/>
                <w:szCs w:val="18"/>
                <w:lang w:eastAsia="en-AU"/>
              </w:rPr>
              <w:t>1,368</w:t>
            </w:r>
          </w:p>
        </w:tc>
        <w:tc>
          <w:tcPr>
            <w:tcW w:w="1022" w:type="dxa"/>
            <w:tcBorders>
              <w:top w:val="nil"/>
              <w:left w:val="nil"/>
              <w:bottom w:val="nil"/>
              <w:right w:val="nil"/>
            </w:tcBorders>
            <w:shd w:val="clear" w:color="auto" w:fill="auto"/>
            <w:noWrap/>
            <w:vAlign w:val="center"/>
            <w:hideMark/>
          </w:tcPr>
          <w:p w:rsidR="009610B9" w:rsidRPr="006F27B6" w:rsidRDefault="009610B9" w:rsidP="004E7315">
            <w:pPr>
              <w:jc w:val="right"/>
              <w:rPr>
                <w:rFonts w:cs="Arial"/>
                <w:color w:val="7F7F7F"/>
                <w:szCs w:val="18"/>
                <w:lang w:eastAsia="en-AU"/>
              </w:rPr>
            </w:pPr>
            <w:r w:rsidRPr="006F27B6">
              <w:rPr>
                <w:rFonts w:cs="Arial"/>
                <w:color w:val="7F7F7F"/>
                <w:szCs w:val="18"/>
                <w:lang w:eastAsia="en-AU"/>
              </w:rPr>
              <w:t>1,630</w:t>
            </w:r>
          </w:p>
        </w:tc>
        <w:tc>
          <w:tcPr>
            <w:tcW w:w="1023" w:type="dxa"/>
            <w:tcBorders>
              <w:top w:val="nil"/>
              <w:left w:val="nil"/>
              <w:bottom w:val="nil"/>
              <w:right w:val="nil"/>
            </w:tcBorders>
            <w:shd w:val="clear" w:color="auto" w:fill="auto"/>
            <w:noWrap/>
            <w:vAlign w:val="center"/>
            <w:hideMark/>
          </w:tcPr>
          <w:p w:rsidR="009610B9" w:rsidRPr="006F27B6" w:rsidRDefault="009610B9" w:rsidP="004E7315">
            <w:pPr>
              <w:jc w:val="right"/>
              <w:rPr>
                <w:rFonts w:cs="Arial"/>
                <w:color w:val="7F7F7F"/>
                <w:szCs w:val="18"/>
                <w:lang w:eastAsia="en-AU"/>
              </w:rPr>
            </w:pPr>
            <w:r w:rsidRPr="006F27B6">
              <w:rPr>
                <w:rFonts w:cs="Arial"/>
                <w:color w:val="7F7F7F"/>
                <w:szCs w:val="18"/>
                <w:lang w:eastAsia="en-AU"/>
              </w:rPr>
              <w:t>1,411</w:t>
            </w:r>
          </w:p>
        </w:tc>
        <w:tc>
          <w:tcPr>
            <w:tcW w:w="1022" w:type="dxa"/>
            <w:tcBorders>
              <w:top w:val="nil"/>
              <w:left w:val="nil"/>
              <w:bottom w:val="nil"/>
              <w:right w:val="nil"/>
            </w:tcBorders>
            <w:shd w:val="clear" w:color="auto" w:fill="auto"/>
            <w:noWrap/>
            <w:vAlign w:val="center"/>
            <w:hideMark/>
          </w:tcPr>
          <w:p w:rsidR="009610B9" w:rsidRPr="006F27B6" w:rsidRDefault="009610B9" w:rsidP="004E7315">
            <w:pPr>
              <w:jc w:val="right"/>
              <w:rPr>
                <w:rFonts w:cs="Arial"/>
                <w:color w:val="7F7F7F"/>
                <w:szCs w:val="18"/>
                <w:lang w:eastAsia="en-AU"/>
              </w:rPr>
            </w:pPr>
            <w:r w:rsidRPr="006F27B6">
              <w:rPr>
                <w:rFonts w:cs="Arial"/>
                <w:color w:val="7F7F7F"/>
                <w:szCs w:val="18"/>
                <w:lang w:eastAsia="en-AU"/>
              </w:rPr>
              <w:t>1,386</w:t>
            </w:r>
          </w:p>
        </w:tc>
        <w:tc>
          <w:tcPr>
            <w:tcW w:w="1023" w:type="dxa"/>
            <w:tcBorders>
              <w:top w:val="nil"/>
              <w:left w:val="nil"/>
              <w:bottom w:val="nil"/>
              <w:right w:val="nil"/>
            </w:tcBorders>
            <w:shd w:val="clear" w:color="auto" w:fill="auto"/>
            <w:noWrap/>
            <w:vAlign w:val="center"/>
            <w:hideMark/>
          </w:tcPr>
          <w:p w:rsidR="009610B9" w:rsidRPr="006F27B6" w:rsidRDefault="009610B9" w:rsidP="004E7315">
            <w:pPr>
              <w:jc w:val="right"/>
              <w:rPr>
                <w:rFonts w:cs="Arial"/>
                <w:color w:val="7F7F7F"/>
                <w:szCs w:val="18"/>
                <w:lang w:eastAsia="en-AU"/>
              </w:rPr>
            </w:pPr>
            <w:r w:rsidRPr="006F27B6">
              <w:rPr>
                <w:rFonts w:cs="Arial"/>
                <w:color w:val="7F7F7F"/>
                <w:szCs w:val="18"/>
                <w:lang w:eastAsia="en-AU"/>
              </w:rPr>
              <w:t>1,504</w:t>
            </w:r>
          </w:p>
        </w:tc>
      </w:tr>
      <w:tr w:rsidR="009610B9" w:rsidRPr="006F27B6" w:rsidTr="004E7315">
        <w:trPr>
          <w:trHeight w:val="300"/>
        </w:trPr>
        <w:tc>
          <w:tcPr>
            <w:tcW w:w="1960" w:type="dxa"/>
            <w:tcBorders>
              <w:top w:val="nil"/>
              <w:left w:val="nil"/>
              <w:bottom w:val="nil"/>
              <w:right w:val="nil"/>
            </w:tcBorders>
            <w:shd w:val="clear" w:color="auto" w:fill="auto"/>
            <w:noWrap/>
            <w:vAlign w:val="center"/>
            <w:hideMark/>
          </w:tcPr>
          <w:p w:rsidR="009610B9" w:rsidRPr="006F27B6" w:rsidRDefault="009610B9" w:rsidP="004E7315">
            <w:pPr>
              <w:rPr>
                <w:rFonts w:cs="Arial"/>
                <w:color w:val="7F7F7F"/>
                <w:szCs w:val="18"/>
                <w:lang w:eastAsia="en-AU"/>
              </w:rPr>
            </w:pPr>
            <w:r w:rsidRPr="006F27B6">
              <w:rPr>
                <w:rFonts w:cs="Arial"/>
                <w:color w:val="7F7F7F"/>
                <w:szCs w:val="18"/>
                <w:lang w:eastAsia="en-AU"/>
              </w:rPr>
              <w:t>Unemployed</w:t>
            </w:r>
          </w:p>
        </w:tc>
        <w:tc>
          <w:tcPr>
            <w:tcW w:w="1022" w:type="dxa"/>
            <w:tcBorders>
              <w:top w:val="nil"/>
              <w:left w:val="nil"/>
              <w:bottom w:val="nil"/>
              <w:right w:val="nil"/>
            </w:tcBorders>
            <w:shd w:val="clear" w:color="auto" w:fill="auto"/>
            <w:noWrap/>
            <w:vAlign w:val="center"/>
            <w:hideMark/>
          </w:tcPr>
          <w:p w:rsidR="009610B9" w:rsidRPr="006F27B6" w:rsidRDefault="009610B9" w:rsidP="004E7315">
            <w:pPr>
              <w:jc w:val="right"/>
              <w:rPr>
                <w:rFonts w:cs="Arial"/>
                <w:color w:val="7F7F7F"/>
                <w:szCs w:val="18"/>
                <w:lang w:eastAsia="en-AU"/>
              </w:rPr>
            </w:pPr>
            <w:r w:rsidRPr="006F27B6">
              <w:rPr>
                <w:rFonts w:cs="Arial"/>
                <w:color w:val="7F7F7F"/>
                <w:szCs w:val="18"/>
                <w:lang w:eastAsia="en-AU"/>
              </w:rPr>
              <w:t>5,208</w:t>
            </w:r>
          </w:p>
        </w:tc>
        <w:tc>
          <w:tcPr>
            <w:tcW w:w="1023" w:type="dxa"/>
            <w:tcBorders>
              <w:top w:val="nil"/>
              <w:left w:val="nil"/>
              <w:bottom w:val="nil"/>
              <w:right w:val="nil"/>
            </w:tcBorders>
            <w:shd w:val="clear" w:color="auto" w:fill="auto"/>
            <w:noWrap/>
            <w:vAlign w:val="center"/>
            <w:hideMark/>
          </w:tcPr>
          <w:p w:rsidR="009610B9" w:rsidRPr="006F27B6" w:rsidRDefault="009610B9" w:rsidP="004E7315">
            <w:pPr>
              <w:jc w:val="right"/>
              <w:rPr>
                <w:rFonts w:cs="Arial"/>
                <w:color w:val="7F7F7F"/>
                <w:szCs w:val="18"/>
                <w:lang w:eastAsia="en-AU"/>
              </w:rPr>
            </w:pPr>
            <w:r w:rsidRPr="006F27B6">
              <w:rPr>
                <w:rFonts w:cs="Arial"/>
                <w:color w:val="7F7F7F"/>
                <w:szCs w:val="18"/>
                <w:lang w:eastAsia="en-AU"/>
              </w:rPr>
              <w:t>5,647</w:t>
            </w:r>
          </w:p>
        </w:tc>
        <w:tc>
          <w:tcPr>
            <w:tcW w:w="1022" w:type="dxa"/>
            <w:tcBorders>
              <w:top w:val="nil"/>
              <w:left w:val="nil"/>
              <w:bottom w:val="nil"/>
              <w:right w:val="nil"/>
            </w:tcBorders>
            <w:shd w:val="clear" w:color="auto" w:fill="auto"/>
            <w:noWrap/>
            <w:vAlign w:val="center"/>
            <w:hideMark/>
          </w:tcPr>
          <w:p w:rsidR="009610B9" w:rsidRPr="006F27B6" w:rsidRDefault="009610B9" w:rsidP="004E7315">
            <w:pPr>
              <w:jc w:val="right"/>
              <w:rPr>
                <w:rFonts w:cs="Arial"/>
                <w:color w:val="7F7F7F"/>
                <w:szCs w:val="18"/>
                <w:lang w:eastAsia="en-AU"/>
              </w:rPr>
            </w:pPr>
            <w:r w:rsidRPr="006F27B6">
              <w:rPr>
                <w:rFonts w:cs="Arial"/>
                <w:color w:val="7F7F7F"/>
                <w:szCs w:val="18"/>
                <w:lang w:eastAsia="en-AU"/>
              </w:rPr>
              <w:t>8,843</w:t>
            </w:r>
          </w:p>
        </w:tc>
        <w:tc>
          <w:tcPr>
            <w:tcW w:w="1023" w:type="dxa"/>
            <w:tcBorders>
              <w:top w:val="nil"/>
              <w:left w:val="nil"/>
              <w:bottom w:val="nil"/>
              <w:right w:val="nil"/>
            </w:tcBorders>
            <w:shd w:val="clear" w:color="auto" w:fill="auto"/>
            <w:noWrap/>
            <w:vAlign w:val="center"/>
            <w:hideMark/>
          </w:tcPr>
          <w:p w:rsidR="009610B9" w:rsidRPr="006F27B6" w:rsidRDefault="009610B9" w:rsidP="004E7315">
            <w:pPr>
              <w:jc w:val="right"/>
              <w:rPr>
                <w:rFonts w:cs="Arial"/>
                <w:color w:val="7F7F7F"/>
                <w:szCs w:val="18"/>
                <w:lang w:eastAsia="en-AU"/>
              </w:rPr>
            </w:pPr>
            <w:r w:rsidRPr="006F27B6">
              <w:rPr>
                <w:rFonts w:cs="Arial"/>
                <w:color w:val="7F7F7F"/>
                <w:szCs w:val="18"/>
                <w:lang w:eastAsia="en-AU"/>
              </w:rPr>
              <w:t>7,409</w:t>
            </w:r>
          </w:p>
        </w:tc>
        <w:tc>
          <w:tcPr>
            <w:tcW w:w="1022" w:type="dxa"/>
            <w:tcBorders>
              <w:top w:val="nil"/>
              <w:left w:val="nil"/>
              <w:bottom w:val="nil"/>
              <w:right w:val="nil"/>
            </w:tcBorders>
            <w:shd w:val="clear" w:color="auto" w:fill="auto"/>
            <w:noWrap/>
            <w:vAlign w:val="center"/>
            <w:hideMark/>
          </w:tcPr>
          <w:p w:rsidR="009610B9" w:rsidRPr="006F27B6" w:rsidRDefault="009610B9" w:rsidP="004E7315">
            <w:pPr>
              <w:jc w:val="right"/>
              <w:rPr>
                <w:rFonts w:cs="Arial"/>
                <w:color w:val="7F7F7F"/>
                <w:szCs w:val="18"/>
                <w:lang w:eastAsia="en-AU"/>
              </w:rPr>
            </w:pPr>
            <w:r w:rsidRPr="006F27B6">
              <w:rPr>
                <w:rFonts w:cs="Arial"/>
                <w:color w:val="7F7F7F"/>
                <w:szCs w:val="18"/>
                <w:lang w:eastAsia="en-AU"/>
              </w:rPr>
              <w:t>6,995</w:t>
            </w:r>
          </w:p>
        </w:tc>
        <w:tc>
          <w:tcPr>
            <w:tcW w:w="1023" w:type="dxa"/>
            <w:tcBorders>
              <w:top w:val="nil"/>
              <w:left w:val="nil"/>
              <w:bottom w:val="nil"/>
              <w:right w:val="nil"/>
            </w:tcBorders>
            <w:shd w:val="clear" w:color="auto" w:fill="auto"/>
            <w:noWrap/>
            <w:vAlign w:val="center"/>
            <w:hideMark/>
          </w:tcPr>
          <w:p w:rsidR="009610B9" w:rsidRPr="006F27B6" w:rsidRDefault="009610B9" w:rsidP="004E7315">
            <w:pPr>
              <w:jc w:val="right"/>
              <w:rPr>
                <w:rFonts w:cs="Arial"/>
                <w:color w:val="7F7F7F"/>
                <w:szCs w:val="18"/>
                <w:lang w:eastAsia="en-AU"/>
              </w:rPr>
            </w:pPr>
            <w:r w:rsidRPr="006F27B6">
              <w:rPr>
                <w:rFonts w:cs="Arial"/>
                <w:color w:val="7F7F7F"/>
                <w:szCs w:val="18"/>
                <w:lang w:eastAsia="en-AU"/>
              </w:rPr>
              <w:t>6,890</w:t>
            </w:r>
          </w:p>
        </w:tc>
      </w:tr>
      <w:tr w:rsidR="009610B9" w:rsidRPr="006F27B6" w:rsidTr="004E7315">
        <w:trPr>
          <w:trHeight w:val="315"/>
        </w:trPr>
        <w:tc>
          <w:tcPr>
            <w:tcW w:w="1960" w:type="dxa"/>
            <w:tcBorders>
              <w:top w:val="nil"/>
              <w:left w:val="nil"/>
              <w:bottom w:val="single" w:sz="12" w:space="0" w:color="7F7F7F"/>
              <w:right w:val="nil"/>
            </w:tcBorders>
            <w:shd w:val="clear" w:color="auto" w:fill="auto"/>
            <w:noWrap/>
            <w:vAlign w:val="center"/>
            <w:hideMark/>
          </w:tcPr>
          <w:p w:rsidR="009610B9" w:rsidRPr="006F27B6" w:rsidRDefault="009610B9" w:rsidP="004E7315">
            <w:pPr>
              <w:rPr>
                <w:rFonts w:cs="Arial"/>
                <w:color w:val="7F7F7F"/>
                <w:szCs w:val="18"/>
                <w:lang w:eastAsia="en-AU"/>
              </w:rPr>
            </w:pPr>
            <w:r w:rsidRPr="006F27B6">
              <w:rPr>
                <w:rFonts w:cs="Arial"/>
                <w:color w:val="7F7F7F"/>
                <w:szCs w:val="18"/>
                <w:lang w:eastAsia="en-AU"/>
              </w:rPr>
              <w:t>Vulnerable workers</w:t>
            </w:r>
          </w:p>
        </w:tc>
        <w:tc>
          <w:tcPr>
            <w:tcW w:w="1022" w:type="dxa"/>
            <w:tcBorders>
              <w:top w:val="nil"/>
              <w:left w:val="nil"/>
              <w:bottom w:val="single" w:sz="12" w:space="0" w:color="7F7F7F"/>
              <w:right w:val="nil"/>
            </w:tcBorders>
            <w:shd w:val="clear" w:color="auto" w:fill="auto"/>
            <w:noWrap/>
            <w:vAlign w:val="center"/>
            <w:hideMark/>
          </w:tcPr>
          <w:p w:rsidR="009610B9" w:rsidRPr="006F27B6" w:rsidRDefault="009610B9" w:rsidP="004E7315">
            <w:pPr>
              <w:jc w:val="right"/>
              <w:rPr>
                <w:rFonts w:cs="Arial"/>
                <w:color w:val="7F7F7F"/>
                <w:szCs w:val="18"/>
                <w:lang w:eastAsia="en-AU"/>
              </w:rPr>
            </w:pPr>
            <w:r w:rsidRPr="006F27B6">
              <w:rPr>
                <w:rFonts w:cs="Arial"/>
                <w:color w:val="7F7F7F"/>
                <w:szCs w:val="18"/>
                <w:lang w:eastAsia="en-AU"/>
              </w:rPr>
              <w:t>4,167</w:t>
            </w:r>
          </w:p>
        </w:tc>
        <w:tc>
          <w:tcPr>
            <w:tcW w:w="1023" w:type="dxa"/>
            <w:tcBorders>
              <w:top w:val="nil"/>
              <w:left w:val="nil"/>
              <w:bottom w:val="single" w:sz="12" w:space="0" w:color="7F7F7F"/>
              <w:right w:val="nil"/>
            </w:tcBorders>
            <w:shd w:val="clear" w:color="auto" w:fill="auto"/>
            <w:noWrap/>
            <w:vAlign w:val="center"/>
            <w:hideMark/>
          </w:tcPr>
          <w:p w:rsidR="009610B9" w:rsidRPr="006F27B6" w:rsidRDefault="009610B9" w:rsidP="004E7315">
            <w:pPr>
              <w:jc w:val="right"/>
              <w:rPr>
                <w:rFonts w:cs="Arial"/>
                <w:color w:val="7F7F7F"/>
                <w:szCs w:val="18"/>
                <w:lang w:eastAsia="en-AU"/>
              </w:rPr>
            </w:pPr>
            <w:r w:rsidRPr="006F27B6">
              <w:rPr>
                <w:rFonts w:cs="Arial"/>
                <w:color w:val="7F7F7F"/>
                <w:szCs w:val="18"/>
                <w:lang w:eastAsia="en-AU"/>
              </w:rPr>
              <w:t>3,814</w:t>
            </w:r>
          </w:p>
        </w:tc>
        <w:tc>
          <w:tcPr>
            <w:tcW w:w="1022" w:type="dxa"/>
            <w:tcBorders>
              <w:top w:val="nil"/>
              <w:left w:val="nil"/>
              <w:bottom w:val="single" w:sz="12" w:space="0" w:color="7F7F7F"/>
              <w:right w:val="nil"/>
            </w:tcBorders>
            <w:shd w:val="clear" w:color="auto" w:fill="auto"/>
            <w:noWrap/>
            <w:vAlign w:val="center"/>
            <w:hideMark/>
          </w:tcPr>
          <w:p w:rsidR="009610B9" w:rsidRPr="006F27B6" w:rsidRDefault="009610B9" w:rsidP="004E7315">
            <w:pPr>
              <w:jc w:val="right"/>
              <w:rPr>
                <w:rFonts w:cs="Arial"/>
                <w:color w:val="7F7F7F"/>
                <w:szCs w:val="18"/>
                <w:lang w:eastAsia="en-AU"/>
              </w:rPr>
            </w:pPr>
            <w:r w:rsidRPr="006F27B6">
              <w:rPr>
                <w:rFonts w:cs="Arial"/>
                <w:color w:val="7F7F7F"/>
                <w:szCs w:val="18"/>
                <w:lang w:eastAsia="en-AU"/>
              </w:rPr>
              <w:t>5,050</w:t>
            </w:r>
          </w:p>
        </w:tc>
        <w:tc>
          <w:tcPr>
            <w:tcW w:w="1023" w:type="dxa"/>
            <w:tcBorders>
              <w:top w:val="nil"/>
              <w:left w:val="nil"/>
              <w:bottom w:val="single" w:sz="12" w:space="0" w:color="7F7F7F"/>
              <w:right w:val="nil"/>
            </w:tcBorders>
            <w:shd w:val="clear" w:color="auto" w:fill="auto"/>
            <w:noWrap/>
            <w:vAlign w:val="center"/>
            <w:hideMark/>
          </w:tcPr>
          <w:p w:rsidR="009610B9" w:rsidRPr="006F27B6" w:rsidRDefault="009610B9" w:rsidP="004E7315">
            <w:pPr>
              <w:jc w:val="right"/>
              <w:rPr>
                <w:rFonts w:cs="Arial"/>
                <w:color w:val="7F7F7F"/>
                <w:szCs w:val="18"/>
                <w:lang w:eastAsia="en-AU"/>
              </w:rPr>
            </w:pPr>
            <w:r w:rsidRPr="006F27B6">
              <w:rPr>
                <w:rFonts w:cs="Arial"/>
                <w:color w:val="7F7F7F"/>
                <w:szCs w:val="18"/>
                <w:lang w:eastAsia="en-AU"/>
              </w:rPr>
              <w:t>4,939</w:t>
            </w:r>
          </w:p>
        </w:tc>
        <w:tc>
          <w:tcPr>
            <w:tcW w:w="1022" w:type="dxa"/>
            <w:tcBorders>
              <w:top w:val="nil"/>
              <w:left w:val="nil"/>
              <w:bottom w:val="single" w:sz="12" w:space="0" w:color="7F7F7F"/>
              <w:right w:val="nil"/>
            </w:tcBorders>
            <w:shd w:val="clear" w:color="auto" w:fill="auto"/>
            <w:noWrap/>
            <w:vAlign w:val="center"/>
            <w:hideMark/>
          </w:tcPr>
          <w:p w:rsidR="009610B9" w:rsidRPr="006F27B6" w:rsidRDefault="009610B9" w:rsidP="004E7315">
            <w:pPr>
              <w:jc w:val="right"/>
              <w:rPr>
                <w:rFonts w:cs="Arial"/>
                <w:color w:val="7F7F7F"/>
                <w:szCs w:val="18"/>
                <w:lang w:eastAsia="en-AU"/>
              </w:rPr>
            </w:pPr>
            <w:r w:rsidRPr="006F27B6">
              <w:rPr>
                <w:rFonts w:cs="Arial"/>
                <w:color w:val="7F7F7F"/>
                <w:szCs w:val="18"/>
                <w:lang w:eastAsia="en-AU"/>
              </w:rPr>
              <w:t>4,447</w:t>
            </w:r>
          </w:p>
        </w:tc>
        <w:tc>
          <w:tcPr>
            <w:tcW w:w="1023" w:type="dxa"/>
            <w:tcBorders>
              <w:top w:val="nil"/>
              <w:left w:val="nil"/>
              <w:bottom w:val="single" w:sz="12" w:space="0" w:color="7F7F7F"/>
              <w:right w:val="nil"/>
            </w:tcBorders>
            <w:shd w:val="clear" w:color="auto" w:fill="auto"/>
            <w:noWrap/>
            <w:vAlign w:val="center"/>
            <w:hideMark/>
          </w:tcPr>
          <w:p w:rsidR="009610B9" w:rsidRPr="006F27B6" w:rsidRDefault="009610B9" w:rsidP="004E7315">
            <w:pPr>
              <w:jc w:val="right"/>
              <w:rPr>
                <w:rFonts w:cs="Arial"/>
                <w:color w:val="7F7F7F"/>
                <w:szCs w:val="18"/>
                <w:lang w:eastAsia="en-AU"/>
              </w:rPr>
            </w:pPr>
            <w:r w:rsidRPr="006F27B6">
              <w:rPr>
                <w:rFonts w:cs="Arial"/>
                <w:color w:val="7F7F7F"/>
                <w:szCs w:val="18"/>
                <w:lang w:eastAsia="en-AU"/>
              </w:rPr>
              <w:t>4,189</w:t>
            </w:r>
          </w:p>
        </w:tc>
      </w:tr>
    </w:tbl>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4A0" w:firstRow="1" w:lastRow="0" w:firstColumn="1" w:lastColumn="0" w:noHBand="0" w:noVBand="1"/>
      </w:tblPr>
      <w:tblGrid>
        <w:gridCol w:w="459"/>
        <w:gridCol w:w="7763"/>
      </w:tblGrid>
      <w:tr w:rsidR="009610B9" w:rsidRPr="00913551" w:rsidTr="004E7315">
        <w:tc>
          <w:tcPr>
            <w:tcW w:w="459" w:type="dxa"/>
            <w:tcMar>
              <w:left w:w="0" w:type="dxa"/>
              <w:right w:w="28" w:type="dxa"/>
            </w:tcMar>
          </w:tcPr>
          <w:p w:rsidR="009610B9" w:rsidRPr="00913551" w:rsidRDefault="009610B9" w:rsidP="004E7315">
            <w:pPr>
              <w:spacing w:after="0" w:line="240" w:lineRule="auto"/>
              <w:jc w:val="right"/>
              <w:rPr>
                <w:i/>
                <w:color w:val="7F7F7F" w:themeColor="text2"/>
                <w:sz w:val="16"/>
                <w:szCs w:val="16"/>
              </w:rPr>
            </w:pPr>
            <w:r w:rsidRPr="00913551">
              <w:rPr>
                <w:i/>
                <w:color w:val="7F7F7F" w:themeColor="text2"/>
                <w:sz w:val="16"/>
                <w:szCs w:val="16"/>
              </w:rPr>
              <w:t xml:space="preserve">Note: </w:t>
            </w:r>
          </w:p>
        </w:tc>
        <w:tc>
          <w:tcPr>
            <w:tcW w:w="7763" w:type="dxa"/>
            <w:tcMar>
              <w:left w:w="0" w:type="dxa"/>
              <w:right w:w="28" w:type="dxa"/>
            </w:tcMar>
          </w:tcPr>
          <w:p w:rsidR="009610B9" w:rsidRPr="00913551" w:rsidRDefault="009610B9" w:rsidP="004E7315">
            <w:pPr>
              <w:spacing w:after="0" w:line="240" w:lineRule="auto"/>
              <w:rPr>
                <w:i/>
                <w:color w:val="7F7F7F" w:themeColor="text2"/>
                <w:sz w:val="16"/>
                <w:szCs w:val="16"/>
              </w:rPr>
            </w:pPr>
            <w:r w:rsidRPr="00913551">
              <w:rPr>
                <w:i/>
                <w:sz w:val="16"/>
                <w:szCs w:val="16"/>
              </w:rPr>
              <w:t xml:space="preserve">ACFE Board Priority Learner categories are not mutually exclusive. Category details available at: </w:t>
            </w:r>
            <w:hyperlink r:id="rId35" w:history="1">
              <w:r w:rsidRPr="00913551">
                <w:rPr>
                  <w:rStyle w:val="Hyperlink"/>
                  <w:i/>
                  <w:sz w:val="16"/>
                  <w:szCs w:val="16"/>
                </w:rPr>
                <w:t>www.education.vic.gov.au/Documents/about/research/acfepublications/hardtoreachlearn.pdf</w:t>
              </w:r>
            </w:hyperlink>
          </w:p>
        </w:tc>
      </w:tr>
    </w:tbl>
    <w:p w:rsidR="009610B9" w:rsidRDefault="009610B9" w:rsidP="009610B9">
      <w:pPr>
        <w:rPr>
          <w:rFonts w:cs="Arial"/>
          <w:bCs/>
          <w:color w:val="7F7F7F" w:themeColor="text2"/>
          <w:kern w:val="32"/>
          <w:szCs w:val="18"/>
        </w:rPr>
      </w:pPr>
    </w:p>
    <w:p w:rsidR="009610B9" w:rsidRDefault="009610B9" w:rsidP="009610B9">
      <w:pPr>
        <w:rPr>
          <w:rFonts w:cs="Arial"/>
          <w:bCs/>
          <w:color w:val="7F7F7F" w:themeColor="text2"/>
          <w:kern w:val="32"/>
          <w:szCs w:val="18"/>
        </w:rPr>
      </w:pPr>
    </w:p>
    <w:p w:rsidR="009610B9" w:rsidRDefault="009610B9" w:rsidP="009610B9">
      <w:pPr>
        <w:rPr>
          <w:rFonts w:cs="Arial"/>
          <w:bCs/>
          <w:color w:val="7F7F7F" w:themeColor="text2"/>
          <w:kern w:val="32"/>
          <w:szCs w:val="18"/>
        </w:rPr>
      </w:pPr>
      <w:r>
        <w:rPr>
          <w:rFonts w:cs="Arial"/>
          <w:bCs/>
          <w:color w:val="7F7F7F" w:themeColor="text2"/>
          <w:kern w:val="32"/>
          <w:szCs w:val="18"/>
        </w:rPr>
        <w:br w:type="page"/>
      </w: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9610B9" w:rsidTr="004E7315">
        <w:tc>
          <w:tcPr>
            <w:tcW w:w="1134" w:type="dxa"/>
            <w:tcMar>
              <w:left w:w="0" w:type="dxa"/>
              <w:right w:w="0" w:type="dxa"/>
            </w:tcMar>
          </w:tcPr>
          <w:p w:rsidR="009610B9" w:rsidRDefault="009610B9" w:rsidP="004E7315">
            <w:pPr>
              <w:pStyle w:val="Quote"/>
              <w:tabs>
                <w:tab w:val="left" w:pos="1134"/>
              </w:tabs>
              <w:rPr>
                <w:b w:val="0"/>
                <w:color w:val="B41F22" w:themeColor="accent1"/>
              </w:rPr>
            </w:pPr>
            <w:r>
              <w:rPr>
                <w:b w:val="0"/>
                <w:color w:val="B41F22" w:themeColor="accent1"/>
              </w:rPr>
              <w:lastRenderedPageBreak/>
              <w:t>Table 1.40.2:</w:t>
            </w:r>
          </w:p>
        </w:tc>
        <w:tc>
          <w:tcPr>
            <w:tcW w:w="6946" w:type="dxa"/>
            <w:tcMar>
              <w:left w:w="0" w:type="dxa"/>
              <w:right w:w="0" w:type="dxa"/>
            </w:tcMar>
          </w:tcPr>
          <w:p w:rsidR="009610B9" w:rsidRPr="00AD7189" w:rsidRDefault="009610B9" w:rsidP="004E7315">
            <w:pPr>
              <w:pStyle w:val="Quote"/>
              <w:tabs>
                <w:tab w:val="left" w:pos="1134"/>
              </w:tabs>
              <w:rPr>
                <w:b w:val="0"/>
                <w:color w:val="B41F22" w:themeColor="accent1"/>
              </w:rPr>
            </w:pPr>
            <w:r w:rsidRPr="00E86C31">
              <w:rPr>
                <w:b w:val="0"/>
                <w:color w:val="B41F22" w:themeColor="accent1"/>
              </w:rPr>
              <w:t>Change in number of ACFE Board Priority Learners enrolled in government subsidised accredited training with Learn Local (ACE) providers (half year)</w:t>
            </w:r>
          </w:p>
        </w:tc>
      </w:tr>
    </w:tbl>
    <w:tbl>
      <w:tblPr>
        <w:tblW w:w="8095" w:type="dxa"/>
        <w:tblInd w:w="93" w:type="dxa"/>
        <w:tblLayout w:type="fixed"/>
        <w:tblLook w:val="04A0" w:firstRow="1" w:lastRow="0" w:firstColumn="1" w:lastColumn="0" w:noHBand="0" w:noVBand="1"/>
      </w:tblPr>
      <w:tblGrid>
        <w:gridCol w:w="1960"/>
        <w:gridCol w:w="1227"/>
        <w:gridCol w:w="1227"/>
        <w:gridCol w:w="1227"/>
        <w:gridCol w:w="1227"/>
        <w:gridCol w:w="1227"/>
      </w:tblGrid>
      <w:tr w:rsidR="009610B9" w:rsidRPr="006F27B6" w:rsidTr="004E7315">
        <w:trPr>
          <w:trHeight w:val="720"/>
        </w:trPr>
        <w:tc>
          <w:tcPr>
            <w:tcW w:w="1960" w:type="dxa"/>
            <w:tcBorders>
              <w:top w:val="nil"/>
              <w:left w:val="nil"/>
              <w:bottom w:val="nil"/>
              <w:right w:val="nil"/>
            </w:tcBorders>
            <w:shd w:val="clear" w:color="000000" w:fill="7F7F7F"/>
            <w:noWrap/>
            <w:vAlign w:val="center"/>
            <w:hideMark/>
          </w:tcPr>
          <w:p w:rsidR="009610B9" w:rsidRPr="006F27B6" w:rsidRDefault="009610B9" w:rsidP="004E7315">
            <w:pPr>
              <w:rPr>
                <w:rFonts w:cs="Arial"/>
                <w:color w:val="FFFFFF"/>
                <w:szCs w:val="18"/>
                <w:lang w:eastAsia="en-AU"/>
              </w:rPr>
            </w:pPr>
            <w:r w:rsidRPr="006F27B6">
              <w:rPr>
                <w:rFonts w:cs="Arial"/>
                <w:color w:val="FFFFFF"/>
                <w:szCs w:val="18"/>
                <w:lang w:eastAsia="en-AU"/>
              </w:rPr>
              <w:t> </w:t>
            </w:r>
          </w:p>
        </w:tc>
        <w:tc>
          <w:tcPr>
            <w:tcW w:w="1227" w:type="dxa"/>
            <w:tcBorders>
              <w:top w:val="nil"/>
              <w:left w:val="nil"/>
              <w:bottom w:val="nil"/>
              <w:right w:val="nil"/>
            </w:tcBorders>
            <w:shd w:val="clear" w:color="000000" w:fill="7F7F7F"/>
            <w:vAlign w:val="center"/>
            <w:hideMark/>
          </w:tcPr>
          <w:p w:rsidR="009610B9" w:rsidRPr="006F27B6" w:rsidRDefault="009610B9" w:rsidP="004E7315">
            <w:pPr>
              <w:jc w:val="right"/>
              <w:rPr>
                <w:rFonts w:cs="Arial"/>
                <w:b/>
                <w:bCs/>
                <w:color w:val="FFFFFF"/>
                <w:szCs w:val="18"/>
                <w:lang w:eastAsia="en-AU"/>
              </w:rPr>
            </w:pPr>
            <w:r w:rsidRPr="006F27B6">
              <w:rPr>
                <w:rFonts w:cs="Arial"/>
                <w:b/>
                <w:bCs/>
                <w:color w:val="FFFFFF"/>
                <w:szCs w:val="18"/>
                <w:lang w:eastAsia="en-AU"/>
              </w:rPr>
              <w:t>% change 2010 to 2015</w:t>
            </w:r>
          </w:p>
        </w:tc>
        <w:tc>
          <w:tcPr>
            <w:tcW w:w="1227" w:type="dxa"/>
            <w:tcBorders>
              <w:top w:val="nil"/>
              <w:left w:val="nil"/>
              <w:bottom w:val="nil"/>
              <w:right w:val="nil"/>
            </w:tcBorders>
            <w:shd w:val="clear" w:color="000000" w:fill="7F7F7F"/>
            <w:vAlign w:val="center"/>
            <w:hideMark/>
          </w:tcPr>
          <w:p w:rsidR="009610B9" w:rsidRPr="006F27B6" w:rsidRDefault="009610B9" w:rsidP="004E7315">
            <w:pPr>
              <w:jc w:val="right"/>
              <w:rPr>
                <w:rFonts w:cs="Arial"/>
                <w:b/>
                <w:bCs/>
                <w:color w:val="FFFFFF"/>
                <w:szCs w:val="18"/>
                <w:lang w:eastAsia="en-AU"/>
              </w:rPr>
            </w:pPr>
            <w:r w:rsidRPr="006F27B6">
              <w:rPr>
                <w:rFonts w:cs="Arial"/>
                <w:b/>
                <w:bCs/>
                <w:color w:val="FFFFFF"/>
                <w:szCs w:val="18"/>
                <w:lang w:eastAsia="en-AU"/>
              </w:rPr>
              <w:t>% change 2011 to 2015</w:t>
            </w:r>
          </w:p>
        </w:tc>
        <w:tc>
          <w:tcPr>
            <w:tcW w:w="1227" w:type="dxa"/>
            <w:tcBorders>
              <w:top w:val="nil"/>
              <w:left w:val="nil"/>
              <w:bottom w:val="nil"/>
              <w:right w:val="nil"/>
            </w:tcBorders>
            <w:shd w:val="clear" w:color="000000" w:fill="7F7F7F"/>
            <w:vAlign w:val="center"/>
            <w:hideMark/>
          </w:tcPr>
          <w:p w:rsidR="009610B9" w:rsidRPr="006F27B6" w:rsidRDefault="009610B9" w:rsidP="004E7315">
            <w:pPr>
              <w:jc w:val="right"/>
              <w:rPr>
                <w:rFonts w:cs="Arial"/>
                <w:b/>
                <w:bCs/>
                <w:color w:val="FFFFFF"/>
                <w:szCs w:val="18"/>
                <w:lang w:eastAsia="en-AU"/>
              </w:rPr>
            </w:pPr>
            <w:r w:rsidRPr="006F27B6">
              <w:rPr>
                <w:rFonts w:cs="Arial"/>
                <w:b/>
                <w:bCs/>
                <w:color w:val="FFFFFF"/>
                <w:szCs w:val="18"/>
                <w:lang w:eastAsia="en-AU"/>
              </w:rPr>
              <w:t>% change 2012 to 2015</w:t>
            </w:r>
          </w:p>
        </w:tc>
        <w:tc>
          <w:tcPr>
            <w:tcW w:w="1227" w:type="dxa"/>
            <w:tcBorders>
              <w:top w:val="nil"/>
              <w:left w:val="nil"/>
              <w:bottom w:val="nil"/>
              <w:right w:val="nil"/>
            </w:tcBorders>
            <w:shd w:val="clear" w:color="000000" w:fill="7F7F7F"/>
            <w:vAlign w:val="center"/>
            <w:hideMark/>
          </w:tcPr>
          <w:p w:rsidR="009610B9" w:rsidRPr="006F27B6" w:rsidRDefault="009610B9" w:rsidP="004E7315">
            <w:pPr>
              <w:jc w:val="right"/>
              <w:rPr>
                <w:rFonts w:cs="Arial"/>
                <w:b/>
                <w:bCs/>
                <w:color w:val="FFFFFF"/>
                <w:szCs w:val="18"/>
                <w:lang w:eastAsia="en-AU"/>
              </w:rPr>
            </w:pPr>
            <w:r w:rsidRPr="006F27B6">
              <w:rPr>
                <w:rFonts w:cs="Arial"/>
                <w:b/>
                <w:bCs/>
                <w:color w:val="FFFFFF"/>
                <w:szCs w:val="18"/>
                <w:lang w:eastAsia="en-AU"/>
              </w:rPr>
              <w:t>% change 2013 to 2015</w:t>
            </w:r>
          </w:p>
        </w:tc>
        <w:tc>
          <w:tcPr>
            <w:tcW w:w="1227" w:type="dxa"/>
            <w:tcBorders>
              <w:top w:val="nil"/>
              <w:left w:val="nil"/>
              <w:bottom w:val="nil"/>
              <w:right w:val="nil"/>
            </w:tcBorders>
            <w:shd w:val="clear" w:color="000000" w:fill="7F7F7F"/>
            <w:vAlign w:val="center"/>
            <w:hideMark/>
          </w:tcPr>
          <w:p w:rsidR="009610B9" w:rsidRPr="006F27B6" w:rsidRDefault="009610B9" w:rsidP="004E7315">
            <w:pPr>
              <w:jc w:val="right"/>
              <w:rPr>
                <w:rFonts w:cs="Arial"/>
                <w:b/>
                <w:bCs/>
                <w:color w:val="FFFFFF"/>
                <w:szCs w:val="18"/>
                <w:lang w:eastAsia="en-AU"/>
              </w:rPr>
            </w:pPr>
            <w:r w:rsidRPr="006F27B6">
              <w:rPr>
                <w:rFonts w:cs="Arial"/>
                <w:b/>
                <w:bCs/>
                <w:color w:val="FFFFFF"/>
                <w:szCs w:val="18"/>
                <w:lang w:eastAsia="en-AU"/>
              </w:rPr>
              <w:t>% change 2014 to 2015</w:t>
            </w:r>
          </w:p>
        </w:tc>
      </w:tr>
      <w:tr w:rsidR="009610B9" w:rsidRPr="006F27B6" w:rsidTr="004E7315">
        <w:trPr>
          <w:trHeight w:val="300"/>
        </w:trPr>
        <w:tc>
          <w:tcPr>
            <w:tcW w:w="1960" w:type="dxa"/>
            <w:tcBorders>
              <w:top w:val="nil"/>
              <w:left w:val="nil"/>
              <w:bottom w:val="nil"/>
              <w:right w:val="nil"/>
            </w:tcBorders>
            <w:shd w:val="clear" w:color="auto" w:fill="auto"/>
            <w:noWrap/>
            <w:vAlign w:val="center"/>
            <w:hideMark/>
          </w:tcPr>
          <w:p w:rsidR="009610B9" w:rsidRPr="006F27B6" w:rsidRDefault="009610B9" w:rsidP="004E7315">
            <w:pPr>
              <w:rPr>
                <w:rFonts w:cs="Arial"/>
                <w:color w:val="7F7F7F"/>
                <w:szCs w:val="18"/>
                <w:lang w:eastAsia="en-AU"/>
              </w:rPr>
            </w:pPr>
            <w:r w:rsidRPr="006F27B6">
              <w:rPr>
                <w:rFonts w:cs="Arial"/>
                <w:color w:val="7F7F7F"/>
                <w:szCs w:val="18"/>
                <w:lang w:eastAsia="en-AU"/>
              </w:rPr>
              <w:t>CALD (LOTE)</w:t>
            </w:r>
          </w:p>
        </w:tc>
        <w:tc>
          <w:tcPr>
            <w:tcW w:w="1227" w:type="dxa"/>
            <w:tcBorders>
              <w:top w:val="nil"/>
              <w:left w:val="nil"/>
              <w:bottom w:val="nil"/>
              <w:right w:val="nil"/>
            </w:tcBorders>
            <w:shd w:val="clear" w:color="auto" w:fill="auto"/>
            <w:noWrap/>
            <w:vAlign w:val="center"/>
            <w:hideMark/>
          </w:tcPr>
          <w:p w:rsidR="009610B9" w:rsidRPr="006F27B6" w:rsidRDefault="009610B9" w:rsidP="004E7315">
            <w:pPr>
              <w:jc w:val="right"/>
              <w:rPr>
                <w:rFonts w:cs="Arial"/>
                <w:color w:val="7F7F7F"/>
                <w:szCs w:val="18"/>
                <w:lang w:eastAsia="en-AU"/>
              </w:rPr>
            </w:pPr>
            <w:r w:rsidRPr="006F27B6">
              <w:rPr>
                <w:rFonts w:cs="Arial"/>
                <w:color w:val="7F7F7F"/>
                <w:szCs w:val="18"/>
                <w:lang w:eastAsia="en-AU"/>
              </w:rPr>
              <w:t>37%</w:t>
            </w:r>
          </w:p>
        </w:tc>
        <w:tc>
          <w:tcPr>
            <w:tcW w:w="1227" w:type="dxa"/>
            <w:tcBorders>
              <w:top w:val="nil"/>
              <w:left w:val="nil"/>
              <w:bottom w:val="nil"/>
              <w:right w:val="nil"/>
            </w:tcBorders>
            <w:shd w:val="clear" w:color="auto" w:fill="auto"/>
            <w:noWrap/>
            <w:vAlign w:val="center"/>
            <w:hideMark/>
          </w:tcPr>
          <w:p w:rsidR="009610B9" w:rsidRPr="006F27B6" w:rsidRDefault="009610B9" w:rsidP="004E7315">
            <w:pPr>
              <w:jc w:val="right"/>
              <w:rPr>
                <w:rFonts w:cs="Arial"/>
                <w:color w:val="7F7F7F"/>
                <w:szCs w:val="18"/>
                <w:lang w:eastAsia="en-AU"/>
              </w:rPr>
            </w:pPr>
            <w:r w:rsidRPr="006F27B6">
              <w:rPr>
                <w:rFonts w:cs="Arial"/>
                <w:color w:val="7F7F7F"/>
                <w:szCs w:val="18"/>
                <w:lang w:eastAsia="en-AU"/>
              </w:rPr>
              <w:t>44%</w:t>
            </w:r>
          </w:p>
        </w:tc>
        <w:tc>
          <w:tcPr>
            <w:tcW w:w="1227" w:type="dxa"/>
            <w:tcBorders>
              <w:top w:val="nil"/>
              <w:left w:val="nil"/>
              <w:bottom w:val="nil"/>
              <w:right w:val="nil"/>
            </w:tcBorders>
            <w:shd w:val="clear" w:color="auto" w:fill="auto"/>
            <w:noWrap/>
            <w:vAlign w:val="center"/>
            <w:hideMark/>
          </w:tcPr>
          <w:p w:rsidR="009610B9" w:rsidRPr="006F27B6" w:rsidRDefault="009610B9" w:rsidP="004E7315">
            <w:pPr>
              <w:jc w:val="right"/>
              <w:rPr>
                <w:rFonts w:cs="Arial"/>
                <w:color w:val="7F7F7F"/>
                <w:szCs w:val="18"/>
                <w:lang w:eastAsia="en-AU"/>
              </w:rPr>
            </w:pPr>
            <w:r w:rsidRPr="006F27B6">
              <w:rPr>
                <w:rFonts w:cs="Arial"/>
                <w:color w:val="7F7F7F"/>
                <w:szCs w:val="18"/>
                <w:lang w:eastAsia="en-AU"/>
              </w:rPr>
              <w:t>6%</w:t>
            </w:r>
          </w:p>
        </w:tc>
        <w:tc>
          <w:tcPr>
            <w:tcW w:w="1227" w:type="dxa"/>
            <w:tcBorders>
              <w:top w:val="nil"/>
              <w:left w:val="nil"/>
              <w:bottom w:val="nil"/>
              <w:right w:val="nil"/>
            </w:tcBorders>
            <w:shd w:val="clear" w:color="auto" w:fill="auto"/>
            <w:noWrap/>
            <w:vAlign w:val="center"/>
            <w:hideMark/>
          </w:tcPr>
          <w:p w:rsidR="009610B9" w:rsidRPr="006F27B6" w:rsidRDefault="009610B9" w:rsidP="004E7315">
            <w:pPr>
              <w:jc w:val="right"/>
              <w:rPr>
                <w:rFonts w:cs="Arial"/>
                <w:color w:val="7F7F7F"/>
                <w:szCs w:val="18"/>
                <w:lang w:eastAsia="en-AU"/>
              </w:rPr>
            </w:pPr>
            <w:r w:rsidRPr="006F27B6">
              <w:rPr>
                <w:rFonts w:cs="Arial"/>
                <w:color w:val="7F7F7F"/>
                <w:szCs w:val="18"/>
                <w:lang w:eastAsia="en-AU"/>
              </w:rPr>
              <w:t>7%</w:t>
            </w:r>
          </w:p>
        </w:tc>
        <w:tc>
          <w:tcPr>
            <w:tcW w:w="1227" w:type="dxa"/>
            <w:tcBorders>
              <w:top w:val="nil"/>
              <w:left w:val="nil"/>
              <w:bottom w:val="nil"/>
              <w:right w:val="nil"/>
            </w:tcBorders>
            <w:shd w:val="clear" w:color="auto" w:fill="auto"/>
            <w:noWrap/>
            <w:vAlign w:val="center"/>
            <w:hideMark/>
          </w:tcPr>
          <w:p w:rsidR="009610B9" w:rsidRPr="006F27B6" w:rsidRDefault="009610B9" w:rsidP="004E7315">
            <w:pPr>
              <w:jc w:val="right"/>
              <w:rPr>
                <w:rFonts w:cs="Arial"/>
                <w:color w:val="7F7F7F"/>
                <w:szCs w:val="18"/>
                <w:lang w:eastAsia="en-AU"/>
              </w:rPr>
            </w:pPr>
            <w:r w:rsidRPr="006F27B6">
              <w:rPr>
                <w:rFonts w:cs="Arial"/>
                <w:color w:val="7F7F7F"/>
                <w:szCs w:val="18"/>
                <w:lang w:eastAsia="en-AU"/>
              </w:rPr>
              <w:t>22%</w:t>
            </w:r>
          </w:p>
        </w:tc>
      </w:tr>
      <w:tr w:rsidR="009610B9" w:rsidRPr="006F27B6" w:rsidTr="004E7315">
        <w:trPr>
          <w:trHeight w:val="300"/>
        </w:trPr>
        <w:tc>
          <w:tcPr>
            <w:tcW w:w="1960" w:type="dxa"/>
            <w:tcBorders>
              <w:top w:val="nil"/>
              <w:left w:val="nil"/>
              <w:bottom w:val="nil"/>
              <w:right w:val="nil"/>
            </w:tcBorders>
            <w:shd w:val="clear" w:color="auto" w:fill="auto"/>
            <w:noWrap/>
            <w:vAlign w:val="center"/>
            <w:hideMark/>
          </w:tcPr>
          <w:p w:rsidR="009610B9" w:rsidRPr="006F27B6" w:rsidRDefault="009610B9" w:rsidP="004E7315">
            <w:pPr>
              <w:rPr>
                <w:rFonts w:cs="Arial"/>
                <w:color w:val="7F7F7F"/>
                <w:szCs w:val="18"/>
                <w:lang w:eastAsia="en-AU"/>
              </w:rPr>
            </w:pPr>
            <w:r w:rsidRPr="006F27B6">
              <w:rPr>
                <w:rFonts w:cs="Arial"/>
                <w:color w:val="7F7F7F"/>
                <w:szCs w:val="18"/>
                <w:lang w:eastAsia="en-AU"/>
              </w:rPr>
              <w:t>Disability</w:t>
            </w:r>
          </w:p>
        </w:tc>
        <w:tc>
          <w:tcPr>
            <w:tcW w:w="1227" w:type="dxa"/>
            <w:tcBorders>
              <w:top w:val="nil"/>
              <w:left w:val="nil"/>
              <w:bottom w:val="nil"/>
              <w:right w:val="nil"/>
            </w:tcBorders>
            <w:shd w:val="clear" w:color="auto" w:fill="auto"/>
            <w:noWrap/>
            <w:vAlign w:val="center"/>
            <w:hideMark/>
          </w:tcPr>
          <w:p w:rsidR="009610B9" w:rsidRPr="006F27B6" w:rsidRDefault="009610B9" w:rsidP="004E7315">
            <w:pPr>
              <w:jc w:val="right"/>
              <w:rPr>
                <w:rFonts w:cs="Arial"/>
                <w:color w:val="7F7F7F"/>
                <w:szCs w:val="18"/>
                <w:lang w:eastAsia="en-AU"/>
              </w:rPr>
            </w:pPr>
            <w:r w:rsidRPr="006F27B6">
              <w:rPr>
                <w:rFonts w:cs="Arial"/>
                <w:color w:val="7F7F7F"/>
                <w:szCs w:val="18"/>
                <w:lang w:eastAsia="en-AU"/>
              </w:rPr>
              <w:t>39%</w:t>
            </w:r>
          </w:p>
        </w:tc>
        <w:tc>
          <w:tcPr>
            <w:tcW w:w="1227" w:type="dxa"/>
            <w:tcBorders>
              <w:top w:val="nil"/>
              <w:left w:val="nil"/>
              <w:bottom w:val="nil"/>
              <w:right w:val="nil"/>
            </w:tcBorders>
            <w:shd w:val="clear" w:color="auto" w:fill="auto"/>
            <w:noWrap/>
            <w:vAlign w:val="center"/>
            <w:hideMark/>
          </w:tcPr>
          <w:p w:rsidR="009610B9" w:rsidRPr="006F27B6" w:rsidRDefault="009610B9" w:rsidP="004E7315">
            <w:pPr>
              <w:jc w:val="right"/>
              <w:rPr>
                <w:rFonts w:cs="Arial"/>
                <w:color w:val="7F7F7F"/>
                <w:szCs w:val="18"/>
                <w:lang w:eastAsia="en-AU"/>
              </w:rPr>
            </w:pPr>
            <w:r w:rsidRPr="006F27B6">
              <w:rPr>
                <w:rFonts w:cs="Arial"/>
                <w:color w:val="7F7F7F"/>
                <w:szCs w:val="18"/>
                <w:lang w:eastAsia="en-AU"/>
              </w:rPr>
              <w:t>38%</w:t>
            </w:r>
          </w:p>
        </w:tc>
        <w:tc>
          <w:tcPr>
            <w:tcW w:w="1227" w:type="dxa"/>
            <w:tcBorders>
              <w:top w:val="nil"/>
              <w:left w:val="nil"/>
              <w:bottom w:val="nil"/>
              <w:right w:val="nil"/>
            </w:tcBorders>
            <w:shd w:val="clear" w:color="auto" w:fill="auto"/>
            <w:noWrap/>
            <w:vAlign w:val="center"/>
            <w:hideMark/>
          </w:tcPr>
          <w:p w:rsidR="009610B9" w:rsidRPr="006F27B6" w:rsidRDefault="009610B9" w:rsidP="004E7315">
            <w:pPr>
              <w:jc w:val="right"/>
              <w:rPr>
                <w:rFonts w:cs="Arial"/>
                <w:color w:val="7F7F7F"/>
                <w:szCs w:val="18"/>
                <w:lang w:eastAsia="en-AU"/>
              </w:rPr>
            </w:pPr>
            <w:r w:rsidRPr="006F27B6">
              <w:rPr>
                <w:rFonts w:cs="Arial"/>
                <w:color w:val="7F7F7F"/>
                <w:szCs w:val="18"/>
                <w:lang w:eastAsia="en-AU"/>
              </w:rPr>
              <w:t>6%</w:t>
            </w:r>
          </w:p>
        </w:tc>
        <w:tc>
          <w:tcPr>
            <w:tcW w:w="1227" w:type="dxa"/>
            <w:tcBorders>
              <w:top w:val="nil"/>
              <w:left w:val="nil"/>
              <w:bottom w:val="nil"/>
              <w:right w:val="nil"/>
            </w:tcBorders>
            <w:shd w:val="clear" w:color="auto" w:fill="auto"/>
            <w:noWrap/>
            <w:vAlign w:val="center"/>
            <w:hideMark/>
          </w:tcPr>
          <w:p w:rsidR="009610B9" w:rsidRPr="006F27B6" w:rsidRDefault="009610B9" w:rsidP="004E7315">
            <w:pPr>
              <w:jc w:val="right"/>
              <w:rPr>
                <w:rFonts w:cs="Arial"/>
                <w:color w:val="7F7F7F"/>
                <w:szCs w:val="18"/>
                <w:lang w:eastAsia="en-AU"/>
              </w:rPr>
            </w:pPr>
            <w:r w:rsidRPr="006F27B6">
              <w:rPr>
                <w:rFonts w:cs="Arial"/>
                <w:color w:val="7F7F7F"/>
                <w:szCs w:val="18"/>
                <w:lang w:eastAsia="en-AU"/>
              </w:rPr>
              <w:t>15%</w:t>
            </w:r>
          </w:p>
        </w:tc>
        <w:tc>
          <w:tcPr>
            <w:tcW w:w="1227" w:type="dxa"/>
            <w:tcBorders>
              <w:top w:val="nil"/>
              <w:left w:val="nil"/>
              <w:bottom w:val="nil"/>
              <w:right w:val="nil"/>
            </w:tcBorders>
            <w:shd w:val="clear" w:color="auto" w:fill="auto"/>
            <w:noWrap/>
            <w:vAlign w:val="center"/>
            <w:hideMark/>
          </w:tcPr>
          <w:p w:rsidR="009610B9" w:rsidRPr="006F27B6" w:rsidRDefault="009610B9" w:rsidP="004E7315">
            <w:pPr>
              <w:jc w:val="right"/>
              <w:rPr>
                <w:rFonts w:cs="Arial"/>
                <w:color w:val="7F7F7F"/>
                <w:szCs w:val="18"/>
                <w:lang w:eastAsia="en-AU"/>
              </w:rPr>
            </w:pPr>
            <w:r w:rsidRPr="006F27B6">
              <w:rPr>
                <w:rFonts w:cs="Arial"/>
                <w:color w:val="7F7F7F"/>
                <w:szCs w:val="18"/>
                <w:lang w:eastAsia="en-AU"/>
              </w:rPr>
              <w:t>7%</w:t>
            </w:r>
          </w:p>
        </w:tc>
      </w:tr>
      <w:tr w:rsidR="009610B9" w:rsidRPr="006F27B6" w:rsidTr="004E7315">
        <w:trPr>
          <w:trHeight w:val="300"/>
        </w:trPr>
        <w:tc>
          <w:tcPr>
            <w:tcW w:w="1960" w:type="dxa"/>
            <w:tcBorders>
              <w:top w:val="nil"/>
              <w:left w:val="nil"/>
              <w:bottom w:val="nil"/>
              <w:right w:val="nil"/>
            </w:tcBorders>
            <w:shd w:val="clear" w:color="auto" w:fill="auto"/>
            <w:noWrap/>
            <w:vAlign w:val="center"/>
            <w:hideMark/>
          </w:tcPr>
          <w:p w:rsidR="009610B9" w:rsidRPr="006F27B6" w:rsidRDefault="009610B9" w:rsidP="004E7315">
            <w:pPr>
              <w:rPr>
                <w:rFonts w:cs="Arial"/>
                <w:color w:val="7F7F7F"/>
                <w:szCs w:val="18"/>
                <w:lang w:eastAsia="en-AU"/>
              </w:rPr>
            </w:pPr>
            <w:r w:rsidRPr="006F27B6">
              <w:rPr>
                <w:rFonts w:cs="Arial"/>
                <w:color w:val="7F7F7F"/>
                <w:szCs w:val="18"/>
                <w:lang w:eastAsia="en-AU"/>
              </w:rPr>
              <w:t>Disengaged Youth</w:t>
            </w:r>
          </w:p>
        </w:tc>
        <w:tc>
          <w:tcPr>
            <w:tcW w:w="1227" w:type="dxa"/>
            <w:tcBorders>
              <w:top w:val="nil"/>
              <w:left w:val="nil"/>
              <w:bottom w:val="nil"/>
              <w:right w:val="nil"/>
            </w:tcBorders>
            <w:shd w:val="clear" w:color="auto" w:fill="auto"/>
            <w:noWrap/>
            <w:vAlign w:val="center"/>
            <w:hideMark/>
          </w:tcPr>
          <w:p w:rsidR="009610B9" w:rsidRPr="006F27B6" w:rsidRDefault="009610B9" w:rsidP="004E7315">
            <w:pPr>
              <w:jc w:val="right"/>
              <w:rPr>
                <w:rFonts w:cs="Arial"/>
                <w:color w:val="7F7F7F"/>
                <w:szCs w:val="18"/>
                <w:lang w:eastAsia="en-AU"/>
              </w:rPr>
            </w:pPr>
            <w:r w:rsidRPr="006F27B6">
              <w:rPr>
                <w:rFonts w:cs="Arial"/>
                <w:color w:val="7F7F7F"/>
                <w:szCs w:val="18"/>
                <w:lang w:eastAsia="en-AU"/>
              </w:rPr>
              <w:t>22%</w:t>
            </w:r>
          </w:p>
        </w:tc>
        <w:tc>
          <w:tcPr>
            <w:tcW w:w="1227" w:type="dxa"/>
            <w:tcBorders>
              <w:top w:val="nil"/>
              <w:left w:val="nil"/>
              <w:bottom w:val="nil"/>
              <w:right w:val="nil"/>
            </w:tcBorders>
            <w:shd w:val="clear" w:color="auto" w:fill="auto"/>
            <w:noWrap/>
            <w:vAlign w:val="center"/>
            <w:hideMark/>
          </w:tcPr>
          <w:p w:rsidR="009610B9" w:rsidRPr="006F27B6" w:rsidRDefault="009610B9" w:rsidP="004E7315">
            <w:pPr>
              <w:jc w:val="right"/>
              <w:rPr>
                <w:rFonts w:cs="Arial"/>
                <w:color w:val="7F7F7F"/>
                <w:szCs w:val="18"/>
                <w:lang w:eastAsia="en-AU"/>
              </w:rPr>
            </w:pPr>
            <w:r w:rsidRPr="006F27B6">
              <w:rPr>
                <w:rFonts w:cs="Arial"/>
                <w:color w:val="7F7F7F"/>
                <w:szCs w:val="18"/>
                <w:lang w:eastAsia="en-AU"/>
              </w:rPr>
              <w:t>7%</w:t>
            </w:r>
          </w:p>
        </w:tc>
        <w:tc>
          <w:tcPr>
            <w:tcW w:w="1227" w:type="dxa"/>
            <w:tcBorders>
              <w:top w:val="nil"/>
              <w:left w:val="nil"/>
              <w:bottom w:val="nil"/>
              <w:right w:val="nil"/>
            </w:tcBorders>
            <w:shd w:val="clear" w:color="auto" w:fill="auto"/>
            <w:noWrap/>
            <w:vAlign w:val="center"/>
            <w:hideMark/>
          </w:tcPr>
          <w:p w:rsidR="009610B9" w:rsidRPr="006F27B6" w:rsidRDefault="009610B9" w:rsidP="004E7315">
            <w:pPr>
              <w:jc w:val="right"/>
              <w:rPr>
                <w:rFonts w:cs="Arial"/>
                <w:color w:val="7F7F7F"/>
                <w:szCs w:val="18"/>
                <w:lang w:eastAsia="en-AU"/>
              </w:rPr>
            </w:pPr>
            <w:r w:rsidRPr="006F27B6">
              <w:rPr>
                <w:rFonts w:cs="Arial"/>
                <w:color w:val="7F7F7F"/>
                <w:szCs w:val="18"/>
                <w:lang w:eastAsia="en-AU"/>
              </w:rPr>
              <w:t>-34%</w:t>
            </w:r>
          </w:p>
        </w:tc>
        <w:tc>
          <w:tcPr>
            <w:tcW w:w="1227" w:type="dxa"/>
            <w:tcBorders>
              <w:top w:val="nil"/>
              <w:left w:val="nil"/>
              <w:bottom w:val="nil"/>
              <w:right w:val="nil"/>
            </w:tcBorders>
            <w:shd w:val="clear" w:color="auto" w:fill="auto"/>
            <w:noWrap/>
            <w:vAlign w:val="center"/>
            <w:hideMark/>
          </w:tcPr>
          <w:p w:rsidR="009610B9" w:rsidRPr="006F27B6" w:rsidRDefault="009610B9" w:rsidP="004E7315">
            <w:pPr>
              <w:jc w:val="right"/>
              <w:rPr>
                <w:rFonts w:cs="Arial"/>
                <w:color w:val="7F7F7F"/>
                <w:szCs w:val="18"/>
                <w:lang w:eastAsia="en-AU"/>
              </w:rPr>
            </w:pPr>
            <w:r w:rsidRPr="006F27B6">
              <w:rPr>
                <w:rFonts w:cs="Arial"/>
                <w:color w:val="7F7F7F"/>
                <w:szCs w:val="18"/>
                <w:lang w:eastAsia="en-AU"/>
              </w:rPr>
              <w:t>-19%</w:t>
            </w:r>
          </w:p>
        </w:tc>
        <w:tc>
          <w:tcPr>
            <w:tcW w:w="1227" w:type="dxa"/>
            <w:tcBorders>
              <w:top w:val="nil"/>
              <w:left w:val="nil"/>
              <w:bottom w:val="nil"/>
              <w:right w:val="nil"/>
            </w:tcBorders>
            <w:shd w:val="clear" w:color="auto" w:fill="auto"/>
            <w:noWrap/>
            <w:vAlign w:val="center"/>
            <w:hideMark/>
          </w:tcPr>
          <w:p w:rsidR="009610B9" w:rsidRPr="006F27B6" w:rsidRDefault="009610B9" w:rsidP="004E7315">
            <w:pPr>
              <w:jc w:val="right"/>
              <w:rPr>
                <w:rFonts w:cs="Arial"/>
                <w:color w:val="7F7F7F"/>
                <w:szCs w:val="18"/>
                <w:lang w:eastAsia="en-AU"/>
              </w:rPr>
            </w:pPr>
            <w:r w:rsidRPr="006F27B6">
              <w:rPr>
                <w:rFonts w:cs="Arial"/>
                <w:color w:val="7F7F7F"/>
                <w:szCs w:val="18"/>
                <w:lang w:eastAsia="en-AU"/>
              </w:rPr>
              <w:t>-15%</w:t>
            </w:r>
          </w:p>
        </w:tc>
      </w:tr>
      <w:tr w:rsidR="009610B9" w:rsidRPr="006F27B6" w:rsidTr="004E7315">
        <w:trPr>
          <w:trHeight w:val="300"/>
        </w:trPr>
        <w:tc>
          <w:tcPr>
            <w:tcW w:w="1960" w:type="dxa"/>
            <w:tcBorders>
              <w:top w:val="nil"/>
              <w:left w:val="nil"/>
              <w:bottom w:val="nil"/>
              <w:right w:val="nil"/>
            </w:tcBorders>
            <w:shd w:val="clear" w:color="auto" w:fill="auto"/>
            <w:noWrap/>
            <w:vAlign w:val="center"/>
            <w:hideMark/>
          </w:tcPr>
          <w:p w:rsidR="009610B9" w:rsidRPr="006F27B6" w:rsidRDefault="009610B9" w:rsidP="004E7315">
            <w:pPr>
              <w:rPr>
                <w:rFonts w:cs="Arial"/>
                <w:color w:val="7F7F7F"/>
                <w:szCs w:val="18"/>
                <w:lang w:eastAsia="en-AU"/>
              </w:rPr>
            </w:pPr>
            <w:r w:rsidRPr="006F27B6">
              <w:rPr>
                <w:rFonts w:cs="Arial"/>
                <w:color w:val="7F7F7F"/>
                <w:szCs w:val="18"/>
                <w:lang w:eastAsia="en-AU"/>
              </w:rPr>
              <w:t>Early school leavers</w:t>
            </w:r>
          </w:p>
        </w:tc>
        <w:tc>
          <w:tcPr>
            <w:tcW w:w="1227" w:type="dxa"/>
            <w:tcBorders>
              <w:top w:val="nil"/>
              <w:left w:val="nil"/>
              <w:bottom w:val="nil"/>
              <w:right w:val="nil"/>
            </w:tcBorders>
            <w:shd w:val="clear" w:color="auto" w:fill="auto"/>
            <w:noWrap/>
            <w:vAlign w:val="center"/>
            <w:hideMark/>
          </w:tcPr>
          <w:p w:rsidR="009610B9" w:rsidRPr="006F27B6" w:rsidRDefault="009610B9" w:rsidP="004E7315">
            <w:pPr>
              <w:jc w:val="right"/>
              <w:rPr>
                <w:rFonts w:cs="Arial"/>
                <w:color w:val="7F7F7F"/>
                <w:szCs w:val="18"/>
                <w:lang w:eastAsia="en-AU"/>
              </w:rPr>
            </w:pPr>
            <w:r w:rsidRPr="006F27B6">
              <w:rPr>
                <w:rFonts w:cs="Arial"/>
                <w:color w:val="7F7F7F"/>
                <w:szCs w:val="18"/>
                <w:lang w:eastAsia="en-AU"/>
              </w:rPr>
              <w:t>-18%</w:t>
            </w:r>
          </w:p>
        </w:tc>
        <w:tc>
          <w:tcPr>
            <w:tcW w:w="1227" w:type="dxa"/>
            <w:tcBorders>
              <w:top w:val="nil"/>
              <w:left w:val="nil"/>
              <w:bottom w:val="nil"/>
              <w:right w:val="nil"/>
            </w:tcBorders>
            <w:shd w:val="clear" w:color="auto" w:fill="auto"/>
            <w:noWrap/>
            <w:vAlign w:val="center"/>
            <w:hideMark/>
          </w:tcPr>
          <w:p w:rsidR="009610B9" w:rsidRPr="006F27B6" w:rsidRDefault="009610B9" w:rsidP="004E7315">
            <w:pPr>
              <w:jc w:val="right"/>
              <w:rPr>
                <w:rFonts w:cs="Arial"/>
                <w:color w:val="7F7F7F"/>
                <w:szCs w:val="18"/>
                <w:lang w:eastAsia="en-AU"/>
              </w:rPr>
            </w:pPr>
            <w:r w:rsidRPr="006F27B6">
              <w:rPr>
                <w:rFonts w:cs="Arial"/>
                <w:color w:val="7F7F7F"/>
                <w:szCs w:val="18"/>
                <w:lang w:eastAsia="en-AU"/>
              </w:rPr>
              <w:t>-17%</w:t>
            </w:r>
          </w:p>
        </w:tc>
        <w:tc>
          <w:tcPr>
            <w:tcW w:w="1227" w:type="dxa"/>
            <w:tcBorders>
              <w:top w:val="nil"/>
              <w:left w:val="nil"/>
              <w:bottom w:val="nil"/>
              <w:right w:val="nil"/>
            </w:tcBorders>
            <w:shd w:val="clear" w:color="auto" w:fill="auto"/>
            <w:noWrap/>
            <w:vAlign w:val="center"/>
            <w:hideMark/>
          </w:tcPr>
          <w:p w:rsidR="009610B9" w:rsidRPr="006F27B6" w:rsidRDefault="009610B9" w:rsidP="004E7315">
            <w:pPr>
              <w:jc w:val="right"/>
              <w:rPr>
                <w:rFonts w:cs="Arial"/>
                <w:color w:val="7F7F7F"/>
                <w:szCs w:val="18"/>
                <w:lang w:eastAsia="en-AU"/>
              </w:rPr>
            </w:pPr>
            <w:r w:rsidRPr="006F27B6">
              <w:rPr>
                <w:rFonts w:cs="Arial"/>
                <w:color w:val="7F7F7F"/>
                <w:szCs w:val="18"/>
                <w:lang w:eastAsia="en-AU"/>
              </w:rPr>
              <w:t>-39%</w:t>
            </w:r>
          </w:p>
        </w:tc>
        <w:tc>
          <w:tcPr>
            <w:tcW w:w="1227" w:type="dxa"/>
            <w:tcBorders>
              <w:top w:val="nil"/>
              <w:left w:val="nil"/>
              <w:bottom w:val="nil"/>
              <w:right w:val="nil"/>
            </w:tcBorders>
            <w:shd w:val="clear" w:color="auto" w:fill="auto"/>
            <w:noWrap/>
            <w:vAlign w:val="center"/>
            <w:hideMark/>
          </w:tcPr>
          <w:p w:rsidR="009610B9" w:rsidRPr="006F27B6" w:rsidRDefault="009610B9" w:rsidP="004E7315">
            <w:pPr>
              <w:jc w:val="right"/>
              <w:rPr>
                <w:rFonts w:cs="Arial"/>
                <w:color w:val="7F7F7F"/>
                <w:szCs w:val="18"/>
                <w:lang w:eastAsia="en-AU"/>
              </w:rPr>
            </w:pPr>
            <w:r w:rsidRPr="006F27B6">
              <w:rPr>
                <w:rFonts w:cs="Arial"/>
                <w:color w:val="7F7F7F"/>
                <w:szCs w:val="18"/>
                <w:lang w:eastAsia="en-AU"/>
              </w:rPr>
              <w:t>-17%</w:t>
            </w:r>
          </w:p>
        </w:tc>
        <w:tc>
          <w:tcPr>
            <w:tcW w:w="1227" w:type="dxa"/>
            <w:tcBorders>
              <w:top w:val="nil"/>
              <w:left w:val="nil"/>
              <w:bottom w:val="nil"/>
              <w:right w:val="nil"/>
            </w:tcBorders>
            <w:shd w:val="clear" w:color="auto" w:fill="auto"/>
            <w:noWrap/>
            <w:vAlign w:val="center"/>
            <w:hideMark/>
          </w:tcPr>
          <w:p w:rsidR="009610B9" w:rsidRPr="006F27B6" w:rsidRDefault="009610B9" w:rsidP="004E7315">
            <w:pPr>
              <w:jc w:val="right"/>
              <w:rPr>
                <w:rFonts w:cs="Arial"/>
                <w:color w:val="7F7F7F"/>
                <w:szCs w:val="18"/>
                <w:lang w:eastAsia="en-AU"/>
              </w:rPr>
            </w:pPr>
            <w:r w:rsidRPr="006F27B6">
              <w:rPr>
                <w:rFonts w:cs="Arial"/>
                <w:color w:val="7F7F7F"/>
                <w:szCs w:val="18"/>
                <w:lang w:eastAsia="en-AU"/>
              </w:rPr>
              <w:t>-7%</w:t>
            </w:r>
          </w:p>
        </w:tc>
      </w:tr>
      <w:tr w:rsidR="009610B9" w:rsidRPr="006F27B6" w:rsidTr="004E7315">
        <w:trPr>
          <w:trHeight w:val="300"/>
        </w:trPr>
        <w:tc>
          <w:tcPr>
            <w:tcW w:w="1960" w:type="dxa"/>
            <w:tcBorders>
              <w:top w:val="nil"/>
              <w:left w:val="nil"/>
              <w:bottom w:val="nil"/>
              <w:right w:val="nil"/>
            </w:tcBorders>
            <w:shd w:val="clear" w:color="auto" w:fill="auto"/>
            <w:noWrap/>
            <w:vAlign w:val="center"/>
            <w:hideMark/>
          </w:tcPr>
          <w:p w:rsidR="009610B9" w:rsidRPr="006F27B6" w:rsidRDefault="009610B9" w:rsidP="004E7315">
            <w:pPr>
              <w:rPr>
                <w:rFonts w:cs="Arial"/>
                <w:color w:val="7F7F7F"/>
                <w:szCs w:val="18"/>
                <w:lang w:eastAsia="en-AU"/>
              </w:rPr>
            </w:pPr>
            <w:r w:rsidRPr="006F27B6">
              <w:rPr>
                <w:rFonts w:cs="Arial"/>
                <w:color w:val="7F7F7F"/>
                <w:szCs w:val="18"/>
                <w:lang w:eastAsia="en-AU"/>
              </w:rPr>
              <w:t>Indigenous</w:t>
            </w:r>
          </w:p>
        </w:tc>
        <w:tc>
          <w:tcPr>
            <w:tcW w:w="1227" w:type="dxa"/>
            <w:tcBorders>
              <w:top w:val="nil"/>
              <w:left w:val="nil"/>
              <w:bottom w:val="nil"/>
              <w:right w:val="nil"/>
            </w:tcBorders>
            <w:shd w:val="clear" w:color="auto" w:fill="auto"/>
            <w:noWrap/>
            <w:vAlign w:val="center"/>
            <w:hideMark/>
          </w:tcPr>
          <w:p w:rsidR="009610B9" w:rsidRPr="006F27B6" w:rsidRDefault="009610B9" w:rsidP="004E7315">
            <w:pPr>
              <w:jc w:val="right"/>
              <w:rPr>
                <w:rFonts w:cs="Arial"/>
                <w:color w:val="7F7F7F"/>
                <w:szCs w:val="18"/>
                <w:lang w:eastAsia="en-AU"/>
              </w:rPr>
            </w:pPr>
            <w:r w:rsidRPr="006F27B6">
              <w:rPr>
                <w:rFonts w:cs="Arial"/>
                <w:color w:val="7F7F7F"/>
                <w:szCs w:val="18"/>
                <w:lang w:eastAsia="en-AU"/>
              </w:rPr>
              <w:t>82%</w:t>
            </w:r>
          </w:p>
        </w:tc>
        <w:tc>
          <w:tcPr>
            <w:tcW w:w="1227" w:type="dxa"/>
            <w:tcBorders>
              <w:top w:val="nil"/>
              <w:left w:val="nil"/>
              <w:bottom w:val="nil"/>
              <w:right w:val="nil"/>
            </w:tcBorders>
            <w:shd w:val="clear" w:color="auto" w:fill="auto"/>
            <w:noWrap/>
            <w:vAlign w:val="center"/>
            <w:hideMark/>
          </w:tcPr>
          <w:p w:rsidR="009610B9" w:rsidRPr="006F27B6" w:rsidRDefault="009610B9" w:rsidP="004E7315">
            <w:pPr>
              <w:jc w:val="right"/>
              <w:rPr>
                <w:rFonts w:cs="Arial"/>
                <w:color w:val="7F7F7F"/>
                <w:szCs w:val="18"/>
                <w:lang w:eastAsia="en-AU"/>
              </w:rPr>
            </w:pPr>
            <w:r w:rsidRPr="006F27B6">
              <w:rPr>
                <w:rFonts w:cs="Arial"/>
                <w:color w:val="7F7F7F"/>
                <w:szCs w:val="18"/>
                <w:lang w:eastAsia="en-AU"/>
              </w:rPr>
              <w:t>39%</w:t>
            </w:r>
          </w:p>
        </w:tc>
        <w:tc>
          <w:tcPr>
            <w:tcW w:w="1227" w:type="dxa"/>
            <w:tcBorders>
              <w:top w:val="nil"/>
              <w:left w:val="nil"/>
              <w:bottom w:val="nil"/>
              <w:right w:val="nil"/>
            </w:tcBorders>
            <w:shd w:val="clear" w:color="auto" w:fill="auto"/>
            <w:noWrap/>
            <w:vAlign w:val="center"/>
            <w:hideMark/>
          </w:tcPr>
          <w:p w:rsidR="009610B9" w:rsidRPr="006F27B6" w:rsidRDefault="009610B9" w:rsidP="004E7315">
            <w:pPr>
              <w:jc w:val="right"/>
              <w:rPr>
                <w:rFonts w:cs="Arial"/>
                <w:color w:val="7F7F7F"/>
                <w:szCs w:val="18"/>
                <w:lang w:eastAsia="en-AU"/>
              </w:rPr>
            </w:pPr>
            <w:r w:rsidRPr="006F27B6">
              <w:rPr>
                <w:rFonts w:cs="Arial"/>
                <w:color w:val="7F7F7F"/>
                <w:szCs w:val="18"/>
                <w:lang w:eastAsia="en-AU"/>
              </w:rPr>
              <w:t>13%</w:t>
            </w:r>
          </w:p>
        </w:tc>
        <w:tc>
          <w:tcPr>
            <w:tcW w:w="1227" w:type="dxa"/>
            <w:tcBorders>
              <w:top w:val="nil"/>
              <w:left w:val="nil"/>
              <w:bottom w:val="nil"/>
              <w:right w:val="nil"/>
            </w:tcBorders>
            <w:shd w:val="clear" w:color="auto" w:fill="auto"/>
            <w:noWrap/>
            <w:vAlign w:val="center"/>
            <w:hideMark/>
          </w:tcPr>
          <w:p w:rsidR="009610B9" w:rsidRPr="006F27B6" w:rsidRDefault="009610B9" w:rsidP="004E7315">
            <w:pPr>
              <w:jc w:val="right"/>
              <w:rPr>
                <w:rFonts w:cs="Arial"/>
                <w:color w:val="7F7F7F"/>
                <w:szCs w:val="18"/>
                <w:lang w:eastAsia="en-AU"/>
              </w:rPr>
            </w:pPr>
            <w:r w:rsidRPr="006F27B6">
              <w:rPr>
                <w:rFonts w:cs="Arial"/>
                <w:color w:val="7F7F7F"/>
                <w:szCs w:val="18"/>
                <w:lang w:eastAsia="en-AU"/>
              </w:rPr>
              <w:t>13%</w:t>
            </w:r>
          </w:p>
        </w:tc>
        <w:tc>
          <w:tcPr>
            <w:tcW w:w="1227" w:type="dxa"/>
            <w:tcBorders>
              <w:top w:val="nil"/>
              <w:left w:val="nil"/>
              <w:bottom w:val="nil"/>
              <w:right w:val="nil"/>
            </w:tcBorders>
            <w:shd w:val="clear" w:color="auto" w:fill="auto"/>
            <w:noWrap/>
            <w:vAlign w:val="center"/>
            <w:hideMark/>
          </w:tcPr>
          <w:p w:rsidR="009610B9" w:rsidRPr="006F27B6" w:rsidRDefault="009610B9" w:rsidP="004E7315">
            <w:pPr>
              <w:jc w:val="right"/>
              <w:rPr>
                <w:rFonts w:cs="Arial"/>
                <w:color w:val="7F7F7F"/>
                <w:szCs w:val="18"/>
                <w:lang w:eastAsia="en-AU"/>
              </w:rPr>
            </w:pPr>
            <w:r w:rsidRPr="006F27B6">
              <w:rPr>
                <w:rFonts w:cs="Arial"/>
                <w:color w:val="7F7F7F"/>
                <w:szCs w:val="18"/>
                <w:lang w:eastAsia="en-AU"/>
              </w:rPr>
              <w:t>14%</w:t>
            </w:r>
          </w:p>
        </w:tc>
      </w:tr>
      <w:tr w:rsidR="009610B9" w:rsidRPr="006F27B6" w:rsidTr="004E7315">
        <w:trPr>
          <w:trHeight w:val="300"/>
        </w:trPr>
        <w:tc>
          <w:tcPr>
            <w:tcW w:w="1960" w:type="dxa"/>
            <w:tcBorders>
              <w:top w:val="nil"/>
              <w:left w:val="nil"/>
              <w:bottom w:val="nil"/>
              <w:right w:val="nil"/>
            </w:tcBorders>
            <w:shd w:val="clear" w:color="auto" w:fill="auto"/>
            <w:noWrap/>
            <w:vAlign w:val="center"/>
            <w:hideMark/>
          </w:tcPr>
          <w:p w:rsidR="009610B9" w:rsidRPr="006F27B6" w:rsidRDefault="009610B9" w:rsidP="004E7315">
            <w:pPr>
              <w:rPr>
                <w:rFonts w:cs="Arial"/>
                <w:color w:val="7F7F7F"/>
                <w:szCs w:val="18"/>
                <w:lang w:eastAsia="en-AU"/>
              </w:rPr>
            </w:pPr>
            <w:r w:rsidRPr="006F27B6">
              <w:rPr>
                <w:rFonts w:cs="Arial"/>
                <w:color w:val="7F7F7F"/>
                <w:szCs w:val="18"/>
                <w:lang w:eastAsia="en-AU"/>
              </w:rPr>
              <w:t>Males 45 to 64</w:t>
            </w:r>
          </w:p>
        </w:tc>
        <w:tc>
          <w:tcPr>
            <w:tcW w:w="1227" w:type="dxa"/>
            <w:tcBorders>
              <w:top w:val="nil"/>
              <w:left w:val="nil"/>
              <w:bottom w:val="nil"/>
              <w:right w:val="nil"/>
            </w:tcBorders>
            <w:shd w:val="clear" w:color="auto" w:fill="auto"/>
            <w:noWrap/>
            <w:vAlign w:val="center"/>
            <w:hideMark/>
          </w:tcPr>
          <w:p w:rsidR="009610B9" w:rsidRPr="006F27B6" w:rsidRDefault="009610B9" w:rsidP="004E7315">
            <w:pPr>
              <w:jc w:val="right"/>
              <w:rPr>
                <w:rFonts w:cs="Arial"/>
                <w:color w:val="7F7F7F"/>
                <w:szCs w:val="18"/>
                <w:lang w:eastAsia="en-AU"/>
              </w:rPr>
            </w:pPr>
            <w:r w:rsidRPr="006F27B6">
              <w:rPr>
                <w:rFonts w:cs="Arial"/>
                <w:color w:val="7F7F7F"/>
                <w:szCs w:val="18"/>
                <w:lang w:eastAsia="en-AU"/>
              </w:rPr>
              <w:t>0%</w:t>
            </w:r>
          </w:p>
        </w:tc>
        <w:tc>
          <w:tcPr>
            <w:tcW w:w="1227" w:type="dxa"/>
            <w:tcBorders>
              <w:top w:val="nil"/>
              <w:left w:val="nil"/>
              <w:bottom w:val="nil"/>
              <w:right w:val="nil"/>
            </w:tcBorders>
            <w:shd w:val="clear" w:color="auto" w:fill="auto"/>
            <w:noWrap/>
            <w:vAlign w:val="center"/>
            <w:hideMark/>
          </w:tcPr>
          <w:p w:rsidR="009610B9" w:rsidRPr="006F27B6" w:rsidRDefault="009610B9" w:rsidP="004E7315">
            <w:pPr>
              <w:jc w:val="right"/>
              <w:rPr>
                <w:rFonts w:cs="Arial"/>
                <w:color w:val="7F7F7F"/>
                <w:szCs w:val="18"/>
                <w:lang w:eastAsia="en-AU"/>
              </w:rPr>
            </w:pPr>
            <w:r w:rsidRPr="006F27B6">
              <w:rPr>
                <w:rFonts w:cs="Arial"/>
                <w:color w:val="7F7F7F"/>
                <w:szCs w:val="18"/>
                <w:lang w:eastAsia="en-AU"/>
              </w:rPr>
              <w:t>10%</w:t>
            </w:r>
          </w:p>
        </w:tc>
        <w:tc>
          <w:tcPr>
            <w:tcW w:w="1227" w:type="dxa"/>
            <w:tcBorders>
              <w:top w:val="nil"/>
              <w:left w:val="nil"/>
              <w:bottom w:val="nil"/>
              <w:right w:val="nil"/>
            </w:tcBorders>
            <w:shd w:val="clear" w:color="auto" w:fill="auto"/>
            <w:noWrap/>
            <w:vAlign w:val="center"/>
            <w:hideMark/>
          </w:tcPr>
          <w:p w:rsidR="009610B9" w:rsidRPr="006F27B6" w:rsidRDefault="009610B9" w:rsidP="004E7315">
            <w:pPr>
              <w:jc w:val="right"/>
              <w:rPr>
                <w:rFonts w:cs="Arial"/>
                <w:color w:val="7F7F7F"/>
                <w:szCs w:val="18"/>
                <w:lang w:eastAsia="en-AU"/>
              </w:rPr>
            </w:pPr>
            <w:r w:rsidRPr="006F27B6">
              <w:rPr>
                <w:rFonts w:cs="Arial"/>
                <w:color w:val="7F7F7F"/>
                <w:szCs w:val="18"/>
                <w:lang w:eastAsia="en-AU"/>
              </w:rPr>
              <w:t>-8%</w:t>
            </w:r>
          </w:p>
        </w:tc>
        <w:tc>
          <w:tcPr>
            <w:tcW w:w="1227" w:type="dxa"/>
            <w:tcBorders>
              <w:top w:val="nil"/>
              <w:left w:val="nil"/>
              <w:bottom w:val="nil"/>
              <w:right w:val="nil"/>
            </w:tcBorders>
            <w:shd w:val="clear" w:color="auto" w:fill="auto"/>
            <w:noWrap/>
            <w:vAlign w:val="center"/>
            <w:hideMark/>
          </w:tcPr>
          <w:p w:rsidR="009610B9" w:rsidRPr="006F27B6" w:rsidRDefault="009610B9" w:rsidP="004E7315">
            <w:pPr>
              <w:jc w:val="right"/>
              <w:rPr>
                <w:rFonts w:cs="Arial"/>
                <w:color w:val="7F7F7F"/>
                <w:szCs w:val="18"/>
                <w:lang w:eastAsia="en-AU"/>
              </w:rPr>
            </w:pPr>
            <w:r w:rsidRPr="006F27B6">
              <w:rPr>
                <w:rFonts w:cs="Arial"/>
                <w:color w:val="7F7F7F"/>
                <w:szCs w:val="18"/>
                <w:lang w:eastAsia="en-AU"/>
              </w:rPr>
              <w:t>7%</w:t>
            </w:r>
          </w:p>
        </w:tc>
        <w:tc>
          <w:tcPr>
            <w:tcW w:w="1227" w:type="dxa"/>
            <w:tcBorders>
              <w:top w:val="nil"/>
              <w:left w:val="nil"/>
              <w:bottom w:val="nil"/>
              <w:right w:val="nil"/>
            </w:tcBorders>
            <w:shd w:val="clear" w:color="auto" w:fill="auto"/>
            <w:noWrap/>
            <w:vAlign w:val="center"/>
            <w:hideMark/>
          </w:tcPr>
          <w:p w:rsidR="009610B9" w:rsidRPr="006F27B6" w:rsidRDefault="009610B9" w:rsidP="004E7315">
            <w:pPr>
              <w:jc w:val="right"/>
              <w:rPr>
                <w:rFonts w:cs="Arial"/>
                <w:color w:val="7F7F7F"/>
                <w:szCs w:val="18"/>
                <w:lang w:eastAsia="en-AU"/>
              </w:rPr>
            </w:pPr>
            <w:r w:rsidRPr="006F27B6">
              <w:rPr>
                <w:rFonts w:cs="Arial"/>
                <w:color w:val="7F7F7F"/>
                <w:szCs w:val="18"/>
                <w:lang w:eastAsia="en-AU"/>
              </w:rPr>
              <w:t>9%</w:t>
            </w:r>
          </w:p>
        </w:tc>
      </w:tr>
      <w:tr w:rsidR="009610B9" w:rsidRPr="006F27B6" w:rsidTr="004E7315">
        <w:trPr>
          <w:trHeight w:val="300"/>
        </w:trPr>
        <w:tc>
          <w:tcPr>
            <w:tcW w:w="1960" w:type="dxa"/>
            <w:tcBorders>
              <w:top w:val="nil"/>
              <w:left w:val="nil"/>
              <w:bottom w:val="nil"/>
              <w:right w:val="nil"/>
            </w:tcBorders>
            <w:shd w:val="clear" w:color="auto" w:fill="auto"/>
            <w:noWrap/>
            <w:vAlign w:val="center"/>
            <w:hideMark/>
          </w:tcPr>
          <w:p w:rsidR="009610B9" w:rsidRPr="006F27B6" w:rsidRDefault="009610B9" w:rsidP="004E7315">
            <w:pPr>
              <w:rPr>
                <w:rFonts w:cs="Arial"/>
                <w:color w:val="7F7F7F"/>
                <w:szCs w:val="18"/>
                <w:lang w:eastAsia="en-AU"/>
              </w:rPr>
            </w:pPr>
            <w:r w:rsidRPr="006F27B6">
              <w:rPr>
                <w:rFonts w:cs="Arial"/>
                <w:color w:val="7F7F7F"/>
                <w:szCs w:val="18"/>
                <w:lang w:eastAsia="en-AU"/>
              </w:rPr>
              <w:t>Unemployed</w:t>
            </w:r>
          </w:p>
        </w:tc>
        <w:tc>
          <w:tcPr>
            <w:tcW w:w="1227" w:type="dxa"/>
            <w:tcBorders>
              <w:top w:val="nil"/>
              <w:left w:val="nil"/>
              <w:bottom w:val="nil"/>
              <w:right w:val="nil"/>
            </w:tcBorders>
            <w:shd w:val="clear" w:color="auto" w:fill="auto"/>
            <w:noWrap/>
            <w:vAlign w:val="center"/>
            <w:hideMark/>
          </w:tcPr>
          <w:p w:rsidR="009610B9" w:rsidRPr="006F27B6" w:rsidRDefault="009610B9" w:rsidP="004E7315">
            <w:pPr>
              <w:jc w:val="right"/>
              <w:rPr>
                <w:rFonts w:cs="Arial"/>
                <w:color w:val="7F7F7F"/>
                <w:szCs w:val="18"/>
                <w:lang w:eastAsia="en-AU"/>
              </w:rPr>
            </w:pPr>
            <w:r w:rsidRPr="006F27B6">
              <w:rPr>
                <w:rFonts w:cs="Arial"/>
                <w:color w:val="7F7F7F"/>
                <w:szCs w:val="18"/>
                <w:lang w:eastAsia="en-AU"/>
              </w:rPr>
              <w:t>32%</w:t>
            </w:r>
          </w:p>
        </w:tc>
        <w:tc>
          <w:tcPr>
            <w:tcW w:w="1227" w:type="dxa"/>
            <w:tcBorders>
              <w:top w:val="nil"/>
              <w:left w:val="nil"/>
              <w:bottom w:val="nil"/>
              <w:right w:val="nil"/>
            </w:tcBorders>
            <w:shd w:val="clear" w:color="auto" w:fill="auto"/>
            <w:noWrap/>
            <w:vAlign w:val="center"/>
            <w:hideMark/>
          </w:tcPr>
          <w:p w:rsidR="009610B9" w:rsidRPr="006F27B6" w:rsidRDefault="009610B9" w:rsidP="004E7315">
            <w:pPr>
              <w:jc w:val="right"/>
              <w:rPr>
                <w:rFonts w:cs="Arial"/>
                <w:color w:val="7F7F7F"/>
                <w:szCs w:val="18"/>
                <w:lang w:eastAsia="en-AU"/>
              </w:rPr>
            </w:pPr>
            <w:r w:rsidRPr="006F27B6">
              <w:rPr>
                <w:rFonts w:cs="Arial"/>
                <w:color w:val="7F7F7F"/>
                <w:szCs w:val="18"/>
                <w:lang w:eastAsia="en-AU"/>
              </w:rPr>
              <w:t>22%</w:t>
            </w:r>
          </w:p>
        </w:tc>
        <w:tc>
          <w:tcPr>
            <w:tcW w:w="1227" w:type="dxa"/>
            <w:tcBorders>
              <w:top w:val="nil"/>
              <w:left w:val="nil"/>
              <w:bottom w:val="nil"/>
              <w:right w:val="nil"/>
            </w:tcBorders>
            <w:shd w:val="clear" w:color="auto" w:fill="auto"/>
            <w:noWrap/>
            <w:vAlign w:val="center"/>
            <w:hideMark/>
          </w:tcPr>
          <w:p w:rsidR="009610B9" w:rsidRPr="006F27B6" w:rsidRDefault="009610B9" w:rsidP="004E7315">
            <w:pPr>
              <w:jc w:val="right"/>
              <w:rPr>
                <w:rFonts w:cs="Arial"/>
                <w:color w:val="7F7F7F"/>
                <w:szCs w:val="18"/>
                <w:lang w:eastAsia="en-AU"/>
              </w:rPr>
            </w:pPr>
            <w:r w:rsidRPr="006F27B6">
              <w:rPr>
                <w:rFonts w:cs="Arial"/>
                <w:color w:val="7F7F7F"/>
                <w:szCs w:val="18"/>
                <w:lang w:eastAsia="en-AU"/>
              </w:rPr>
              <w:t>-22%</w:t>
            </w:r>
          </w:p>
        </w:tc>
        <w:tc>
          <w:tcPr>
            <w:tcW w:w="1227" w:type="dxa"/>
            <w:tcBorders>
              <w:top w:val="nil"/>
              <w:left w:val="nil"/>
              <w:bottom w:val="nil"/>
              <w:right w:val="nil"/>
            </w:tcBorders>
            <w:shd w:val="clear" w:color="auto" w:fill="auto"/>
            <w:noWrap/>
            <w:vAlign w:val="center"/>
            <w:hideMark/>
          </w:tcPr>
          <w:p w:rsidR="009610B9" w:rsidRPr="006F27B6" w:rsidRDefault="009610B9" w:rsidP="004E7315">
            <w:pPr>
              <w:jc w:val="right"/>
              <w:rPr>
                <w:rFonts w:cs="Arial"/>
                <w:color w:val="7F7F7F"/>
                <w:szCs w:val="18"/>
                <w:lang w:eastAsia="en-AU"/>
              </w:rPr>
            </w:pPr>
            <w:r w:rsidRPr="006F27B6">
              <w:rPr>
                <w:rFonts w:cs="Arial"/>
                <w:color w:val="7F7F7F"/>
                <w:szCs w:val="18"/>
                <w:lang w:eastAsia="en-AU"/>
              </w:rPr>
              <w:t>-7%</w:t>
            </w:r>
          </w:p>
        </w:tc>
        <w:tc>
          <w:tcPr>
            <w:tcW w:w="1227" w:type="dxa"/>
            <w:tcBorders>
              <w:top w:val="nil"/>
              <w:left w:val="nil"/>
              <w:bottom w:val="nil"/>
              <w:right w:val="nil"/>
            </w:tcBorders>
            <w:shd w:val="clear" w:color="auto" w:fill="auto"/>
            <w:noWrap/>
            <w:vAlign w:val="center"/>
            <w:hideMark/>
          </w:tcPr>
          <w:p w:rsidR="009610B9" w:rsidRPr="006F27B6" w:rsidRDefault="009610B9" w:rsidP="004E7315">
            <w:pPr>
              <w:jc w:val="right"/>
              <w:rPr>
                <w:rFonts w:cs="Arial"/>
                <w:color w:val="7F7F7F"/>
                <w:szCs w:val="18"/>
                <w:lang w:eastAsia="en-AU"/>
              </w:rPr>
            </w:pPr>
            <w:r w:rsidRPr="006F27B6">
              <w:rPr>
                <w:rFonts w:cs="Arial"/>
                <w:color w:val="7F7F7F"/>
                <w:szCs w:val="18"/>
                <w:lang w:eastAsia="en-AU"/>
              </w:rPr>
              <w:t>-2%</w:t>
            </w:r>
          </w:p>
        </w:tc>
      </w:tr>
      <w:tr w:rsidR="009610B9" w:rsidRPr="006F27B6" w:rsidTr="004E7315">
        <w:trPr>
          <w:trHeight w:val="315"/>
        </w:trPr>
        <w:tc>
          <w:tcPr>
            <w:tcW w:w="1960" w:type="dxa"/>
            <w:tcBorders>
              <w:top w:val="nil"/>
              <w:left w:val="nil"/>
              <w:bottom w:val="single" w:sz="12" w:space="0" w:color="7F7F7F"/>
              <w:right w:val="nil"/>
            </w:tcBorders>
            <w:shd w:val="clear" w:color="auto" w:fill="auto"/>
            <w:noWrap/>
            <w:vAlign w:val="center"/>
            <w:hideMark/>
          </w:tcPr>
          <w:p w:rsidR="009610B9" w:rsidRPr="006F27B6" w:rsidRDefault="009610B9" w:rsidP="004E7315">
            <w:pPr>
              <w:rPr>
                <w:rFonts w:cs="Arial"/>
                <w:color w:val="7F7F7F"/>
                <w:szCs w:val="18"/>
                <w:lang w:eastAsia="en-AU"/>
              </w:rPr>
            </w:pPr>
            <w:r w:rsidRPr="006F27B6">
              <w:rPr>
                <w:rFonts w:cs="Arial"/>
                <w:color w:val="7F7F7F"/>
                <w:szCs w:val="18"/>
                <w:lang w:eastAsia="en-AU"/>
              </w:rPr>
              <w:t>Vulnerable workers</w:t>
            </w:r>
          </w:p>
        </w:tc>
        <w:tc>
          <w:tcPr>
            <w:tcW w:w="1227" w:type="dxa"/>
            <w:tcBorders>
              <w:top w:val="nil"/>
              <w:left w:val="nil"/>
              <w:bottom w:val="single" w:sz="12" w:space="0" w:color="7F7F7F"/>
              <w:right w:val="nil"/>
            </w:tcBorders>
            <w:shd w:val="clear" w:color="auto" w:fill="auto"/>
            <w:noWrap/>
            <w:vAlign w:val="center"/>
            <w:hideMark/>
          </w:tcPr>
          <w:p w:rsidR="009610B9" w:rsidRPr="006F27B6" w:rsidRDefault="009610B9" w:rsidP="004E7315">
            <w:pPr>
              <w:jc w:val="right"/>
              <w:rPr>
                <w:rFonts w:cs="Arial"/>
                <w:color w:val="7F7F7F"/>
                <w:szCs w:val="18"/>
                <w:lang w:eastAsia="en-AU"/>
              </w:rPr>
            </w:pPr>
            <w:r w:rsidRPr="006F27B6">
              <w:rPr>
                <w:rFonts w:cs="Arial"/>
                <w:color w:val="7F7F7F"/>
                <w:szCs w:val="18"/>
                <w:lang w:eastAsia="en-AU"/>
              </w:rPr>
              <w:t>1%</w:t>
            </w:r>
          </w:p>
        </w:tc>
        <w:tc>
          <w:tcPr>
            <w:tcW w:w="1227" w:type="dxa"/>
            <w:tcBorders>
              <w:top w:val="nil"/>
              <w:left w:val="nil"/>
              <w:bottom w:val="single" w:sz="12" w:space="0" w:color="7F7F7F"/>
              <w:right w:val="nil"/>
            </w:tcBorders>
            <w:shd w:val="clear" w:color="auto" w:fill="auto"/>
            <w:noWrap/>
            <w:vAlign w:val="center"/>
            <w:hideMark/>
          </w:tcPr>
          <w:p w:rsidR="009610B9" w:rsidRPr="006F27B6" w:rsidRDefault="009610B9" w:rsidP="004E7315">
            <w:pPr>
              <w:jc w:val="right"/>
              <w:rPr>
                <w:rFonts w:cs="Arial"/>
                <w:color w:val="7F7F7F"/>
                <w:szCs w:val="18"/>
                <w:lang w:eastAsia="en-AU"/>
              </w:rPr>
            </w:pPr>
            <w:r w:rsidRPr="006F27B6">
              <w:rPr>
                <w:rFonts w:cs="Arial"/>
                <w:color w:val="7F7F7F"/>
                <w:szCs w:val="18"/>
                <w:lang w:eastAsia="en-AU"/>
              </w:rPr>
              <w:t>10%</w:t>
            </w:r>
          </w:p>
        </w:tc>
        <w:tc>
          <w:tcPr>
            <w:tcW w:w="1227" w:type="dxa"/>
            <w:tcBorders>
              <w:top w:val="nil"/>
              <w:left w:val="nil"/>
              <w:bottom w:val="single" w:sz="12" w:space="0" w:color="7F7F7F"/>
              <w:right w:val="nil"/>
            </w:tcBorders>
            <w:shd w:val="clear" w:color="auto" w:fill="auto"/>
            <w:noWrap/>
            <w:vAlign w:val="center"/>
            <w:hideMark/>
          </w:tcPr>
          <w:p w:rsidR="009610B9" w:rsidRPr="006F27B6" w:rsidRDefault="009610B9" w:rsidP="004E7315">
            <w:pPr>
              <w:jc w:val="right"/>
              <w:rPr>
                <w:rFonts w:cs="Arial"/>
                <w:color w:val="7F7F7F"/>
                <w:szCs w:val="18"/>
                <w:lang w:eastAsia="en-AU"/>
              </w:rPr>
            </w:pPr>
            <w:r w:rsidRPr="006F27B6">
              <w:rPr>
                <w:rFonts w:cs="Arial"/>
                <w:color w:val="7F7F7F"/>
                <w:szCs w:val="18"/>
                <w:lang w:eastAsia="en-AU"/>
              </w:rPr>
              <w:t>-17%</w:t>
            </w:r>
          </w:p>
        </w:tc>
        <w:tc>
          <w:tcPr>
            <w:tcW w:w="1227" w:type="dxa"/>
            <w:tcBorders>
              <w:top w:val="nil"/>
              <w:left w:val="nil"/>
              <w:bottom w:val="single" w:sz="12" w:space="0" w:color="7F7F7F"/>
              <w:right w:val="nil"/>
            </w:tcBorders>
            <w:shd w:val="clear" w:color="auto" w:fill="auto"/>
            <w:noWrap/>
            <w:vAlign w:val="center"/>
            <w:hideMark/>
          </w:tcPr>
          <w:p w:rsidR="009610B9" w:rsidRPr="006F27B6" w:rsidRDefault="009610B9" w:rsidP="004E7315">
            <w:pPr>
              <w:jc w:val="right"/>
              <w:rPr>
                <w:rFonts w:cs="Arial"/>
                <w:color w:val="7F7F7F"/>
                <w:szCs w:val="18"/>
                <w:lang w:eastAsia="en-AU"/>
              </w:rPr>
            </w:pPr>
            <w:r w:rsidRPr="006F27B6">
              <w:rPr>
                <w:rFonts w:cs="Arial"/>
                <w:color w:val="7F7F7F"/>
                <w:szCs w:val="18"/>
                <w:lang w:eastAsia="en-AU"/>
              </w:rPr>
              <w:t>-15%</w:t>
            </w:r>
          </w:p>
        </w:tc>
        <w:tc>
          <w:tcPr>
            <w:tcW w:w="1227" w:type="dxa"/>
            <w:tcBorders>
              <w:top w:val="nil"/>
              <w:left w:val="nil"/>
              <w:bottom w:val="single" w:sz="12" w:space="0" w:color="7F7F7F"/>
              <w:right w:val="nil"/>
            </w:tcBorders>
            <w:shd w:val="clear" w:color="auto" w:fill="auto"/>
            <w:noWrap/>
            <w:vAlign w:val="center"/>
            <w:hideMark/>
          </w:tcPr>
          <w:p w:rsidR="009610B9" w:rsidRPr="006F27B6" w:rsidRDefault="009610B9" w:rsidP="004E7315">
            <w:pPr>
              <w:jc w:val="right"/>
              <w:rPr>
                <w:rFonts w:cs="Arial"/>
                <w:color w:val="7F7F7F"/>
                <w:szCs w:val="18"/>
                <w:lang w:eastAsia="en-AU"/>
              </w:rPr>
            </w:pPr>
            <w:r w:rsidRPr="006F27B6">
              <w:rPr>
                <w:rFonts w:cs="Arial"/>
                <w:color w:val="7F7F7F"/>
                <w:szCs w:val="18"/>
                <w:lang w:eastAsia="en-AU"/>
              </w:rPr>
              <w:t>-6%</w:t>
            </w:r>
          </w:p>
        </w:tc>
      </w:tr>
    </w:tbl>
    <w:p w:rsidR="009610B9" w:rsidRDefault="009610B9" w:rsidP="009610B9">
      <w:pPr>
        <w:rPr>
          <w:rFonts w:cs="Arial"/>
          <w:bCs/>
          <w:color w:val="7F7F7F" w:themeColor="text2"/>
          <w:kern w:val="32"/>
          <w:szCs w:val="18"/>
        </w:rPr>
      </w:pPr>
    </w:p>
    <w:p w:rsidR="009610B9" w:rsidRDefault="009610B9" w:rsidP="009610B9"/>
    <w:p w:rsidR="001E08F1" w:rsidRDefault="00E86C31" w:rsidP="001E08F1">
      <w:pPr>
        <w:pStyle w:val="Heading1"/>
        <w:rPr>
          <w:color w:val="B41F22" w:themeColor="accent1"/>
        </w:rPr>
      </w:pPr>
      <w:r>
        <w:rPr>
          <w:bCs w:val="0"/>
          <w:szCs w:val="18"/>
        </w:rPr>
        <w:lastRenderedPageBreak/>
        <w:br w:type="page"/>
      </w:r>
      <w:bookmarkStart w:id="19" w:name="_Toc432758327"/>
      <w:r w:rsidR="001E08F1" w:rsidRPr="00312A18">
        <w:rPr>
          <w:color w:val="B41F22" w:themeColor="accent1"/>
        </w:rPr>
        <w:lastRenderedPageBreak/>
        <w:t>Learners Facing Barriers to Participation</w:t>
      </w:r>
      <w:bookmarkEnd w:id="19"/>
    </w:p>
    <w:p w:rsidR="001E08F1" w:rsidRPr="00312A18" w:rsidRDefault="001E08F1" w:rsidP="001E08F1">
      <w:pPr>
        <w:pStyle w:val="Heading2"/>
        <w:rPr>
          <w:color w:val="B41F22" w:themeColor="accent1"/>
        </w:rPr>
      </w:pPr>
      <w:bookmarkStart w:id="20" w:name="_Toc432758328"/>
      <w:r w:rsidRPr="00312A18">
        <w:rPr>
          <w:color w:val="B41F22" w:themeColor="accent1"/>
        </w:rPr>
        <w:t>Vocational Training Delivery to Learner Groups Facing Barriers</w:t>
      </w:r>
      <w:bookmarkEnd w:id="20"/>
    </w:p>
    <w:p w:rsidR="001E08F1" w:rsidRPr="00312A18" w:rsidRDefault="001E08F1" w:rsidP="001E08F1"/>
    <w:p w:rsidR="001E08F1" w:rsidRPr="00AE7775" w:rsidRDefault="001E08F1" w:rsidP="001E08F1">
      <w:pPr>
        <w:spacing w:after="120"/>
        <w:rPr>
          <w:rFonts w:cs="Arial"/>
          <w:color w:val="7F7F7F" w:themeColor="text2"/>
        </w:rPr>
      </w:pPr>
      <w:r w:rsidRPr="00AE7775">
        <w:rPr>
          <w:rFonts w:cs="Arial"/>
          <w:color w:val="7F7F7F" w:themeColor="text2"/>
        </w:rPr>
        <w:t xml:space="preserve">Young people and adult learners, who may be members of more than one equity group, can have complex and multiple learning needs and may have contact with a range of government services and programs. </w:t>
      </w:r>
      <w:proofErr w:type="gramStart"/>
      <w:r w:rsidRPr="00AE7775">
        <w:rPr>
          <w:rFonts w:cs="Arial"/>
          <w:color w:val="7F7F7F" w:themeColor="text2"/>
        </w:rPr>
        <w:t>There is a significant evidence base that</w:t>
      </w:r>
      <w:proofErr w:type="gramEnd"/>
      <w:r w:rsidRPr="00AE7775">
        <w:rPr>
          <w:rFonts w:cs="Arial"/>
          <w:color w:val="7F7F7F" w:themeColor="text2"/>
        </w:rPr>
        <w:t xml:space="preserve"> demonstrates the value and importance of education and training to these groups. However, higher needs learners may face a combination of barriers to effective engagement in education and training, including low levels of previous educational achievement, low aspirations, </w:t>
      </w:r>
      <w:proofErr w:type="gramStart"/>
      <w:r w:rsidRPr="00AE7775">
        <w:rPr>
          <w:rFonts w:cs="Arial"/>
          <w:color w:val="7F7F7F" w:themeColor="text2"/>
        </w:rPr>
        <w:t>poor</w:t>
      </w:r>
      <w:proofErr w:type="gramEnd"/>
      <w:r w:rsidRPr="00AE7775">
        <w:rPr>
          <w:rFonts w:cs="Arial"/>
          <w:color w:val="7F7F7F" w:themeColor="text2"/>
        </w:rPr>
        <w:t xml:space="preserve"> access to training and broader barriers such as poverty, homelessness and poor health.</w:t>
      </w:r>
    </w:p>
    <w:p w:rsidR="001E08F1" w:rsidRDefault="001E08F1" w:rsidP="001E08F1">
      <w:pPr>
        <w:spacing w:after="120"/>
        <w:rPr>
          <w:rFonts w:cs="Arial"/>
          <w:color w:val="7F7F7F" w:themeColor="text2"/>
        </w:rPr>
      </w:pPr>
      <w:r w:rsidRPr="00AE7775">
        <w:rPr>
          <w:rFonts w:cs="Arial"/>
          <w:color w:val="7F7F7F" w:themeColor="text2"/>
        </w:rPr>
        <w:t>Vocational training has continued to be a critical enabler in opening up pathways for higher needs and disadvantaged learners through the provision of tailored services, often in partnership with other service providers.</w:t>
      </w:r>
    </w:p>
    <w:p w:rsidR="001E08F1" w:rsidRDefault="001E08F1" w:rsidP="001E08F1"/>
    <w:p w:rsidR="001E08F1" w:rsidRPr="00DE7971" w:rsidRDefault="001E08F1" w:rsidP="001E08F1">
      <w:pPr>
        <w:pStyle w:val="Heading3"/>
        <w:spacing w:before="120" w:after="120"/>
        <w:rPr>
          <w:color w:val="7F7F7F" w:themeColor="text2"/>
        </w:rPr>
      </w:pPr>
      <w:r w:rsidRPr="00DE7971">
        <w:rPr>
          <w:color w:val="7F7F7F" w:themeColor="text2"/>
        </w:rPr>
        <w:t>Students undertaking Government Subsidised Accredited and Pre-Accredited Training</w:t>
      </w: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1E08F1" w:rsidTr="00D07A42">
        <w:tc>
          <w:tcPr>
            <w:tcW w:w="1134" w:type="dxa"/>
            <w:tcMar>
              <w:left w:w="0" w:type="dxa"/>
              <w:right w:w="0" w:type="dxa"/>
            </w:tcMar>
          </w:tcPr>
          <w:p w:rsidR="001E08F1" w:rsidRDefault="00AF3E67" w:rsidP="00D07A42">
            <w:pPr>
              <w:pStyle w:val="Quote"/>
              <w:tabs>
                <w:tab w:val="left" w:pos="1134"/>
              </w:tabs>
              <w:rPr>
                <w:b w:val="0"/>
                <w:color w:val="B41F22" w:themeColor="accent1"/>
              </w:rPr>
            </w:pPr>
            <w:r>
              <w:rPr>
                <w:b w:val="0"/>
                <w:color w:val="B41F22" w:themeColor="accent1"/>
              </w:rPr>
              <w:t>Table 2</w:t>
            </w:r>
            <w:r w:rsidR="001E08F1">
              <w:rPr>
                <w:b w:val="0"/>
                <w:color w:val="B41F22" w:themeColor="accent1"/>
              </w:rPr>
              <w:t>.1.1:</w:t>
            </w:r>
          </w:p>
        </w:tc>
        <w:tc>
          <w:tcPr>
            <w:tcW w:w="6946" w:type="dxa"/>
            <w:tcMar>
              <w:left w:w="0" w:type="dxa"/>
              <w:right w:w="0" w:type="dxa"/>
            </w:tcMar>
          </w:tcPr>
          <w:p w:rsidR="001E08F1" w:rsidRDefault="001E08F1" w:rsidP="00D07A42">
            <w:pPr>
              <w:pStyle w:val="Quote"/>
              <w:tabs>
                <w:tab w:val="left" w:pos="1134"/>
              </w:tabs>
              <w:rPr>
                <w:b w:val="0"/>
                <w:color w:val="B41F22" w:themeColor="accent1"/>
              </w:rPr>
            </w:pPr>
            <w:r w:rsidRPr="00F70EE6">
              <w:rPr>
                <w:b w:val="0"/>
                <w:color w:val="B41F22" w:themeColor="accent1"/>
              </w:rPr>
              <w:t xml:space="preserve">Students enrolled in government subsidised </w:t>
            </w:r>
            <w:r>
              <w:rPr>
                <w:b w:val="0"/>
                <w:color w:val="B41F22" w:themeColor="accent1"/>
              </w:rPr>
              <w:t xml:space="preserve">accredited and pre-accredited </w:t>
            </w:r>
            <w:r w:rsidRPr="00F70EE6">
              <w:rPr>
                <w:b w:val="0"/>
                <w:color w:val="B41F22" w:themeColor="accent1"/>
              </w:rPr>
              <w:t>training by selected learner groups*, 2010 to 2015 (half year)</w:t>
            </w:r>
          </w:p>
        </w:tc>
      </w:tr>
    </w:tbl>
    <w:tbl>
      <w:tblPr>
        <w:tblW w:w="8095" w:type="dxa"/>
        <w:tblInd w:w="93" w:type="dxa"/>
        <w:tblLayout w:type="fixed"/>
        <w:tblLook w:val="04A0" w:firstRow="1" w:lastRow="0" w:firstColumn="1" w:lastColumn="0" w:noHBand="0" w:noVBand="1"/>
      </w:tblPr>
      <w:tblGrid>
        <w:gridCol w:w="2283"/>
        <w:gridCol w:w="968"/>
        <w:gridCol w:w="969"/>
        <w:gridCol w:w="969"/>
        <w:gridCol w:w="968"/>
        <w:gridCol w:w="969"/>
        <w:gridCol w:w="969"/>
      </w:tblGrid>
      <w:tr w:rsidR="001E08F1" w:rsidRPr="00F70EE6" w:rsidTr="00D07A42">
        <w:trPr>
          <w:trHeight w:val="300"/>
        </w:trPr>
        <w:tc>
          <w:tcPr>
            <w:tcW w:w="2283" w:type="dxa"/>
            <w:tcBorders>
              <w:top w:val="nil"/>
              <w:left w:val="nil"/>
              <w:bottom w:val="nil"/>
              <w:right w:val="nil"/>
            </w:tcBorders>
            <w:shd w:val="clear" w:color="000000" w:fill="7F7F7F"/>
            <w:noWrap/>
            <w:vAlign w:val="center"/>
            <w:hideMark/>
          </w:tcPr>
          <w:p w:rsidR="001E08F1" w:rsidRPr="00F70EE6" w:rsidRDefault="001E08F1" w:rsidP="00D07A42">
            <w:pPr>
              <w:rPr>
                <w:rFonts w:cs="Arial"/>
                <w:color w:val="7F7F7F"/>
                <w:szCs w:val="18"/>
                <w:lang w:eastAsia="en-AU"/>
              </w:rPr>
            </w:pPr>
            <w:r w:rsidRPr="00F70EE6">
              <w:rPr>
                <w:rFonts w:cs="Arial"/>
                <w:color w:val="7F7F7F"/>
                <w:szCs w:val="18"/>
                <w:lang w:eastAsia="en-AU"/>
              </w:rPr>
              <w:t> </w:t>
            </w:r>
          </w:p>
        </w:tc>
        <w:tc>
          <w:tcPr>
            <w:tcW w:w="968" w:type="dxa"/>
            <w:tcBorders>
              <w:top w:val="nil"/>
              <w:left w:val="nil"/>
              <w:bottom w:val="nil"/>
              <w:right w:val="nil"/>
            </w:tcBorders>
            <w:shd w:val="clear" w:color="000000" w:fill="7F7F7F"/>
            <w:noWrap/>
            <w:vAlign w:val="center"/>
            <w:hideMark/>
          </w:tcPr>
          <w:p w:rsidR="001E08F1" w:rsidRPr="00F70EE6" w:rsidRDefault="001E08F1" w:rsidP="00D07A42">
            <w:pPr>
              <w:jc w:val="right"/>
              <w:rPr>
                <w:rFonts w:cs="Arial"/>
                <w:b/>
                <w:bCs/>
                <w:color w:val="FFFFFF"/>
                <w:szCs w:val="18"/>
                <w:lang w:eastAsia="en-AU"/>
              </w:rPr>
            </w:pPr>
            <w:r w:rsidRPr="00F70EE6">
              <w:rPr>
                <w:rFonts w:cs="Arial"/>
                <w:b/>
                <w:bCs/>
                <w:color w:val="FFFFFF"/>
                <w:szCs w:val="18"/>
                <w:lang w:eastAsia="en-AU"/>
              </w:rPr>
              <w:t>2010</w:t>
            </w:r>
          </w:p>
        </w:tc>
        <w:tc>
          <w:tcPr>
            <w:tcW w:w="969" w:type="dxa"/>
            <w:tcBorders>
              <w:top w:val="nil"/>
              <w:left w:val="nil"/>
              <w:bottom w:val="nil"/>
              <w:right w:val="nil"/>
            </w:tcBorders>
            <w:shd w:val="clear" w:color="000000" w:fill="7F7F7F"/>
            <w:noWrap/>
            <w:vAlign w:val="center"/>
            <w:hideMark/>
          </w:tcPr>
          <w:p w:rsidR="001E08F1" w:rsidRPr="00F70EE6" w:rsidRDefault="001E08F1" w:rsidP="00D07A42">
            <w:pPr>
              <w:jc w:val="right"/>
              <w:rPr>
                <w:rFonts w:cs="Arial"/>
                <w:b/>
                <w:bCs/>
                <w:color w:val="FFFFFF"/>
                <w:szCs w:val="18"/>
                <w:lang w:eastAsia="en-AU"/>
              </w:rPr>
            </w:pPr>
            <w:r w:rsidRPr="00F70EE6">
              <w:rPr>
                <w:rFonts w:cs="Arial"/>
                <w:b/>
                <w:bCs/>
                <w:color w:val="FFFFFF"/>
                <w:szCs w:val="18"/>
                <w:lang w:eastAsia="en-AU"/>
              </w:rPr>
              <w:t>2011</w:t>
            </w:r>
          </w:p>
        </w:tc>
        <w:tc>
          <w:tcPr>
            <w:tcW w:w="969" w:type="dxa"/>
            <w:tcBorders>
              <w:top w:val="nil"/>
              <w:left w:val="nil"/>
              <w:bottom w:val="nil"/>
              <w:right w:val="nil"/>
            </w:tcBorders>
            <w:shd w:val="clear" w:color="000000" w:fill="7F7F7F"/>
            <w:noWrap/>
            <w:vAlign w:val="center"/>
            <w:hideMark/>
          </w:tcPr>
          <w:p w:rsidR="001E08F1" w:rsidRPr="00F70EE6" w:rsidRDefault="001E08F1" w:rsidP="00D07A42">
            <w:pPr>
              <w:jc w:val="right"/>
              <w:rPr>
                <w:rFonts w:cs="Arial"/>
                <w:b/>
                <w:bCs/>
                <w:color w:val="FFFFFF"/>
                <w:szCs w:val="18"/>
                <w:lang w:eastAsia="en-AU"/>
              </w:rPr>
            </w:pPr>
            <w:r w:rsidRPr="00F70EE6">
              <w:rPr>
                <w:rFonts w:cs="Arial"/>
                <w:b/>
                <w:bCs/>
                <w:color w:val="FFFFFF"/>
                <w:szCs w:val="18"/>
                <w:lang w:eastAsia="en-AU"/>
              </w:rPr>
              <w:t>2012</w:t>
            </w:r>
          </w:p>
        </w:tc>
        <w:tc>
          <w:tcPr>
            <w:tcW w:w="968" w:type="dxa"/>
            <w:tcBorders>
              <w:top w:val="nil"/>
              <w:left w:val="nil"/>
              <w:bottom w:val="nil"/>
              <w:right w:val="nil"/>
            </w:tcBorders>
            <w:shd w:val="clear" w:color="000000" w:fill="7F7F7F"/>
            <w:noWrap/>
            <w:vAlign w:val="center"/>
            <w:hideMark/>
          </w:tcPr>
          <w:p w:rsidR="001E08F1" w:rsidRPr="00F70EE6" w:rsidRDefault="001E08F1" w:rsidP="00D07A42">
            <w:pPr>
              <w:jc w:val="right"/>
              <w:rPr>
                <w:rFonts w:cs="Arial"/>
                <w:b/>
                <w:bCs/>
                <w:color w:val="FFFFFF"/>
                <w:szCs w:val="18"/>
                <w:lang w:eastAsia="en-AU"/>
              </w:rPr>
            </w:pPr>
            <w:r w:rsidRPr="00F70EE6">
              <w:rPr>
                <w:rFonts w:cs="Arial"/>
                <w:b/>
                <w:bCs/>
                <w:color w:val="FFFFFF"/>
                <w:szCs w:val="18"/>
                <w:lang w:eastAsia="en-AU"/>
              </w:rPr>
              <w:t>2013</w:t>
            </w:r>
          </w:p>
        </w:tc>
        <w:tc>
          <w:tcPr>
            <w:tcW w:w="969" w:type="dxa"/>
            <w:tcBorders>
              <w:top w:val="nil"/>
              <w:left w:val="nil"/>
              <w:bottom w:val="nil"/>
              <w:right w:val="nil"/>
            </w:tcBorders>
            <w:shd w:val="clear" w:color="000000" w:fill="7F7F7F"/>
            <w:noWrap/>
            <w:vAlign w:val="center"/>
            <w:hideMark/>
          </w:tcPr>
          <w:p w:rsidR="001E08F1" w:rsidRPr="00F70EE6" w:rsidRDefault="001E08F1" w:rsidP="00D07A42">
            <w:pPr>
              <w:jc w:val="right"/>
              <w:rPr>
                <w:rFonts w:cs="Arial"/>
                <w:b/>
                <w:bCs/>
                <w:color w:val="FFFFFF"/>
                <w:szCs w:val="18"/>
                <w:lang w:eastAsia="en-AU"/>
              </w:rPr>
            </w:pPr>
            <w:r w:rsidRPr="00F70EE6">
              <w:rPr>
                <w:rFonts w:cs="Arial"/>
                <w:b/>
                <w:bCs/>
                <w:color w:val="FFFFFF"/>
                <w:szCs w:val="18"/>
                <w:lang w:eastAsia="en-AU"/>
              </w:rPr>
              <w:t>2014</w:t>
            </w:r>
          </w:p>
        </w:tc>
        <w:tc>
          <w:tcPr>
            <w:tcW w:w="969" w:type="dxa"/>
            <w:tcBorders>
              <w:top w:val="nil"/>
              <w:left w:val="nil"/>
              <w:bottom w:val="nil"/>
              <w:right w:val="nil"/>
            </w:tcBorders>
            <w:shd w:val="clear" w:color="000000" w:fill="7F7F7F"/>
            <w:noWrap/>
            <w:vAlign w:val="center"/>
            <w:hideMark/>
          </w:tcPr>
          <w:p w:rsidR="001E08F1" w:rsidRPr="00F70EE6" w:rsidRDefault="001E08F1" w:rsidP="00D07A42">
            <w:pPr>
              <w:jc w:val="right"/>
              <w:rPr>
                <w:rFonts w:cs="Arial"/>
                <w:b/>
                <w:bCs/>
                <w:color w:val="FFFFFF"/>
                <w:szCs w:val="18"/>
                <w:lang w:eastAsia="en-AU"/>
              </w:rPr>
            </w:pPr>
            <w:r w:rsidRPr="00F70EE6">
              <w:rPr>
                <w:rFonts w:cs="Arial"/>
                <w:b/>
                <w:bCs/>
                <w:color w:val="FFFFFF"/>
                <w:szCs w:val="18"/>
                <w:lang w:eastAsia="en-AU"/>
              </w:rPr>
              <w:t>2015</w:t>
            </w:r>
          </w:p>
        </w:tc>
      </w:tr>
      <w:tr w:rsidR="001E08F1" w:rsidRPr="00F70EE6" w:rsidTr="00D07A42">
        <w:trPr>
          <w:trHeight w:val="300"/>
        </w:trPr>
        <w:tc>
          <w:tcPr>
            <w:tcW w:w="2283" w:type="dxa"/>
            <w:tcBorders>
              <w:top w:val="nil"/>
              <w:left w:val="nil"/>
              <w:bottom w:val="nil"/>
              <w:right w:val="nil"/>
            </w:tcBorders>
            <w:shd w:val="clear" w:color="auto" w:fill="auto"/>
            <w:noWrap/>
            <w:vAlign w:val="center"/>
            <w:hideMark/>
          </w:tcPr>
          <w:p w:rsidR="001E08F1" w:rsidRPr="00F70EE6" w:rsidRDefault="001E08F1" w:rsidP="00D07A42">
            <w:pPr>
              <w:rPr>
                <w:rFonts w:cs="Arial"/>
                <w:color w:val="7F7F7F"/>
                <w:szCs w:val="18"/>
                <w:lang w:eastAsia="en-AU"/>
              </w:rPr>
            </w:pPr>
            <w:r w:rsidRPr="00F70EE6">
              <w:rPr>
                <w:rFonts w:cs="Arial"/>
                <w:color w:val="7F7F7F"/>
                <w:szCs w:val="18"/>
                <w:lang w:eastAsia="en-AU"/>
              </w:rPr>
              <w:t>Indigenous</w:t>
            </w:r>
          </w:p>
        </w:tc>
        <w:tc>
          <w:tcPr>
            <w:tcW w:w="968" w:type="dxa"/>
            <w:tcBorders>
              <w:top w:val="nil"/>
              <w:left w:val="nil"/>
              <w:bottom w:val="nil"/>
              <w:right w:val="nil"/>
            </w:tcBorders>
            <w:shd w:val="clear" w:color="auto" w:fill="auto"/>
            <w:noWrap/>
            <w:vAlign w:val="center"/>
            <w:hideMark/>
          </w:tcPr>
          <w:p w:rsidR="001E08F1" w:rsidRPr="00F70EE6" w:rsidRDefault="001E08F1" w:rsidP="00D07A42">
            <w:pPr>
              <w:jc w:val="right"/>
              <w:rPr>
                <w:rFonts w:cs="Arial"/>
                <w:color w:val="7F7F7F"/>
                <w:szCs w:val="18"/>
                <w:lang w:eastAsia="en-AU"/>
              </w:rPr>
            </w:pPr>
            <w:r w:rsidRPr="00F70EE6">
              <w:rPr>
                <w:rFonts w:cs="Arial"/>
                <w:color w:val="7F7F7F"/>
                <w:szCs w:val="18"/>
                <w:lang w:eastAsia="en-AU"/>
              </w:rPr>
              <w:t>2,927</w:t>
            </w:r>
          </w:p>
        </w:tc>
        <w:tc>
          <w:tcPr>
            <w:tcW w:w="969" w:type="dxa"/>
            <w:tcBorders>
              <w:top w:val="nil"/>
              <w:left w:val="nil"/>
              <w:bottom w:val="nil"/>
              <w:right w:val="nil"/>
            </w:tcBorders>
            <w:shd w:val="clear" w:color="auto" w:fill="auto"/>
            <w:noWrap/>
            <w:vAlign w:val="center"/>
            <w:hideMark/>
          </w:tcPr>
          <w:p w:rsidR="001E08F1" w:rsidRPr="00F70EE6" w:rsidRDefault="001E08F1" w:rsidP="00D07A42">
            <w:pPr>
              <w:jc w:val="right"/>
              <w:rPr>
                <w:rFonts w:cs="Arial"/>
                <w:color w:val="7F7F7F"/>
                <w:szCs w:val="18"/>
                <w:lang w:eastAsia="en-AU"/>
              </w:rPr>
            </w:pPr>
            <w:r w:rsidRPr="00F70EE6">
              <w:rPr>
                <w:rFonts w:cs="Arial"/>
                <w:color w:val="7F7F7F"/>
                <w:szCs w:val="18"/>
                <w:lang w:eastAsia="en-AU"/>
              </w:rPr>
              <w:t>3,502</w:t>
            </w:r>
          </w:p>
        </w:tc>
        <w:tc>
          <w:tcPr>
            <w:tcW w:w="969" w:type="dxa"/>
            <w:tcBorders>
              <w:top w:val="nil"/>
              <w:left w:val="nil"/>
              <w:bottom w:val="nil"/>
              <w:right w:val="nil"/>
            </w:tcBorders>
            <w:shd w:val="clear" w:color="auto" w:fill="auto"/>
            <w:noWrap/>
            <w:vAlign w:val="center"/>
            <w:hideMark/>
          </w:tcPr>
          <w:p w:rsidR="001E08F1" w:rsidRPr="00F70EE6" w:rsidRDefault="001E08F1" w:rsidP="00D07A42">
            <w:pPr>
              <w:jc w:val="right"/>
              <w:rPr>
                <w:rFonts w:cs="Arial"/>
                <w:color w:val="7F7F7F"/>
                <w:szCs w:val="18"/>
                <w:lang w:eastAsia="en-AU"/>
              </w:rPr>
            </w:pPr>
            <w:r w:rsidRPr="00F70EE6">
              <w:rPr>
                <w:rFonts w:cs="Arial"/>
                <w:color w:val="7F7F7F"/>
                <w:szCs w:val="18"/>
                <w:lang w:eastAsia="en-AU"/>
              </w:rPr>
              <w:t>4,136</w:t>
            </w:r>
          </w:p>
        </w:tc>
        <w:tc>
          <w:tcPr>
            <w:tcW w:w="968" w:type="dxa"/>
            <w:tcBorders>
              <w:top w:val="nil"/>
              <w:left w:val="nil"/>
              <w:bottom w:val="nil"/>
              <w:right w:val="nil"/>
            </w:tcBorders>
            <w:shd w:val="clear" w:color="auto" w:fill="auto"/>
            <w:noWrap/>
            <w:vAlign w:val="center"/>
            <w:hideMark/>
          </w:tcPr>
          <w:p w:rsidR="001E08F1" w:rsidRPr="00F70EE6" w:rsidRDefault="001E08F1" w:rsidP="00D07A42">
            <w:pPr>
              <w:jc w:val="right"/>
              <w:rPr>
                <w:rFonts w:cs="Arial"/>
                <w:color w:val="7F7F7F"/>
                <w:szCs w:val="18"/>
                <w:lang w:eastAsia="en-AU"/>
              </w:rPr>
            </w:pPr>
            <w:r w:rsidRPr="00F70EE6">
              <w:rPr>
                <w:rFonts w:cs="Arial"/>
                <w:color w:val="7F7F7F"/>
                <w:szCs w:val="18"/>
                <w:lang w:eastAsia="en-AU"/>
              </w:rPr>
              <w:t>3,940</w:t>
            </w:r>
          </w:p>
        </w:tc>
        <w:tc>
          <w:tcPr>
            <w:tcW w:w="969" w:type="dxa"/>
            <w:tcBorders>
              <w:top w:val="nil"/>
              <w:left w:val="nil"/>
              <w:bottom w:val="nil"/>
              <w:right w:val="nil"/>
            </w:tcBorders>
            <w:shd w:val="clear" w:color="auto" w:fill="auto"/>
            <w:noWrap/>
            <w:vAlign w:val="center"/>
            <w:hideMark/>
          </w:tcPr>
          <w:p w:rsidR="001E08F1" w:rsidRPr="00F70EE6" w:rsidRDefault="001E08F1" w:rsidP="00D07A42">
            <w:pPr>
              <w:jc w:val="right"/>
              <w:rPr>
                <w:rFonts w:cs="Arial"/>
                <w:color w:val="7F7F7F"/>
                <w:szCs w:val="18"/>
                <w:lang w:eastAsia="en-AU"/>
              </w:rPr>
            </w:pPr>
            <w:r w:rsidRPr="00F70EE6">
              <w:rPr>
                <w:rFonts w:cs="Arial"/>
                <w:color w:val="7F7F7F"/>
                <w:szCs w:val="18"/>
                <w:lang w:eastAsia="en-AU"/>
              </w:rPr>
              <w:t>4,208</w:t>
            </w:r>
          </w:p>
        </w:tc>
        <w:tc>
          <w:tcPr>
            <w:tcW w:w="969" w:type="dxa"/>
            <w:tcBorders>
              <w:top w:val="nil"/>
              <w:left w:val="nil"/>
              <w:bottom w:val="nil"/>
              <w:right w:val="nil"/>
            </w:tcBorders>
            <w:shd w:val="clear" w:color="auto" w:fill="auto"/>
            <w:noWrap/>
            <w:vAlign w:val="center"/>
            <w:hideMark/>
          </w:tcPr>
          <w:p w:rsidR="001E08F1" w:rsidRPr="00F70EE6" w:rsidRDefault="001E08F1" w:rsidP="00D07A42">
            <w:pPr>
              <w:jc w:val="right"/>
              <w:rPr>
                <w:rFonts w:cs="Arial"/>
                <w:color w:val="7F7F7F"/>
                <w:szCs w:val="18"/>
                <w:lang w:eastAsia="en-AU"/>
              </w:rPr>
            </w:pPr>
            <w:r w:rsidRPr="00F70EE6">
              <w:rPr>
                <w:rFonts w:cs="Arial"/>
                <w:color w:val="7F7F7F"/>
                <w:szCs w:val="18"/>
                <w:lang w:eastAsia="en-AU"/>
              </w:rPr>
              <w:t>3,912</w:t>
            </w:r>
          </w:p>
        </w:tc>
      </w:tr>
      <w:tr w:rsidR="001E08F1" w:rsidRPr="00F70EE6" w:rsidTr="00D07A42">
        <w:trPr>
          <w:trHeight w:val="300"/>
        </w:trPr>
        <w:tc>
          <w:tcPr>
            <w:tcW w:w="2283" w:type="dxa"/>
            <w:tcBorders>
              <w:top w:val="nil"/>
              <w:left w:val="nil"/>
              <w:bottom w:val="nil"/>
              <w:right w:val="nil"/>
            </w:tcBorders>
            <w:shd w:val="clear" w:color="auto" w:fill="auto"/>
            <w:noWrap/>
            <w:vAlign w:val="center"/>
            <w:hideMark/>
          </w:tcPr>
          <w:p w:rsidR="001E08F1" w:rsidRPr="00F70EE6" w:rsidRDefault="001E08F1" w:rsidP="00D07A42">
            <w:pPr>
              <w:rPr>
                <w:rFonts w:cs="Arial"/>
                <w:color w:val="7F7F7F"/>
                <w:szCs w:val="18"/>
                <w:lang w:eastAsia="en-AU"/>
              </w:rPr>
            </w:pPr>
            <w:r w:rsidRPr="00F70EE6">
              <w:rPr>
                <w:rFonts w:cs="Arial"/>
                <w:color w:val="7F7F7F"/>
                <w:szCs w:val="18"/>
                <w:lang w:eastAsia="en-AU"/>
              </w:rPr>
              <w:t>Student with a disability</w:t>
            </w:r>
          </w:p>
        </w:tc>
        <w:tc>
          <w:tcPr>
            <w:tcW w:w="968" w:type="dxa"/>
            <w:tcBorders>
              <w:top w:val="nil"/>
              <w:left w:val="nil"/>
              <w:bottom w:val="nil"/>
              <w:right w:val="nil"/>
            </w:tcBorders>
            <w:shd w:val="clear" w:color="auto" w:fill="auto"/>
            <w:noWrap/>
            <w:vAlign w:val="center"/>
            <w:hideMark/>
          </w:tcPr>
          <w:p w:rsidR="001E08F1" w:rsidRPr="00F70EE6" w:rsidRDefault="001E08F1" w:rsidP="00D07A42">
            <w:pPr>
              <w:jc w:val="right"/>
              <w:rPr>
                <w:rFonts w:cs="Arial"/>
                <w:color w:val="7F7F7F"/>
                <w:szCs w:val="18"/>
                <w:lang w:eastAsia="en-AU"/>
              </w:rPr>
            </w:pPr>
            <w:r w:rsidRPr="00F70EE6">
              <w:rPr>
                <w:rFonts w:cs="Arial"/>
                <w:color w:val="7F7F7F"/>
                <w:szCs w:val="18"/>
                <w:lang w:eastAsia="en-AU"/>
              </w:rPr>
              <w:t>17,985</w:t>
            </w:r>
          </w:p>
        </w:tc>
        <w:tc>
          <w:tcPr>
            <w:tcW w:w="969" w:type="dxa"/>
            <w:tcBorders>
              <w:top w:val="nil"/>
              <w:left w:val="nil"/>
              <w:bottom w:val="nil"/>
              <w:right w:val="nil"/>
            </w:tcBorders>
            <w:shd w:val="clear" w:color="auto" w:fill="auto"/>
            <w:noWrap/>
            <w:vAlign w:val="center"/>
            <w:hideMark/>
          </w:tcPr>
          <w:p w:rsidR="001E08F1" w:rsidRPr="00F70EE6" w:rsidRDefault="001E08F1" w:rsidP="00D07A42">
            <w:pPr>
              <w:jc w:val="right"/>
              <w:rPr>
                <w:rFonts w:cs="Arial"/>
                <w:color w:val="7F7F7F"/>
                <w:szCs w:val="18"/>
                <w:lang w:eastAsia="en-AU"/>
              </w:rPr>
            </w:pPr>
            <w:r w:rsidRPr="00F70EE6">
              <w:rPr>
                <w:rFonts w:cs="Arial"/>
                <w:color w:val="7F7F7F"/>
                <w:szCs w:val="18"/>
                <w:lang w:eastAsia="en-AU"/>
              </w:rPr>
              <w:t>22,226</w:t>
            </w:r>
          </w:p>
        </w:tc>
        <w:tc>
          <w:tcPr>
            <w:tcW w:w="969" w:type="dxa"/>
            <w:tcBorders>
              <w:top w:val="nil"/>
              <w:left w:val="nil"/>
              <w:bottom w:val="nil"/>
              <w:right w:val="nil"/>
            </w:tcBorders>
            <w:shd w:val="clear" w:color="auto" w:fill="auto"/>
            <w:noWrap/>
            <w:vAlign w:val="center"/>
            <w:hideMark/>
          </w:tcPr>
          <w:p w:rsidR="001E08F1" w:rsidRPr="00F70EE6" w:rsidRDefault="001E08F1" w:rsidP="00D07A42">
            <w:pPr>
              <w:jc w:val="right"/>
              <w:rPr>
                <w:rFonts w:cs="Arial"/>
                <w:color w:val="7F7F7F"/>
                <w:szCs w:val="18"/>
                <w:lang w:eastAsia="en-AU"/>
              </w:rPr>
            </w:pPr>
            <w:r w:rsidRPr="00F70EE6">
              <w:rPr>
                <w:rFonts w:cs="Arial"/>
                <w:color w:val="7F7F7F"/>
                <w:szCs w:val="18"/>
                <w:lang w:eastAsia="en-AU"/>
              </w:rPr>
              <w:t>27,570</w:t>
            </w:r>
          </w:p>
        </w:tc>
        <w:tc>
          <w:tcPr>
            <w:tcW w:w="968" w:type="dxa"/>
            <w:tcBorders>
              <w:top w:val="nil"/>
              <w:left w:val="nil"/>
              <w:bottom w:val="nil"/>
              <w:right w:val="nil"/>
            </w:tcBorders>
            <w:shd w:val="clear" w:color="auto" w:fill="auto"/>
            <w:noWrap/>
            <w:vAlign w:val="center"/>
            <w:hideMark/>
          </w:tcPr>
          <w:p w:rsidR="001E08F1" w:rsidRPr="00F70EE6" w:rsidRDefault="001E08F1" w:rsidP="00D07A42">
            <w:pPr>
              <w:jc w:val="right"/>
              <w:rPr>
                <w:rFonts w:cs="Arial"/>
                <w:color w:val="7F7F7F"/>
                <w:szCs w:val="18"/>
                <w:lang w:eastAsia="en-AU"/>
              </w:rPr>
            </w:pPr>
            <w:r w:rsidRPr="00F70EE6">
              <w:rPr>
                <w:rFonts w:cs="Arial"/>
                <w:color w:val="7F7F7F"/>
                <w:szCs w:val="18"/>
                <w:lang w:eastAsia="en-AU"/>
              </w:rPr>
              <w:t>26,515</w:t>
            </w:r>
          </w:p>
        </w:tc>
        <w:tc>
          <w:tcPr>
            <w:tcW w:w="969" w:type="dxa"/>
            <w:tcBorders>
              <w:top w:val="nil"/>
              <w:left w:val="nil"/>
              <w:bottom w:val="nil"/>
              <w:right w:val="nil"/>
            </w:tcBorders>
            <w:shd w:val="clear" w:color="auto" w:fill="auto"/>
            <w:noWrap/>
            <w:vAlign w:val="center"/>
            <w:hideMark/>
          </w:tcPr>
          <w:p w:rsidR="001E08F1" w:rsidRPr="00F70EE6" w:rsidRDefault="001E08F1" w:rsidP="00D07A42">
            <w:pPr>
              <w:jc w:val="right"/>
              <w:rPr>
                <w:rFonts w:cs="Arial"/>
                <w:color w:val="7F7F7F"/>
                <w:szCs w:val="18"/>
                <w:lang w:eastAsia="en-AU"/>
              </w:rPr>
            </w:pPr>
            <w:r w:rsidRPr="00F70EE6">
              <w:rPr>
                <w:rFonts w:cs="Arial"/>
                <w:color w:val="7F7F7F"/>
                <w:szCs w:val="18"/>
                <w:lang w:eastAsia="en-AU"/>
              </w:rPr>
              <w:t>28,515</w:t>
            </w:r>
          </w:p>
        </w:tc>
        <w:tc>
          <w:tcPr>
            <w:tcW w:w="969" w:type="dxa"/>
            <w:tcBorders>
              <w:top w:val="nil"/>
              <w:left w:val="nil"/>
              <w:bottom w:val="nil"/>
              <w:right w:val="nil"/>
            </w:tcBorders>
            <w:shd w:val="clear" w:color="auto" w:fill="auto"/>
            <w:noWrap/>
            <w:vAlign w:val="center"/>
            <w:hideMark/>
          </w:tcPr>
          <w:p w:rsidR="001E08F1" w:rsidRPr="00F70EE6" w:rsidRDefault="001E08F1" w:rsidP="00D07A42">
            <w:pPr>
              <w:jc w:val="right"/>
              <w:rPr>
                <w:rFonts w:cs="Arial"/>
                <w:color w:val="7F7F7F"/>
                <w:szCs w:val="18"/>
                <w:lang w:eastAsia="en-AU"/>
              </w:rPr>
            </w:pPr>
            <w:r w:rsidRPr="00F70EE6">
              <w:rPr>
                <w:rFonts w:cs="Arial"/>
                <w:color w:val="7F7F7F"/>
                <w:szCs w:val="18"/>
                <w:lang w:eastAsia="en-AU"/>
              </w:rPr>
              <w:t>26,993</w:t>
            </w:r>
          </w:p>
        </w:tc>
      </w:tr>
      <w:tr w:rsidR="001E08F1" w:rsidRPr="00F70EE6" w:rsidTr="00D07A42">
        <w:trPr>
          <w:trHeight w:val="300"/>
        </w:trPr>
        <w:tc>
          <w:tcPr>
            <w:tcW w:w="2283" w:type="dxa"/>
            <w:tcBorders>
              <w:top w:val="nil"/>
              <w:left w:val="nil"/>
              <w:bottom w:val="nil"/>
              <w:right w:val="nil"/>
            </w:tcBorders>
            <w:shd w:val="clear" w:color="auto" w:fill="auto"/>
            <w:noWrap/>
            <w:vAlign w:val="center"/>
            <w:hideMark/>
          </w:tcPr>
          <w:p w:rsidR="001E08F1" w:rsidRPr="00F70EE6" w:rsidRDefault="001E08F1" w:rsidP="00D07A42">
            <w:pPr>
              <w:rPr>
                <w:rFonts w:cs="Arial"/>
                <w:color w:val="7F7F7F"/>
                <w:szCs w:val="18"/>
                <w:lang w:eastAsia="en-AU"/>
              </w:rPr>
            </w:pPr>
            <w:r w:rsidRPr="00F70EE6">
              <w:rPr>
                <w:rFonts w:cs="Arial"/>
                <w:color w:val="7F7F7F"/>
                <w:szCs w:val="18"/>
                <w:lang w:eastAsia="en-AU"/>
              </w:rPr>
              <w:t>CALD</w:t>
            </w:r>
          </w:p>
        </w:tc>
        <w:tc>
          <w:tcPr>
            <w:tcW w:w="968" w:type="dxa"/>
            <w:tcBorders>
              <w:top w:val="nil"/>
              <w:left w:val="nil"/>
              <w:bottom w:val="nil"/>
              <w:right w:val="nil"/>
            </w:tcBorders>
            <w:shd w:val="clear" w:color="auto" w:fill="auto"/>
            <w:noWrap/>
            <w:vAlign w:val="center"/>
            <w:hideMark/>
          </w:tcPr>
          <w:p w:rsidR="001E08F1" w:rsidRPr="00F70EE6" w:rsidRDefault="001E08F1" w:rsidP="00D07A42">
            <w:pPr>
              <w:jc w:val="right"/>
              <w:rPr>
                <w:rFonts w:cs="Arial"/>
                <w:color w:val="7F7F7F"/>
                <w:szCs w:val="18"/>
                <w:lang w:eastAsia="en-AU"/>
              </w:rPr>
            </w:pPr>
            <w:r w:rsidRPr="00F70EE6">
              <w:rPr>
                <w:rFonts w:cs="Arial"/>
                <w:color w:val="7F7F7F"/>
                <w:szCs w:val="18"/>
                <w:lang w:eastAsia="en-AU"/>
              </w:rPr>
              <w:t>45,117</w:t>
            </w:r>
          </w:p>
        </w:tc>
        <w:tc>
          <w:tcPr>
            <w:tcW w:w="969" w:type="dxa"/>
            <w:tcBorders>
              <w:top w:val="nil"/>
              <w:left w:val="nil"/>
              <w:bottom w:val="nil"/>
              <w:right w:val="nil"/>
            </w:tcBorders>
            <w:shd w:val="clear" w:color="auto" w:fill="auto"/>
            <w:noWrap/>
            <w:vAlign w:val="center"/>
            <w:hideMark/>
          </w:tcPr>
          <w:p w:rsidR="001E08F1" w:rsidRPr="00F70EE6" w:rsidRDefault="001E08F1" w:rsidP="00D07A42">
            <w:pPr>
              <w:jc w:val="right"/>
              <w:rPr>
                <w:rFonts w:cs="Arial"/>
                <w:color w:val="7F7F7F"/>
                <w:szCs w:val="18"/>
                <w:lang w:eastAsia="en-AU"/>
              </w:rPr>
            </w:pPr>
            <w:r w:rsidRPr="00F70EE6">
              <w:rPr>
                <w:rFonts w:cs="Arial"/>
                <w:color w:val="7F7F7F"/>
                <w:szCs w:val="18"/>
                <w:lang w:eastAsia="en-AU"/>
              </w:rPr>
              <w:t>58,241</w:t>
            </w:r>
          </w:p>
        </w:tc>
        <w:tc>
          <w:tcPr>
            <w:tcW w:w="969" w:type="dxa"/>
            <w:tcBorders>
              <w:top w:val="nil"/>
              <w:left w:val="nil"/>
              <w:bottom w:val="nil"/>
              <w:right w:val="nil"/>
            </w:tcBorders>
            <w:shd w:val="clear" w:color="auto" w:fill="auto"/>
            <w:noWrap/>
            <w:vAlign w:val="center"/>
            <w:hideMark/>
          </w:tcPr>
          <w:p w:rsidR="001E08F1" w:rsidRPr="00F70EE6" w:rsidRDefault="001E08F1" w:rsidP="00D07A42">
            <w:pPr>
              <w:jc w:val="right"/>
              <w:rPr>
                <w:rFonts w:cs="Arial"/>
                <w:color w:val="7F7F7F"/>
                <w:szCs w:val="18"/>
                <w:lang w:eastAsia="en-AU"/>
              </w:rPr>
            </w:pPr>
            <w:r w:rsidRPr="00F70EE6">
              <w:rPr>
                <w:rFonts w:cs="Arial"/>
                <w:color w:val="7F7F7F"/>
                <w:szCs w:val="18"/>
                <w:lang w:eastAsia="en-AU"/>
              </w:rPr>
              <w:t>84,869</w:t>
            </w:r>
          </w:p>
        </w:tc>
        <w:tc>
          <w:tcPr>
            <w:tcW w:w="968" w:type="dxa"/>
            <w:tcBorders>
              <w:top w:val="nil"/>
              <w:left w:val="nil"/>
              <w:bottom w:val="nil"/>
              <w:right w:val="nil"/>
            </w:tcBorders>
            <w:shd w:val="clear" w:color="auto" w:fill="auto"/>
            <w:noWrap/>
            <w:vAlign w:val="center"/>
            <w:hideMark/>
          </w:tcPr>
          <w:p w:rsidR="001E08F1" w:rsidRPr="00F70EE6" w:rsidRDefault="001E08F1" w:rsidP="00D07A42">
            <w:pPr>
              <w:jc w:val="right"/>
              <w:rPr>
                <w:rFonts w:cs="Arial"/>
                <w:color w:val="7F7F7F"/>
                <w:szCs w:val="18"/>
                <w:lang w:eastAsia="en-AU"/>
              </w:rPr>
            </w:pPr>
            <w:r w:rsidRPr="00F70EE6">
              <w:rPr>
                <w:rFonts w:cs="Arial"/>
                <w:color w:val="7F7F7F"/>
                <w:szCs w:val="18"/>
                <w:lang w:eastAsia="en-AU"/>
              </w:rPr>
              <w:t>82,560</w:t>
            </w:r>
          </w:p>
        </w:tc>
        <w:tc>
          <w:tcPr>
            <w:tcW w:w="969" w:type="dxa"/>
            <w:tcBorders>
              <w:top w:val="nil"/>
              <w:left w:val="nil"/>
              <w:bottom w:val="nil"/>
              <w:right w:val="nil"/>
            </w:tcBorders>
            <w:shd w:val="clear" w:color="auto" w:fill="auto"/>
            <w:noWrap/>
            <w:vAlign w:val="center"/>
            <w:hideMark/>
          </w:tcPr>
          <w:p w:rsidR="001E08F1" w:rsidRPr="00F70EE6" w:rsidRDefault="001E08F1" w:rsidP="00D07A42">
            <w:pPr>
              <w:jc w:val="right"/>
              <w:rPr>
                <w:rFonts w:cs="Arial"/>
                <w:color w:val="7F7F7F"/>
                <w:szCs w:val="18"/>
                <w:lang w:eastAsia="en-AU"/>
              </w:rPr>
            </w:pPr>
            <w:r w:rsidRPr="00F70EE6">
              <w:rPr>
                <w:rFonts w:cs="Arial"/>
                <w:color w:val="7F7F7F"/>
                <w:szCs w:val="18"/>
                <w:lang w:eastAsia="en-AU"/>
              </w:rPr>
              <w:t>94,305</w:t>
            </w:r>
          </w:p>
        </w:tc>
        <w:tc>
          <w:tcPr>
            <w:tcW w:w="969" w:type="dxa"/>
            <w:tcBorders>
              <w:top w:val="nil"/>
              <w:left w:val="nil"/>
              <w:bottom w:val="nil"/>
              <w:right w:val="nil"/>
            </w:tcBorders>
            <w:shd w:val="clear" w:color="auto" w:fill="auto"/>
            <w:noWrap/>
            <w:vAlign w:val="center"/>
            <w:hideMark/>
          </w:tcPr>
          <w:p w:rsidR="001E08F1" w:rsidRPr="00F70EE6" w:rsidRDefault="001E08F1" w:rsidP="00D07A42">
            <w:pPr>
              <w:jc w:val="right"/>
              <w:rPr>
                <w:rFonts w:cs="Arial"/>
                <w:color w:val="7F7F7F"/>
                <w:szCs w:val="18"/>
                <w:lang w:eastAsia="en-AU"/>
              </w:rPr>
            </w:pPr>
            <w:r w:rsidRPr="00F70EE6">
              <w:rPr>
                <w:rFonts w:cs="Arial"/>
                <w:color w:val="7F7F7F"/>
                <w:szCs w:val="18"/>
                <w:lang w:eastAsia="en-AU"/>
              </w:rPr>
              <w:t>88,164</w:t>
            </w:r>
          </w:p>
        </w:tc>
      </w:tr>
      <w:tr w:rsidR="001E08F1" w:rsidRPr="00F70EE6" w:rsidTr="00D07A42">
        <w:trPr>
          <w:trHeight w:val="315"/>
        </w:trPr>
        <w:tc>
          <w:tcPr>
            <w:tcW w:w="2283" w:type="dxa"/>
            <w:tcBorders>
              <w:top w:val="nil"/>
              <w:left w:val="nil"/>
              <w:bottom w:val="single" w:sz="12" w:space="0" w:color="7F7F7F"/>
              <w:right w:val="nil"/>
            </w:tcBorders>
            <w:shd w:val="clear" w:color="auto" w:fill="auto"/>
            <w:noWrap/>
            <w:vAlign w:val="center"/>
            <w:hideMark/>
          </w:tcPr>
          <w:p w:rsidR="001E08F1" w:rsidRPr="00F70EE6" w:rsidRDefault="001E08F1" w:rsidP="00D07A42">
            <w:pPr>
              <w:rPr>
                <w:rFonts w:cs="Arial"/>
                <w:color w:val="7F7F7F"/>
                <w:szCs w:val="18"/>
                <w:lang w:eastAsia="en-AU"/>
              </w:rPr>
            </w:pPr>
            <w:r w:rsidRPr="00F70EE6">
              <w:rPr>
                <w:rFonts w:cs="Arial"/>
                <w:color w:val="7F7F7F"/>
                <w:szCs w:val="18"/>
                <w:lang w:eastAsia="en-AU"/>
              </w:rPr>
              <w:t>Unemployed</w:t>
            </w:r>
          </w:p>
        </w:tc>
        <w:tc>
          <w:tcPr>
            <w:tcW w:w="968" w:type="dxa"/>
            <w:tcBorders>
              <w:top w:val="nil"/>
              <w:left w:val="nil"/>
              <w:bottom w:val="single" w:sz="12" w:space="0" w:color="7F7F7F"/>
              <w:right w:val="nil"/>
            </w:tcBorders>
            <w:shd w:val="clear" w:color="auto" w:fill="auto"/>
            <w:noWrap/>
            <w:vAlign w:val="center"/>
            <w:hideMark/>
          </w:tcPr>
          <w:p w:rsidR="001E08F1" w:rsidRPr="00F70EE6" w:rsidRDefault="001E08F1" w:rsidP="00D07A42">
            <w:pPr>
              <w:jc w:val="right"/>
              <w:rPr>
                <w:rFonts w:cs="Arial"/>
                <w:color w:val="7F7F7F"/>
                <w:szCs w:val="18"/>
                <w:lang w:eastAsia="en-AU"/>
              </w:rPr>
            </w:pPr>
            <w:r w:rsidRPr="00F70EE6">
              <w:rPr>
                <w:rFonts w:cs="Arial"/>
                <w:color w:val="7F7F7F"/>
                <w:szCs w:val="18"/>
                <w:lang w:eastAsia="en-AU"/>
              </w:rPr>
              <w:t>39,205</w:t>
            </w:r>
          </w:p>
        </w:tc>
        <w:tc>
          <w:tcPr>
            <w:tcW w:w="969" w:type="dxa"/>
            <w:tcBorders>
              <w:top w:val="nil"/>
              <w:left w:val="nil"/>
              <w:bottom w:val="single" w:sz="12" w:space="0" w:color="7F7F7F"/>
              <w:right w:val="nil"/>
            </w:tcBorders>
            <w:shd w:val="clear" w:color="auto" w:fill="auto"/>
            <w:noWrap/>
            <w:vAlign w:val="center"/>
            <w:hideMark/>
          </w:tcPr>
          <w:p w:rsidR="001E08F1" w:rsidRPr="00F70EE6" w:rsidRDefault="001E08F1" w:rsidP="00D07A42">
            <w:pPr>
              <w:jc w:val="right"/>
              <w:rPr>
                <w:rFonts w:cs="Arial"/>
                <w:color w:val="7F7F7F"/>
                <w:szCs w:val="18"/>
                <w:lang w:eastAsia="en-AU"/>
              </w:rPr>
            </w:pPr>
            <w:r w:rsidRPr="00F70EE6">
              <w:rPr>
                <w:rFonts w:cs="Arial"/>
                <w:color w:val="7F7F7F"/>
                <w:szCs w:val="18"/>
                <w:lang w:eastAsia="en-AU"/>
              </w:rPr>
              <w:t>52,961</w:t>
            </w:r>
          </w:p>
        </w:tc>
        <w:tc>
          <w:tcPr>
            <w:tcW w:w="969" w:type="dxa"/>
            <w:tcBorders>
              <w:top w:val="nil"/>
              <w:left w:val="nil"/>
              <w:bottom w:val="single" w:sz="12" w:space="0" w:color="7F7F7F"/>
              <w:right w:val="nil"/>
            </w:tcBorders>
            <w:shd w:val="clear" w:color="auto" w:fill="auto"/>
            <w:noWrap/>
            <w:vAlign w:val="center"/>
            <w:hideMark/>
          </w:tcPr>
          <w:p w:rsidR="001E08F1" w:rsidRPr="00F70EE6" w:rsidRDefault="001E08F1" w:rsidP="00D07A42">
            <w:pPr>
              <w:jc w:val="right"/>
              <w:rPr>
                <w:rFonts w:cs="Arial"/>
                <w:color w:val="7F7F7F"/>
                <w:szCs w:val="18"/>
                <w:lang w:eastAsia="en-AU"/>
              </w:rPr>
            </w:pPr>
            <w:r w:rsidRPr="00F70EE6">
              <w:rPr>
                <w:rFonts w:cs="Arial"/>
                <w:color w:val="7F7F7F"/>
                <w:szCs w:val="18"/>
                <w:lang w:eastAsia="en-AU"/>
              </w:rPr>
              <w:t>77,032</w:t>
            </w:r>
          </w:p>
        </w:tc>
        <w:tc>
          <w:tcPr>
            <w:tcW w:w="968" w:type="dxa"/>
            <w:tcBorders>
              <w:top w:val="nil"/>
              <w:left w:val="nil"/>
              <w:bottom w:val="single" w:sz="12" w:space="0" w:color="7F7F7F"/>
              <w:right w:val="nil"/>
            </w:tcBorders>
            <w:shd w:val="clear" w:color="auto" w:fill="auto"/>
            <w:noWrap/>
            <w:vAlign w:val="center"/>
            <w:hideMark/>
          </w:tcPr>
          <w:p w:rsidR="001E08F1" w:rsidRPr="00F70EE6" w:rsidRDefault="001E08F1" w:rsidP="00D07A42">
            <w:pPr>
              <w:jc w:val="right"/>
              <w:rPr>
                <w:rFonts w:cs="Arial"/>
                <w:color w:val="7F7F7F"/>
                <w:szCs w:val="18"/>
                <w:lang w:eastAsia="en-AU"/>
              </w:rPr>
            </w:pPr>
            <w:r w:rsidRPr="00F70EE6">
              <w:rPr>
                <w:rFonts w:cs="Arial"/>
                <w:color w:val="7F7F7F"/>
                <w:szCs w:val="18"/>
                <w:lang w:eastAsia="en-AU"/>
              </w:rPr>
              <w:t>79,176</w:t>
            </w:r>
          </w:p>
        </w:tc>
        <w:tc>
          <w:tcPr>
            <w:tcW w:w="969" w:type="dxa"/>
            <w:tcBorders>
              <w:top w:val="nil"/>
              <w:left w:val="nil"/>
              <w:bottom w:val="single" w:sz="12" w:space="0" w:color="7F7F7F"/>
              <w:right w:val="nil"/>
            </w:tcBorders>
            <w:shd w:val="clear" w:color="auto" w:fill="auto"/>
            <w:noWrap/>
            <w:vAlign w:val="center"/>
            <w:hideMark/>
          </w:tcPr>
          <w:p w:rsidR="001E08F1" w:rsidRPr="00F70EE6" w:rsidRDefault="001E08F1" w:rsidP="00D07A42">
            <w:pPr>
              <w:jc w:val="right"/>
              <w:rPr>
                <w:rFonts w:cs="Arial"/>
                <w:color w:val="7F7F7F"/>
                <w:szCs w:val="18"/>
                <w:lang w:eastAsia="en-AU"/>
              </w:rPr>
            </w:pPr>
            <w:r w:rsidRPr="00F70EE6">
              <w:rPr>
                <w:rFonts w:cs="Arial"/>
                <w:color w:val="7F7F7F"/>
                <w:szCs w:val="18"/>
                <w:lang w:eastAsia="en-AU"/>
              </w:rPr>
              <w:t>90,760</w:t>
            </w:r>
          </w:p>
        </w:tc>
        <w:tc>
          <w:tcPr>
            <w:tcW w:w="969" w:type="dxa"/>
            <w:tcBorders>
              <w:top w:val="nil"/>
              <w:left w:val="nil"/>
              <w:bottom w:val="single" w:sz="12" w:space="0" w:color="7F7F7F"/>
              <w:right w:val="nil"/>
            </w:tcBorders>
            <w:shd w:val="clear" w:color="auto" w:fill="auto"/>
            <w:noWrap/>
            <w:vAlign w:val="center"/>
            <w:hideMark/>
          </w:tcPr>
          <w:p w:rsidR="001E08F1" w:rsidRPr="00F70EE6" w:rsidRDefault="001E08F1" w:rsidP="00D07A42">
            <w:pPr>
              <w:jc w:val="right"/>
              <w:rPr>
                <w:rFonts w:cs="Arial"/>
                <w:color w:val="7F7F7F"/>
                <w:szCs w:val="18"/>
                <w:lang w:eastAsia="en-AU"/>
              </w:rPr>
            </w:pPr>
            <w:r w:rsidRPr="00F70EE6">
              <w:rPr>
                <w:rFonts w:cs="Arial"/>
                <w:color w:val="7F7F7F"/>
                <w:szCs w:val="18"/>
                <w:lang w:eastAsia="en-AU"/>
              </w:rPr>
              <w:t>79,042</w:t>
            </w:r>
          </w:p>
        </w:tc>
      </w:tr>
    </w:tbl>
    <w:p w:rsidR="001E08F1" w:rsidRDefault="001E08F1" w:rsidP="001E08F1"/>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1E08F1" w:rsidTr="00D07A42">
        <w:tc>
          <w:tcPr>
            <w:tcW w:w="1134" w:type="dxa"/>
            <w:tcMar>
              <w:left w:w="0" w:type="dxa"/>
              <w:right w:w="0" w:type="dxa"/>
            </w:tcMar>
          </w:tcPr>
          <w:p w:rsidR="001E08F1" w:rsidRDefault="001E08F1" w:rsidP="00D07A42">
            <w:pPr>
              <w:pStyle w:val="Quote"/>
              <w:tabs>
                <w:tab w:val="left" w:pos="1134"/>
              </w:tabs>
              <w:rPr>
                <w:b w:val="0"/>
                <w:color w:val="B41F22" w:themeColor="accent1"/>
              </w:rPr>
            </w:pPr>
          </w:p>
        </w:tc>
        <w:tc>
          <w:tcPr>
            <w:tcW w:w="6946" w:type="dxa"/>
            <w:tcMar>
              <w:left w:w="0" w:type="dxa"/>
              <w:right w:w="0" w:type="dxa"/>
            </w:tcMar>
          </w:tcPr>
          <w:p w:rsidR="001E08F1" w:rsidRDefault="001E08F1" w:rsidP="00D07A42">
            <w:pPr>
              <w:pStyle w:val="Quote"/>
              <w:tabs>
                <w:tab w:val="left" w:pos="1134"/>
              </w:tabs>
              <w:rPr>
                <w:b w:val="0"/>
                <w:color w:val="B41F22" w:themeColor="accent1"/>
              </w:rPr>
            </w:pPr>
            <w:r w:rsidRPr="007A44D3">
              <w:rPr>
                <w:b w:val="0"/>
                <w:color w:val="B41F22" w:themeColor="accent1"/>
              </w:rPr>
              <w:t>Young people without at least Year 12 or a Certificate II, not at school and enrolled in government subsidised (accredited) training in Certificate II or above, 2010 to 2015 (half year)</w:t>
            </w:r>
          </w:p>
        </w:tc>
      </w:tr>
    </w:tbl>
    <w:tbl>
      <w:tblPr>
        <w:tblW w:w="8095" w:type="dxa"/>
        <w:tblInd w:w="93" w:type="dxa"/>
        <w:tblLayout w:type="fixed"/>
        <w:tblLook w:val="04A0" w:firstRow="1" w:lastRow="0" w:firstColumn="1" w:lastColumn="0" w:noHBand="0" w:noVBand="1"/>
      </w:tblPr>
      <w:tblGrid>
        <w:gridCol w:w="2283"/>
        <w:gridCol w:w="968"/>
        <w:gridCol w:w="969"/>
        <w:gridCol w:w="969"/>
        <w:gridCol w:w="968"/>
        <w:gridCol w:w="969"/>
        <w:gridCol w:w="969"/>
      </w:tblGrid>
      <w:tr w:rsidR="001E08F1" w:rsidRPr="0074361D" w:rsidTr="00D07A42">
        <w:trPr>
          <w:trHeight w:val="315"/>
        </w:trPr>
        <w:tc>
          <w:tcPr>
            <w:tcW w:w="2283" w:type="dxa"/>
            <w:tcBorders>
              <w:top w:val="nil"/>
              <w:left w:val="nil"/>
              <w:bottom w:val="single" w:sz="12" w:space="0" w:color="7F7F7F"/>
              <w:right w:val="nil"/>
            </w:tcBorders>
            <w:shd w:val="clear" w:color="auto" w:fill="auto"/>
            <w:noWrap/>
            <w:vAlign w:val="center"/>
            <w:hideMark/>
          </w:tcPr>
          <w:p w:rsidR="001E08F1" w:rsidRPr="00F6064B" w:rsidRDefault="001E08F1" w:rsidP="00D07A42">
            <w:pPr>
              <w:rPr>
                <w:rFonts w:cs="Arial"/>
                <w:color w:val="7F7F7F"/>
                <w:szCs w:val="18"/>
                <w:lang w:eastAsia="en-AU"/>
              </w:rPr>
            </w:pPr>
            <w:r w:rsidRPr="00F6064B">
              <w:rPr>
                <w:rFonts w:cs="Arial"/>
                <w:color w:val="7F7F7F"/>
                <w:szCs w:val="18"/>
                <w:lang w:eastAsia="en-AU"/>
              </w:rPr>
              <w:t>Aged 15-19</w:t>
            </w:r>
          </w:p>
        </w:tc>
        <w:tc>
          <w:tcPr>
            <w:tcW w:w="968" w:type="dxa"/>
            <w:tcBorders>
              <w:top w:val="nil"/>
              <w:left w:val="nil"/>
              <w:bottom w:val="single" w:sz="12" w:space="0" w:color="7F7F7F"/>
              <w:right w:val="nil"/>
            </w:tcBorders>
            <w:shd w:val="clear" w:color="auto" w:fill="auto"/>
            <w:noWrap/>
            <w:vAlign w:val="center"/>
            <w:hideMark/>
          </w:tcPr>
          <w:p w:rsidR="001E08F1" w:rsidRPr="00F6064B" w:rsidRDefault="001E08F1" w:rsidP="00D07A42">
            <w:pPr>
              <w:jc w:val="right"/>
              <w:rPr>
                <w:rFonts w:cs="Arial"/>
                <w:color w:val="7F7F7F"/>
                <w:szCs w:val="18"/>
                <w:lang w:eastAsia="en-AU"/>
              </w:rPr>
            </w:pPr>
            <w:r w:rsidRPr="00F6064B">
              <w:rPr>
                <w:rFonts w:cs="Arial"/>
                <w:color w:val="7F7F7F"/>
                <w:szCs w:val="18"/>
                <w:lang w:eastAsia="en-AU"/>
              </w:rPr>
              <w:t>17,810</w:t>
            </w:r>
          </w:p>
        </w:tc>
        <w:tc>
          <w:tcPr>
            <w:tcW w:w="969" w:type="dxa"/>
            <w:tcBorders>
              <w:top w:val="nil"/>
              <w:left w:val="nil"/>
              <w:bottom w:val="single" w:sz="12" w:space="0" w:color="7F7F7F"/>
              <w:right w:val="nil"/>
            </w:tcBorders>
            <w:shd w:val="clear" w:color="auto" w:fill="auto"/>
            <w:noWrap/>
            <w:vAlign w:val="center"/>
            <w:hideMark/>
          </w:tcPr>
          <w:p w:rsidR="001E08F1" w:rsidRPr="00F6064B" w:rsidRDefault="001E08F1" w:rsidP="00D07A42">
            <w:pPr>
              <w:jc w:val="right"/>
              <w:rPr>
                <w:rFonts w:cs="Arial"/>
                <w:color w:val="7F7F7F"/>
                <w:szCs w:val="18"/>
                <w:lang w:eastAsia="en-AU"/>
              </w:rPr>
            </w:pPr>
            <w:r w:rsidRPr="00F6064B">
              <w:rPr>
                <w:rFonts w:cs="Arial"/>
                <w:color w:val="7F7F7F"/>
                <w:szCs w:val="18"/>
                <w:lang w:eastAsia="en-AU"/>
              </w:rPr>
              <w:t>19,574</w:t>
            </w:r>
          </w:p>
        </w:tc>
        <w:tc>
          <w:tcPr>
            <w:tcW w:w="969" w:type="dxa"/>
            <w:tcBorders>
              <w:top w:val="nil"/>
              <w:left w:val="nil"/>
              <w:bottom w:val="single" w:sz="12" w:space="0" w:color="7F7F7F"/>
              <w:right w:val="nil"/>
            </w:tcBorders>
            <w:shd w:val="clear" w:color="auto" w:fill="auto"/>
            <w:noWrap/>
            <w:vAlign w:val="center"/>
            <w:hideMark/>
          </w:tcPr>
          <w:p w:rsidR="001E08F1" w:rsidRPr="00F6064B" w:rsidRDefault="001E08F1" w:rsidP="00D07A42">
            <w:pPr>
              <w:jc w:val="right"/>
              <w:rPr>
                <w:rFonts w:cs="Arial"/>
                <w:color w:val="7F7F7F"/>
                <w:szCs w:val="18"/>
                <w:lang w:eastAsia="en-AU"/>
              </w:rPr>
            </w:pPr>
            <w:r w:rsidRPr="00F6064B">
              <w:rPr>
                <w:rFonts w:cs="Arial"/>
                <w:color w:val="7F7F7F"/>
                <w:szCs w:val="18"/>
                <w:lang w:eastAsia="en-AU"/>
              </w:rPr>
              <w:t>21,485</w:t>
            </w:r>
          </w:p>
        </w:tc>
        <w:tc>
          <w:tcPr>
            <w:tcW w:w="968" w:type="dxa"/>
            <w:tcBorders>
              <w:top w:val="nil"/>
              <w:left w:val="nil"/>
              <w:bottom w:val="single" w:sz="12" w:space="0" w:color="7F7F7F"/>
              <w:right w:val="nil"/>
            </w:tcBorders>
            <w:shd w:val="clear" w:color="auto" w:fill="auto"/>
            <w:noWrap/>
            <w:vAlign w:val="center"/>
            <w:hideMark/>
          </w:tcPr>
          <w:p w:rsidR="001E08F1" w:rsidRPr="00F6064B" w:rsidRDefault="001E08F1" w:rsidP="00D07A42">
            <w:pPr>
              <w:jc w:val="right"/>
              <w:rPr>
                <w:rFonts w:cs="Arial"/>
                <w:color w:val="7F7F7F"/>
                <w:szCs w:val="18"/>
                <w:lang w:eastAsia="en-AU"/>
              </w:rPr>
            </w:pPr>
            <w:r w:rsidRPr="00F6064B">
              <w:rPr>
                <w:rFonts w:cs="Arial"/>
                <w:color w:val="7F7F7F"/>
                <w:szCs w:val="18"/>
                <w:lang w:eastAsia="en-AU"/>
              </w:rPr>
              <w:t>16,836</w:t>
            </w:r>
          </w:p>
        </w:tc>
        <w:tc>
          <w:tcPr>
            <w:tcW w:w="969" w:type="dxa"/>
            <w:tcBorders>
              <w:top w:val="nil"/>
              <w:left w:val="nil"/>
              <w:bottom w:val="single" w:sz="12" w:space="0" w:color="7F7F7F"/>
              <w:right w:val="nil"/>
            </w:tcBorders>
            <w:shd w:val="clear" w:color="auto" w:fill="auto"/>
            <w:noWrap/>
            <w:vAlign w:val="center"/>
            <w:hideMark/>
          </w:tcPr>
          <w:p w:rsidR="001E08F1" w:rsidRPr="00F6064B" w:rsidRDefault="001E08F1" w:rsidP="00D07A42">
            <w:pPr>
              <w:jc w:val="right"/>
              <w:rPr>
                <w:rFonts w:cs="Arial"/>
                <w:color w:val="7F7F7F"/>
                <w:szCs w:val="18"/>
                <w:lang w:eastAsia="en-AU"/>
              </w:rPr>
            </w:pPr>
            <w:r w:rsidRPr="00F6064B">
              <w:rPr>
                <w:rFonts w:cs="Arial"/>
                <w:color w:val="7F7F7F"/>
                <w:szCs w:val="18"/>
                <w:lang w:eastAsia="en-AU"/>
              </w:rPr>
              <w:t>15,395</w:t>
            </w:r>
          </w:p>
        </w:tc>
        <w:tc>
          <w:tcPr>
            <w:tcW w:w="969" w:type="dxa"/>
            <w:tcBorders>
              <w:top w:val="nil"/>
              <w:left w:val="nil"/>
              <w:bottom w:val="single" w:sz="12" w:space="0" w:color="7F7F7F"/>
              <w:right w:val="nil"/>
            </w:tcBorders>
            <w:shd w:val="clear" w:color="auto" w:fill="auto"/>
            <w:noWrap/>
            <w:vAlign w:val="center"/>
            <w:hideMark/>
          </w:tcPr>
          <w:p w:rsidR="001E08F1" w:rsidRPr="00F6064B" w:rsidRDefault="001E08F1" w:rsidP="00D07A42">
            <w:pPr>
              <w:jc w:val="right"/>
              <w:rPr>
                <w:rFonts w:cs="Arial"/>
                <w:color w:val="7F7F7F"/>
                <w:szCs w:val="18"/>
                <w:lang w:eastAsia="en-AU"/>
              </w:rPr>
            </w:pPr>
            <w:r w:rsidRPr="00F6064B">
              <w:rPr>
                <w:rFonts w:cs="Arial"/>
                <w:color w:val="7F7F7F"/>
                <w:szCs w:val="18"/>
                <w:lang w:eastAsia="en-AU"/>
              </w:rPr>
              <w:t>13,313</w:t>
            </w:r>
          </w:p>
        </w:tc>
      </w:tr>
    </w:tbl>
    <w:p w:rsidR="001E08F1" w:rsidRDefault="001E08F1" w:rsidP="001E08F1"/>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1E08F1" w:rsidTr="00D07A42">
        <w:tc>
          <w:tcPr>
            <w:tcW w:w="1134" w:type="dxa"/>
            <w:tcMar>
              <w:left w:w="0" w:type="dxa"/>
              <w:right w:w="0" w:type="dxa"/>
            </w:tcMar>
          </w:tcPr>
          <w:p w:rsidR="001E08F1" w:rsidRDefault="001E08F1" w:rsidP="00D07A42">
            <w:pPr>
              <w:pStyle w:val="Quote"/>
              <w:tabs>
                <w:tab w:val="left" w:pos="1134"/>
              </w:tabs>
              <w:rPr>
                <w:b w:val="0"/>
                <w:color w:val="B41F22" w:themeColor="accent1"/>
              </w:rPr>
            </w:pPr>
          </w:p>
        </w:tc>
        <w:tc>
          <w:tcPr>
            <w:tcW w:w="6946" w:type="dxa"/>
            <w:tcMar>
              <w:left w:w="0" w:type="dxa"/>
              <w:right w:w="0" w:type="dxa"/>
            </w:tcMar>
          </w:tcPr>
          <w:p w:rsidR="001E08F1" w:rsidRDefault="001E08F1" w:rsidP="00D07A42">
            <w:pPr>
              <w:pStyle w:val="Quote"/>
              <w:tabs>
                <w:tab w:val="left" w:pos="1134"/>
              </w:tabs>
              <w:rPr>
                <w:b w:val="0"/>
                <w:color w:val="B41F22" w:themeColor="accent1"/>
              </w:rPr>
            </w:pPr>
            <w:r w:rsidRPr="007A44D3">
              <w:rPr>
                <w:b w:val="0"/>
                <w:color w:val="B41F22" w:themeColor="accent1"/>
              </w:rPr>
              <w:t>Older students not holding a Certificate III or above and enrolled in government subsidised accredited and pre-accredited training, 2010 to 2015 (half year)</w:t>
            </w:r>
          </w:p>
        </w:tc>
      </w:tr>
    </w:tbl>
    <w:tbl>
      <w:tblPr>
        <w:tblW w:w="8095" w:type="dxa"/>
        <w:tblInd w:w="93" w:type="dxa"/>
        <w:tblLayout w:type="fixed"/>
        <w:tblLook w:val="04A0" w:firstRow="1" w:lastRow="0" w:firstColumn="1" w:lastColumn="0" w:noHBand="0" w:noVBand="1"/>
      </w:tblPr>
      <w:tblGrid>
        <w:gridCol w:w="2283"/>
        <w:gridCol w:w="968"/>
        <w:gridCol w:w="969"/>
        <w:gridCol w:w="969"/>
        <w:gridCol w:w="968"/>
        <w:gridCol w:w="969"/>
        <w:gridCol w:w="969"/>
      </w:tblGrid>
      <w:tr w:rsidR="001E08F1" w:rsidRPr="0074361D" w:rsidTr="00D07A42">
        <w:trPr>
          <w:trHeight w:val="315"/>
        </w:trPr>
        <w:tc>
          <w:tcPr>
            <w:tcW w:w="2283" w:type="dxa"/>
            <w:tcBorders>
              <w:top w:val="nil"/>
              <w:left w:val="nil"/>
              <w:bottom w:val="single" w:sz="12" w:space="0" w:color="7F7F7F"/>
              <w:right w:val="nil"/>
            </w:tcBorders>
            <w:shd w:val="clear" w:color="auto" w:fill="auto"/>
            <w:noWrap/>
            <w:vAlign w:val="center"/>
            <w:hideMark/>
          </w:tcPr>
          <w:p w:rsidR="001E08F1" w:rsidRPr="00F6064B" w:rsidRDefault="001E08F1" w:rsidP="00D07A42">
            <w:pPr>
              <w:rPr>
                <w:rFonts w:cs="Arial"/>
                <w:color w:val="7F7F7F"/>
                <w:szCs w:val="18"/>
                <w:lang w:eastAsia="en-AU"/>
              </w:rPr>
            </w:pPr>
            <w:r w:rsidRPr="00F6064B">
              <w:rPr>
                <w:rFonts w:cs="Arial"/>
                <w:color w:val="7F7F7F"/>
                <w:szCs w:val="18"/>
                <w:lang w:eastAsia="en-AU"/>
              </w:rPr>
              <w:t>Aged 20-64</w:t>
            </w:r>
          </w:p>
        </w:tc>
        <w:tc>
          <w:tcPr>
            <w:tcW w:w="968" w:type="dxa"/>
            <w:tcBorders>
              <w:top w:val="nil"/>
              <w:left w:val="nil"/>
              <w:bottom w:val="single" w:sz="12" w:space="0" w:color="7F7F7F"/>
              <w:right w:val="nil"/>
            </w:tcBorders>
            <w:shd w:val="clear" w:color="auto" w:fill="auto"/>
            <w:noWrap/>
            <w:vAlign w:val="center"/>
            <w:hideMark/>
          </w:tcPr>
          <w:p w:rsidR="001E08F1" w:rsidRPr="00F6064B" w:rsidRDefault="001E08F1" w:rsidP="00D07A42">
            <w:pPr>
              <w:jc w:val="right"/>
              <w:rPr>
                <w:rFonts w:cs="Arial"/>
                <w:color w:val="7F7F7F"/>
                <w:szCs w:val="18"/>
                <w:lang w:eastAsia="en-AU"/>
              </w:rPr>
            </w:pPr>
            <w:r w:rsidRPr="00F6064B">
              <w:rPr>
                <w:rFonts w:cs="Arial"/>
                <w:color w:val="7F7F7F"/>
                <w:szCs w:val="18"/>
                <w:lang w:eastAsia="en-AU"/>
              </w:rPr>
              <w:t>97,133</w:t>
            </w:r>
          </w:p>
        </w:tc>
        <w:tc>
          <w:tcPr>
            <w:tcW w:w="969" w:type="dxa"/>
            <w:tcBorders>
              <w:top w:val="nil"/>
              <w:left w:val="nil"/>
              <w:bottom w:val="single" w:sz="12" w:space="0" w:color="7F7F7F"/>
              <w:right w:val="nil"/>
            </w:tcBorders>
            <w:shd w:val="clear" w:color="auto" w:fill="auto"/>
            <w:noWrap/>
            <w:vAlign w:val="center"/>
            <w:hideMark/>
          </w:tcPr>
          <w:p w:rsidR="001E08F1" w:rsidRPr="00F6064B" w:rsidRDefault="001E08F1" w:rsidP="00D07A42">
            <w:pPr>
              <w:jc w:val="right"/>
              <w:rPr>
                <w:rFonts w:cs="Arial"/>
                <w:color w:val="7F7F7F"/>
                <w:szCs w:val="18"/>
                <w:lang w:eastAsia="en-AU"/>
              </w:rPr>
            </w:pPr>
            <w:r w:rsidRPr="00F6064B">
              <w:rPr>
                <w:rFonts w:cs="Arial"/>
                <w:color w:val="7F7F7F"/>
                <w:szCs w:val="18"/>
                <w:lang w:eastAsia="en-AU"/>
              </w:rPr>
              <w:t>131,678</w:t>
            </w:r>
          </w:p>
        </w:tc>
        <w:tc>
          <w:tcPr>
            <w:tcW w:w="969" w:type="dxa"/>
            <w:tcBorders>
              <w:top w:val="nil"/>
              <w:left w:val="nil"/>
              <w:bottom w:val="single" w:sz="12" w:space="0" w:color="7F7F7F"/>
              <w:right w:val="nil"/>
            </w:tcBorders>
            <w:shd w:val="clear" w:color="auto" w:fill="auto"/>
            <w:noWrap/>
            <w:vAlign w:val="center"/>
            <w:hideMark/>
          </w:tcPr>
          <w:p w:rsidR="001E08F1" w:rsidRPr="00F6064B" w:rsidRDefault="001E08F1" w:rsidP="00D07A42">
            <w:pPr>
              <w:jc w:val="right"/>
              <w:rPr>
                <w:rFonts w:cs="Arial"/>
                <w:color w:val="7F7F7F"/>
                <w:szCs w:val="18"/>
                <w:lang w:eastAsia="en-AU"/>
              </w:rPr>
            </w:pPr>
            <w:r w:rsidRPr="00F6064B">
              <w:rPr>
                <w:rFonts w:cs="Arial"/>
                <w:color w:val="7F7F7F"/>
                <w:szCs w:val="18"/>
                <w:lang w:eastAsia="en-AU"/>
              </w:rPr>
              <w:t>184,433</w:t>
            </w:r>
          </w:p>
        </w:tc>
        <w:tc>
          <w:tcPr>
            <w:tcW w:w="968" w:type="dxa"/>
            <w:tcBorders>
              <w:top w:val="nil"/>
              <w:left w:val="nil"/>
              <w:bottom w:val="single" w:sz="12" w:space="0" w:color="7F7F7F"/>
              <w:right w:val="nil"/>
            </w:tcBorders>
            <w:shd w:val="clear" w:color="auto" w:fill="auto"/>
            <w:noWrap/>
            <w:vAlign w:val="center"/>
            <w:hideMark/>
          </w:tcPr>
          <w:p w:rsidR="001E08F1" w:rsidRPr="00F6064B" w:rsidRDefault="001E08F1" w:rsidP="00D07A42">
            <w:pPr>
              <w:jc w:val="right"/>
              <w:rPr>
                <w:rFonts w:cs="Arial"/>
                <w:color w:val="7F7F7F"/>
                <w:szCs w:val="18"/>
                <w:lang w:eastAsia="en-AU"/>
              </w:rPr>
            </w:pPr>
            <w:r w:rsidRPr="00F6064B">
              <w:rPr>
                <w:rFonts w:cs="Arial"/>
                <w:color w:val="7F7F7F"/>
                <w:szCs w:val="18"/>
                <w:lang w:eastAsia="en-AU"/>
              </w:rPr>
              <w:t>163,178</w:t>
            </w:r>
          </w:p>
        </w:tc>
        <w:tc>
          <w:tcPr>
            <w:tcW w:w="969" w:type="dxa"/>
            <w:tcBorders>
              <w:top w:val="nil"/>
              <w:left w:val="nil"/>
              <w:bottom w:val="single" w:sz="12" w:space="0" w:color="7F7F7F"/>
              <w:right w:val="nil"/>
            </w:tcBorders>
            <w:shd w:val="clear" w:color="auto" w:fill="auto"/>
            <w:noWrap/>
            <w:vAlign w:val="center"/>
            <w:hideMark/>
          </w:tcPr>
          <w:p w:rsidR="001E08F1" w:rsidRPr="00F6064B" w:rsidRDefault="001E08F1" w:rsidP="00D07A42">
            <w:pPr>
              <w:jc w:val="right"/>
              <w:rPr>
                <w:rFonts w:cs="Arial"/>
                <w:color w:val="7F7F7F"/>
                <w:szCs w:val="18"/>
                <w:lang w:eastAsia="en-AU"/>
              </w:rPr>
            </w:pPr>
            <w:r w:rsidRPr="00F6064B">
              <w:rPr>
                <w:rFonts w:cs="Arial"/>
                <w:color w:val="7F7F7F"/>
                <w:szCs w:val="18"/>
                <w:lang w:eastAsia="en-AU"/>
              </w:rPr>
              <w:t>169,691</w:t>
            </w:r>
          </w:p>
        </w:tc>
        <w:tc>
          <w:tcPr>
            <w:tcW w:w="969" w:type="dxa"/>
            <w:tcBorders>
              <w:top w:val="nil"/>
              <w:left w:val="nil"/>
              <w:bottom w:val="single" w:sz="12" w:space="0" w:color="7F7F7F"/>
              <w:right w:val="nil"/>
            </w:tcBorders>
            <w:shd w:val="clear" w:color="auto" w:fill="auto"/>
            <w:noWrap/>
            <w:vAlign w:val="center"/>
            <w:hideMark/>
          </w:tcPr>
          <w:p w:rsidR="001E08F1" w:rsidRPr="00F6064B" w:rsidRDefault="001E08F1" w:rsidP="00D07A42">
            <w:pPr>
              <w:jc w:val="right"/>
              <w:rPr>
                <w:rFonts w:cs="Arial"/>
                <w:color w:val="7F7F7F"/>
                <w:szCs w:val="18"/>
                <w:lang w:eastAsia="en-AU"/>
              </w:rPr>
            </w:pPr>
            <w:r w:rsidRPr="00F6064B">
              <w:rPr>
                <w:rFonts w:cs="Arial"/>
                <w:color w:val="7F7F7F"/>
                <w:szCs w:val="18"/>
                <w:lang w:eastAsia="en-AU"/>
              </w:rPr>
              <w:t>151,397</w:t>
            </w:r>
          </w:p>
        </w:tc>
      </w:tr>
    </w:tbl>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4A0" w:firstRow="1" w:lastRow="0" w:firstColumn="1" w:lastColumn="0" w:noHBand="0" w:noVBand="1"/>
      </w:tblPr>
      <w:tblGrid>
        <w:gridCol w:w="431"/>
        <w:gridCol w:w="7649"/>
      </w:tblGrid>
      <w:tr w:rsidR="001E08F1" w:rsidRPr="00913551" w:rsidTr="00D07A42">
        <w:tc>
          <w:tcPr>
            <w:tcW w:w="431" w:type="dxa"/>
            <w:tcMar>
              <w:left w:w="0" w:type="dxa"/>
              <w:right w:w="28" w:type="dxa"/>
            </w:tcMar>
          </w:tcPr>
          <w:p w:rsidR="001E08F1" w:rsidRPr="00913551" w:rsidRDefault="001E08F1" w:rsidP="00D07A42">
            <w:pPr>
              <w:spacing w:after="0" w:line="240" w:lineRule="auto"/>
              <w:jc w:val="right"/>
              <w:rPr>
                <w:color w:val="7F7F7F" w:themeColor="text2"/>
                <w:sz w:val="16"/>
                <w:szCs w:val="16"/>
              </w:rPr>
            </w:pPr>
            <w:r w:rsidRPr="00913551">
              <w:rPr>
                <w:color w:val="7F7F7F" w:themeColor="text2"/>
                <w:sz w:val="16"/>
                <w:szCs w:val="16"/>
              </w:rPr>
              <w:t xml:space="preserve">* </w:t>
            </w:r>
          </w:p>
        </w:tc>
        <w:tc>
          <w:tcPr>
            <w:tcW w:w="7649" w:type="dxa"/>
            <w:tcMar>
              <w:left w:w="0" w:type="dxa"/>
              <w:right w:w="28" w:type="dxa"/>
            </w:tcMar>
          </w:tcPr>
          <w:p w:rsidR="001E08F1" w:rsidRPr="00913551" w:rsidRDefault="001E08F1" w:rsidP="00D07A42">
            <w:pPr>
              <w:spacing w:after="0" w:line="240" w:lineRule="auto"/>
              <w:rPr>
                <w:i/>
                <w:color w:val="7F7F7F" w:themeColor="text2"/>
                <w:sz w:val="16"/>
                <w:szCs w:val="16"/>
              </w:rPr>
            </w:pPr>
            <w:r w:rsidRPr="00913551">
              <w:rPr>
                <w:i/>
                <w:sz w:val="16"/>
                <w:szCs w:val="16"/>
              </w:rPr>
              <w:t>The above groups of students are not mutually exclusive.</w:t>
            </w:r>
          </w:p>
        </w:tc>
      </w:tr>
    </w:tbl>
    <w:p w:rsidR="001E08F1" w:rsidRDefault="001E08F1" w:rsidP="001E08F1"/>
    <w:p w:rsidR="001E08F1" w:rsidRDefault="001E08F1" w:rsidP="001E08F1"/>
    <w:p w:rsidR="001E08F1" w:rsidRDefault="001E08F1" w:rsidP="001E08F1">
      <w:r>
        <w:rPr>
          <w:b/>
        </w:rPr>
        <w:br w:type="page"/>
      </w: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1E08F1" w:rsidTr="00D07A42">
        <w:tc>
          <w:tcPr>
            <w:tcW w:w="1134" w:type="dxa"/>
            <w:tcMar>
              <w:left w:w="0" w:type="dxa"/>
              <w:right w:w="0" w:type="dxa"/>
            </w:tcMar>
          </w:tcPr>
          <w:p w:rsidR="001E08F1" w:rsidRDefault="00AF3E67" w:rsidP="00D07A42">
            <w:pPr>
              <w:pStyle w:val="Quote"/>
              <w:tabs>
                <w:tab w:val="left" w:pos="1134"/>
              </w:tabs>
              <w:rPr>
                <w:b w:val="0"/>
                <w:color w:val="B41F22" w:themeColor="accent1"/>
              </w:rPr>
            </w:pPr>
            <w:r>
              <w:rPr>
                <w:b w:val="0"/>
                <w:color w:val="B41F22" w:themeColor="accent1"/>
              </w:rPr>
              <w:lastRenderedPageBreak/>
              <w:t>Table 2</w:t>
            </w:r>
            <w:r w:rsidR="001E08F1">
              <w:rPr>
                <w:b w:val="0"/>
                <w:color w:val="B41F22" w:themeColor="accent1"/>
              </w:rPr>
              <w:t>.1.2:</w:t>
            </w:r>
          </w:p>
        </w:tc>
        <w:tc>
          <w:tcPr>
            <w:tcW w:w="6946" w:type="dxa"/>
            <w:tcMar>
              <w:left w:w="0" w:type="dxa"/>
              <w:right w:w="0" w:type="dxa"/>
            </w:tcMar>
          </w:tcPr>
          <w:p w:rsidR="001E08F1" w:rsidRDefault="001E08F1" w:rsidP="00D07A42">
            <w:pPr>
              <w:pStyle w:val="Quote"/>
              <w:tabs>
                <w:tab w:val="left" w:pos="1134"/>
              </w:tabs>
              <w:rPr>
                <w:b w:val="0"/>
                <w:color w:val="B41F22" w:themeColor="accent1"/>
              </w:rPr>
            </w:pPr>
            <w:r w:rsidRPr="007A44D3">
              <w:rPr>
                <w:b w:val="0"/>
                <w:color w:val="B41F22" w:themeColor="accent1"/>
              </w:rPr>
              <w:t>Change in number of students enrolled in government subsidised accredited and pre-accredited training by selected learner group* (half year)</w:t>
            </w:r>
          </w:p>
        </w:tc>
      </w:tr>
    </w:tbl>
    <w:tbl>
      <w:tblPr>
        <w:tblW w:w="8095" w:type="dxa"/>
        <w:tblInd w:w="93" w:type="dxa"/>
        <w:tblLayout w:type="fixed"/>
        <w:tblLook w:val="04A0" w:firstRow="1" w:lastRow="0" w:firstColumn="1" w:lastColumn="0" w:noHBand="0" w:noVBand="1"/>
      </w:tblPr>
      <w:tblGrid>
        <w:gridCol w:w="2425"/>
        <w:gridCol w:w="1134"/>
        <w:gridCol w:w="1134"/>
        <w:gridCol w:w="1134"/>
        <w:gridCol w:w="1134"/>
        <w:gridCol w:w="1134"/>
      </w:tblGrid>
      <w:tr w:rsidR="001E08F1" w:rsidRPr="007A44D3" w:rsidTr="00D07A42">
        <w:trPr>
          <w:trHeight w:val="720"/>
        </w:trPr>
        <w:tc>
          <w:tcPr>
            <w:tcW w:w="2425" w:type="dxa"/>
            <w:tcBorders>
              <w:top w:val="nil"/>
              <w:left w:val="nil"/>
              <w:bottom w:val="nil"/>
              <w:right w:val="nil"/>
            </w:tcBorders>
            <w:shd w:val="clear" w:color="000000" w:fill="7F7F7F"/>
            <w:noWrap/>
            <w:vAlign w:val="center"/>
            <w:hideMark/>
          </w:tcPr>
          <w:p w:rsidR="001E08F1" w:rsidRPr="007A44D3" w:rsidRDefault="001E08F1" w:rsidP="00D07A42">
            <w:pPr>
              <w:rPr>
                <w:rFonts w:cs="Arial"/>
                <w:color w:val="FFFFFF"/>
                <w:szCs w:val="18"/>
                <w:lang w:eastAsia="en-AU"/>
              </w:rPr>
            </w:pPr>
            <w:r w:rsidRPr="007A44D3">
              <w:rPr>
                <w:rFonts w:cs="Arial"/>
                <w:color w:val="FFFFFF"/>
                <w:szCs w:val="18"/>
                <w:lang w:eastAsia="en-AU"/>
              </w:rPr>
              <w:t> </w:t>
            </w:r>
          </w:p>
        </w:tc>
        <w:tc>
          <w:tcPr>
            <w:tcW w:w="1134" w:type="dxa"/>
            <w:tcBorders>
              <w:top w:val="nil"/>
              <w:left w:val="nil"/>
              <w:bottom w:val="nil"/>
              <w:right w:val="nil"/>
            </w:tcBorders>
            <w:shd w:val="clear" w:color="000000" w:fill="7F7F7F"/>
            <w:vAlign w:val="center"/>
            <w:hideMark/>
          </w:tcPr>
          <w:p w:rsidR="001E08F1" w:rsidRPr="007A44D3" w:rsidRDefault="001E08F1" w:rsidP="00D07A42">
            <w:pPr>
              <w:jc w:val="right"/>
              <w:rPr>
                <w:rFonts w:cs="Arial"/>
                <w:b/>
                <w:bCs/>
                <w:color w:val="FFFFFF"/>
                <w:szCs w:val="18"/>
                <w:lang w:eastAsia="en-AU"/>
              </w:rPr>
            </w:pPr>
            <w:r w:rsidRPr="007A44D3">
              <w:rPr>
                <w:rFonts w:cs="Arial"/>
                <w:b/>
                <w:bCs/>
                <w:color w:val="FFFFFF"/>
                <w:szCs w:val="18"/>
                <w:lang w:eastAsia="en-AU"/>
              </w:rPr>
              <w:t>% change 2010 to 2015</w:t>
            </w:r>
          </w:p>
        </w:tc>
        <w:tc>
          <w:tcPr>
            <w:tcW w:w="1134" w:type="dxa"/>
            <w:tcBorders>
              <w:top w:val="nil"/>
              <w:left w:val="nil"/>
              <w:bottom w:val="nil"/>
              <w:right w:val="nil"/>
            </w:tcBorders>
            <w:shd w:val="clear" w:color="000000" w:fill="7F7F7F"/>
            <w:vAlign w:val="center"/>
            <w:hideMark/>
          </w:tcPr>
          <w:p w:rsidR="001E08F1" w:rsidRPr="007A44D3" w:rsidRDefault="001E08F1" w:rsidP="00D07A42">
            <w:pPr>
              <w:jc w:val="right"/>
              <w:rPr>
                <w:rFonts w:cs="Arial"/>
                <w:b/>
                <w:bCs/>
                <w:color w:val="FFFFFF"/>
                <w:szCs w:val="18"/>
                <w:lang w:eastAsia="en-AU"/>
              </w:rPr>
            </w:pPr>
            <w:r w:rsidRPr="007A44D3">
              <w:rPr>
                <w:rFonts w:cs="Arial"/>
                <w:b/>
                <w:bCs/>
                <w:color w:val="FFFFFF"/>
                <w:szCs w:val="18"/>
                <w:lang w:eastAsia="en-AU"/>
              </w:rPr>
              <w:t>% change 2011 to 2015</w:t>
            </w:r>
          </w:p>
        </w:tc>
        <w:tc>
          <w:tcPr>
            <w:tcW w:w="1134" w:type="dxa"/>
            <w:tcBorders>
              <w:top w:val="nil"/>
              <w:left w:val="nil"/>
              <w:bottom w:val="nil"/>
              <w:right w:val="nil"/>
            </w:tcBorders>
            <w:shd w:val="clear" w:color="000000" w:fill="7F7F7F"/>
            <w:vAlign w:val="center"/>
            <w:hideMark/>
          </w:tcPr>
          <w:p w:rsidR="001E08F1" w:rsidRPr="007A44D3" w:rsidRDefault="001E08F1" w:rsidP="00D07A42">
            <w:pPr>
              <w:jc w:val="right"/>
              <w:rPr>
                <w:rFonts w:cs="Arial"/>
                <w:b/>
                <w:bCs/>
                <w:color w:val="FFFFFF"/>
                <w:szCs w:val="18"/>
                <w:lang w:eastAsia="en-AU"/>
              </w:rPr>
            </w:pPr>
            <w:r w:rsidRPr="007A44D3">
              <w:rPr>
                <w:rFonts w:cs="Arial"/>
                <w:b/>
                <w:bCs/>
                <w:color w:val="FFFFFF"/>
                <w:szCs w:val="18"/>
                <w:lang w:eastAsia="en-AU"/>
              </w:rPr>
              <w:t>% change 2012 to 2015</w:t>
            </w:r>
          </w:p>
        </w:tc>
        <w:tc>
          <w:tcPr>
            <w:tcW w:w="1134" w:type="dxa"/>
            <w:tcBorders>
              <w:top w:val="nil"/>
              <w:left w:val="nil"/>
              <w:bottom w:val="nil"/>
              <w:right w:val="nil"/>
            </w:tcBorders>
            <w:shd w:val="clear" w:color="000000" w:fill="7F7F7F"/>
            <w:vAlign w:val="center"/>
            <w:hideMark/>
          </w:tcPr>
          <w:p w:rsidR="001E08F1" w:rsidRPr="007A44D3" w:rsidRDefault="001E08F1" w:rsidP="00D07A42">
            <w:pPr>
              <w:jc w:val="right"/>
              <w:rPr>
                <w:rFonts w:cs="Arial"/>
                <w:b/>
                <w:bCs/>
                <w:color w:val="FFFFFF"/>
                <w:szCs w:val="18"/>
                <w:lang w:eastAsia="en-AU"/>
              </w:rPr>
            </w:pPr>
            <w:r w:rsidRPr="007A44D3">
              <w:rPr>
                <w:rFonts w:cs="Arial"/>
                <w:b/>
                <w:bCs/>
                <w:color w:val="FFFFFF"/>
                <w:szCs w:val="18"/>
                <w:lang w:eastAsia="en-AU"/>
              </w:rPr>
              <w:t>% change 2013 to 2015</w:t>
            </w:r>
          </w:p>
        </w:tc>
        <w:tc>
          <w:tcPr>
            <w:tcW w:w="1134" w:type="dxa"/>
            <w:tcBorders>
              <w:top w:val="nil"/>
              <w:left w:val="nil"/>
              <w:bottom w:val="nil"/>
              <w:right w:val="nil"/>
            </w:tcBorders>
            <w:shd w:val="clear" w:color="000000" w:fill="7F7F7F"/>
            <w:vAlign w:val="center"/>
            <w:hideMark/>
          </w:tcPr>
          <w:p w:rsidR="001E08F1" w:rsidRPr="007A44D3" w:rsidRDefault="001E08F1" w:rsidP="00D07A42">
            <w:pPr>
              <w:jc w:val="right"/>
              <w:rPr>
                <w:rFonts w:cs="Arial"/>
                <w:b/>
                <w:bCs/>
                <w:color w:val="FFFFFF"/>
                <w:szCs w:val="18"/>
                <w:lang w:eastAsia="en-AU"/>
              </w:rPr>
            </w:pPr>
            <w:r w:rsidRPr="007A44D3">
              <w:rPr>
                <w:rFonts w:cs="Arial"/>
                <w:b/>
                <w:bCs/>
                <w:color w:val="FFFFFF"/>
                <w:szCs w:val="18"/>
                <w:lang w:eastAsia="en-AU"/>
              </w:rPr>
              <w:t>% change 2014 to 2015</w:t>
            </w:r>
          </w:p>
        </w:tc>
      </w:tr>
      <w:tr w:rsidR="001E08F1" w:rsidRPr="007A44D3" w:rsidTr="00D07A42">
        <w:trPr>
          <w:trHeight w:val="300"/>
        </w:trPr>
        <w:tc>
          <w:tcPr>
            <w:tcW w:w="2425" w:type="dxa"/>
            <w:tcBorders>
              <w:top w:val="nil"/>
              <w:left w:val="nil"/>
              <w:bottom w:val="nil"/>
              <w:right w:val="nil"/>
            </w:tcBorders>
            <w:shd w:val="clear" w:color="auto" w:fill="auto"/>
            <w:noWrap/>
            <w:vAlign w:val="center"/>
            <w:hideMark/>
          </w:tcPr>
          <w:p w:rsidR="001E08F1" w:rsidRPr="007A44D3" w:rsidRDefault="001E08F1" w:rsidP="00D07A42">
            <w:pPr>
              <w:rPr>
                <w:rFonts w:cs="Arial"/>
                <w:color w:val="7F7F7F"/>
                <w:szCs w:val="18"/>
                <w:lang w:eastAsia="en-AU"/>
              </w:rPr>
            </w:pPr>
            <w:r w:rsidRPr="007A44D3">
              <w:rPr>
                <w:rFonts w:cs="Arial"/>
                <w:color w:val="7F7F7F"/>
                <w:szCs w:val="18"/>
                <w:lang w:eastAsia="en-AU"/>
              </w:rPr>
              <w:t>Indigenous</w:t>
            </w:r>
          </w:p>
        </w:tc>
        <w:tc>
          <w:tcPr>
            <w:tcW w:w="1134" w:type="dxa"/>
            <w:tcBorders>
              <w:top w:val="nil"/>
              <w:left w:val="nil"/>
              <w:bottom w:val="nil"/>
              <w:right w:val="nil"/>
            </w:tcBorders>
            <w:shd w:val="clear" w:color="auto" w:fill="auto"/>
            <w:noWrap/>
            <w:vAlign w:val="center"/>
            <w:hideMark/>
          </w:tcPr>
          <w:p w:rsidR="001E08F1" w:rsidRPr="007A44D3" w:rsidRDefault="001E08F1" w:rsidP="00D07A42">
            <w:pPr>
              <w:jc w:val="right"/>
              <w:rPr>
                <w:rFonts w:cs="Arial"/>
                <w:color w:val="7F7F7F"/>
                <w:szCs w:val="18"/>
                <w:lang w:eastAsia="en-AU"/>
              </w:rPr>
            </w:pPr>
            <w:r w:rsidRPr="007A44D3">
              <w:rPr>
                <w:rFonts w:cs="Arial"/>
                <w:color w:val="7F7F7F"/>
                <w:szCs w:val="18"/>
                <w:lang w:eastAsia="en-AU"/>
              </w:rPr>
              <w:t>34%</w:t>
            </w:r>
          </w:p>
        </w:tc>
        <w:tc>
          <w:tcPr>
            <w:tcW w:w="1134" w:type="dxa"/>
            <w:tcBorders>
              <w:top w:val="nil"/>
              <w:left w:val="nil"/>
              <w:bottom w:val="nil"/>
              <w:right w:val="nil"/>
            </w:tcBorders>
            <w:shd w:val="clear" w:color="auto" w:fill="auto"/>
            <w:noWrap/>
            <w:vAlign w:val="center"/>
            <w:hideMark/>
          </w:tcPr>
          <w:p w:rsidR="001E08F1" w:rsidRPr="007A44D3" w:rsidRDefault="001E08F1" w:rsidP="00D07A42">
            <w:pPr>
              <w:jc w:val="right"/>
              <w:rPr>
                <w:rFonts w:cs="Arial"/>
                <w:color w:val="7F7F7F"/>
                <w:szCs w:val="18"/>
                <w:lang w:eastAsia="en-AU"/>
              </w:rPr>
            </w:pPr>
            <w:r w:rsidRPr="007A44D3">
              <w:rPr>
                <w:rFonts w:cs="Arial"/>
                <w:color w:val="7F7F7F"/>
                <w:szCs w:val="18"/>
                <w:lang w:eastAsia="en-AU"/>
              </w:rPr>
              <w:t>12%</w:t>
            </w:r>
          </w:p>
        </w:tc>
        <w:tc>
          <w:tcPr>
            <w:tcW w:w="1134" w:type="dxa"/>
            <w:tcBorders>
              <w:top w:val="nil"/>
              <w:left w:val="nil"/>
              <w:bottom w:val="nil"/>
              <w:right w:val="nil"/>
            </w:tcBorders>
            <w:shd w:val="clear" w:color="auto" w:fill="auto"/>
            <w:noWrap/>
            <w:vAlign w:val="center"/>
            <w:hideMark/>
          </w:tcPr>
          <w:p w:rsidR="001E08F1" w:rsidRPr="007A44D3" w:rsidRDefault="001E08F1" w:rsidP="00D07A42">
            <w:pPr>
              <w:jc w:val="right"/>
              <w:rPr>
                <w:rFonts w:cs="Arial"/>
                <w:color w:val="7F7F7F"/>
                <w:szCs w:val="18"/>
                <w:lang w:eastAsia="en-AU"/>
              </w:rPr>
            </w:pPr>
            <w:r w:rsidRPr="007A44D3">
              <w:rPr>
                <w:rFonts w:cs="Arial"/>
                <w:color w:val="7F7F7F"/>
                <w:szCs w:val="18"/>
                <w:lang w:eastAsia="en-AU"/>
              </w:rPr>
              <w:t>-5%</w:t>
            </w:r>
          </w:p>
        </w:tc>
        <w:tc>
          <w:tcPr>
            <w:tcW w:w="1134" w:type="dxa"/>
            <w:tcBorders>
              <w:top w:val="nil"/>
              <w:left w:val="nil"/>
              <w:bottom w:val="nil"/>
              <w:right w:val="nil"/>
            </w:tcBorders>
            <w:shd w:val="clear" w:color="auto" w:fill="auto"/>
            <w:noWrap/>
            <w:vAlign w:val="center"/>
            <w:hideMark/>
          </w:tcPr>
          <w:p w:rsidR="001E08F1" w:rsidRPr="007A44D3" w:rsidRDefault="001E08F1" w:rsidP="00D07A42">
            <w:pPr>
              <w:jc w:val="right"/>
              <w:rPr>
                <w:rFonts w:cs="Arial"/>
                <w:color w:val="7F7F7F"/>
                <w:szCs w:val="18"/>
                <w:lang w:eastAsia="en-AU"/>
              </w:rPr>
            </w:pPr>
            <w:r w:rsidRPr="007A44D3">
              <w:rPr>
                <w:rFonts w:cs="Arial"/>
                <w:color w:val="7F7F7F"/>
                <w:szCs w:val="18"/>
                <w:lang w:eastAsia="en-AU"/>
              </w:rPr>
              <w:t>-1%</w:t>
            </w:r>
          </w:p>
        </w:tc>
        <w:tc>
          <w:tcPr>
            <w:tcW w:w="1134" w:type="dxa"/>
            <w:tcBorders>
              <w:top w:val="nil"/>
              <w:left w:val="nil"/>
              <w:bottom w:val="nil"/>
              <w:right w:val="nil"/>
            </w:tcBorders>
            <w:shd w:val="clear" w:color="auto" w:fill="auto"/>
            <w:noWrap/>
            <w:vAlign w:val="center"/>
            <w:hideMark/>
          </w:tcPr>
          <w:p w:rsidR="001E08F1" w:rsidRPr="007A44D3" w:rsidRDefault="001E08F1" w:rsidP="00D07A42">
            <w:pPr>
              <w:jc w:val="right"/>
              <w:rPr>
                <w:rFonts w:cs="Arial"/>
                <w:color w:val="7F7F7F"/>
                <w:szCs w:val="18"/>
                <w:lang w:eastAsia="en-AU"/>
              </w:rPr>
            </w:pPr>
            <w:r w:rsidRPr="007A44D3">
              <w:rPr>
                <w:rFonts w:cs="Arial"/>
                <w:color w:val="7F7F7F"/>
                <w:szCs w:val="18"/>
                <w:lang w:eastAsia="en-AU"/>
              </w:rPr>
              <w:t>-7%</w:t>
            </w:r>
          </w:p>
        </w:tc>
      </w:tr>
      <w:tr w:rsidR="001E08F1" w:rsidRPr="007A44D3" w:rsidTr="00D07A42">
        <w:trPr>
          <w:trHeight w:val="300"/>
        </w:trPr>
        <w:tc>
          <w:tcPr>
            <w:tcW w:w="2425" w:type="dxa"/>
            <w:tcBorders>
              <w:top w:val="nil"/>
              <w:left w:val="nil"/>
              <w:bottom w:val="nil"/>
              <w:right w:val="nil"/>
            </w:tcBorders>
            <w:shd w:val="clear" w:color="auto" w:fill="auto"/>
            <w:noWrap/>
            <w:vAlign w:val="center"/>
            <w:hideMark/>
          </w:tcPr>
          <w:p w:rsidR="001E08F1" w:rsidRPr="007A44D3" w:rsidRDefault="001E08F1" w:rsidP="00D07A42">
            <w:pPr>
              <w:rPr>
                <w:rFonts w:cs="Arial"/>
                <w:color w:val="7F7F7F"/>
                <w:szCs w:val="18"/>
                <w:lang w:eastAsia="en-AU"/>
              </w:rPr>
            </w:pPr>
            <w:r w:rsidRPr="007A44D3">
              <w:rPr>
                <w:rFonts w:cs="Arial"/>
                <w:color w:val="7F7F7F"/>
                <w:szCs w:val="18"/>
                <w:lang w:eastAsia="en-AU"/>
              </w:rPr>
              <w:t>Student with a disability</w:t>
            </w:r>
          </w:p>
        </w:tc>
        <w:tc>
          <w:tcPr>
            <w:tcW w:w="1134" w:type="dxa"/>
            <w:tcBorders>
              <w:top w:val="nil"/>
              <w:left w:val="nil"/>
              <w:bottom w:val="nil"/>
              <w:right w:val="nil"/>
            </w:tcBorders>
            <w:shd w:val="clear" w:color="auto" w:fill="auto"/>
            <w:noWrap/>
            <w:vAlign w:val="center"/>
            <w:hideMark/>
          </w:tcPr>
          <w:p w:rsidR="001E08F1" w:rsidRPr="007A44D3" w:rsidRDefault="001E08F1" w:rsidP="00D07A42">
            <w:pPr>
              <w:jc w:val="right"/>
              <w:rPr>
                <w:rFonts w:cs="Arial"/>
                <w:color w:val="7F7F7F"/>
                <w:szCs w:val="18"/>
                <w:lang w:eastAsia="en-AU"/>
              </w:rPr>
            </w:pPr>
            <w:r w:rsidRPr="007A44D3">
              <w:rPr>
                <w:rFonts w:cs="Arial"/>
                <w:color w:val="7F7F7F"/>
                <w:szCs w:val="18"/>
                <w:lang w:eastAsia="en-AU"/>
              </w:rPr>
              <w:t>50%</w:t>
            </w:r>
          </w:p>
        </w:tc>
        <w:tc>
          <w:tcPr>
            <w:tcW w:w="1134" w:type="dxa"/>
            <w:tcBorders>
              <w:top w:val="nil"/>
              <w:left w:val="nil"/>
              <w:bottom w:val="nil"/>
              <w:right w:val="nil"/>
            </w:tcBorders>
            <w:shd w:val="clear" w:color="auto" w:fill="auto"/>
            <w:noWrap/>
            <w:vAlign w:val="center"/>
            <w:hideMark/>
          </w:tcPr>
          <w:p w:rsidR="001E08F1" w:rsidRPr="007A44D3" w:rsidRDefault="001E08F1" w:rsidP="00D07A42">
            <w:pPr>
              <w:jc w:val="right"/>
              <w:rPr>
                <w:rFonts w:cs="Arial"/>
                <w:color w:val="7F7F7F"/>
                <w:szCs w:val="18"/>
                <w:lang w:eastAsia="en-AU"/>
              </w:rPr>
            </w:pPr>
            <w:r w:rsidRPr="007A44D3">
              <w:rPr>
                <w:rFonts w:cs="Arial"/>
                <w:color w:val="7F7F7F"/>
                <w:szCs w:val="18"/>
                <w:lang w:eastAsia="en-AU"/>
              </w:rPr>
              <w:t>21%</w:t>
            </w:r>
          </w:p>
        </w:tc>
        <w:tc>
          <w:tcPr>
            <w:tcW w:w="1134" w:type="dxa"/>
            <w:tcBorders>
              <w:top w:val="nil"/>
              <w:left w:val="nil"/>
              <w:bottom w:val="nil"/>
              <w:right w:val="nil"/>
            </w:tcBorders>
            <w:shd w:val="clear" w:color="auto" w:fill="auto"/>
            <w:noWrap/>
            <w:vAlign w:val="center"/>
            <w:hideMark/>
          </w:tcPr>
          <w:p w:rsidR="001E08F1" w:rsidRPr="007A44D3" w:rsidRDefault="001E08F1" w:rsidP="00D07A42">
            <w:pPr>
              <w:jc w:val="right"/>
              <w:rPr>
                <w:rFonts w:cs="Arial"/>
                <w:color w:val="7F7F7F"/>
                <w:szCs w:val="18"/>
                <w:lang w:eastAsia="en-AU"/>
              </w:rPr>
            </w:pPr>
            <w:r w:rsidRPr="007A44D3">
              <w:rPr>
                <w:rFonts w:cs="Arial"/>
                <w:color w:val="7F7F7F"/>
                <w:szCs w:val="18"/>
                <w:lang w:eastAsia="en-AU"/>
              </w:rPr>
              <w:t>-2%</w:t>
            </w:r>
          </w:p>
        </w:tc>
        <w:tc>
          <w:tcPr>
            <w:tcW w:w="1134" w:type="dxa"/>
            <w:tcBorders>
              <w:top w:val="nil"/>
              <w:left w:val="nil"/>
              <w:bottom w:val="nil"/>
              <w:right w:val="nil"/>
            </w:tcBorders>
            <w:shd w:val="clear" w:color="auto" w:fill="auto"/>
            <w:noWrap/>
            <w:vAlign w:val="center"/>
            <w:hideMark/>
          </w:tcPr>
          <w:p w:rsidR="001E08F1" w:rsidRPr="007A44D3" w:rsidRDefault="001E08F1" w:rsidP="00D07A42">
            <w:pPr>
              <w:jc w:val="right"/>
              <w:rPr>
                <w:rFonts w:cs="Arial"/>
                <w:color w:val="7F7F7F"/>
                <w:szCs w:val="18"/>
                <w:lang w:eastAsia="en-AU"/>
              </w:rPr>
            </w:pPr>
            <w:r w:rsidRPr="007A44D3">
              <w:rPr>
                <w:rFonts w:cs="Arial"/>
                <w:color w:val="7F7F7F"/>
                <w:szCs w:val="18"/>
                <w:lang w:eastAsia="en-AU"/>
              </w:rPr>
              <w:t>2%</w:t>
            </w:r>
          </w:p>
        </w:tc>
        <w:tc>
          <w:tcPr>
            <w:tcW w:w="1134" w:type="dxa"/>
            <w:tcBorders>
              <w:top w:val="nil"/>
              <w:left w:val="nil"/>
              <w:bottom w:val="nil"/>
              <w:right w:val="nil"/>
            </w:tcBorders>
            <w:shd w:val="clear" w:color="auto" w:fill="auto"/>
            <w:noWrap/>
            <w:vAlign w:val="center"/>
            <w:hideMark/>
          </w:tcPr>
          <w:p w:rsidR="001E08F1" w:rsidRPr="007A44D3" w:rsidRDefault="001E08F1" w:rsidP="00D07A42">
            <w:pPr>
              <w:jc w:val="right"/>
              <w:rPr>
                <w:rFonts w:cs="Arial"/>
                <w:color w:val="7F7F7F"/>
                <w:szCs w:val="18"/>
                <w:lang w:eastAsia="en-AU"/>
              </w:rPr>
            </w:pPr>
            <w:r w:rsidRPr="007A44D3">
              <w:rPr>
                <w:rFonts w:cs="Arial"/>
                <w:color w:val="7F7F7F"/>
                <w:szCs w:val="18"/>
                <w:lang w:eastAsia="en-AU"/>
              </w:rPr>
              <w:t>-5%</w:t>
            </w:r>
          </w:p>
        </w:tc>
      </w:tr>
      <w:tr w:rsidR="001E08F1" w:rsidRPr="007A44D3" w:rsidTr="00D07A42">
        <w:trPr>
          <w:trHeight w:val="300"/>
        </w:trPr>
        <w:tc>
          <w:tcPr>
            <w:tcW w:w="2425" w:type="dxa"/>
            <w:tcBorders>
              <w:top w:val="nil"/>
              <w:left w:val="nil"/>
              <w:bottom w:val="nil"/>
              <w:right w:val="nil"/>
            </w:tcBorders>
            <w:shd w:val="clear" w:color="auto" w:fill="auto"/>
            <w:noWrap/>
            <w:vAlign w:val="center"/>
            <w:hideMark/>
          </w:tcPr>
          <w:p w:rsidR="001E08F1" w:rsidRPr="007A44D3" w:rsidRDefault="001E08F1" w:rsidP="00D07A42">
            <w:pPr>
              <w:rPr>
                <w:rFonts w:cs="Arial"/>
                <w:color w:val="7F7F7F"/>
                <w:szCs w:val="18"/>
                <w:lang w:eastAsia="en-AU"/>
              </w:rPr>
            </w:pPr>
            <w:r w:rsidRPr="007A44D3">
              <w:rPr>
                <w:rFonts w:cs="Arial"/>
                <w:color w:val="7F7F7F"/>
                <w:szCs w:val="18"/>
                <w:lang w:eastAsia="en-AU"/>
              </w:rPr>
              <w:t>CALD</w:t>
            </w:r>
          </w:p>
        </w:tc>
        <w:tc>
          <w:tcPr>
            <w:tcW w:w="1134" w:type="dxa"/>
            <w:tcBorders>
              <w:top w:val="nil"/>
              <w:left w:val="nil"/>
              <w:bottom w:val="nil"/>
              <w:right w:val="nil"/>
            </w:tcBorders>
            <w:shd w:val="clear" w:color="auto" w:fill="auto"/>
            <w:noWrap/>
            <w:vAlign w:val="center"/>
            <w:hideMark/>
          </w:tcPr>
          <w:p w:rsidR="001E08F1" w:rsidRPr="007A44D3" w:rsidRDefault="001E08F1" w:rsidP="00D07A42">
            <w:pPr>
              <w:jc w:val="right"/>
              <w:rPr>
                <w:rFonts w:cs="Arial"/>
                <w:color w:val="7F7F7F"/>
                <w:szCs w:val="18"/>
                <w:lang w:eastAsia="en-AU"/>
              </w:rPr>
            </w:pPr>
            <w:r w:rsidRPr="007A44D3">
              <w:rPr>
                <w:rFonts w:cs="Arial"/>
                <w:color w:val="7F7F7F"/>
                <w:szCs w:val="18"/>
                <w:lang w:eastAsia="en-AU"/>
              </w:rPr>
              <w:t>95%</w:t>
            </w:r>
          </w:p>
        </w:tc>
        <w:tc>
          <w:tcPr>
            <w:tcW w:w="1134" w:type="dxa"/>
            <w:tcBorders>
              <w:top w:val="nil"/>
              <w:left w:val="nil"/>
              <w:bottom w:val="nil"/>
              <w:right w:val="nil"/>
            </w:tcBorders>
            <w:shd w:val="clear" w:color="auto" w:fill="auto"/>
            <w:noWrap/>
            <w:vAlign w:val="center"/>
            <w:hideMark/>
          </w:tcPr>
          <w:p w:rsidR="001E08F1" w:rsidRPr="007A44D3" w:rsidRDefault="001E08F1" w:rsidP="00D07A42">
            <w:pPr>
              <w:jc w:val="right"/>
              <w:rPr>
                <w:rFonts w:cs="Arial"/>
                <w:color w:val="7F7F7F"/>
                <w:szCs w:val="18"/>
                <w:lang w:eastAsia="en-AU"/>
              </w:rPr>
            </w:pPr>
            <w:r w:rsidRPr="007A44D3">
              <w:rPr>
                <w:rFonts w:cs="Arial"/>
                <w:color w:val="7F7F7F"/>
                <w:szCs w:val="18"/>
                <w:lang w:eastAsia="en-AU"/>
              </w:rPr>
              <w:t>51%</w:t>
            </w:r>
          </w:p>
        </w:tc>
        <w:tc>
          <w:tcPr>
            <w:tcW w:w="1134" w:type="dxa"/>
            <w:tcBorders>
              <w:top w:val="nil"/>
              <w:left w:val="nil"/>
              <w:bottom w:val="nil"/>
              <w:right w:val="nil"/>
            </w:tcBorders>
            <w:shd w:val="clear" w:color="auto" w:fill="auto"/>
            <w:noWrap/>
            <w:vAlign w:val="center"/>
            <w:hideMark/>
          </w:tcPr>
          <w:p w:rsidR="001E08F1" w:rsidRPr="007A44D3" w:rsidRDefault="001E08F1" w:rsidP="00D07A42">
            <w:pPr>
              <w:jc w:val="right"/>
              <w:rPr>
                <w:rFonts w:cs="Arial"/>
                <w:color w:val="7F7F7F"/>
                <w:szCs w:val="18"/>
                <w:lang w:eastAsia="en-AU"/>
              </w:rPr>
            </w:pPr>
            <w:r w:rsidRPr="007A44D3">
              <w:rPr>
                <w:rFonts w:cs="Arial"/>
                <w:color w:val="7F7F7F"/>
                <w:szCs w:val="18"/>
                <w:lang w:eastAsia="en-AU"/>
              </w:rPr>
              <w:t>4%</w:t>
            </w:r>
          </w:p>
        </w:tc>
        <w:tc>
          <w:tcPr>
            <w:tcW w:w="1134" w:type="dxa"/>
            <w:tcBorders>
              <w:top w:val="nil"/>
              <w:left w:val="nil"/>
              <w:bottom w:val="nil"/>
              <w:right w:val="nil"/>
            </w:tcBorders>
            <w:shd w:val="clear" w:color="auto" w:fill="auto"/>
            <w:noWrap/>
            <w:vAlign w:val="center"/>
            <w:hideMark/>
          </w:tcPr>
          <w:p w:rsidR="001E08F1" w:rsidRPr="007A44D3" w:rsidRDefault="001E08F1" w:rsidP="00D07A42">
            <w:pPr>
              <w:jc w:val="right"/>
              <w:rPr>
                <w:rFonts w:cs="Arial"/>
                <w:color w:val="7F7F7F"/>
                <w:szCs w:val="18"/>
                <w:lang w:eastAsia="en-AU"/>
              </w:rPr>
            </w:pPr>
            <w:r w:rsidRPr="007A44D3">
              <w:rPr>
                <w:rFonts w:cs="Arial"/>
                <w:color w:val="7F7F7F"/>
                <w:szCs w:val="18"/>
                <w:lang w:eastAsia="en-AU"/>
              </w:rPr>
              <w:t>7%</w:t>
            </w:r>
          </w:p>
        </w:tc>
        <w:tc>
          <w:tcPr>
            <w:tcW w:w="1134" w:type="dxa"/>
            <w:tcBorders>
              <w:top w:val="nil"/>
              <w:left w:val="nil"/>
              <w:bottom w:val="nil"/>
              <w:right w:val="nil"/>
            </w:tcBorders>
            <w:shd w:val="clear" w:color="auto" w:fill="auto"/>
            <w:noWrap/>
            <w:vAlign w:val="center"/>
            <w:hideMark/>
          </w:tcPr>
          <w:p w:rsidR="001E08F1" w:rsidRPr="007A44D3" w:rsidRDefault="001E08F1" w:rsidP="00D07A42">
            <w:pPr>
              <w:jc w:val="right"/>
              <w:rPr>
                <w:rFonts w:cs="Arial"/>
                <w:color w:val="7F7F7F"/>
                <w:szCs w:val="18"/>
                <w:lang w:eastAsia="en-AU"/>
              </w:rPr>
            </w:pPr>
            <w:r w:rsidRPr="007A44D3">
              <w:rPr>
                <w:rFonts w:cs="Arial"/>
                <w:color w:val="7F7F7F"/>
                <w:szCs w:val="18"/>
                <w:lang w:eastAsia="en-AU"/>
              </w:rPr>
              <w:t>-7%</w:t>
            </w:r>
          </w:p>
        </w:tc>
      </w:tr>
      <w:tr w:rsidR="001E08F1" w:rsidRPr="007A44D3" w:rsidTr="00D07A42">
        <w:trPr>
          <w:trHeight w:val="300"/>
        </w:trPr>
        <w:tc>
          <w:tcPr>
            <w:tcW w:w="2425" w:type="dxa"/>
            <w:tcBorders>
              <w:top w:val="nil"/>
              <w:left w:val="nil"/>
              <w:bottom w:val="nil"/>
              <w:right w:val="nil"/>
            </w:tcBorders>
            <w:shd w:val="clear" w:color="auto" w:fill="auto"/>
            <w:noWrap/>
            <w:vAlign w:val="center"/>
            <w:hideMark/>
          </w:tcPr>
          <w:p w:rsidR="001E08F1" w:rsidRPr="007A44D3" w:rsidRDefault="001E08F1" w:rsidP="00D07A42">
            <w:pPr>
              <w:rPr>
                <w:rFonts w:cs="Arial"/>
                <w:color w:val="7F7F7F"/>
                <w:szCs w:val="18"/>
                <w:lang w:eastAsia="en-AU"/>
              </w:rPr>
            </w:pPr>
            <w:r w:rsidRPr="007A44D3">
              <w:rPr>
                <w:rFonts w:cs="Arial"/>
                <w:color w:val="7F7F7F"/>
                <w:szCs w:val="18"/>
                <w:lang w:eastAsia="en-AU"/>
              </w:rPr>
              <w:t>Unemployed</w:t>
            </w:r>
          </w:p>
        </w:tc>
        <w:tc>
          <w:tcPr>
            <w:tcW w:w="1134" w:type="dxa"/>
            <w:tcBorders>
              <w:top w:val="nil"/>
              <w:left w:val="nil"/>
              <w:bottom w:val="nil"/>
              <w:right w:val="nil"/>
            </w:tcBorders>
            <w:shd w:val="clear" w:color="auto" w:fill="auto"/>
            <w:noWrap/>
            <w:vAlign w:val="center"/>
            <w:hideMark/>
          </w:tcPr>
          <w:p w:rsidR="001E08F1" w:rsidRPr="007A44D3" w:rsidRDefault="001E08F1" w:rsidP="00D07A42">
            <w:pPr>
              <w:jc w:val="right"/>
              <w:rPr>
                <w:rFonts w:cs="Arial"/>
                <w:color w:val="7F7F7F"/>
                <w:szCs w:val="18"/>
                <w:lang w:eastAsia="en-AU"/>
              </w:rPr>
            </w:pPr>
            <w:r w:rsidRPr="007A44D3">
              <w:rPr>
                <w:rFonts w:cs="Arial"/>
                <w:color w:val="7F7F7F"/>
                <w:szCs w:val="18"/>
                <w:lang w:eastAsia="en-AU"/>
              </w:rPr>
              <w:t>102%</w:t>
            </w:r>
          </w:p>
        </w:tc>
        <w:tc>
          <w:tcPr>
            <w:tcW w:w="1134" w:type="dxa"/>
            <w:tcBorders>
              <w:top w:val="nil"/>
              <w:left w:val="nil"/>
              <w:bottom w:val="nil"/>
              <w:right w:val="nil"/>
            </w:tcBorders>
            <w:shd w:val="clear" w:color="auto" w:fill="auto"/>
            <w:noWrap/>
            <w:vAlign w:val="center"/>
            <w:hideMark/>
          </w:tcPr>
          <w:p w:rsidR="001E08F1" w:rsidRPr="007A44D3" w:rsidRDefault="001E08F1" w:rsidP="00D07A42">
            <w:pPr>
              <w:jc w:val="right"/>
              <w:rPr>
                <w:rFonts w:cs="Arial"/>
                <w:color w:val="7F7F7F"/>
                <w:szCs w:val="18"/>
                <w:lang w:eastAsia="en-AU"/>
              </w:rPr>
            </w:pPr>
            <w:r w:rsidRPr="007A44D3">
              <w:rPr>
                <w:rFonts w:cs="Arial"/>
                <w:color w:val="7F7F7F"/>
                <w:szCs w:val="18"/>
                <w:lang w:eastAsia="en-AU"/>
              </w:rPr>
              <w:t>49%</w:t>
            </w:r>
          </w:p>
        </w:tc>
        <w:tc>
          <w:tcPr>
            <w:tcW w:w="1134" w:type="dxa"/>
            <w:tcBorders>
              <w:top w:val="nil"/>
              <w:left w:val="nil"/>
              <w:bottom w:val="nil"/>
              <w:right w:val="nil"/>
            </w:tcBorders>
            <w:shd w:val="clear" w:color="auto" w:fill="auto"/>
            <w:noWrap/>
            <w:vAlign w:val="center"/>
            <w:hideMark/>
          </w:tcPr>
          <w:p w:rsidR="001E08F1" w:rsidRPr="007A44D3" w:rsidRDefault="001E08F1" w:rsidP="00D07A42">
            <w:pPr>
              <w:jc w:val="right"/>
              <w:rPr>
                <w:rFonts w:cs="Arial"/>
                <w:color w:val="7F7F7F"/>
                <w:szCs w:val="18"/>
                <w:lang w:eastAsia="en-AU"/>
              </w:rPr>
            </w:pPr>
            <w:r w:rsidRPr="007A44D3">
              <w:rPr>
                <w:rFonts w:cs="Arial"/>
                <w:color w:val="7F7F7F"/>
                <w:szCs w:val="18"/>
                <w:lang w:eastAsia="en-AU"/>
              </w:rPr>
              <w:t>3%</w:t>
            </w:r>
          </w:p>
        </w:tc>
        <w:tc>
          <w:tcPr>
            <w:tcW w:w="1134" w:type="dxa"/>
            <w:tcBorders>
              <w:top w:val="nil"/>
              <w:left w:val="nil"/>
              <w:bottom w:val="nil"/>
              <w:right w:val="nil"/>
            </w:tcBorders>
            <w:shd w:val="clear" w:color="auto" w:fill="auto"/>
            <w:noWrap/>
            <w:vAlign w:val="center"/>
            <w:hideMark/>
          </w:tcPr>
          <w:p w:rsidR="001E08F1" w:rsidRPr="007A44D3" w:rsidRDefault="001E08F1" w:rsidP="00D07A42">
            <w:pPr>
              <w:jc w:val="right"/>
              <w:rPr>
                <w:rFonts w:cs="Arial"/>
                <w:color w:val="7F7F7F"/>
                <w:szCs w:val="18"/>
                <w:lang w:eastAsia="en-AU"/>
              </w:rPr>
            </w:pPr>
            <w:r w:rsidRPr="007A44D3">
              <w:rPr>
                <w:rFonts w:cs="Arial"/>
                <w:color w:val="7F7F7F"/>
                <w:szCs w:val="18"/>
                <w:lang w:eastAsia="en-AU"/>
              </w:rPr>
              <w:t>0%</w:t>
            </w:r>
          </w:p>
        </w:tc>
        <w:tc>
          <w:tcPr>
            <w:tcW w:w="1134" w:type="dxa"/>
            <w:tcBorders>
              <w:top w:val="nil"/>
              <w:left w:val="nil"/>
              <w:bottom w:val="nil"/>
              <w:right w:val="nil"/>
            </w:tcBorders>
            <w:shd w:val="clear" w:color="auto" w:fill="auto"/>
            <w:noWrap/>
            <w:vAlign w:val="center"/>
            <w:hideMark/>
          </w:tcPr>
          <w:p w:rsidR="001E08F1" w:rsidRPr="007A44D3" w:rsidRDefault="001E08F1" w:rsidP="00D07A42">
            <w:pPr>
              <w:jc w:val="right"/>
              <w:rPr>
                <w:rFonts w:cs="Arial"/>
                <w:color w:val="7F7F7F"/>
                <w:szCs w:val="18"/>
                <w:lang w:eastAsia="en-AU"/>
              </w:rPr>
            </w:pPr>
            <w:r w:rsidRPr="007A44D3">
              <w:rPr>
                <w:rFonts w:cs="Arial"/>
                <w:color w:val="7F7F7F"/>
                <w:szCs w:val="18"/>
                <w:lang w:eastAsia="en-AU"/>
              </w:rPr>
              <w:t>-13%</w:t>
            </w:r>
          </w:p>
        </w:tc>
      </w:tr>
      <w:tr w:rsidR="001E08F1" w:rsidRPr="00F6064B" w:rsidTr="00D07A42">
        <w:trPr>
          <w:trHeight w:val="1099"/>
        </w:trPr>
        <w:tc>
          <w:tcPr>
            <w:tcW w:w="2425" w:type="dxa"/>
            <w:tcBorders>
              <w:top w:val="nil"/>
              <w:left w:val="nil"/>
              <w:bottom w:val="nil"/>
              <w:right w:val="nil"/>
            </w:tcBorders>
            <w:shd w:val="clear" w:color="auto" w:fill="auto"/>
            <w:vAlign w:val="center"/>
            <w:hideMark/>
          </w:tcPr>
          <w:p w:rsidR="001E08F1" w:rsidRPr="00F6064B" w:rsidRDefault="001E08F1" w:rsidP="00D07A42">
            <w:pPr>
              <w:rPr>
                <w:rFonts w:cs="Arial"/>
                <w:color w:val="7F7F7F"/>
                <w:szCs w:val="18"/>
                <w:lang w:eastAsia="en-AU"/>
              </w:rPr>
            </w:pPr>
            <w:r w:rsidRPr="00F6064B">
              <w:rPr>
                <w:rFonts w:cs="Arial"/>
                <w:color w:val="7F7F7F"/>
                <w:szCs w:val="18"/>
                <w:lang w:eastAsia="en-AU"/>
              </w:rPr>
              <w:t>Aged 15-19 without at least Year 12 or a Cert II, not at school and enrolled in Cert II or above</w:t>
            </w:r>
          </w:p>
        </w:tc>
        <w:tc>
          <w:tcPr>
            <w:tcW w:w="1134" w:type="dxa"/>
            <w:tcBorders>
              <w:top w:val="nil"/>
              <w:left w:val="nil"/>
              <w:bottom w:val="nil"/>
              <w:right w:val="nil"/>
            </w:tcBorders>
            <w:shd w:val="clear" w:color="auto" w:fill="auto"/>
            <w:noWrap/>
            <w:vAlign w:val="center"/>
            <w:hideMark/>
          </w:tcPr>
          <w:p w:rsidR="001E08F1" w:rsidRPr="00F6064B" w:rsidRDefault="001E08F1" w:rsidP="00D07A42">
            <w:pPr>
              <w:jc w:val="right"/>
              <w:rPr>
                <w:rFonts w:cs="Arial"/>
                <w:color w:val="7F7F7F"/>
                <w:szCs w:val="18"/>
                <w:lang w:eastAsia="en-AU"/>
              </w:rPr>
            </w:pPr>
            <w:r w:rsidRPr="00F6064B">
              <w:rPr>
                <w:rFonts w:cs="Arial"/>
                <w:color w:val="7F7F7F"/>
                <w:szCs w:val="18"/>
                <w:lang w:eastAsia="en-AU"/>
              </w:rPr>
              <w:t>-25%</w:t>
            </w:r>
          </w:p>
        </w:tc>
        <w:tc>
          <w:tcPr>
            <w:tcW w:w="1134" w:type="dxa"/>
            <w:tcBorders>
              <w:top w:val="nil"/>
              <w:left w:val="nil"/>
              <w:bottom w:val="nil"/>
              <w:right w:val="nil"/>
            </w:tcBorders>
            <w:shd w:val="clear" w:color="auto" w:fill="auto"/>
            <w:noWrap/>
            <w:vAlign w:val="center"/>
            <w:hideMark/>
          </w:tcPr>
          <w:p w:rsidR="001E08F1" w:rsidRPr="00F6064B" w:rsidRDefault="001E08F1" w:rsidP="00D07A42">
            <w:pPr>
              <w:jc w:val="right"/>
              <w:rPr>
                <w:rFonts w:cs="Arial"/>
                <w:color w:val="7F7F7F"/>
                <w:szCs w:val="18"/>
                <w:lang w:eastAsia="en-AU"/>
              </w:rPr>
            </w:pPr>
            <w:r w:rsidRPr="00F6064B">
              <w:rPr>
                <w:rFonts w:cs="Arial"/>
                <w:color w:val="7F7F7F"/>
                <w:szCs w:val="18"/>
                <w:lang w:eastAsia="en-AU"/>
              </w:rPr>
              <w:t>-32%</w:t>
            </w:r>
          </w:p>
        </w:tc>
        <w:tc>
          <w:tcPr>
            <w:tcW w:w="1134" w:type="dxa"/>
            <w:tcBorders>
              <w:top w:val="nil"/>
              <w:left w:val="nil"/>
              <w:bottom w:val="nil"/>
              <w:right w:val="nil"/>
            </w:tcBorders>
            <w:shd w:val="clear" w:color="auto" w:fill="auto"/>
            <w:noWrap/>
            <w:vAlign w:val="center"/>
            <w:hideMark/>
          </w:tcPr>
          <w:p w:rsidR="001E08F1" w:rsidRPr="00F6064B" w:rsidRDefault="001E08F1" w:rsidP="00D07A42">
            <w:pPr>
              <w:jc w:val="right"/>
              <w:rPr>
                <w:rFonts w:cs="Arial"/>
                <w:color w:val="7F7F7F"/>
                <w:szCs w:val="18"/>
                <w:lang w:eastAsia="en-AU"/>
              </w:rPr>
            </w:pPr>
            <w:r w:rsidRPr="00F6064B">
              <w:rPr>
                <w:rFonts w:cs="Arial"/>
                <w:color w:val="7F7F7F"/>
                <w:szCs w:val="18"/>
                <w:lang w:eastAsia="en-AU"/>
              </w:rPr>
              <w:t>-38%</w:t>
            </w:r>
          </w:p>
        </w:tc>
        <w:tc>
          <w:tcPr>
            <w:tcW w:w="1134" w:type="dxa"/>
            <w:tcBorders>
              <w:top w:val="nil"/>
              <w:left w:val="nil"/>
              <w:bottom w:val="nil"/>
              <w:right w:val="nil"/>
            </w:tcBorders>
            <w:shd w:val="clear" w:color="auto" w:fill="auto"/>
            <w:noWrap/>
            <w:vAlign w:val="center"/>
            <w:hideMark/>
          </w:tcPr>
          <w:p w:rsidR="001E08F1" w:rsidRPr="00F6064B" w:rsidRDefault="001E08F1" w:rsidP="00D07A42">
            <w:pPr>
              <w:jc w:val="right"/>
              <w:rPr>
                <w:rFonts w:cs="Arial"/>
                <w:color w:val="7F7F7F"/>
                <w:szCs w:val="18"/>
                <w:lang w:eastAsia="en-AU"/>
              </w:rPr>
            </w:pPr>
            <w:r w:rsidRPr="00F6064B">
              <w:rPr>
                <w:rFonts w:cs="Arial"/>
                <w:color w:val="7F7F7F"/>
                <w:szCs w:val="18"/>
                <w:lang w:eastAsia="en-AU"/>
              </w:rPr>
              <w:t>-21%</w:t>
            </w:r>
          </w:p>
        </w:tc>
        <w:tc>
          <w:tcPr>
            <w:tcW w:w="1134" w:type="dxa"/>
            <w:tcBorders>
              <w:top w:val="nil"/>
              <w:left w:val="nil"/>
              <w:bottom w:val="nil"/>
              <w:right w:val="nil"/>
            </w:tcBorders>
            <w:shd w:val="clear" w:color="auto" w:fill="auto"/>
            <w:noWrap/>
            <w:vAlign w:val="center"/>
            <w:hideMark/>
          </w:tcPr>
          <w:p w:rsidR="001E08F1" w:rsidRPr="00F6064B" w:rsidRDefault="001E08F1" w:rsidP="00D07A42">
            <w:pPr>
              <w:jc w:val="right"/>
              <w:rPr>
                <w:rFonts w:cs="Arial"/>
                <w:color w:val="7F7F7F"/>
                <w:szCs w:val="18"/>
                <w:lang w:eastAsia="en-AU"/>
              </w:rPr>
            </w:pPr>
            <w:r w:rsidRPr="00F6064B">
              <w:rPr>
                <w:rFonts w:cs="Arial"/>
                <w:color w:val="7F7F7F"/>
                <w:szCs w:val="18"/>
                <w:lang w:eastAsia="en-AU"/>
              </w:rPr>
              <w:t>-14%</w:t>
            </w:r>
          </w:p>
        </w:tc>
      </w:tr>
      <w:tr w:rsidR="001E08F1" w:rsidRPr="007A44D3" w:rsidTr="00D07A42">
        <w:trPr>
          <w:trHeight w:val="600"/>
        </w:trPr>
        <w:tc>
          <w:tcPr>
            <w:tcW w:w="2425" w:type="dxa"/>
            <w:tcBorders>
              <w:top w:val="nil"/>
              <w:left w:val="nil"/>
              <w:bottom w:val="single" w:sz="12" w:space="0" w:color="7F7F7F"/>
              <w:right w:val="nil"/>
            </w:tcBorders>
            <w:shd w:val="clear" w:color="auto" w:fill="auto"/>
            <w:vAlign w:val="center"/>
            <w:hideMark/>
          </w:tcPr>
          <w:p w:rsidR="001E08F1" w:rsidRPr="00F6064B" w:rsidRDefault="001E08F1" w:rsidP="00D07A42">
            <w:pPr>
              <w:rPr>
                <w:rFonts w:cs="Arial"/>
                <w:color w:val="7F7F7F"/>
                <w:szCs w:val="18"/>
                <w:lang w:eastAsia="en-AU"/>
              </w:rPr>
            </w:pPr>
            <w:r w:rsidRPr="00F6064B">
              <w:rPr>
                <w:rFonts w:cs="Arial"/>
                <w:color w:val="7F7F7F"/>
                <w:szCs w:val="18"/>
                <w:lang w:eastAsia="en-AU"/>
              </w:rPr>
              <w:t>Aged 20-64 not holding a Cert III or above</w:t>
            </w:r>
          </w:p>
        </w:tc>
        <w:tc>
          <w:tcPr>
            <w:tcW w:w="1134" w:type="dxa"/>
            <w:tcBorders>
              <w:top w:val="nil"/>
              <w:left w:val="nil"/>
              <w:bottom w:val="single" w:sz="12" w:space="0" w:color="7F7F7F"/>
              <w:right w:val="nil"/>
            </w:tcBorders>
            <w:shd w:val="clear" w:color="auto" w:fill="auto"/>
            <w:noWrap/>
            <w:vAlign w:val="center"/>
            <w:hideMark/>
          </w:tcPr>
          <w:p w:rsidR="001E08F1" w:rsidRPr="00F6064B" w:rsidRDefault="001E08F1" w:rsidP="00D07A42">
            <w:pPr>
              <w:jc w:val="right"/>
              <w:rPr>
                <w:rFonts w:cs="Arial"/>
                <w:color w:val="7F7F7F"/>
                <w:szCs w:val="18"/>
                <w:lang w:eastAsia="en-AU"/>
              </w:rPr>
            </w:pPr>
            <w:r w:rsidRPr="00F6064B">
              <w:rPr>
                <w:rFonts w:cs="Arial"/>
                <w:color w:val="7F7F7F"/>
                <w:szCs w:val="18"/>
                <w:lang w:eastAsia="en-AU"/>
              </w:rPr>
              <w:t>56%</w:t>
            </w:r>
          </w:p>
        </w:tc>
        <w:tc>
          <w:tcPr>
            <w:tcW w:w="1134" w:type="dxa"/>
            <w:tcBorders>
              <w:top w:val="nil"/>
              <w:left w:val="nil"/>
              <w:bottom w:val="single" w:sz="12" w:space="0" w:color="7F7F7F"/>
              <w:right w:val="nil"/>
            </w:tcBorders>
            <w:shd w:val="clear" w:color="auto" w:fill="auto"/>
            <w:noWrap/>
            <w:vAlign w:val="center"/>
            <w:hideMark/>
          </w:tcPr>
          <w:p w:rsidR="001E08F1" w:rsidRPr="00F6064B" w:rsidRDefault="001E08F1" w:rsidP="00D07A42">
            <w:pPr>
              <w:jc w:val="right"/>
              <w:rPr>
                <w:rFonts w:cs="Arial"/>
                <w:color w:val="7F7F7F"/>
                <w:szCs w:val="18"/>
                <w:lang w:eastAsia="en-AU"/>
              </w:rPr>
            </w:pPr>
            <w:r w:rsidRPr="00F6064B">
              <w:rPr>
                <w:rFonts w:cs="Arial"/>
                <w:color w:val="7F7F7F"/>
                <w:szCs w:val="18"/>
                <w:lang w:eastAsia="en-AU"/>
              </w:rPr>
              <w:t>15%</w:t>
            </w:r>
          </w:p>
        </w:tc>
        <w:tc>
          <w:tcPr>
            <w:tcW w:w="1134" w:type="dxa"/>
            <w:tcBorders>
              <w:top w:val="nil"/>
              <w:left w:val="nil"/>
              <w:bottom w:val="single" w:sz="12" w:space="0" w:color="7F7F7F"/>
              <w:right w:val="nil"/>
            </w:tcBorders>
            <w:shd w:val="clear" w:color="auto" w:fill="auto"/>
            <w:noWrap/>
            <w:vAlign w:val="center"/>
            <w:hideMark/>
          </w:tcPr>
          <w:p w:rsidR="001E08F1" w:rsidRPr="00F6064B" w:rsidRDefault="001E08F1" w:rsidP="00D07A42">
            <w:pPr>
              <w:jc w:val="right"/>
              <w:rPr>
                <w:rFonts w:cs="Arial"/>
                <w:color w:val="7F7F7F"/>
                <w:szCs w:val="18"/>
                <w:lang w:eastAsia="en-AU"/>
              </w:rPr>
            </w:pPr>
            <w:r w:rsidRPr="00F6064B">
              <w:rPr>
                <w:rFonts w:cs="Arial"/>
                <w:color w:val="7F7F7F"/>
                <w:szCs w:val="18"/>
                <w:lang w:eastAsia="en-AU"/>
              </w:rPr>
              <w:t>-18%</w:t>
            </w:r>
          </w:p>
        </w:tc>
        <w:tc>
          <w:tcPr>
            <w:tcW w:w="1134" w:type="dxa"/>
            <w:tcBorders>
              <w:top w:val="nil"/>
              <w:left w:val="nil"/>
              <w:bottom w:val="single" w:sz="12" w:space="0" w:color="7F7F7F"/>
              <w:right w:val="nil"/>
            </w:tcBorders>
            <w:shd w:val="clear" w:color="auto" w:fill="auto"/>
            <w:noWrap/>
            <w:vAlign w:val="center"/>
            <w:hideMark/>
          </w:tcPr>
          <w:p w:rsidR="001E08F1" w:rsidRPr="00F6064B" w:rsidRDefault="001E08F1" w:rsidP="00D07A42">
            <w:pPr>
              <w:jc w:val="right"/>
              <w:rPr>
                <w:rFonts w:cs="Arial"/>
                <w:color w:val="7F7F7F"/>
                <w:szCs w:val="18"/>
                <w:lang w:eastAsia="en-AU"/>
              </w:rPr>
            </w:pPr>
            <w:r w:rsidRPr="00F6064B">
              <w:rPr>
                <w:rFonts w:cs="Arial"/>
                <w:color w:val="7F7F7F"/>
                <w:szCs w:val="18"/>
                <w:lang w:eastAsia="en-AU"/>
              </w:rPr>
              <w:t>-7%</w:t>
            </w:r>
          </w:p>
        </w:tc>
        <w:tc>
          <w:tcPr>
            <w:tcW w:w="1134" w:type="dxa"/>
            <w:tcBorders>
              <w:top w:val="nil"/>
              <w:left w:val="nil"/>
              <w:bottom w:val="single" w:sz="12" w:space="0" w:color="7F7F7F"/>
              <w:right w:val="nil"/>
            </w:tcBorders>
            <w:shd w:val="clear" w:color="auto" w:fill="auto"/>
            <w:noWrap/>
            <w:vAlign w:val="center"/>
            <w:hideMark/>
          </w:tcPr>
          <w:p w:rsidR="001E08F1" w:rsidRPr="007A44D3" w:rsidRDefault="001E08F1" w:rsidP="00D07A42">
            <w:pPr>
              <w:jc w:val="right"/>
              <w:rPr>
                <w:rFonts w:cs="Arial"/>
                <w:color w:val="7F7F7F"/>
                <w:szCs w:val="18"/>
                <w:lang w:eastAsia="en-AU"/>
              </w:rPr>
            </w:pPr>
            <w:r w:rsidRPr="00F6064B">
              <w:rPr>
                <w:rFonts w:cs="Arial"/>
                <w:color w:val="7F7F7F"/>
                <w:szCs w:val="18"/>
                <w:lang w:eastAsia="en-AU"/>
              </w:rPr>
              <w:t>-11%</w:t>
            </w:r>
          </w:p>
        </w:tc>
      </w:tr>
    </w:tbl>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4A0" w:firstRow="1" w:lastRow="0" w:firstColumn="1" w:lastColumn="0" w:noHBand="0" w:noVBand="1"/>
      </w:tblPr>
      <w:tblGrid>
        <w:gridCol w:w="431"/>
        <w:gridCol w:w="7649"/>
      </w:tblGrid>
      <w:tr w:rsidR="001E08F1" w:rsidRPr="00913551" w:rsidTr="00D07A42">
        <w:tc>
          <w:tcPr>
            <w:tcW w:w="431" w:type="dxa"/>
            <w:tcMar>
              <w:left w:w="0" w:type="dxa"/>
              <w:right w:w="28" w:type="dxa"/>
            </w:tcMar>
          </w:tcPr>
          <w:p w:rsidR="001E08F1" w:rsidRPr="00913551" w:rsidRDefault="001E08F1" w:rsidP="00D07A42">
            <w:pPr>
              <w:spacing w:after="0" w:line="240" w:lineRule="auto"/>
              <w:jc w:val="right"/>
              <w:rPr>
                <w:color w:val="7F7F7F" w:themeColor="text2"/>
                <w:sz w:val="16"/>
                <w:szCs w:val="16"/>
              </w:rPr>
            </w:pPr>
            <w:r w:rsidRPr="00913551">
              <w:rPr>
                <w:color w:val="7F7F7F" w:themeColor="text2"/>
                <w:sz w:val="16"/>
                <w:szCs w:val="16"/>
              </w:rPr>
              <w:t xml:space="preserve">* </w:t>
            </w:r>
          </w:p>
        </w:tc>
        <w:tc>
          <w:tcPr>
            <w:tcW w:w="7649" w:type="dxa"/>
            <w:tcMar>
              <w:left w:w="0" w:type="dxa"/>
              <w:right w:w="28" w:type="dxa"/>
            </w:tcMar>
          </w:tcPr>
          <w:p w:rsidR="001E08F1" w:rsidRPr="00913551" w:rsidRDefault="001E08F1" w:rsidP="00D07A42">
            <w:pPr>
              <w:spacing w:after="0" w:line="240" w:lineRule="auto"/>
              <w:rPr>
                <w:i/>
                <w:color w:val="7F7F7F" w:themeColor="text2"/>
                <w:sz w:val="16"/>
                <w:szCs w:val="16"/>
              </w:rPr>
            </w:pPr>
            <w:r w:rsidRPr="00913551">
              <w:rPr>
                <w:i/>
                <w:sz w:val="16"/>
                <w:szCs w:val="16"/>
              </w:rPr>
              <w:t>The above groups of students are not mutually exclusive.</w:t>
            </w:r>
          </w:p>
        </w:tc>
      </w:tr>
    </w:tbl>
    <w:p w:rsidR="001E08F1" w:rsidRDefault="001E08F1" w:rsidP="001E08F1"/>
    <w:p w:rsidR="001E08F1" w:rsidRDefault="001E08F1" w:rsidP="001E08F1"/>
    <w:p w:rsidR="001E08F1" w:rsidRPr="00DE7971" w:rsidRDefault="001E08F1" w:rsidP="001E08F1">
      <w:pPr>
        <w:pStyle w:val="Heading3"/>
        <w:spacing w:before="120" w:after="120"/>
        <w:rPr>
          <w:color w:val="7F7F7F" w:themeColor="text2"/>
        </w:rPr>
      </w:pPr>
      <w:r w:rsidRPr="00DE7971">
        <w:rPr>
          <w:color w:val="7F7F7F" w:themeColor="text2"/>
        </w:rPr>
        <w:t>Students undertaking Government Subsidised Accredited Training</w:t>
      </w: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1E08F1" w:rsidTr="00D07A42">
        <w:tc>
          <w:tcPr>
            <w:tcW w:w="1134" w:type="dxa"/>
            <w:tcMar>
              <w:left w:w="0" w:type="dxa"/>
              <w:right w:w="0" w:type="dxa"/>
            </w:tcMar>
          </w:tcPr>
          <w:p w:rsidR="001E08F1" w:rsidRDefault="00AF3E67" w:rsidP="00D07A42">
            <w:pPr>
              <w:pStyle w:val="Quote"/>
              <w:tabs>
                <w:tab w:val="left" w:pos="1134"/>
              </w:tabs>
              <w:rPr>
                <w:b w:val="0"/>
                <w:color w:val="B41F22" w:themeColor="accent1"/>
              </w:rPr>
            </w:pPr>
            <w:r>
              <w:rPr>
                <w:b w:val="0"/>
                <w:color w:val="B41F22" w:themeColor="accent1"/>
              </w:rPr>
              <w:t>Table 2</w:t>
            </w:r>
            <w:r w:rsidR="001E08F1">
              <w:rPr>
                <w:b w:val="0"/>
                <w:color w:val="B41F22" w:themeColor="accent1"/>
              </w:rPr>
              <w:t>.2.1:</w:t>
            </w:r>
          </w:p>
        </w:tc>
        <w:tc>
          <w:tcPr>
            <w:tcW w:w="6946" w:type="dxa"/>
            <w:tcMar>
              <w:left w:w="0" w:type="dxa"/>
              <w:right w:w="0" w:type="dxa"/>
            </w:tcMar>
          </w:tcPr>
          <w:p w:rsidR="001E08F1" w:rsidRDefault="001E08F1" w:rsidP="00D07A42">
            <w:pPr>
              <w:pStyle w:val="Quote"/>
              <w:tabs>
                <w:tab w:val="left" w:pos="1134"/>
              </w:tabs>
              <w:rPr>
                <w:b w:val="0"/>
                <w:color w:val="B41F22" w:themeColor="accent1"/>
              </w:rPr>
            </w:pPr>
            <w:r w:rsidRPr="007A44D3">
              <w:rPr>
                <w:b w:val="0"/>
                <w:color w:val="B41F22" w:themeColor="accent1"/>
              </w:rPr>
              <w:t>Students enrolled in government subsidised accredited training by selected learner groups*, 2010 to 2015 (half year)</w:t>
            </w:r>
          </w:p>
        </w:tc>
      </w:tr>
    </w:tbl>
    <w:tbl>
      <w:tblPr>
        <w:tblW w:w="8095" w:type="dxa"/>
        <w:tblInd w:w="93" w:type="dxa"/>
        <w:tblLayout w:type="fixed"/>
        <w:tblLook w:val="04A0" w:firstRow="1" w:lastRow="0" w:firstColumn="1" w:lastColumn="0" w:noHBand="0" w:noVBand="1"/>
      </w:tblPr>
      <w:tblGrid>
        <w:gridCol w:w="2283"/>
        <w:gridCol w:w="968"/>
        <w:gridCol w:w="969"/>
        <w:gridCol w:w="969"/>
        <w:gridCol w:w="968"/>
        <w:gridCol w:w="969"/>
        <w:gridCol w:w="969"/>
      </w:tblGrid>
      <w:tr w:rsidR="001E08F1" w:rsidRPr="007A44D3" w:rsidTr="00D07A42">
        <w:trPr>
          <w:trHeight w:val="300"/>
        </w:trPr>
        <w:tc>
          <w:tcPr>
            <w:tcW w:w="2283" w:type="dxa"/>
            <w:tcBorders>
              <w:top w:val="nil"/>
              <w:left w:val="nil"/>
              <w:bottom w:val="nil"/>
              <w:right w:val="nil"/>
            </w:tcBorders>
            <w:shd w:val="clear" w:color="000000" w:fill="7F7F7F"/>
            <w:noWrap/>
            <w:vAlign w:val="center"/>
            <w:hideMark/>
          </w:tcPr>
          <w:p w:rsidR="001E08F1" w:rsidRPr="007A44D3" w:rsidRDefault="001E08F1" w:rsidP="00D07A42">
            <w:pPr>
              <w:rPr>
                <w:rFonts w:cs="Arial"/>
                <w:color w:val="FFFFFF"/>
                <w:szCs w:val="18"/>
                <w:lang w:eastAsia="en-AU"/>
              </w:rPr>
            </w:pPr>
            <w:r w:rsidRPr="007A44D3">
              <w:rPr>
                <w:rFonts w:cs="Arial"/>
                <w:color w:val="FFFFFF"/>
                <w:szCs w:val="18"/>
                <w:lang w:eastAsia="en-AU"/>
              </w:rPr>
              <w:t> </w:t>
            </w:r>
          </w:p>
        </w:tc>
        <w:tc>
          <w:tcPr>
            <w:tcW w:w="968" w:type="dxa"/>
            <w:tcBorders>
              <w:top w:val="nil"/>
              <w:left w:val="nil"/>
              <w:bottom w:val="nil"/>
              <w:right w:val="nil"/>
            </w:tcBorders>
            <w:shd w:val="clear" w:color="000000" w:fill="7F7F7F"/>
            <w:noWrap/>
            <w:vAlign w:val="center"/>
            <w:hideMark/>
          </w:tcPr>
          <w:p w:rsidR="001E08F1" w:rsidRPr="007A44D3" w:rsidRDefault="001E08F1" w:rsidP="00D07A42">
            <w:pPr>
              <w:jc w:val="right"/>
              <w:rPr>
                <w:rFonts w:cs="Arial"/>
                <w:b/>
                <w:bCs/>
                <w:color w:val="FFFFFF"/>
                <w:szCs w:val="18"/>
                <w:lang w:eastAsia="en-AU"/>
              </w:rPr>
            </w:pPr>
            <w:r w:rsidRPr="007A44D3">
              <w:rPr>
                <w:rFonts w:cs="Arial"/>
                <w:b/>
                <w:bCs/>
                <w:color w:val="FFFFFF"/>
                <w:szCs w:val="18"/>
                <w:lang w:eastAsia="en-AU"/>
              </w:rPr>
              <w:t>2010</w:t>
            </w:r>
          </w:p>
        </w:tc>
        <w:tc>
          <w:tcPr>
            <w:tcW w:w="969" w:type="dxa"/>
            <w:tcBorders>
              <w:top w:val="nil"/>
              <w:left w:val="nil"/>
              <w:bottom w:val="nil"/>
              <w:right w:val="nil"/>
            </w:tcBorders>
            <w:shd w:val="clear" w:color="000000" w:fill="7F7F7F"/>
            <w:noWrap/>
            <w:vAlign w:val="center"/>
            <w:hideMark/>
          </w:tcPr>
          <w:p w:rsidR="001E08F1" w:rsidRPr="007A44D3" w:rsidRDefault="001E08F1" w:rsidP="00D07A42">
            <w:pPr>
              <w:jc w:val="right"/>
              <w:rPr>
                <w:rFonts w:cs="Arial"/>
                <w:b/>
                <w:bCs/>
                <w:color w:val="FFFFFF"/>
                <w:szCs w:val="18"/>
                <w:lang w:eastAsia="en-AU"/>
              </w:rPr>
            </w:pPr>
            <w:r w:rsidRPr="007A44D3">
              <w:rPr>
                <w:rFonts w:cs="Arial"/>
                <w:b/>
                <w:bCs/>
                <w:color w:val="FFFFFF"/>
                <w:szCs w:val="18"/>
                <w:lang w:eastAsia="en-AU"/>
              </w:rPr>
              <w:t>2011</w:t>
            </w:r>
          </w:p>
        </w:tc>
        <w:tc>
          <w:tcPr>
            <w:tcW w:w="969" w:type="dxa"/>
            <w:tcBorders>
              <w:top w:val="nil"/>
              <w:left w:val="nil"/>
              <w:bottom w:val="nil"/>
              <w:right w:val="nil"/>
            </w:tcBorders>
            <w:shd w:val="clear" w:color="000000" w:fill="7F7F7F"/>
            <w:noWrap/>
            <w:vAlign w:val="center"/>
            <w:hideMark/>
          </w:tcPr>
          <w:p w:rsidR="001E08F1" w:rsidRPr="007A44D3" w:rsidRDefault="001E08F1" w:rsidP="00D07A42">
            <w:pPr>
              <w:jc w:val="right"/>
              <w:rPr>
                <w:rFonts w:cs="Arial"/>
                <w:b/>
                <w:bCs/>
                <w:color w:val="FFFFFF"/>
                <w:szCs w:val="18"/>
                <w:lang w:eastAsia="en-AU"/>
              </w:rPr>
            </w:pPr>
            <w:r w:rsidRPr="007A44D3">
              <w:rPr>
                <w:rFonts w:cs="Arial"/>
                <w:b/>
                <w:bCs/>
                <w:color w:val="FFFFFF"/>
                <w:szCs w:val="18"/>
                <w:lang w:eastAsia="en-AU"/>
              </w:rPr>
              <w:t>2012</w:t>
            </w:r>
          </w:p>
        </w:tc>
        <w:tc>
          <w:tcPr>
            <w:tcW w:w="968" w:type="dxa"/>
            <w:tcBorders>
              <w:top w:val="nil"/>
              <w:left w:val="nil"/>
              <w:bottom w:val="nil"/>
              <w:right w:val="nil"/>
            </w:tcBorders>
            <w:shd w:val="clear" w:color="000000" w:fill="7F7F7F"/>
            <w:noWrap/>
            <w:vAlign w:val="center"/>
            <w:hideMark/>
          </w:tcPr>
          <w:p w:rsidR="001E08F1" w:rsidRPr="007A44D3" w:rsidRDefault="001E08F1" w:rsidP="00D07A42">
            <w:pPr>
              <w:jc w:val="right"/>
              <w:rPr>
                <w:rFonts w:cs="Arial"/>
                <w:b/>
                <w:bCs/>
                <w:color w:val="FFFFFF"/>
                <w:szCs w:val="18"/>
                <w:lang w:eastAsia="en-AU"/>
              </w:rPr>
            </w:pPr>
            <w:r w:rsidRPr="007A44D3">
              <w:rPr>
                <w:rFonts w:cs="Arial"/>
                <w:b/>
                <w:bCs/>
                <w:color w:val="FFFFFF"/>
                <w:szCs w:val="18"/>
                <w:lang w:eastAsia="en-AU"/>
              </w:rPr>
              <w:t>2013</w:t>
            </w:r>
          </w:p>
        </w:tc>
        <w:tc>
          <w:tcPr>
            <w:tcW w:w="969" w:type="dxa"/>
            <w:tcBorders>
              <w:top w:val="nil"/>
              <w:left w:val="nil"/>
              <w:bottom w:val="nil"/>
              <w:right w:val="nil"/>
            </w:tcBorders>
            <w:shd w:val="clear" w:color="000000" w:fill="7F7F7F"/>
            <w:noWrap/>
            <w:vAlign w:val="center"/>
            <w:hideMark/>
          </w:tcPr>
          <w:p w:rsidR="001E08F1" w:rsidRPr="007A44D3" w:rsidRDefault="001E08F1" w:rsidP="00D07A42">
            <w:pPr>
              <w:jc w:val="right"/>
              <w:rPr>
                <w:rFonts w:cs="Arial"/>
                <w:b/>
                <w:bCs/>
                <w:color w:val="FFFFFF"/>
                <w:szCs w:val="18"/>
                <w:lang w:eastAsia="en-AU"/>
              </w:rPr>
            </w:pPr>
            <w:r w:rsidRPr="007A44D3">
              <w:rPr>
                <w:rFonts w:cs="Arial"/>
                <w:b/>
                <w:bCs/>
                <w:color w:val="FFFFFF"/>
                <w:szCs w:val="18"/>
                <w:lang w:eastAsia="en-AU"/>
              </w:rPr>
              <w:t>2014</w:t>
            </w:r>
          </w:p>
        </w:tc>
        <w:tc>
          <w:tcPr>
            <w:tcW w:w="969" w:type="dxa"/>
            <w:tcBorders>
              <w:top w:val="nil"/>
              <w:left w:val="nil"/>
              <w:bottom w:val="nil"/>
              <w:right w:val="nil"/>
            </w:tcBorders>
            <w:shd w:val="clear" w:color="000000" w:fill="7F7F7F"/>
            <w:noWrap/>
            <w:vAlign w:val="center"/>
            <w:hideMark/>
          </w:tcPr>
          <w:p w:rsidR="001E08F1" w:rsidRPr="007A44D3" w:rsidRDefault="001E08F1" w:rsidP="00D07A42">
            <w:pPr>
              <w:jc w:val="right"/>
              <w:rPr>
                <w:rFonts w:cs="Arial"/>
                <w:b/>
                <w:bCs/>
                <w:color w:val="FFFFFF"/>
                <w:szCs w:val="18"/>
                <w:lang w:eastAsia="en-AU"/>
              </w:rPr>
            </w:pPr>
            <w:r w:rsidRPr="007A44D3">
              <w:rPr>
                <w:rFonts w:cs="Arial"/>
                <w:b/>
                <w:bCs/>
                <w:color w:val="FFFFFF"/>
                <w:szCs w:val="18"/>
                <w:lang w:eastAsia="en-AU"/>
              </w:rPr>
              <w:t>2015</w:t>
            </w:r>
          </w:p>
        </w:tc>
      </w:tr>
      <w:tr w:rsidR="001E08F1" w:rsidRPr="007A44D3" w:rsidTr="00D07A42">
        <w:trPr>
          <w:trHeight w:val="300"/>
        </w:trPr>
        <w:tc>
          <w:tcPr>
            <w:tcW w:w="2283" w:type="dxa"/>
            <w:tcBorders>
              <w:top w:val="nil"/>
              <w:left w:val="nil"/>
              <w:bottom w:val="nil"/>
              <w:right w:val="nil"/>
            </w:tcBorders>
            <w:shd w:val="clear" w:color="auto" w:fill="auto"/>
            <w:noWrap/>
            <w:vAlign w:val="center"/>
            <w:hideMark/>
          </w:tcPr>
          <w:p w:rsidR="001E08F1" w:rsidRPr="007A44D3" w:rsidRDefault="001E08F1" w:rsidP="00D07A42">
            <w:pPr>
              <w:rPr>
                <w:rFonts w:cs="Arial"/>
                <w:color w:val="7F7F7F"/>
                <w:szCs w:val="18"/>
                <w:lang w:eastAsia="en-AU"/>
              </w:rPr>
            </w:pPr>
            <w:r w:rsidRPr="007A44D3">
              <w:rPr>
                <w:rFonts w:cs="Arial"/>
                <w:color w:val="7F7F7F"/>
                <w:szCs w:val="18"/>
                <w:lang w:eastAsia="en-AU"/>
              </w:rPr>
              <w:t>Indigenous</w:t>
            </w:r>
          </w:p>
        </w:tc>
        <w:tc>
          <w:tcPr>
            <w:tcW w:w="968" w:type="dxa"/>
            <w:tcBorders>
              <w:top w:val="nil"/>
              <w:left w:val="nil"/>
              <w:bottom w:val="nil"/>
              <w:right w:val="nil"/>
            </w:tcBorders>
            <w:shd w:val="clear" w:color="auto" w:fill="auto"/>
            <w:noWrap/>
            <w:vAlign w:val="center"/>
            <w:hideMark/>
          </w:tcPr>
          <w:p w:rsidR="001E08F1" w:rsidRPr="007A44D3" w:rsidRDefault="001E08F1" w:rsidP="00D07A42">
            <w:pPr>
              <w:jc w:val="right"/>
              <w:rPr>
                <w:rFonts w:cs="Arial"/>
                <w:color w:val="7F7F7F"/>
                <w:szCs w:val="18"/>
                <w:lang w:eastAsia="en-AU"/>
              </w:rPr>
            </w:pPr>
            <w:r w:rsidRPr="007A44D3">
              <w:rPr>
                <w:rFonts w:cs="Arial"/>
                <w:color w:val="7F7F7F"/>
                <w:szCs w:val="18"/>
                <w:lang w:eastAsia="en-AU"/>
              </w:rPr>
              <w:t>2,829</w:t>
            </w:r>
          </w:p>
        </w:tc>
        <w:tc>
          <w:tcPr>
            <w:tcW w:w="969" w:type="dxa"/>
            <w:tcBorders>
              <w:top w:val="nil"/>
              <w:left w:val="nil"/>
              <w:bottom w:val="nil"/>
              <w:right w:val="nil"/>
            </w:tcBorders>
            <w:shd w:val="clear" w:color="auto" w:fill="auto"/>
            <w:noWrap/>
            <w:vAlign w:val="center"/>
            <w:hideMark/>
          </w:tcPr>
          <w:p w:rsidR="001E08F1" w:rsidRPr="007A44D3" w:rsidRDefault="001E08F1" w:rsidP="00D07A42">
            <w:pPr>
              <w:jc w:val="right"/>
              <w:rPr>
                <w:rFonts w:cs="Arial"/>
                <w:color w:val="7F7F7F"/>
                <w:szCs w:val="18"/>
                <w:lang w:eastAsia="en-AU"/>
              </w:rPr>
            </w:pPr>
            <w:r w:rsidRPr="007A44D3">
              <w:rPr>
                <w:rFonts w:cs="Arial"/>
                <w:color w:val="7F7F7F"/>
                <w:szCs w:val="18"/>
                <w:lang w:eastAsia="en-AU"/>
              </w:rPr>
              <w:t>3,379</w:t>
            </w:r>
          </w:p>
        </w:tc>
        <w:tc>
          <w:tcPr>
            <w:tcW w:w="969" w:type="dxa"/>
            <w:tcBorders>
              <w:top w:val="nil"/>
              <w:left w:val="nil"/>
              <w:bottom w:val="nil"/>
              <w:right w:val="nil"/>
            </w:tcBorders>
            <w:shd w:val="clear" w:color="auto" w:fill="auto"/>
            <w:noWrap/>
            <w:vAlign w:val="center"/>
            <w:hideMark/>
          </w:tcPr>
          <w:p w:rsidR="001E08F1" w:rsidRPr="007A44D3" w:rsidRDefault="001E08F1" w:rsidP="00D07A42">
            <w:pPr>
              <w:jc w:val="right"/>
              <w:rPr>
                <w:rFonts w:cs="Arial"/>
                <w:color w:val="7F7F7F"/>
                <w:szCs w:val="18"/>
                <w:lang w:eastAsia="en-AU"/>
              </w:rPr>
            </w:pPr>
            <w:r w:rsidRPr="007A44D3">
              <w:rPr>
                <w:rFonts w:cs="Arial"/>
                <w:color w:val="7F7F7F"/>
                <w:szCs w:val="18"/>
                <w:lang w:eastAsia="en-AU"/>
              </w:rPr>
              <w:t>3,982</w:t>
            </w:r>
          </w:p>
        </w:tc>
        <w:tc>
          <w:tcPr>
            <w:tcW w:w="968" w:type="dxa"/>
            <w:tcBorders>
              <w:top w:val="nil"/>
              <w:left w:val="nil"/>
              <w:bottom w:val="nil"/>
              <w:right w:val="nil"/>
            </w:tcBorders>
            <w:shd w:val="clear" w:color="auto" w:fill="auto"/>
            <w:noWrap/>
            <w:vAlign w:val="center"/>
            <w:hideMark/>
          </w:tcPr>
          <w:p w:rsidR="001E08F1" w:rsidRPr="007A44D3" w:rsidRDefault="001E08F1" w:rsidP="00D07A42">
            <w:pPr>
              <w:jc w:val="right"/>
              <w:rPr>
                <w:rFonts w:cs="Arial"/>
                <w:color w:val="7F7F7F"/>
                <w:szCs w:val="18"/>
                <w:lang w:eastAsia="en-AU"/>
              </w:rPr>
            </w:pPr>
            <w:r w:rsidRPr="007A44D3">
              <w:rPr>
                <w:rFonts w:cs="Arial"/>
                <w:color w:val="7F7F7F"/>
                <w:szCs w:val="18"/>
                <w:lang w:eastAsia="en-AU"/>
              </w:rPr>
              <w:t>3,768</w:t>
            </w:r>
          </w:p>
        </w:tc>
        <w:tc>
          <w:tcPr>
            <w:tcW w:w="969" w:type="dxa"/>
            <w:tcBorders>
              <w:top w:val="nil"/>
              <w:left w:val="nil"/>
              <w:bottom w:val="nil"/>
              <w:right w:val="nil"/>
            </w:tcBorders>
            <w:shd w:val="clear" w:color="auto" w:fill="auto"/>
            <w:noWrap/>
            <w:vAlign w:val="center"/>
            <w:hideMark/>
          </w:tcPr>
          <w:p w:rsidR="001E08F1" w:rsidRPr="007A44D3" w:rsidRDefault="001E08F1" w:rsidP="00D07A42">
            <w:pPr>
              <w:jc w:val="right"/>
              <w:rPr>
                <w:rFonts w:cs="Arial"/>
                <w:color w:val="7F7F7F"/>
                <w:szCs w:val="18"/>
                <w:lang w:eastAsia="en-AU"/>
              </w:rPr>
            </w:pPr>
            <w:r w:rsidRPr="007A44D3">
              <w:rPr>
                <w:rFonts w:cs="Arial"/>
                <w:color w:val="7F7F7F"/>
                <w:szCs w:val="18"/>
                <w:lang w:eastAsia="en-AU"/>
              </w:rPr>
              <w:t>4,085</w:t>
            </w:r>
          </w:p>
        </w:tc>
        <w:tc>
          <w:tcPr>
            <w:tcW w:w="969" w:type="dxa"/>
            <w:tcBorders>
              <w:top w:val="nil"/>
              <w:left w:val="nil"/>
              <w:bottom w:val="nil"/>
              <w:right w:val="nil"/>
            </w:tcBorders>
            <w:shd w:val="clear" w:color="auto" w:fill="auto"/>
            <w:noWrap/>
            <w:vAlign w:val="center"/>
            <w:hideMark/>
          </w:tcPr>
          <w:p w:rsidR="001E08F1" w:rsidRPr="007A44D3" w:rsidRDefault="001E08F1" w:rsidP="00D07A42">
            <w:pPr>
              <w:jc w:val="right"/>
              <w:rPr>
                <w:rFonts w:cs="Arial"/>
                <w:color w:val="7F7F7F"/>
                <w:szCs w:val="18"/>
                <w:lang w:eastAsia="en-AU"/>
              </w:rPr>
            </w:pPr>
            <w:r w:rsidRPr="007A44D3">
              <w:rPr>
                <w:rFonts w:cs="Arial"/>
                <w:color w:val="7F7F7F"/>
                <w:szCs w:val="18"/>
                <w:lang w:eastAsia="en-AU"/>
              </w:rPr>
              <w:t>3,774</w:t>
            </w:r>
          </w:p>
        </w:tc>
      </w:tr>
      <w:tr w:rsidR="001E08F1" w:rsidRPr="007A44D3" w:rsidTr="00D07A42">
        <w:trPr>
          <w:trHeight w:val="300"/>
        </w:trPr>
        <w:tc>
          <w:tcPr>
            <w:tcW w:w="2283" w:type="dxa"/>
            <w:tcBorders>
              <w:top w:val="nil"/>
              <w:left w:val="nil"/>
              <w:bottom w:val="nil"/>
              <w:right w:val="nil"/>
            </w:tcBorders>
            <w:shd w:val="clear" w:color="auto" w:fill="auto"/>
            <w:noWrap/>
            <w:vAlign w:val="center"/>
            <w:hideMark/>
          </w:tcPr>
          <w:p w:rsidR="001E08F1" w:rsidRPr="007A44D3" w:rsidRDefault="001E08F1" w:rsidP="00D07A42">
            <w:pPr>
              <w:rPr>
                <w:rFonts w:cs="Arial"/>
                <w:color w:val="7F7F7F"/>
                <w:szCs w:val="18"/>
                <w:lang w:eastAsia="en-AU"/>
              </w:rPr>
            </w:pPr>
            <w:r w:rsidRPr="007A44D3">
              <w:rPr>
                <w:rFonts w:cs="Arial"/>
                <w:color w:val="7F7F7F"/>
                <w:szCs w:val="18"/>
                <w:lang w:eastAsia="en-AU"/>
              </w:rPr>
              <w:t>Student with a disability</w:t>
            </w:r>
          </w:p>
        </w:tc>
        <w:tc>
          <w:tcPr>
            <w:tcW w:w="968" w:type="dxa"/>
            <w:tcBorders>
              <w:top w:val="nil"/>
              <w:left w:val="nil"/>
              <w:bottom w:val="nil"/>
              <w:right w:val="nil"/>
            </w:tcBorders>
            <w:shd w:val="clear" w:color="auto" w:fill="auto"/>
            <w:noWrap/>
            <w:vAlign w:val="center"/>
            <w:hideMark/>
          </w:tcPr>
          <w:p w:rsidR="001E08F1" w:rsidRPr="007A44D3" w:rsidRDefault="001E08F1" w:rsidP="00D07A42">
            <w:pPr>
              <w:jc w:val="right"/>
              <w:rPr>
                <w:rFonts w:cs="Arial"/>
                <w:color w:val="7F7F7F"/>
                <w:szCs w:val="18"/>
                <w:lang w:eastAsia="en-AU"/>
              </w:rPr>
            </w:pPr>
            <w:r w:rsidRPr="007A44D3">
              <w:rPr>
                <w:rFonts w:cs="Arial"/>
                <w:color w:val="7F7F7F"/>
                <w:szCs w:val="18"/>
                <w:lang w:eastAsia="en-AU"/>
              </w:rPr>
              <w:t>16,647</w:t>
            </w:r>
          </w:p>
        </w:tc>
        <w:tc>
          <w:tcPr>
            <w:tcW w:w="969" w:type="dxa"/>
            <w:tcBorders>
              <w:top w:val="nil"/>
              <w:left w:val="nil"/>
              <w:bottom w:val="nil"/>
              <w:right w:val="nil"/>
            </w:tcBorders>
            <w:shd w:val="clear" w:color="auto" w:fill="auto"/>
            <w:noWrap/>
            <w:vAlign w:val="center"/>
            <w:hideMark/>
          </w:tcPr>
          <w:p w:rsidR="001E08F1" w:rsidRPr="007A44D3" w:rsidRDefault="001E08F1" w:rsidP="00D07A42">
            <w:pPr>
              <w:jc w:val="right"/>
              <w:rPr>
                <w:rFonts w:cs="Arial"/>
                <w:color w:val="7F7F7F"/>
                <w:szCs w:val="18"/>
                <w:lang w:eastAsia="en-AU"/>
              </w:rPr>
            </w:pPr>
            <w:r w:rsidRPr="007A44D3">
              <w:rPr>
                <w:rFonts w:cs="Arial"/>
                <w:color w:val="7F7F7F"/>
                <w:szCs w:val="18"/>
                <w:lang w:eastAsia="en-AU"/>
              </w:rPr>
              <w:t>20,272</w:t>
            </w:r>
          </w:p>
        </w:tc>
        <w:tc>
          <w:tcPr>
            <w:tcW w:w="969" w:type="dxa"/>
            <w:tcBorders>
              <w:top w:val="nil"/>
              <w:left w:val="nil"/>
              <w:bottom w:val="nil"/>
              <w:right w:val="nil"/>
            </w:tcBorders>
            <w:shd w:val="clear" w:color="auto" w:fill="auto"/>
            <w:noWrap/>
            <w:vAlign w:val="center"/>
            <w:hideMark/>
          </w:tcPr>
          <w:p w:rsidR="001E08F1" w:rsidRPr="007A44D3" w:rsidRDefault="001E08F1" w:rsidP="00D07A42">
            <w:pPr>
              <w:jc w:val="right"/>
              <w:rPr>
                <w:rFonts w:cs="Arial"/>
                <w:color w:val="7F7F7F"/>
                <w:szCs w:val="18"/>
                <w:lang w:eastAsia="en-AU"/>
              </w:rPr>
            </w:pPr>
            <w:r w:rsidRPr="007A44D3">
              <w:rPr>
                <w:rFonts w:cs="Arial"/>
                <w:color w:val="7F7F7F"/>
                <w:szCs w:val="18"/>
                <w:lang w:eastAsia="en-AU"/>
              </w:rPr>
              <w:t>25,064</w:t>
            </w:r>
          </w:p>
        </w:tc>
        <w:tc>
          <w:tcPr>
            <w:tcW w:w="968" w:type="dxa"/>
            <w:tcBorders>
              <w:top w:val="nil"/>
              <w:left w:val="nil"/>
              <w:bottom w:val="nil"/>
              <w:right w:val="nil"/>
            </w:tcBorders>
            <w:shd w:val="clear" w:color="auto" w:fill="auto"/>
            <w:noWrap/>
            <w:vAlign w:val="center"/>
            <w:hideMark/>
          </w:tcPr>
          <w:p w:rsidR="001E08F1" w:rsidRPr="007A44D3" w:rsidRDefault="001E08F1" w:rsidP="00D07A42">
            <w:pPr>
              <w:jc w:val="right"/>
              <w:rPr>
                <w:rFonts w:cs="Arial"/>
                <w:color w:val="7F7F7F"/>
                <w:szCs w:val="18"/>
                <w:lang w:eastAsia="en-AU"/>
              </w:rPr>
            </w:pPr>
            <w:r w:rsidRPr="007A44D3">
              <w:rPr>
                <w:rFonts w:cs="Arial"/>
                <w:color w:val="7F7F7F"/>
                <w:szCs w:val="18"/>
                <w:lang w:eastAsia="en-AU"/>
              </w:rPr>
              <w:t>23,789</w:t>
            </w:r>
          </w:p>
        </w:tc>
        <w:tc>
          <w:tcPr>
            <w:tcW w:w="969" w:type="dxa"/>
            <w:tcBorders>
              <w:top w:val="nil"/>
              <w:left w:val="nil"/>
              <w:bottom w:val="nil"/>
              <w:right w:val="nil"/>
            </w:tcBorders>
            <w:shd w:val="clear" w:color="auto" w:fill="auto"/>
            <w:noWrap/>
            <w:vAlign w:val="center"/>
            <w:hideMark/>
          </w:tcPr>
          <w:p w:rsidR="001E08F1" w:rsidRPr="007A44D3" w:rsidRDefault="001E08F1" w:rsidP="00D07A42">
            <w:pPr>
              <w:jc w:val="right"/>
              <w:rPr>
                <w:rFonts w:cs="Arial"/>
                <w:color w:val="7F7F7F"/>
                <w:szCs w:val="18"/>
                <w:lang w:eastAsia="en-AU"/>
              </w:rPr>
            </w:pPr>
            <w:r w:rsidRPr="007A44D3">
              <w:rPr>
                <w:rFonts w:cs="Arial"/>
                <w:color w:val="7F7F7F"/>
                <w:szCs w:val="18"/>
                <w:lang w:eastAsia="en-AU"/>
              </w:rPr>
              <w:t>25,455</w:t>
            </w:r>
          </w:p>
        </w:tc>
        <w:tc>
          <w:tcPr>
            <w:tcW w:w="969" w:type="dxa"/>
            <w:tcBorders>
              <w:top w:val="nil"/>
              <w:left w:val="nil"/>
              <w:bottom w:val="nil"/>
              <w:right w:val="nil"/>
            </w:tcBorders>
            <w:shd w:val="clear" w:color="auto" w:fill="auto"/>
            <w:noWrap/>
            <w:vAlign w:val="center"/>
            <w:hideMark/>
          </w:tcPr>
          <w:p w:rsidR="001E08F1" w:rsidRPr="007A44D3" w:rsidRDefault="001E08F1" w:rsidP="00D07A42">
            <w:pPr>
              <w:jc w:val="right"/>
              <w:rPr>
                <w:rFonts w:cs="Arial"/>
                <w:color w:val="7F7F7F"/>
                <w:szCs w:val="18"/>
                <w:lang w:eastAsia="en-AU"/>
              </w:rPr>
            </w:pPr>
            <w:r w:rsidRPr="007A44D3">
              <w:rPr>
                <w:rFonts w:cs="Arial"/>
                <w:color w:val="7F7F7F"/>
                <w:szCs w:val="18"/>
                <w:lang w:eastAsia="en-AU"/>
              </w:rPr>
              <w:t>23,787</w:t>
            </w:r>
          </w:p>
        </w:tc>
      </w:tr>
      <w:tr w:rsidR="001E08F1" w:rsidRPr="007A44D3" w:rsidTr="00D07A42">
        <w:trPr>
          <w:trHeight w:val="300"/>
        </w:trPr>
        <w:tc>
          <w:tcPr>
            <w:tcW w:w="2283" w:type="dxa"/>
            <w:tcBorders>
              <w:top w:val="nil"/>
              <w:left w:val="nil"/>
              <w:bottom w:val="nil"/>
              <w:right w:val="nil"/>
            </w:tcBorders>
            <w:shd w:val="clear" w:color="auto" w:fill="auto"/>
            <w:noWrap/>
            <w:vAlign w:val="center"/>
            <w:hideMark/>
          </w:tcPr>
          <w:p w:rsidR="001E08F1" w:rsidRPr="007A44D3" w:rsidRDefault="001E08F1" w:rsidP="00D07A42">
            <w:pPr>
              <w:rPr>
                <w:rFonts w:cs="Arial"/>
                <w:color w:val="7F7F7F"/>
                <w:szCs w:val="18"/>
                <w:lang w:eastAsia="en-AU"/>
              </w:rPr>
            </w:pPr>
            <w:r w:rsidRPr="007A44D3">
              <w:rPr>
                <w:rFonts w:cs="Arial"/>
                <w:color w:val="7F7F7F"/>
                <w:szCs w:val="18"/>
                <w:lang w:eastAsia="en-AU"/>
              </w:rPr>
              <w:t>CALD</w:t>
            </w:r>
          </w:p>
        </w:tc>
        <w:tc>
          <w:tcPr>
            <w:tcW w:w="968" w:type="dxa"/>
            <w:tcBorders>
              <w:top w:val="nil"/>
              <w:left w:val="nil"/>
              <w:bottom w:val="nil"/>
              <w:right w:val="nil"/>
            </w:tcBorders>
            <w:shd w:val="clear" w:color="auto" w:fill="auto"/>
            <w:noWrap/>
            <w:vAlign w:val="center"/>
            <w:hideMark/>
          </w:tcPr>
          <w:p w:rsidR="001E08F1" w:rsidRPr="007A44D3" w:rsidRDefault="001E08F1" w:rsidP="00D07A42">
            <w:pPr>
              <w:jc w:val="right"/>
              <w:rPr>
                <w:rFonts w:cs="Arial"/>
                <w:color w:val="7F7F7F"/>
                <w:szCs w:val="18"/>
                <w:lang w:eastAsia="en-AU"/>
              </w:rPr>
            </w:pPr>
            <w:r w:rsidRPr="007A44D3">
              <w:rPr>
                <w:rFonts w:cs="Arial"/>
                <w:color w:val="7F7F7F"/>
                <w:szCs w:val="18"/>
                <w:lang w:eastAsia="en-AU"/>
              </w:rPr>
              <w:t>43,442</w:t>
            </w:r>
          </w:p>
        </w:tc>
        <w:tc>
          <w:tcPr>
            <w:tcW w:w="969" w:type="dxa"/>
            <w:tcBorders>
              <w:top w:val="nil"/>
              <w:left w:val="nil"/>
              <w:bottom w:val="nil"/>
              <w:right w:val="nil"/>
            </w:tcBorders>
            <w:shd w:val="clear" w:color="auto" w:fill="auto"/>
            <w:noWrap/>
            <w:vAlign w:val="center"/>
            <w:hideMark/>
          </w:tcPr>
          <w:p w:rsidR="001E08F1" w:rsidRPr="007A44D3" w:rsidRDefault="001E08F1" w:rsidP="00D07A42">
            <w:pPr>
              <w:jc w:val="right"/>
              <w:rPr>
                <w:rFonts w:cs="Arial"/>
                <w:color w:val="7F7F7F"/>
                <w:szCs w:val="18"/>
                <w:lang w:eastAsia="en-AU"/>
              </w:rPr>
            </w:pPr>
            <w:r w:rsidRPr="007A44D3">
              <w:rPr>
                <w:rFonts w:cs="Arial"/>
                <w:color w:val="7F7F7F"/>
                <w:szCs w:val="18"/>
                <w:lang w:eastAsia="en-AU"/>
              </w:rPr>
              <w:t>55,636</w:t>
            </w:r>
          </w:p>
        </w:tc>
        <w:tc>
          <w:tcPr>
            <w:tcW w:w="969" w:type="dxa"/>
            <w:tcBorders>
              <w:top w:val="nil"/>
              <w:left w:val="nil"/>
              <w:bottom w:val="nil"/>
              <w:right w:val="nil"/>
            </w:tcBorders>
            <w:shd w:val="clear" w:color="auto" w:fill="auto"/>
            <w:noWrap/>
            <w:vAlign w:val="center"/>
            <w:hideMark/>
          </w:tcPr>
          <w:p w:rsidR="001E08F1" w:rsidRPr="007A44D3" w:rsidRDefault="001E08F1" w:rsidP="00D07A42">
            <w:pPr>
              <w:jc w:val="right"/>
              <w:rPr>
                <w:rFonts w:cs="Arial"/>
                <w:color w:val="7F7F7F"/>
                <w:szCs w:val="18"/>
                <w:lang w:eastAsia="en-AU"/>
              </w:rPr>
            </w:pPr>
            <w:r w:rsidRPr="007A44D3">
              <w:rPr>
                <w:rFonts w:cs="Arial"/>
                <w:color w:val="7F7F7F"/>
                <w:szCs w:val="18"/>
                <w:lang w:eastAsia="en-AU"/>
              </w:rPr>
              <w:t>81,524</w:t>
            </w:r>
          </w:p>
        </w:tc>
        <w:tc>
          <w:tcPr>
            <w:tcW w:w="968" w:type="dxa"/>
            <w:tcBorders>
              <w:top w:val="nil"/>
              <w:left w:val="nil"/>
              <w:bottom w:val="nil"/>
              <w:right w:val="nil"/>
            </w:tcBorders>
            <w:shd w:val="clear" w:color="auto" w:fill="auto"/>
            <w:noWrap/>
            <w:vAlign w:val="center"/>
            <w:hideMark/>
          </w:tcPr>
          <w:p w:rsidR="001E08F1" w:rsidRPr="007A44D3" w:rsidRDefault="001E08F1" w:rsidP="00D07A42">
            <w:pPr>
              <w:jc w:val="right"/>
              <w:rPr>
                <w:rFonts w:cs="Arial"/>
                <w:color w:val="7F7F7F"/>
                <w:szCs w:val="18"/>
                <w:lang w:eastAsia="en-AU"/>
              </w:rPr>
            </w:pPr>
            <w:r w:rsidRPr="007A44D3">
              <w:rPr>
                <w:rFonts w:cs="Arial"/>
                <w:color w:val="7F7F7F"/>
                <w:szCs w:val="18"/>
                <w:lang w:eastAsia="en-AU"/>
              </w:rPr>
              <w:t>79,008</w:t>
            </w:r>
          </w:p>
        </w:tc>
        <w:tc>
          <w:tcPr>
            <w:tcW w:w="969" w:type="dxa"/>
            <w:tcBorders>
              <w:top w:val="nil"/>
              <w:left w:val="nil"/>
              <w:bottom w:val="nil"/>
              <w:right w:val="nil"/>
            </w:tcBorders>
            <w:shd w:val="clear" w:color="auto" w:fill="auto"/>
            <w:noWrap/>
            <w:vAlign w:val="center"/>
            <w:hideMark/>
          </w:tcPr>
          <w:p w:rsidR="001E08F1" w:rsidRPr="007A44D3" w:rsidRDefault="001E08F1" w:rsidP="00D07A42">
            <w:pPr>
              <w:jc w:val="right"/>
              <w:rPr>
                <w:rFonts w:cs="Arial"/>
                <w:color w:val="7F7F7F"/>
                <w:szCs w:val="18"/>
                <w:lang w:eastAsia="en-AU"/>
              </w:rPr>
            </w:pPr>
            <w:r w:rsidRPr="007A44D3">
              <w:rPr>
                <w:rFonts w:cs="Arial"/>
                <w:color w:val="7F7F7F"/>
                <w:szCs w:val="18"/>
                <w:lang w:eastAsia="en-AU"/>
              </w:rPr>
              <w:t>90,803</w:t>
            </w:r>
          </w:p>
        </w:tc>
        <w:tc>
          <w:tcPr>
            <w:tcW w:w="969" w:type="dxa"/>
            <w:tcBorders>
              <w:top w:val="nil"/>
              <w:left w:val="nil"/>
              <w:bottom w:val="nil"/>
              <w:right w:val="nil"/>
            </w:tcBorders>
            <w:shd w:val="clear" w:color="auto" w:fill="auto"/>
            <w:noWrap/>
            <w:vAlign w:val="center"/>
            <w:hideMark/>
          </w:tcPr>
          <w:p w:rsidR="001E08F1" w:rsidRPr="007A44D3" w:rsidRDefault="001E08F1" w:rsidP="00D07A42">
            <w:pPr>
              <w:jc w:val="right"/>
              <w:rPr>
                <w:rFonts w:cs="Arial"/>
                <w:color w:val="7F7F7F"/>
                <w:szCs w:val="18"/>
                <w:lang w:eastAsia="en-AU"/>
              </w:rPr>
            </w:pPr>
            <w:r w:rsidRPr="007A44D3">
              <w:rPr>
                <w:rFonts w:cs="Arial"/>
                <w:color w:val="7F7F7F"/>
                <w:szCs w:val="18"/>
                <w:lang w:eastAsia="en-AU"/>
              </w:rPr>
              <w:t>84,346</w:t>
            </w:r>
          </w:p>
        </w:tc>
      </w:tr>
      <w:tr w:rsidR="001E08F1" w:rsidRPr="007A44D3" w:rsidTr="00D07A42">
        <w:trPr>
          <w:trHeight w:val="315"/>
        </w:trPr>
        <w:tc>
          <w:tcPr>
            <w:tcW w:w="2283" w:type="dxa"/>
            <w:tcBorders>
              <w:top w:val="nil"/>
              <w:left w:val="nil"/>
              <w:bottom w:val="single" w:sz="12" w:space="0" w:color="7F7F7F"/>
              <w:right w:val="nil"/>
            </w:tcBorders>
            <w:shd w:val="clear" w:color="auto" w:fill="auto"/>
            <w:noWrap/>
            <w:vAlign w:val="center"/>
            <w:hideMark/>
          </w:tcPr>
          <w:p w:rsidR="001E08F1" w:rsidRPr="007A44D3" w:rsidRDefault="001E08F1" w:rsidP="00D07A42">
            <w:pPr>
              <w:rPr>
                <w:rFonts w:cs="Arial"/>
                <w:color w:val="7F7F7F"/>
                <w:szCs w:val="18"/>
                <w:lang w:eastAsia="en-AU"/>
              </w:rPr>
            </w:pPr>
            <w:r w:rsidRPr="007A44D3">
              <w:rPr>
                <w:rFonts w:cs="Arial"/>
                <w:color w:val="7F7F7F"/>
                <w:szCs w:val="18"/>
                <w:lang w:eastAsia="en-AU"/>
              </w:rPr>
              <w:t>Unemployed</w:t>
            </w:r>
          </w:p>
        </w:tc>
        <w:tc>
          <w:tcPr>
            <w:tcW w:w="968" w:type="dxa"/>
            <w:tcBorders>
              <w:top w:val="nil"/>
              <w:left w:val="nil"/>
              <w:bottom w:val="single" w:sz="12" w:space="0" w:color="7F7F7F"/>
              <w:right w:val="nil"/>
            </w:tcBorders>
            <w:shd w:val="clear" w:color="auto" w:fill="auto"/>
            <w:noWrap/>
            <w:vAlign w:val="center"/>
            <w:hideMark/>
          </w:tcPr>
          <w:p w:rsidR="001E08F1" w:rsidRPr="007A44D3" w:rsidRDefault="001E08F1" w:rsidP="00D07A42">
            <w:pPr>
              <w:jc w:val="right"/>
              <w:rPr>
                <w:rFonts w:cs="Arial"/>
                <w:color w:val="7F7F7F"/>
                <w:szCs w:val="18"/>
                <w:lang w:eastAsia="en-AU"/>
              </w:rPr>
            </w:pPr>
            <w:r w:rsidRPr="007A44D3">
              <w:rPr>
                <w:rFonts w:cs="Arial"/>
                <w:color w:val="7F7F7F"/>
                <w:szCs w:val="18"/>
                <w:lang w:eastAsia="en-AU"/>
              </w:rPr>
              <w:t>38,003</w:t>
            </w:r>
          </w:p>
        </w:tc>
        <w:tc>
          <w:tcPr>
            <w:tcW w:w="969" w:type="dxa"/>
            <w:tcBorders>
              <w:top w:val="nil"/>
              <w:left w:val="nil"/>
              <w:bottom w:val="single" w:sz="12" w:space="0" w:color="7F7F7F"/>
              <w:right w:val="nil"/>
            </w:tcBorders>
            <w:shd w:val="clear" w:color="auto" w:fill="auto"/>
            <w:noWrap/>
            <w:vAlign w:val="center"/>
            <w:hideMark/>
          </w:tcPr>
          <w:p w:rsidR="001E08F1" w:rsidRPr="007A44D3" w:rsidRDefault="001E08F1" w:rsidP="00D07A42">
            <w:pPr>
              <w:jc w:val="right"/>
              <w:rPr>
                <w:rFonts w:cs="Arial"/>
                <w:color w:val="7F7F7F"/>
                <w:szCs w:val="18"/>
                <w:lang w:eastAsia="en-AU"/>
              </w:rPr>
            </w:pPr>
            <w:r w:rsidRPr="007A44D3">
              <w:rPr>
                <w:rFonts w:cs="Arial"/>
                <w:color w:val="7F7F7F"/>
                <w:szCs w:val="18"/>
                <w:lang w:eastAsia="en-AU"/>
              </w:rPr>
              <w:t>51,266</w:t>
            </w:r>
          </w:p>
        </w:tc>
        <w:tc>
          <w:tcPr>
            <w:tcW w:w="969" w:type="dxa"/>
            <w:tcBorders>
              <w:top w:val="nil"/>
              <w:left w:val="nil"/>
              <w:bottom w:val="single" w:sz="12" w:space="0" w:color="7F7F7F"/>
              <w:right w:val="nil"/>
            </w:tcBorders>
            <w:shd w:val="clear" w:color="auto" w:fill="auto"/>
            <w:noWrap/>
            <w:vAlign w:val="center"/>
            <w:hideMark/>
          </w:tcPr>
          <w:p w:rsidR="001E08F1" w:rsidRPr="007A44D3" w:rsidRDefault="001E08F1" w:rsidP="00D07A42">
            <w:pPr>
              <w:jc w:val="right"/>
              <w:rPr>
                <w:rFonts w:cs="Arial"/>
                <w:color w:val="7F7F7F"/>
                <w:szCs w:val="18"/>
                <w:lang w:eastAsia="en-AU"/>
              </w:rPr>
            </w:pPr>
            <w:r w:rsidRPr="007A44D3">
              <w:rPr>
                <w:rFonts w:cs="Arial"/>
                <w:color w:val="7F7F7F"/>
                <w:szCs w:val="18"/>
                <w:lang w:eastAsia="en-AU"/>
              </w:rPr>
              <w:t>74,855</w:t>
            </w:r>
          </w:p>
        </w:tc>
        <w:tc>
          <w:tcPr>
            <w:tcW w:w="968" w:type="dxa"/>
            <w:tcBorders>
              <w:top w:val="nil"/>
              <w:left w:val="nil"/>
              <w:bottom w:val="single" w:sz="12" w:space="0" w:color="7F7F7F"/>
              <w:right w:val="nil"/>
            </w:tcBorders>
            <w:shd w:val="clear" w:color="auto" w:fill="auto"/>
            <w:noWrap/>
            <w:vAlign w:val="center"/>
            <w:hideMark/>
          </w:tcPr>
          <w:p w:rsidR="001E08F1" w:rsidRPr="007A44D3" w:rsidRDefault="001E08F1" w:rsidP="00D07A42">
            <w:pPr>
              <w:jc w:val="right"/>
              <w:rPr>
                <w:rFonts w:cs="Arial"/>
                <w:color w:val="7F7F7F"/>
                <w:szCs w:val="18"/>
                <w:lang w:eastAsia="en-AU"/>
              </w:rPr>
            </w:pPr>
            <w:r w:rsidRPr="007A44D3">
              <w:rPr>
                <w:rFonts w:cs="Arial"/>
                <w:color w:val="7F7F7F"/>
                <w:szCs w:val="18"/>
                <w:lang w:eastAsia="en-AU"/>
              </w:rPr>
              <w:t>76,671</w:t>
            </w:r>
          </w:p>
        </w:tc>
        <w:tc>
          <w:tcPr>
            <w:tcW w:w="969" w:type="dxa"/>
            <w:tcBorders>
              <w:top w:val="nil"/>
              <w:left w:val="nil"/>
              <w:bottom w:val="single" w:sz="12" w:space="0" w:color="7F7F7F"/>
              <w:right w:val="nil"/>
            </w:tcBorders>
            <w:shd w:val="clear" w:color="auto" w:fill="auto"/>
            <w:noWrap/>
            <w:vAlign w:val="center"/>
            <w:hideMark/>
          </w:tcPr>
          <w:p w:rsidR="001E08F1" w:rsidRPr="007A44D3" w:rsidRDefault="001E08F1" w:rsidP="00D07A42">
            <w:pPr>
              <w:jc w:val="right"/>
              <w:rPr>
                <w:rFonts w:cs="Arial"/>
                <w:color w:val="7F7F7F"/>
                <w:szCs w:val="18"/>
                <w:lang w:eastAsia="en-AU"/>
              </w:rPr>
            </w:pPr>
            <w:r w:rsidRPr="007A44D3">
              <w:rPr>
                <w:rFonts w:cs="Arial"/>
                <w:color w:val="7F7F7F"/>
                <w:szCs w:val="18"/>
                <w:lang w:eastAsia="en-AU"/>
              </w:rPr>
              <w:t>88,196</w:t>
            </w:r>
          </w:p>
        </w:tc>
        <w:tc>
          <w:tcPr>
            <w:tcW w:w="969" w:type="dxa"/>
            <w:tcBorders>
              <w:top w:val="nil"/>
              <w:left w:val="nil"/>
              <w:bottom w:val="single" w:sz="12" w:space="0" w:color="7F7F7F"/>
              <w:right w:val="nil"/>
            </w:tcBorders>
            <w:shd w:val="clear" w:color="auto" w:fill="auto"/>
            <w:noWrap/>
            <w:vAlign w:val="center"/>
            <w:hideMark/>
          </w:tcPr>
          <w:p w:rsidR="001E08F1" w:rsidRPr="007A44D3" w:rsidRDefault="001E08F1" w:rsidP="00D07A42">
            <w:pPr>
              <w:jc w:val="right"/>
              <w:rPr>
                <w:rFonts w:cs="Arial"/>
                <w:color w:val="7F7F7F"/>
                <w:szCs w:val="18"/>
                <w:lang w:eastAsia="en-AU"/>
              </w:rPr>
            </w:pPr>
            <w:r w:rsidRPr="007A44D3">
              <w:rPr>
                <w:rFonts w:cs="Arial"/>
                <w:color w:val="7F7F7F"/>
                <w:szCs w:val="18"/>
                <w:lang w:eastAsia="en-AU"/>
              </w:rPr>
              <w:t>76,433</w:t>
            </w:r>
          </w:p>
        </w:tc>
      </w:tr>
    </w:tbl>
    <w:p w:rsidR="001E08F1" w:rsidRDefault="001E08F1" w:rsidP="001E08F1"/>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1E08F1" w:rsidTr="00D07A42">
        <w:tc>
          <w:tcPr>
            <w:tcW w:w="1134" w:type="dxa"/>
            <w:tcMar>
              <w:left w:w="0" w:type="dxa"/>
              <w:right w:w="0" w:type="dxa"/>
            </w:tcMar>
          </w:tcPr>
          <w:p w:rsidR="001E08F1" w:rsidRDefault="001E08F1" w:rsidP="00D07A42">
            <w:pPr>
              <w:pStyle w:val="Quote"/>
              <w:tabs>
                <w:tab w:val="left" w:pos="1134"/>
              </w:tabs>
              <w:rPr>
                <w:b w:val="0"/>
                <w:color w:val="B41F22" w:themeColor="accent1"/>
              </w:rPr>
            </w:pPr>
          </w:p>
        </w:tc>
        <w:tc>
          <w:tcPr>
            <w:tcW w:w="6946" w:type="dxa"/>
            <w:tcMar>
              <w:left w:w="0" w:type="dxa"/>
              <w:right w:w="0" w:type="dxa"/>
            </w:tcMar>
          </w:tcPr>
          <w:p w:rsidR="001E08F1" w:rsidRDefault="001E08F1" w:rsidP="00D07A42">
            <w:pPr>
              <w:pStyle w:val="Quote"/>
              <w:tabs>
                <w:tab w:val="left" w:pos="1134"/>
              </w:tabs>
              <w:rPr>
                <w:b w:val="0"/>
                <w:color w:val="B41F22" w:themeColor="accent1"/>
              </w:rPr>
            </w:pPr>
            <w:r w:rsidRPr="007A44D3">
              <w:rPr>
                <w:b w:val="0"/>
                <w:color w:val="B41F22" w:themeColor="accent1"/>
              </w:rPr>
              <w:t>Young people without at least Year 12 or a Certificate II, not at school and enrolled in government subsidised (accredited) training in Certificate II or above, 2010 to 2015 (half year)</w:t>
            </w:r>
          </w:p>
        </w:tc>
      </w:tr>
    </w:tbl>
    <w:tbl>
      <w:tblPr>
        <w:tblW w:w="8095" w:type="dxa"/>
        <w:tblInd w:w="93" w:type="dxa"/>
        <w:tblLayout w:type="fixed"/>
        <w:tblLook w:val="04A0" w:firstRow="1" w:lastRow="0" w:firstColumn="1" w:lastColumn="0" w:noHBand="0" w:noVBand="1"/>
      </w:tblPr>
      <w:tblGrid>
        <w:gridCol w:w="2283"/>
        <w:gridCol w:w="968"/>
        <w:gridCol w:w="969"/>
        <w:gridCol w:w="969"/>
        <w:gridCol w:w="968"/>
        <w:gridCol w:w="969"/>
        <w:gridCol w:w="969"/>
      </w:tblGrid>
      <w:tr w:rsidR="001E08F1" w:rsidRPr="0074361D" w:rsidTr="00D07A42">
        <w:trPr>
          <w:trHeight w:val="315"/>
        </w:trPr>
        <w:tc>
          <w:tcPr>
            <w:tcW w:w="2283" w:type="dxa"/>
            <w:tcBorders>
              <w:top w:val="nil"/>
              <w:left w:val="nil"/>
              <w:bottom w:val="single" w:sz="12" w:space="0" w:color="7F7F7F"/>
              <w:right w:val="nil"/>
            </w:tcBorders>
            <w:shd w:val="clear" w:color="auto" w:fill="auto"/>
            <w:noWrap/>
            <w:vAlign w:val="center"/>
            <w:hideMark/>
          </w:tcPr>
          <w:p w:rsidR="001E08F1" w:rsidRPr="00F6064B" w:rsidRDefault="001E08F1" w:rsidP="00D07A42">
            <w:pPr>
              <w:rPr>
                <w:rFonts w:cs="Arial"/>
                <w:color w:val="7F7F7F"/>
                <w:szCs w:val="18"/>
                <w:lang w:eastAsia="en-AU"/>
              </w:rPr>
            </w:pPr>
            <w:r w:rsidRPr="00F6064B">
              <w:rPr>
                <w:rFonts w:cs="Arial"/>
                <w:color w:val="7F7F7F"/>
                <w:szCs w:val="18"/>
                <w:lang w:eastAsia="en-AU"/>
              </w:rPr>
              <w:t>Aged 15-19</w:t>
            </w:r>
          </w:p>
        </w:tc>
        <w:tc>
          <w:tcPr>
            <w:tcW w:w="968" w:type="dxa"/>
            <w:tcBorders>
              <w:top w:val="nil"/>
              <w:left w:val="nil"/>
              <w:bottom w:val="single" w:sz="12" w:space="0" w:color="7F7F7F"/>
              <w:right w:val="nil"/>
            </w:tcBorders>
            <w:shd w:val="clear" w:color="auto" w:fill="auto"/>
            <w:noWrap/>
            <w:vAlign w:val="center"/>
            <w:hideMark/>
          </w:tcPr>
          <w:p w:rsidR="001E08F1" w:rsidRPr="00F6064B" w:rsidRDefault="001E08F1" w:rsidP="00D07A42">
            <w:pPr>
              <w:jc w:val="right"/>
              <w:rPr>
                <w:rFonts w:cs="Arial"/>
                <w:color w:val="7F7F7F"/>
                <w:szCs w:val="18"/>
                <w:lang w:eastAsia="en-AU"/>
              </w:rPr>
            </w:pPr>
            <w:r w:rsidRPr="00F6064B">
              <w:rPr>
                <w:rFonts w:cs="Arial"/>
                <w:color w:val="7F7F7F"/>
                <w:szCs w:val="18"/>
                <w:lang w:eastAsia="en-AU"/>
              </w:rPr>
              <w:t>17,810</w:t>
            </w:r>
          </w:p>
        </w:tc>
        <w:tc>
          <w:tcPr>
            <w:tcW w:w="969" w:type="dxa"/>
            <w:tcBorders>
              <w:top w:val="nil"/>
              <w:left w:val="nil"/>
              <w:bottom w:val="single" w:sz="12" w:space="0" w:color="7F7F7F"/>
              <w:right w:val="nil"/>
            </w:tcBorders>
            <w:shd w:val="clear" w:color="auto" w:fill="auto"/>
            <w:noWrap/>
            <w:vAlign w:val="center"/>
            <w:hideMark/>
          </w:tcPr>
          <w:p w:rsidR="001E08F1" w:rsidRPr="00F6064B" w:rsidRDefault="001E08F1" w:rsidP="00D07A42">
            <w:pPr>
              <w:jc w:val="right"/>
              <w:rPr>
                <w:rFonts w:cs="Arial"/>
                <w:color w:val="7F7F7F"/>
                <w:szCs w:val="18"/>
                <w:lang w:eastAsia="en-AU"/>
              </w:rPr>
            </w:pPr>
            <w:r w:rsidRPr="00F6064B">
              <w:rPr>
                <w:rFonts w:cs="Arial"/>
                <w:color w:val="7F7F7F"/>
                <w:szCs w:val="18"/>
                <w:lang w:eastAsia="en-AU"/>
              </w:rPr>
              <w:t>19,574</w:t>
            </w:r>
          </w:p>
        </w:tc>
        <w:tc>
          <w:tcPr>
            <w:tcW w:w="969" w:type="dxa"/>
            <w:tcBorders>
              <w:top w:val="nil"/>
              <w:left w:val="nil"/>
              <w:bottom w:val="single" w:sz="12" w:space="0" w:color="7F7F7F"/>
              <w:right w:val="nil"/>
            </w:tcBorders>
            <w:shd w:val="clear" w:color="auto" w:fill="auto"/>
            <w:noWrap/>
            <w:vAlign w:val="center"/>
            <w:hideMark/>
          </w:tcPr>
          <w:p w:rsidR="001E08F1" w:rsidRPr="00F6064B" w:rsidRDefault="001E08F1" w:rsidP="00D07A42">
            <w:pPr>
              <w:jc w:val="right"/>
              <w:rPr>
                <w:rFonts w:cs="Arial"/>
                <w:color w:val="7F7F7F"/>
                <w:szCs w:val="18"/>
                <w:lang w:eastAsia="en-AU"/>
              </w:rPr>
            </w:pPr>
            <w:r w:rsidRPr="00F6064B">
              <w:rPr>
                <w:rFonts w:cs="Arial"/>
                <w:color w:val="7F7F7F"/>
                <w:szCs w:val="18"/>
                <w:lang w:eastAsia="en-AU"/>
              </w:rPr>
              <w:t>21,485</w:t>
            </w:r>
          </w:p>
        </w:tc>
        <w:tc>
          <w:tcPr>
            <w:tcW w:w="968" w:type="dxa"/>
            <w:tcBorders>
              <w:top w:val="nil"/>
              <w:left w:val="nil"/>
              <w:bottom w:val="single" w:sz="12" w:space="0" w:color="7F7F7F"/>
              <w:right w:val="nil"/>
            </w:tcBorders>
            <w:shd w:val="clear" w:color="auto" w:fill="auto"/>
            <w:noWrap/>
            <w:vAlign w:val="center"/>
            <w:hideMark/>
          </w:tcPr>
          <w:p w:rsidR="001E08F1" w:rsidRPr="00F6064B" w:rsidRDefault="001E08F1" w:rsidP="00D07A42">
            <w:pPr>
              <w:jc w:val="right"/>
              <w:rPr>
                <w:rFonts w:cs="Arial"/>
                <w:color w:val="7F7F7F"/>
                <w:szCs w:val="18"/>
                <w:lang w:eastAsia="en-AU"/>
              </w:rPr>
            </w:pPr>
            <w:r w:rsidRPr="00F6064B">
              <w:rPr>
                <w:rFonts w:cs="Arial"/>
                <w:color w:val="7F7F7F"/>
                <w:szCs w:val="18"/>
                <w:lang w:eastAsia="en-AU"/>
              </w:rPr>
              <w:t>16,836</w:t>
            </w:r>
          </w:p>
        </w:tc>
        <w:tc>
          <w:tcPr>
            <w:tcW w:w="969" w:type="dxa"/>
            <w:tcBorders>
              <w:top w:val="nil"/>
              <w:left w:val="nil"/>
              <w:bottom w:val="single" w:sz="12" w:space="0" w:color="7F7F7F"/>
              <w:right w:val="nil"/>
            </w:tcBorders>
            <w:shd w:val="clear" w:color="auto" w:fill="auto"/>
            <w:noWrap/>
            <w:vAlign w:val="center"/>
            <w:hideMark/>
          </w:tcPr>
          <w:p w:rsidR="001E08F1" w:rsidRPr="00F6064B" w:rsidRDefault="001E08F1" w:rsidP="00D07A42">
            <w:pPr>
              <w:jc w:val="right"/>
              <w:rPr>
                <w:rFonts w:cs="Arial"/>
                <w:color w:val="7F7F7F"/>
                <w:szCs w:val="18"/>
                <w:lang w:eastAsia="en-AU"/>
              </w:rPr>
            </w:pPr>
            <w:r w:rsidRPr="00F6064B">
              <w:rPr>
                <w:rFonts w:cs="Arial"/>
                <w:color w:val="7F7F7F"/>
                <w:szCs w:val="18"/>
                <w:lang w:eastAsia="en-AU"/>
              </w:rPr>
              <w:t>15,395</w:t>
            </w:r>
          </w:p>
        </w:tc>
        <w:tc>
          <w:tcPr>
            <w:tcW w:w="969" w:type="dxa"/>
            <w:tcBorders>
              <w:top w:val="nil"/>
              <w:left w:val="nil"/>
              <w:bottom w:val="single" w:sz="12" w:space="0" w:color="7F7F7F"/>
              <w:right w:val="nil"/>
            </w:tcBorders>
            <w:shd w:val="clear" w:color="auto" w:fill="auto"/>
            <w:noWrap/>
            <w:vAlign w:val="center"/>
            <w:hideMark/>
          </w:tcPr>
          <w:p w:rsidR="001E08F1" w:rsidRPr="00F6064B" w:rsidRDefault="001E08F1" w:rsidP="00D07A42">
            <w:pPr>
              <w:jc w:val="right"/>
              <w:rPr>
                <w:rFonts w:cs="Arial"/>
                <w:color w:val="7F7F7F"/>
                <w:szCs w:val="18"/>
                <w:lang w:eastAsia="en-AU"/>
              </w:rPr>
            </w:pPr>
            <w:r w:rsidRPr="00F6064B">
              <w:rPr>
                <w:rFonts w:cs="Arial"/>
                <w:color w:val="7F7F7F"/>
                <w:szCs w:val="18"/>
                <w:lang w:eastAsia="en-AU"/>
              </w:rPr>
              <w:t>13,313</w:t>
            </w:r>
          </w:p>
        </w:tc>
      </w:tr>
    </w:tbl>
    <w:p w:rsidR="001E08F1" w:rsidRDefault="001E08F1" w:rsidP="001E08F1"/>
    <w:p w:rsidR="001E08F1" w:rsidRDefault="001E08F1" w:rsidP="001E08F1"/>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1E08F1" w:rsidTr="00D07A42">
        <w:tc>
          <w:tcPr>
            <w:tcW w:w="1134" w:type="dxa"/>
            <w:tcMar>
              <w:left w:w="0" w:type="dxa"/>
              <w:right w:w="0" w:type="dxa"/>
            </w:tcMar>
          </w:tcPr>
          <w:p w:rsidR="001E08F1" w:rsidRDefault="001E08F1" w:rsidP="00D07A42">
            <w:pPr>
              <w:pStyle w:val="Quote"/>
              <w:tabs>
                <w:tab w:val="left" w:pos="1134"/>
              </w:tabs>
              <w:rPr>
                <w:b w:val="0"/>
                <w:color w:val="B41F22" w:themeColor="accent1"/>
              </w:rPr>
            </w:pPr>
          </w:p>
        </w:tc>
        <w:tc>
          <w:tcPr>
            <w:tcW w:w="6946" w:type="dxa"/>
            <w:tcMar>
              <w:left w:w="0" w:type="dxa"/>
              <w:right w:w="0" w:type="dxa"/>
            </w:tcMar>
          </w:tcPr>
          <w:p w:rsidR="001E08F1" w:rsidRDefault="001E08F1" w:rsidP="00D07A42">
            <w:pPr>
              <w:pStyle w:val="Quote"/>
              <w:tabs>
                <w:tab w:val="left" w:pos="1134"/>
              </w:tabs>
              <w:rPr>
                <w:b w:val="0"/>
                <w:color w:val="B41F22" w:themeColor="accent1"/>
              </w:rPr>
            </w:pPr>
            <w:r w:rsidRPr="007A44D3">
              <w:rPr>
                <w:b w:val="0"/>
                <w:color w:val="B41F22" w:themeColor="accent1"/>
              </w:rPr>
              <w:t>Older students not holding a Certificate III or above and enrolled in government subsidised accredited training, 2010 to 2015 (half year)</w:t>
            </w:r>
          </w:p>
        </w:tc>
      </w:tr>
    </w:tbl>
    <w:tbl>
      <w:tblPr>
        <w:tblW w:w="8095" w:type="dxa"/>
        <w:tblInd w:w="93" w:type="dxa"/>
        <w:tblLayout w:type="fixed"/>
        <w:tblLook w:val="04A0" w:firstRow="1" w:lastRow="0" w:firstColumn="1" w:lastColumn="0" w:noHBand="0" w:noVBand="1"/>
      </w:tblPr>
      <w:tblGrid>
        <w:gridCol w:w="2283"/>
        <w:gridCol w:w="968"/>
        <w:gridCol w:w="969"/>
        <w:gridCol w:w="969"/>
        <w:gridCol w:w="968"/>
        <w:gridCol w:w="969"/>
        <w:gridCol w:w="969"/>
      </w:tblGrid>
      <w:tr w:rsidR="001E08F1" w:rsidRPr="0074361D" w:rsidTr="00D07A42">
        <w:trPr>
          <w:trHeight w:val="315"/>
        </w:trPr>
        <w:tc>
          <w:tcPr>
            <w:tcW w:w="2283" w:type="dxa"/>
            <w:tcBorders>
              <w:top w:val="nil"/>
              <w:left w:val="nil"/>
              <w:bottom w:val="single" w:sz="12" w:space="0" w:color="7F7F7F"/>
              <w:right w:val="nil"/>
            </w:tcBorders>
            <w:shd w:val="clear" w:color="auto" w:fill="auto"/>
            <w:noWrap/>
            <w:vAlign w:val="center"/>
            <w:hideMark/>
          </w:tcPr>
          <w:p w:rsidR="001E08F1" w:rsidRPr="00F6064B" w:rsidRDefault="001E08F1" w:rsidP="00D07A42">
            <w:pPr>
              <w:rPr>
                <w:rFonts w:cs="Arial"/>
                <w:color w:val="7F7F7F"/>
                <w:szCs w:val="18"/>
                <w:lang w:eastAsia="en-AU"/>
              </w:rPr>
            </w:pPr>
            <w:r w:rsidRPr="00F6064B">
              <w:rPr>
                <w:rFonts w:cs="Arial"/>
                <w:color w:val="7F7F7F"/>
                <w:szCs w:val="18"/>
                <w:lang w:eastAsia="en-AU"/>
              </w:rPr>
              <w:t>Aged 20-64</w:t>
            </w:r>
          </w:p>
        </w:tc>
        <w:tc>
          <w:tcPr>
            <w:tcW w:w="968" w:type="dxa"/>
            <w:tcBorders>
              <w:top w:val="nil"/>
              <w:left w:val="nil"/>
              <w:bottom w:val="single" w:sz="12" w:space="0" w:color="7F7F7F"/>
              <w:right w:val="nil"/>
            </w:tcBorders>
            <w:shd w:val="clear" w:color="auto" w:fill="auto"/>
            <w:noWrap/>
            <w:vAlign w:val="center"/>
            <w:hideMark/>
          </w:tcPr>
          <w:p w:rsidR="001E08F1" w:rsidRPr="00F6064B" w:rsidRDefault="001E08F1" w:rsidP="00D07A42">
            <w:pPr>
              <w:jc w:val="right"/>
              <w:rPr>
                <w:rFonts w:cs="Arial"/>
                <w:color w:val="7F7F7F"/>
                <w:szCs w:val="18"/>
                <w:lang w:eastAsia="en-AU"/>
              </w:rPr>
            </w:pPr>
            <w:r w:rsidRPr="00F6064B">
              <w:rPr>
                <w:rFonts w:cs="Arial"/>
                <w:color w:val="7F7F7F"/>
                <w:szCs w:val="18"/>
                <w:lang w:eastAsia="en-AU"/>
              </w:rPr>
              <w:t>94,343</w:t>
            </w:r>
          </w:p>
        </w:tc>
        <w:tc>
          <w:tcPr>
            <w:tcW w:w="969" w:type="dxa"/>
            <w:tcBorders>
              <w:top w:val="nil"/>
              <w:left w:val="nil"/>
              <w:bottom w:val="single" w:sz="12" w:space="0" w:color="7F7F7F"/>
              <w:right w:val="nil"/>
            </w:tcBorders>
            <w:shd w:val="clear" w:color="auto" w:fill="auto"/>
            <w:noWrap/>
            <w:vAlign w:val="center"/>
            <w:hideMark/>
          </w:tcPr>
          <w:p w:rsidR="001E08F1" w:rsidRPr="00F6064B" w:rsidRDefault="001E08F1" w:rsidP="00D07A42">
            <w:pPr>
              <w:jc w:val="right"/>
              <w:rPr>
                <w:rFonts w:cs="Arial"/>
                <w:color w:val="7F7F7F"/>
                <w:szCs w:val="18"/>
                <w:lang w:eastAsia="en-AU"/>
              </w:rPr>
            </w:pPr>
            <w:r w:rsidRPr="00F6064B">
              <w:rPr>
                <w:rFonts w:cs="Arial"/>
                <w:color w:val="7F7F7F"/>
                <w:szCs w:val="18"/>
                <w:lang w:eastAsia="en-AU"/>
              </w:rPr>
              <w:t>127,849</w:t>
            </w:r>
          </w:p>
        </w:tc>
        <w:tc>
          <w:tcPr>
            <w:tcW w:w="969" w:type="dxa"/>
            <w:tcBorders>
              <w:top w:val="nil"/>
              <w:left w:val="nil"/>
              <w:bottom w:val="single" w:sz="12" w:space="0" w:color="7F7F7F"/>
              <w:right w:val="nil"/>
            </w:tcBorders>
            <w:shd w:val="clear" w:color="auto" w:fill="auto"/>
            <w:noWrap/>
            <w:vAlign w:val="center"/>
            <w:hideMark/>
          </w:tcPr>
          <w:p w:rsidR="001E08F1" w:rsidRPr="00F6064B" w:rsidRDefault="001E08F1" w:rsidP="00D07A42">
            <w:pPr>
              <w:jc w:val="right"/>
              <w:rPr>
                <w:rFonts w:cs="Arial"/>
                <w:color w:val="7F7F7F"/>
                <w:szCs w:val="18"/>
                <w:lang w:eastAsia="en-AU"/>
              </w:rPr>
            </w:pPr>
            <w:r w:rsidRPr="00F6064B">
              <w:rPr>
                <w:rFonts w:cs="Arial"/>
                <w:color w:val="7F7F7F"/>
                <w:szCs w:val="18"/>
                <w:lang w:eastAsia="en-AU"/>
              </w:rPr>
              <w:t>179,823</w:t>
            </w:r>
          </w:p>
        </w:tc>
        <w:tc>
          <w:tcPr>
            <w:tcW w:w="968" w:type="dxa"/>
            <w:tcBorders>
              <w:top w:val="nil"/>
              <w:left w:val="nil"/>
              <w:bottom w:val="single" w:sz="12" w:space="0" w:color="7F7F7F"/>
              <w:right w:val="nil"/>
            </w:tcBorders>
            <w:shd w:val="clear" w:color="auto" w:fill="auto"/>
            <w:noWrap/>
            <w:vAlign w:val="center"/>
            <w:hideMark/>
          </w:tcPr>
          <w:p w:rsidR="001E08F1" w:rsidRPr="00F6064B" w:rsidRDefault="001E08F1" w:rsidP="00D07A42">
            <w:pPr>
              <w:jc w:val="right"/>
              <w:rPr>
                <w:rFonts w:cs="Arial"/>
                <w:color w:val="7F7F7F"/>
                <w:szCs w:val="18"/>
                <w:lang w:eastAsia="en-AU"/>
              </w:rPr>
            </w:pPr>
            <w:r w:rsidRPr="00F6064B">
              <w:rPr>
                <w:rFonts w:cs="Arial"/>
                <w:color w:val="7F7F7F"/>
                <w:szCs w:val="18"/>
                <w:lang w:eastAsia="en-AU"/>
              </w:rPr>
              <w:t>158,413</w:t>
            </w:r>
          </w:p>
        </w:tc>
        <w:tc>
          <w:tcPr>
            <w:tcW w:w="969" w:type="dxa"/>
            <w:tcBorders>
              <w:top w:val="nil"/>
              <w:left w:val="nil"/>
              <w:bottom w:val="single" w:sz="12" w:space="0" w:color="7F7F7F"/>
              <w:right w:val="nil"/>
            </w:tcBorders>
            <w:shd w:val="clear" w:color="auto" w:fill="auto"/>
            <w:noWrap/>
            <w:vAlign w:val="center"/>
            <w:hideMark/>
          </w:tcPr>
          <w:p w:rsidR="001E08F1" w:rsidRPr="00F6064B" w:rsidRDefault="001E08F1" w:rsidP="00D07A42">
            <w:pPr>
              <w:jc w:val="right"/>
              <w:rPr>
                <w:rFonts w:cs="Arial"/>
                <w:color w:val="7F7F7F"/>
                <w:szCs w:val="18"/>
                <w:lang w:eastAsia="en-AU"/>
              </w:rPr>
            </w:pPr>
            <w:r w:rsidRPr="00F6064B">
              <w:rPr>
                <w:rFonts w:cs="Arial"/>
                <w:color w:val="7F7F7F"/>
                <w:szCs w:val="18"/>
                <w:lang w:eastAsia="en-AU"/>
              </w:rPr>
              <w:t>164,958</w:t>
            </w:r>
          </w:p>
        </w:tc>
        <w:tc>
          <w:tcPr>
            <w:tcW w:w="969" w:type="dxa"/>
            <w:tcBorders>
              <w:top w:val="nil"/>
              <w:left w:val="nil"/>
              <w:bottom w:val="single" w:sz="12" w:space="0" w:color="7F7F7F"/>
              <w:right w:val="nil"/>
            </w:tcBorders>
            <w:shd w:val="clear" w:color="auto" w:fill="auto"/>
            <w:noWrap/>
            <w:vAlign w:val="center"/>
            <w:hideMark/>
          </w:tcPr>
          <w:p w:rsidR="001E08F1" w:rsidRPr="00F6064B" w:rsidRDefault="001E08F1" w:rsidP="00D07A42">
            <w:pPr>
              <w:jc w:val="right"/>
              <w:rPr>
                <w:rFonts w:cs="Arial"/>
                <w:color w:val="7F7F7F"/>
                <w:szCs w:val="18"/>
                <w:lang w:eastAsia="en-AU"/>
              </w:rPr>
            </w:pPr>
            <w:r w:rsidRPr="00F6064B">
              <w:rPr>
                <w:rFonts w:cs="Arial"/>
                <w:color w:val="7F7F7F"/>
                <w:szCs w:val="18"/>
                <w:lang w:eastAsia="en-AU"/>
              </w:rPr>
              <w:t>146,501</w:t>
            </w:r>
          </w:p>
        </w:tc>
      </w:tr>
    </w:tbl>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4A0" w:firstRow="1" w:lastRow="0" w:firstColumn="1" w:lastColumn="0" w:noHBand="0" w:noVBand="1"/>
      </w:tblPr>
      <w:tblGrid>
        <w:gridCol w:w="431"/>
        <w:gridCol w:w="7649"/>
      </w:tblGrid>
      <w:tr w:rsidR="001E08F1" w:rsidRPr="00913551" w:rsidTr="00D07A42">
        <w:tc>
          <w:tcPr>
            <w:tcW w:w="431" w:type="dxa"/>
            <w:tcMar>
              <w:left w:w="0" w:type="dxa"/>
              <w:right w:w="28" w:type="dxa"/>
            </w:tcMar>
          </w:tcPr>
          <w:p w:rsidR="001E08F1" w:rsidRPr="00913551" w:rsidRDefault="001E08F1" w:rsidP="00D07A42">
            <w:pPr>
              <w:spacing w:after="0" w:line="240" w:lineRule="auto"/>
              <w:jc w:val="right"/>
              <w:rPr>
                <w:color w:val="7F7F7F" w:themeColor="text2"/>
                <w:sz w:val="16"/>
                <w:szCs w:val="16"/>
              </w:rPr>
            </w:pPr>
            <w:r w:rsidRPr="00913551">
              <w:rPr>
                <w:color w:val="7F7F7F" w:themeColor="text2"/>
                <w:sz w:val="16"/>
                <w:szCs w:val="16"/>
              </w:rPr>
              <w:t xml:space="preserve">* </w:t>
            </w:r>
          </w:p>
        </w:tc>
        <w:tc>
          <w:tcPr>
            <w:tcW w:w="7649" w:type="dxa"/>
            <w:tcMar>
              <w:left w:w="0" w:type="dxa"/>
              <w:right w:w="28" w:type="dxa"/>
            </w:tcMar>
          </w:tcPr>
          <w:p w:rsidR="001E08F1" w:rsidRPr="00913551" w:rsidRDefault="001E08F1" w:rsidP="00D07A42">
            <w:pPr>
              <w:spacing w:after="0" w:line="240" w:lineRule="auto"/>
              <w:rPr>
                <w:i/>
                <w:color w:val="7F7F7F" w:themeColor="text2"/>
                <w:sz w:val="16"/>
                <w:szCs w:val="16"/>
              </w:rPr>
            </w:pPr>
            <w:r w:rsidRPr="00913551">
              <w:rPr>
                <w:i/>
                <w:sz w:val="16"/>
                <w:szCs w:val="16"/>
              </w:rPr>
              <w:t>The above groups of students are not mutually exclusive.</w:t>
            </w:r>
          </w:p>
        </w:tc>
      </w:tr>
    </w:tbl>
    <w:p w:rsidR="001E08F1" w:rsidRDefault="001E08F1" w:rsidP="001E08F1"/>
    <w:p w:rsidR="001E08F1" w:rsidRDefault="001E08F1" w:rsidP="001E08F1"/>
    <w:p w:rsidR="001E08F1" w:rsidRPr="0074361D" w:rsidRDefault="001E08F1" w:rsidP="001E08F1">
      <w:pPr>
        <w:rPr>
          <w:rFonts w:cs="Arial"/>
          <w:bCs/>
          <w:iCs/>
          <w:color w:val="7F7F7F" w:themeColor="text2"/>
          <w:szCs w:val="18"/>
        </w:rPr>
      </w:pPr>
      <w:r>
        <w:br w:type="page"/>
      </w: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1E08F1" w:rsidTr="00D07A42">
        <w:tc>
          <w:tcPr>
            <w:tcW w:w="1134" w:type="dxa"/>
            <w:tcMar>
              <w:left w:w="0" w:type="dxa"/>
              <w:right w:w="0" w:type="dxa"/>
            </w:tcMar>
          </w:tcPr>
          <w:p w:rsidR="001E08F1" w:rsidRDefault="00AF3E67" w:rsidP="00D07A42">
            <w:pPr>
              <w:pStyle w:val="Quote"/>
              <w:tabs>
                <w:tab w:val="left" w:pos="1134"/>
              </w:tabs>
              <w:rPr>
                <w:b w:val="0"/>
                <w:color w:val="B41F22" w:themeColor="accent1"/>
              </w:rPr>
            </w:pPr>
            <w:r>
              <w:rPr>
                <w:b w:val="0"/>
                <w:color w:val="B41F22" w:themeColor="accent1"/>
              </w:rPr>
              <w:lastRenderedPageBreak/>
              <w:t>Table 2</w:t>
            </w:r>
            <w:r w:rsidR="001E08F1">
              <w:rPr>
                <w:b w:val="0"/>
                <w:color w:val="B41F22" w:themeColor="accent1"/>
              </w:rPr>
              <w:t>.2.2:</w:t>
            </w:r>
          </w:p>
        </w:tc>
        <w:tc>
          <w:tcPr>
            <w:tcW w:w="6946" w:type="dxa"/>
            <w:tcMar>
              <w:left w:w="0" w:type="dxa"/>
              <w:right w:w="0" w:type="dxa"/>
            </w:tcMar>
          </w:tcPr>
          <w:p w:rsidR="001E08F1" w:rsidRDefault="001E08F1" w:rsidP="00D07A42">
            <w:pPr>
              <w:pStyle w:val="Quote"/>
              <w:tabs>
                <w:tab w:val="left" w:pos="1134"/>
              </w:tabs>
              <w:rPr>
                <w:b w:val="0"/>
                <w:color w:val="B41F22" w:themeColor="accent1"/>
              </w:rPr>
            </w:pPr>
            <w:r w:rsidRPr="0074361D">
              <w:rPr>
                <w:b w:val="0"/>
                <w:color w:val="B41F22" w:themeColor="accent1"/>
              </w:rPr>
              <w:t>Change in number of students enrolled in government subsidised accredited training by selected learner group* (half year)</w:t>
            </w:r>
          </w:p>
        </w:tc>
      </w:tr>
    </w:tbl>
    <w:tbl>
      <w:tblPr>
        <w:tblW w:w="8095" w:type="dxa"/>
        <w:tblInd w:w="93" w:type="dxa"/>
        <w:tblLayout w:type="fixed"/>
        <w:tblLook w:val="04A0" w:firstRow="1" w:lastRow="0" w:firstColumn="1" w:lastColumn="0" w:noHBand="0" w:noVBand="1"/>
      </w:tblPr>
      <w:tblGrid>
        <w:gridCol w:w="2425"/>
        <w:gridCol w:w="1134"/>
        <w:gridCol w:w="1134"/>
        <w:gridCol w:w="1134"/>
        <w:gridCol w:w="1134"/>
        <w:gridCol w:w="1134"/>
      </w:tblGrid>
      <w:tr w:rsidR="001E08F1" w:rsidRPr="0074361D" w:rsidTr="00D07A42">
        <w:trPr>
          <w:trHeight w:val="720"/>
        </w:trPr>
        <w:tc>
          <w:tcPr>
            <w:tcW w:w="2425" w:type="dxa"/>
            <w:tcBorders>
              <w:top w:val="nil"/>
              <w:left w:val="nil"/>
              <w:bottom w:val="nil"/>
              <w:right w:val="nil"/>
            </w:tcBorders>
            <w:shd w:val="clear" w:color="000000" w:fill="7F7F7F"/>
            <w:noWrap/>
            <w:vAlign w:val="center"/>
            <w:hideMark/>
          </w:tcPr>
          <w:p w:rsidR="001E08F1" w:rsidRPr="0074361D" w:rsidRDefault="001E08F1" w:rsidP="00D07A42">
            <w:pPr>
              <w:rPr>
                <w:rFonts w:cs="Arial"/>
                <w:color w:val="FFFFFF"/>
                <w:szCs w:val="18"/>
                <w:lang w:eastAsia="en-AU"/>
              </w:rPr>
            </w:pPr>
            <w:r w:rsidRPr="0074361D">
              <w:rPr>
                <w:rFonts w:cs="Arial"/>
                <w:color w:val="FFFFFF"/>
                <w:szCs w:val="18"/>
                <w:lang w:eastAsia="en-AU"/>
              </w:rPr>
              <w:t> </w:t>
            </w:r>
          </w:p>
        </w:tc>
        <w:tc>
          <w:tcPr>
            <w:tcW w:w="1134" w:type="dxa"/>
            <w:tcBorders>
              <w:top w:val="nil"/>
              <w:left w:val="nil"/>
              <w:bottom w:val="nil"/>
              <w:right w:val="nil"/>
            </w:tcBorders>
            <w:shd w:val="clear" w:color="000000" w:fill="7F7F7F"/>
            <w:vAlign w:val="center"/>
            <w:hideMark/>
          </w:tcPr>
          <w:p w:rsidR="001E08F1" w:rsidRPr="0074361D" w:rsidRDefault="001E08F1" w:rsidP="00D07A42">
            <w:pPr>
              <w:jc w:val="right"/>
              <w:rPr>
                <w:rFonts w:cs="Arial"/>
                <w:b/>
                <w:bCs/>
                <w:color w:val="FFFFFF"/>
                <w:szCs w:val="18"/>
                <w:lang w:eastAsia="en-AU"/>
              </w:rPr>
            </w:pPr>
            <w:r w:rsidRPr="0074361D">
              <w:rPr>
                <w:rFonts w:cs="Arial"/>
                <w:b/>
                <w:bCs/>
                <w:color w:val="FFFFFF"/>
                <w:szCs w:val="18"/>
                <w:lang w:eastAsia="en-AU"/>
              </w:rPr>
              <w:t>% change 2010 to 2015</w:t>
            </w:r>
          </w:p>
        </w:tc>
        <w:tc>
          <w:tcPr>
            <w:tcW w:w="1134" w:type="dxa"/>
            <w:tcBorders>
              <w:top w:val="nil"/>
              <w:left w:val="nil"/>
              <w:bottom w:val="nil"/>
              <w:right w:val="nil"/>
            </w:tcBorders>
            <w:shd w:val="clear" w:color="000000" w:fill="7F7F7F"/>
            <w:vAlign w:val="center"/>
            <w:hideMark/>
          </w:tcPr>
          <w:p w:rsidR="001E08F1" w:rsidRPr="0074361D" w:rsidRDefault="001E08F1" w:rsidP="00D07A42">
            <w:pPr>
              <w:jc w:val="right"/>
              <w:rPr>
                <w:rFonts w:cs="Arial"/>
                <w:b/>
                <w:bCs/>
                <w:color w:val="FFFFFF"/>
                <w:szCs w:val="18"/>
                <w:lang w:eastAsia="en-AU"/>
              </w:rPr>
            </w:pPr>
            <w:r w:rsidRPr="0074361D">
              <w:rPr>
                <w:rFonts w:cs="Arial"/>
                <w:b/>
                <w:bCs/>
                <w:color w:val="FFFFFF"/>
                <w:szCs w:val="18"/>
                <w:lang w:eastAsia="en-AU"/>
              </w:rPr>
              <w:t>% change 2011 to 2015</w:t>
            </w:r>
          </w:p>
        </w:tc>
        <w:tc>
          <w:tcPr>
            <w:tcW w:w="1134" w:type="dxa"/>
            <w:tcBorders>
              <w:top w:val="nil"/>
              <w:left w:val="nil"/>
              <w:bottom w:val="nil"/>
              <w:right w:val="nil"/>
            </w:tcBorders>
            <w:shd w:val="clear" w:color="000000" w:fill="7F7F7F"/>
            <w:vAlign w:val="center"/>
            <w:hideMark/>
          </w:tcPr>
          <w:p w:rsidR="001E08F1" w:rsidRPr="0074361D" w:rsidRDefault="001E08F1" w:rsidP="00D07A42">
            <w:pPr>
              <w:jc w:val="right"/>
              <w:rPr>
                <w:rFonts w:cs="Arial"/>
                <w:b/>
                <w:bCs/>
                <w:color w:val="FFFFFF"/>
                <w:szCs w:val="18"/>
                <w:lang w:eastAsia="en-AU"/>
              </w:rPr>
            </w:pPr>
            <w:r w:rsidRPr="0074361D">
              <w:rPr>
                <w:rFonts w:cs="Arial"/>
                <w:b/>
                <w:bCs/>
                <w:color w:val="FFFFFF"/>
                <w:szCs w:val="18"/>
                <w:lang w:eastAsia="en-AU"/>
              </w:rPr>
              <w:t>% change 2012 to 2015</w:t>
            </w:r>
          </w:p>
        </w:tc>
        <w:tc>
          <w:tcPr>
            <w:tcW w:w="1134" w:type="dxa"/>
            <w:tcBorders>
              <w:top w:val="nil"/>
              <w:left w:val="nil"/>
              <w:bottom w:val="nil"/>
              <w:right w:val="nil"/>
            </w:tcBorders>
            <w:shd w:val="clear" w:color="000000" w:fill="7F7F7F"/>
            <w:vAlign w:val="center"/>
            <w:hideMark/>
          </w:tcPr>
          <w:p w:rsidR="001E08F1" w:rsidRPr="0074361D" w:rsidRDefault="001E08F1" w:rsidP="00D07A42">
            <w:pPr>
              <w:jc w:val="right"/>
              <w:rPr>
                <w:rFonts w:cs="Arial"/>
                <w:b/>
                <w:bCs/>
                <w:color w:val="FFFFFF"/>
                <w:szCs w:val="18"/>
                <w:lang w:eastAsia="en-AU"/>
              </w:rPr>
            </w:pPr>
            <w:r w:rsidRPr="0074361D">
              <w:rPr>
                <w:rFonts w:cs="Arial"/>
                <w:b/>
                <w:bCs/>
                <w:color w:val="FFFFFF"/>
                <w:szCs w:val="18"/>
                <w:lang w:eastAsia="en-AU"/>
              </w:rPr>
              <w:t>% change 2013 to 2015</w:t>
            </w:r>
          </w:p>
        </w:tc>
        <w:tc>
          <w:tcPr>
            <w:tcW w:w="1134" w:type="dxa"/>
            <w:tcBorders>
              <w:top w:val="nil"/>
              <w:left w:val="nil"/>
              <w:bottom w:val="nil"/>
              <w:right w:val="nil"/>
            </w:tcBorders>
            <w:shd w:val="clear" w:color="000000" w:fill="7F7F7F"/>
            <w:vAlign w:val="center"/>
            <w:hideMark/>
          </w:tcPr>
          <w:p w:rsidR="001E08F1" w:rsidRPr="0074361D" w:rsidRDefault="001E08F1" w:rsidP="00D07A42">
            <w:pPr>
              <w:jc w:val="right"/>
              <w:rPr>
                <w:rFonts w:cs="Arial"/>
                <w:b/>
                <w:bCs/>
                <w:color w:val="FFFFFF"/>
                <w:szCs w:val="18"/>
                <w:lang w:eastAsia="en-AU"/>
              </w:rPr>
            </w:pPr>
            <w:r w:rsidRPr="0074361D">
              <w:rPr>
                <w:rFonts w:cs="Arial"/>
                <w:b/>
                <w:bCs/>
                <w:color w:val="FFFFFF"/>
                <w:szCs w:val="18"/>
                <w:lang w:eastAsia="en-AU"/>
              </w:rPr>
              <w:t>% change 2014 to 2015</w:t>
            </w:r>
          </w:p>
        </w:tc>
      </w:tr>
      <w:tr w:rsidR="001E08F1" w:rsidRPr="0074361D" w:rsidTr="00D07A42">
        <w:trPr>
          <w:trHeight w:val="300"/>
        </w:trPr>
        <w:tc>
          <w:tcPr>
            <w:tcW w:w="2425" w:type="dxa"/>
            <w:tcBorders>
              <w:top w:val="nil"/>
              <w:left w:val="nil"/>
              <w:bottom w:val="nil"/>
              <w:right w:val="nil"/>
            </w:tcBorders>
            <w:shd w:val="clear" w:color="auto" w:fill="auto"/>
            <w:noWrap/>
            <w:vAlign w:val="center"/>
            <w:hideMark/>
          </w:tcPr>
          <w:p w:rsidR="001E08F1" w:rsidRPr="0074361D" w:rsidRDefault="001E08F1" w:rsidP="00D07A42">
            <w:pPr>
              <w:rPr>
                <w:rFonts w:cs="Arial"/>
                <w:color w:val="7F7F7F"/>
                <w:szCs w:val="18"/>
                <w:lang w:eastAsia="en-AU"/>
              </w:rPr>
            </w:pPr>
            <w:r w:rsidRPr="0074361D">
              <w:rPr>
                <w:rFonts w:cs="Arial"/>
                <w:color w:val="7F7F7F"/>
                <w:szCs w:val="18"/>
                <w:lang w:eastAsia="en-AU"/>
              </w:rPr>
              <w:t>Indigenous</w:t>
            </w:r>
          </w:p>
        </w:tc>
        <w:tc>
          <w:tcPr>
            <w:tcW w:w="1134" w:type="dxa"/>
            <w:tcBorders>
              <w:top w:val="nil"/>
              <w:left w:val="nil"/>
              <w:bottom w:val="nil"/>
              <w:right w:val="nil"/>
            </w:tcBorders>
            <w:shd w:val="clear" w:color="auto" w:fill="auto"/>
            <w:noWrap/>
            <w:vAlign w:val="center"/>
            <w:hideMark/>
          </w:tcPr>
          <w:p w:rsidR="001E08F1" w:rsidRPr="0074361D" w:rsidRDefault="001E08F1" w:rsidP="00D07A42">
            <w:pPr>
              <w:jc w:val="right"/>
              <w:rPr>
                <w:rFonts w:cs="Arial"/>
                <w:color w:val="7F7F7F"/>
                <w:szCs w:val="18"/>
                <w:lang w:eastAsia="en-AU"/>
              </w:rPr>
            </w:pPr>
            <w:r w:rsidRPr="0074361D">
              <w:rPr>
                <w:rFonts w:cs="Arial"/>
                <w:color w:val="7F7F7F"/>
                <w:szCs w:val="18"/>
                <w:lang w:eastAsia="en-AU"/>
              </w:rPr>
              <w:t>33%</w:t>
            </w:r>
          </w:p>
        </w:tc>
        <w:tc>
          <w:tcPr>
            <w:tcW w:w="1134" w:type="dxa"/>
            <w:tcBorders>
              <w:top w:val="nil"/>
              <w:left w:val="nil"/>
              <w:bottom w:val="nil"/>
              <w:right w:val="nil"/>
            </w:tcBorders>
            <w:shd w:val="clear" w:color="auto" w:fill="auto"/>
            <w:noWrap/>
            <w:vAlign w:val="center"/>
            <w:hideMark/>
          </w:tcPr>
          <w:p w:rsidR="001E08F1" w:rsidRPr="0074361D" w:rsidRDefault="001E08F1" w:rsidP="00D07A42">
            <w:pPr>
              <w:jc w:val="right"/>
              <w:rPr>
                <w:rFonts w:cs="Arial"/>
                <w:color w:val="7F7F7F"/>
                <w:szCs w:val="18"/>
                <w:lang w:eastAsia="en-AU"/>
              </w:rPr>
            </w:pPr>
            <w:r w:rsidRPr="0074361D">
              <w:rPr>
                <w:rFonts w:cs="Arial"/>
                <w:color w:val="7F7F7F"/>
                <w:szCs w:val="18"/>
                <w:lang w:eastAsia="en-AU"/>
              </w:rPr>
              <w:t>12%</w:t>
            </w:r>
          </w:p>
        </w:tc>
        <w:tc>
          <w:tcPr>
            <w:tcW w:w="1134" w:type="dxa"/>
            <w:tcBorders>
              <w:top w:val="nil"/>
              <w:left w:val="nil"/>
              <w:bottom w:val="nil"/>
              <w:right w:val="nil"/>
            </w:tcBorders>
            <w:shd w:val="clear" w:color="auto" w:fill="auto"/>
            <w:noWrap/>
            <w:vAlign w:val="center"/>
            <w:hideMark/>
          </w:tcPr>
          <w:p w:rsidR="001E08F1" w:rsidRPr="0074361D" w:rsidRDefault="001E08F1" w:rsidP="00D07A42">
            <w:pPr>
              <w:jc w:val="right"/>
              <w:rPr>
                <w:rFonts w:cs="Arial"/>
                <w:color w:val="7F7F7F"/>
                <w:szCs w:val="18"/>
                <w:lang w:eastAsia="en-AU"/>
              </w:rPr>
            </w:pPr>
            <w:r w:rsidRPr="0074361D">
              <w:rPr>
                <w:rFonts w:cs="Arial"/>
                <w:color w:val="7F7F7F"/>
                <w:szCs w:val="18"/>
                <w:lang w:eastAsia="en-AU"/>
              </w:rPr>
              <w:t>-5%</w:t>
            </w:r>
          </w:p>
        </w:tc>
        <w:tc>
          <w:tcPr>
            <w:tcW w:w="1134" w:type="dxa"/>
            <w:tcBorders>
              <w:top w:val="nil"/>
              <w:left w:val="nil"/>
              <w:bottom w:val="nil"/>
              <w:right w:val="nil"/>
            </w:tcBorders>
            <w:shd w:val="clear" w:color="auto" w:fill="auto"/>
            <w:noWrap/>
            <w:vAlign w:val="center"/>
            <w:hideMark/>
          </w:tcPr>
          <w:p w:rsidR="001E08F1" w:rsidRPr="0074361D" w:rsidRDefault="001E08F1" w:rsidP="00D07A42">
            <w:pPr>
              <w:jc w:val="right"/>
              <w:rPr>
                <w:rFonts w:cs="Arial"/>
                <w:color w:val="7F7F7F"/>
                <w:szCs w:val="18"/>
                <w:lang w:eastAsia="en-AU"/>
              </w:rPr>
            </w:pPr>
            <w:r w:rsidRPr="0074361D">
              <w:rPr>
                <w:rFonts w:cs="Arial"/>
                <w:color w:val="7F7F7F"/>
                <w:szCs w:val="18"/>
                <w:lang w:eastAsia="en-AU"/>
              </w:rPr>
              <w:t>0%</w:t>
            </w:r>
          </w:p>
        </w:tc>
        <w:tc>
          <w:tcPr>
            <w:tcW w:w="1134" w:type="dxa"/>
            <w:tcBorders>
              <w:top w:val="nil"/>
              <w:left w:val="nil"/>
              <w:bottom w:val="nil"/>
              <w:right w:val="nil"/>
            </w:tcBorders>
            <w:shd w:val="clear" w:color="auto" w:fill="auto"/>
            <w:noWrap/>
            <w:vAlign w:val="center"/>
            <w:hideMark/>
          </w:tcPr>
          <w:p w:rsidR="001E08F1" w:rsidRPr="0074361D" w:rsidRDefault="001E08F1" w:rsidP="00D07A42">
            <w:pPr>
              <w:jc w:val="right"/>
              <w:rPr>
                <w:rFonts w:cs="Arial"/>
                <w:color w:val="7F7F7F"/>
                <w:szCs w:val="18"/>
                <w:lang w:eastAsia="en-AU"/>
              </w:rPr>
            </w:pPr>
            <w:r w:rsidRPr="0074361D">
              <w:rPr>
                <w:rFonts w:cs="Arial"/>
                <w:color w:val="7F7F7F"/>
                <w:szCs w:val="18"/>
                <w:lang w:eastAsia="en-AU"/>
              </w:rPr>
              <w:t>-8%</w:t>
            </w:r>
          </w:p>
        </w:tc>
      </w:tr>
      <w:tr w:rsidR="001E08F1" w:rsidRPr="0074361D" w:rsidTr="00D07A42">
        <w:trPr>
          <w:trHeight w:val="300"/>
        </w:trPr>
        <w:tc>
          <w:tcPr>
            <w:tcW w:w="2425" w:type="dxa"/>
            <w:tcBorders>
              <w:top w:val="nil"/>
              <w:left w:val="nil"/>
              <w:bottom w:val="nil"/>
              <w:right w:val="nil"/>
            </w:tcBorders>
            <w:shd w:val="clear" w:color="auto" w:fill="auto"/>
            <w:noWrap/>
            <w:vAlign w:val="center"/>
            <w:hideMark/>
          </w:tcPr>
          <w:p w:rsidR="001E08F1" w:rsidRPr="0074361D" w:rsidRDefault="001E08F1" w:rsidP="00D07A42">
            <w:pPr>
              <w:rPr>
                <w:rFonts w:cs="Arial"/>
                <w:color w:val="7F7F7F"/>
                <w:szCs w:val="18"/>
                <w:lang w:eastAsia="en-AU"/>
              </w:rPr>
            </w:pPr>
            <w:r w:rsidRPr="0074361D">
              <w:rPr>
                <w:rFonts w:cs="Arial"/>
                <w:color w:val="7F7F7F"/>
                <w:szCs w:val="18"/>
                <w:lang w:eastAsia="en-AU"/>
              </w:rPr>
              <w:t>Student with a disability</w:t>
            </w:r>
          </w:p>
        </w:tc>
        <w:tc>
          <w:tcPr>
            <w:tcW w:w="1134" w:type="dxa"/>
            <w:tcBorders>
              <w:top w:val="nil"/>
              <w:left w:val="nil"/>
              <w:bottom w:val="nil"/>
              <w:right w:val="nil"/>
            </w:tcBorders>
            <w:shd w:val="clear" w:color="auto" w:fill="auto"/>
            <w:noWrap/>
            <w:vAlign w:val="center"/>
            <w:hideMark/>
          </w:tcPr>
          <w:p w:rsidR="001E08F1" w:rsidRPr="0074361D" w:rsidRDefault="001E08F1" w:rsidP="00D07A42">
            <w:pPr>
              <w:jc w:val="right"/>
              <w:rPr>
                <w:rFonts w:cs="Arial"/>
                <w:color w:val="7F7F7F"/>
                <w:szCs w:val="18"/>
                <w:lang w:eastAsia="en-AU"/>
              </w:rPr>
            </w:pPr>
            <w:r w:rsidRPr="0074361D">
              <w:rPr>
                <w:rFonts w:cs="Arial"/>
                <w:color w:val="7F7F7F"/>
                <w:szCs w:val="18"/>
                <w:lang w:eastAsia="en-AU"/>
              </w:rPr>
              <w:t>43%</w:t>
            </w:r>
          </w:p>
        </w:tc>
        <w:tc>
          <w:tcPr>
            <w:tcW w:w="1134" w:type="dxa"/>
            <w:tcBorders>
              <w:top w:val="nil"/>
              <w:left w:val="nil"/>
              <w:bottom w:val="nil"/>
              <w:right w:val="nil"/>
            </w:tcBorders>
            <w:shd w:val="clear" w:color="auto" w:fill="auto"/>
            <w:noWrap/>
            <w:vAlign w:val="center"/>
            <w:hideMark/>
          </w:tcPr>
          <w:p w:rsidR="001E08F1" w:rsidRPr="0074361D" w:rsidRDefault="001E08F1" w:rsidP="00D07A42">
            <w:pPr>
              <w:jc w:val="right"/>
              <w:rPr>
                <w:rFonts w:cs="Arial"/>
                <w:color w:val="7F7F7F"/>
                <w:szCs w:val="18"/>
                <w:lang w:eastAsia="en-AU"/>
              </w:rPr>
            </w:pPr>
            <w:r w:rsidRPr="0074361D">
              <w:rPr>
                <w:rFonts w:cs="Arial"/>
                <w:color w:val="7F7F7F"/>
                <w:szCs w:val="18"/>
                <w:lang w:eastAsia="en-AU"/>
              </w:rPr>
              <w:t>17%</w:t>
            </w:r>
          </w:p>
        </w:tc>
        <w:tc>
          <w:tcPr>
            <w:tcW w:w="1134" w:type="dxa"/>
            <w:tcBorders>
              <w:top w:val="nil"/>
              <w:left w:val="nil"/>
              <w:bottom w:val="nil"/>
              <w:right w:val="nil"/>
            </w:tcBorders>
            <w:shd w:val="clear" w:color="auto" w:fill="auto"/>
            <w:noWrap/>
            <w:vAlign w:val="center"/>
            <w:hideMark/>
          </w:tcPr>
          <w:p w:rsidR="001E08F1" w:rsidRPr="0074361D" w:rsidRDefault="001E08F1" w:rsidP="00D07A42">
            <w:pPr>
              <w:jc w:val="right"/>
              <w:rPr>
                <w:rFonts w:cs="Arial"/>
                <w:color w:val="7F7F7F"/>
                <w:szCs w:val="18"/>
                <w:lang w:eastAsia="en-AU"/>
              </w:rPr>
            </w:pPr>
            <w:r w:rsidRPr="0074361D">
              <w:rPr>
                <w:rFonts w:cs="Arial"/>
                <w:color w:val="7F7F7F"/>
                <w:szCs w:val="18"/>
                <w:lang w:eastAsia="en-AU"/>
              </w:rPr>
              <w:t>-5%</w:t>
            </w:r>
          </w:p>
        </w:tc>
        <w:tc>
          <w:tcPr>
            <w:tcW w:w="1134" w:type="dxa"/>
            <w:tcBorders>
              <w:top w:val="nil"/>
              <w:left w:val="nil"/>
              <w:bottom w:val="nil"/>
              <w:right w:val="nil"/>
            </w:tcBorders>
            <w:shd w:val="clear" w:color="auto" w:fill="auto"/>
            <w:noWrap/>
            <w:vAlign w:val="center"/>
            <w:hideMark/>
          </w:tcPr>
          <w:p w:rsidR="001E08F1" w:rsidRPr="0074361D" w:rsidRDefault="001E08F1" w:rsidP="00D07A42">
            <w:pPr>
              <w:jc w:val="right"/>
              <w:rPr>
                <w:rFonts w:cs="Arial"/>
                <w:color w:val="7F7F7F"/>
                <w:szCs w:val="18"/>
                <w:lang w:eastAsia="en-AU"/>
              </w:rPr>
            </w:pPr>
            <w:r w:rsidRPr="0074361D">
              <w:rPr>
                <w:rFonts w:cs="Arial"/>
                <w:color w:val="7F7F7F"/>
                <w:szCs w:val="18"/>
                <w:lang w:eastAsia="en-AU"/>
              </w:rPr>
              <w:t>0%</w:t>
            </w:r>
          </w:p>
        </w:tc>
        <w:tc>
          <w:tcPr>
            <w:tcW w:w="1134" w:type="dxa"/>
            <w:tcBorders>
              <w:top w:val="nil"/>
              <w:left w:val="nil"/>
              <w:bottom w:val="nil"/>
              <w:right w:val="nil"/>
            </w:tcBorders>
            <w:shd w:val="clear" w:color="auto" w:fill="auto"/>
            <w:noWrap/>
            <w:vAlign w:val="center"/>
            <w:hideMark/>
          </w:tcPr>
          <w:p w:rsidR="001E08F1" w:rsidRPr="0074361D" w:rsidRDefault="001E08F1" w:rsidP="00D07A42">
            <w:pPr>
              <w:jc w:val="right"/>
              <w:rPr>
                <w:rFonts w:cs="Arial"/>
                <w:color w:val="7F7F7F"/>
                <w:szCs w:val="18"/>
                <w:lang w:eastAsia="en-AU"/>
              </w:rPr>
            </w:pPr>
            <w:r w:rsidRPr="0074361D">
              <w:rPr>
                <w:rFonts w:cs="Arial"/>
                <w:color w:val="7F7F7F"/>
                <w:szCs w:val="18"/>
                <w:lang w:eastAsia="en-AU"/>
              </w:rPr>
              <w:t>-7%</w:t>
            </w:r>
          </w:p>
        </w:tc>
      </w:tr>
      <w:tr w:rsidR="001E08F1" w:rsidRPr="0074361D" w:rsidTr="00D07A42">
        <w:trPr>
          <w:trHeight w:val="300"/>
        </w:trPr>
        <w:tc>
          <w:tcPr>
            <w:tcW w:w="2425" w:type="dxa"/>
            <w:tcBorders>
              <w:top w:val="nil"/>
              <w:left w:val="nil"/>
              <w:bottom w:val="nil"/>
              <w:right w:val="nil"/>
            </w:tcBorders>
            <w:shd w:val="clear" w:color="auto" w:fill="auto"/>
            <w:noWrap/>
            <w:vAlign w:val="center"/>
            <w:hideMark/>
          </w:tcPr>
          <w:p w:rsidR="001E08F1" w:rsidRPr="0074361D" w:rsidRDefault="001E08F1" w:rsidP="00D07A42">
            <w:pPr>
              <w:rPr>
                <w:rFonts w:cs="Arial"/>
                <w:color w:val="7F7F7F"/>
                <w:szCs w:val="18"/>
                <w:lang w:eastAsia="en-AU"/>
              </w:rPr>
            </w:pPr>
            <w:r w:rsidRPr="0074361D">
              <w:rPr>
                <w:rFonts w:cs="Arial"/>
                <w:color w:val="7F7F7F"/>
                <w:szCs w:val="18"/>
                <w:lang w:eastAsia="en-AU"/>
              </w:rPr>
              <w:t>CALD</w:t>
            </w:r>
          </w:p>
        </w:tc>
        <w:tc>
          <w:tcPr>
            <w:tcW w:w="1134" w:type="dxa"/>
            <w:tcBorders>
              <w:top w:val="nil"/>
              <w:left w:val="nil"/>
              <w:bottom w:val="nil"/>
              <w:right w:val="nil"/>
            </w:tcBorders>
            <w:shd w:val="clear" w:color="auto" w:fill="auto"/>
            <w:noWrap/>
            <w:vAlign w:val="center"/>
            <w:hideMark/>
          </w:tcPr>
          <w:p w:rsidR="001E08F1" w:rsidRPr="0074361D" w:rsidRDefault="001E08F1" w:rsidP="00D07A42">
            <w:pPr>
              <w:jc w:val="right"/>
              <w:rPr>
                <w:rFonts w:cs="Arial"/>
                <w:color w:val="7F7F7F"/>
                <w:szCs w:val="18"/>
                <w:lang w:eastAsia="en-AU"/>
              </w:rPr>
            </w:pPr>
            <w:r w:rsidRPr="0074361D">
              <w:rPr>
                <w:rFonts w:cs="Arial"/>
                <w:color w:val="7F7F7F"/>
                <w:szCs w:val="18"/>
                <w:lang w:eastAsia="en-AU"/>
              </w:rPr>
              <w:t>94%</w:t>
            </w:r>
          </w:p>
        </w:tc>
        <w:tc>
          <w:tcPr>
            <w:tcW w:w="1134" w:type="dxa"/>
            <w:tcBorders>
              <w:top w:val="nil"/>
              <w:left w:val="nil"/>
              <w:bottom w:val="nil"/>
              <w:right w:val="nil"/>
            </w:tcBorders>
            <w:shd w:val="clear" w:color="auto" w:fill="auto"/>
            <w:noWrap/>
            <w:vAlign w:val="center"/>
            <w:hideMark/>
          </w:tcPr>
          <w:p w:rsidR="001E08F1" w:rsidRPr="0074361D" w:rsidRDefault="001E08F1" w:rsidP="00D07A42">
            <w:pPr>
              <w:jc w:val="right"/>
              <w:rPr>
                <w:rFonts w:cs="Arial"/>
                <w:color w:val="7F7F7F"/>
                <w:szCs w:val="18"/>
                <w:lang w:eastAsia="en-AU"/>
              </w:rPr>
            </w:pPr>
            <w:r w:rsidRPr="0074361D">
              <w:rPr>
                <w:rFonts w:cs="Arial"/>
                <w:color w:val="7F7F7F"/>
                <w:szCs w:val="18"/>
                <w:lang w:eastAsia="en-AU"/>
              </w:rPr>
              <w:t>52%</w:t>
            </w:r>
          </w:p>
        </w:tc>
        <w:tc>
          <w:tcPr>
            <w:tcW w:w="1134" w:type="dxa"/>
            <w:tcBorders>
              <w:top w:val="nil"/>
              <w:left w:val="nil"/>
              <w:bottom w:val="nil"/>
              <w:right w:val="nil"/>
            </w:tcBorders>
            <w:shd w:val="clear" w:color="auto" w:fill="auto"/>
            <w:noWrap/>
            <w:vAlign w:val="center"/>
            <w:hideMark/>
          </w:tcPr>
          <w:p w:rsidR="001E08F1" w:rsidRPr="0074361D" w:rsidRDefault="001E08F1" w:rsidP="00D07A42">
            <w:pPr>
              <w:jc w:val="right"/>
              <w:rPr>
                <w:rFonts w:cs="Arial"/>
                <w:color w:val="7F7F7F"/>
                <w:szCs w:val="18"/>
                <w:lang w:eastAsia="en-AU"/>
              </w:rPr>
            </w:pPr>
            <w:r w:rsidRPr="0074361D">
              <w:rPr>
                <w:rFonts w:cs="Arial"/>
                <w:color w:val="7F7F7F"/>
                <w:szCs w:val="18"/>
                <w:lang w:eastAsia="en-AU"/>
              </w:rPr>
              <w:t>3%</w:t>
            </w:r>
          </w:p>
        </w:tc>
        <w:tc>
          <w:tcPr>
            <w:tcW w:w="1134" w:type="dxa"/>
            <w:tcBorders>
              <w:top w:val="nil"/>
              <w:left w:val="nil"/>
              <w:bottom w:val="nil"/>
              <w:right w:val="nil"/>
            </w:tcBorders>
            <w:shd w:val="clear" w:color="auto" w:fill="auto"/>
            <w:noWrap/>
            <w:vAlign w:val="center"/>
            <w:hideMark/>
          </w:tcPr>
          <w:p w:rsidR="001E08F1" w:rsidRPr="0074361D" w:rsidRDefault="001E08F1" w:rsidP="00D07A42">
            <w:pPr>
              <w:jc w:val="right"/>
              <w:rPr>
                <w:rFonts w:cs="Arial"/>
                <w:color w:val="7F7F7F"/>
                <w:szCs w:val="18"/>
                <w:lang w:eastAsia="en-AU"/>
              </w:rPr>
            </w:pPr>
            <w:r w:rsidRPr="0074361D">
              <w:rPr>
                <w:rFonts w:cs="Arial"/>
                <w:color w:val="7F7F7F"/>
                <w:szCs w:val="18"/>
                <w:lang w:eastAsia="en-AU"/>
              </w:rPr>
              <w:t>7%</w:t>
            </w:r>
          </w:p>
        </w:tc>
        <w:tc>
          <w:tcPr>
            <w:tcW w:w="1134" w:type="dxa"/>
            <w:tcBorders>
              <w:top w:val="nil"/>
              <w:left w:val="nil"/>
              <w:bottom w:val="nil"/>
              <w:right w:val="nil"/>
            </w:tcBorders>
            <w:shd w:val="clear" w:color="auto" w:fill="auto"/>
            <w:noWrap/>
            <w:vAlign w:val="center"/>
            <w:hideMark/>
          </w:tcPr>
          <w:p w:rsidR="001E08F1" w:rsidRPr="0074361D" w:rsidRDefault="001E08F1" w:rsidP="00D07A42">
            <w:pPr>
              <w:jc w:val="right"/>
              <w:rPr>
                <w:rFonts w:cs="Arial"/>
                <w:color w:val="7F7F7F"/>
                <w:szCs w:val="18"/>
                <w:lang w:eastAsia="en-AU"/>
              </w:rPr>
            </w:pPr>
            <w:r w:rsidRPr="0074361D">
              <w:rPr>
                <w:rFonts w:cs="Arial"/>
                <w:color w:val="7F7F7F"/>
                <w:szCs w:val="18"/>
                <w:lang w:eastAsia="en-AU"/>
              </w:rPr>
              <w:t>-7%</w:t>
            </w:r>
          </w:p>
        </w:tc>
      </w:tr>
      <w:tr w:rsidR="001E08F1" w:rsidRPr="0074361D" w:rsidTr="00D07A42">
        <w:trPr>
          <w:trHeight w:val="300"/>
        </w:trPr>
        <w:tc>
          <w:tcPr>
            <w:tcW w:w="2425" w:type="dxa"/>
            <w:tcBorders>
              <w:top w:val="nil"/>
              <w:left w:val="nil"/>
              <w:bottom w:val="nil"/>
              <w:right w:val="nil"/>
            </w:tcBorders>
            <w:shd w:val="clear" w:color="auto" w:fill="auto"/>
            <w:noWrap/>
            <w:vAlign w:val="center"/>
            <w:hideMark/>
          </w:tcPr>
          <w:p w:rsidR="001E08F1" w:rsidRPr="0074361D" w:rsidRDefault="001E08F1" w:rsidP="00D07A42">
            <w:pPr>
              <w:rPr>
                <w:rFonts w:cs="Arial"/>
                <w:color w:val="7F7F7F"/>
                <w:szCs w:val="18"/>
                <w:lang w:eastAsia="en-AU"/>
              </w:rPr>
            </w:pPr>
            <w:r w:rsidRPr="0074361D">
              <w:rPr>
                <w:rFonts w:cs="Arial"/>
                <w:color w:val="7F7F7F"/>
                <w:szCs w:val="18"/>
                <w:lang w:eastAsia="en-AU"/>
              </w:rPr>
              <w:t>Unemployed</w:t>
            </w:r>
          </w:p>
        </w:tc>
        <w:tc>
          <w:tcPr>
            <w:tcW w:w="1134" w:type="dxa"/>
            <w:tcBorders>
              <w:top w:val="nil"/>
              <w:left w:val="nil"/>
              <w:bottom w:val="nil"/>
              <w:right w:val="nil"/>
            </w:tcBorders>
            <w:shd w:val="clear" w:color="auto" w:fill="auto"/>
            <w:noWrap/>
            <w:vAlign w:val="center"/>
            <w:hideMark/>
          </w:tcPr>
          <w:p w:rsidR="001E08F1" w:rsidRPr="0074361D" w:rsidRDefault="001E08F1" w:rsidP="00D07A42">
            <w:pPr>
              <w:jc w:val="right"/>
              <w:rPr>
                <w:rFonts w:cs="Arial"/>
                <w:color w:val="7F7F7F"/>
                <w:szCs w:val="18"/>
                <w:lang w:eastAsia="en-AU"/>
              </w:rPr>
            </w:pPr>
            <w:r w:rsidRPr="0074361D">
              <w:rPr>
                <w:rFonts w:cs="Arial"/>
                <w:color w:val="7F7F7F"/>
                <w:szCs w:val="18"/>
                <w:lang w:eastAsia="en-AU"/>
              </w:rPr>
              <w:t>101%</w:t>
            </w:r>
          </w:p>
        </w:tc>
        <w:tc>
          <w:tcPr>
            <w:tcW w:w="1134" w:type="dxa"/>
            <w:tcBorders>
              <w:top w:val="nil"/>
              <w:left w:val="nil"/>
              <w:bottom w:val="nil"/>
              <w:right w:val="nil"/>
            </w:tcBorders>
            <w:shd w:val="clear" w:color="auto" w:fill="auto"/>
            <w:noWrap/>
            <w:vAlign w:val="center"/>
            <w:hideMark/>
          </w:tcPr>
          <w:p w:rsidR="001E08F1" w:rsidRPr="0074361D" w:rsidRDefault="001E08F1" w:rsidP="00D07A42">
            <w:pPr>
              <w:jc w:val="right"/>
              <w:rPr>
                <w:rFonts w:cs="Arial"/>
                <w:color w:val="7F7F7F"/>
                <w:szCs w:val="18"/>
                <w:lang w:eastAsia="en-AU"/>
              </w:rPr>
            </w:pPr>
            <w:r w:rsidRPr="0074361D">
              <w:rPr>
                <w:rFonts w:cs="Arial"/>
                <w:color w:val="7F7F7F"/>
                <w:szCs w:val="18"/>
                <w:lang w:eastAsia="en-AU"/>
              </w:rPr>
              <w:t>49%</w:t>
            </w:r>
          </w:p>
        </w:tc>
        <w:tc>
          <w:tcPr>
            <w:tcW w:w="1134" w:type="dxa"/>
            <w:tcBorders>
              <w:top w:val="nil"/>
              <w:left w:val="nil"/>
              <w:bottom w:val="nil"/>
              <w:right w:val="nil"/>
            </w:tcBorders>
            <w:shd w:val="clear" w:color="auto" w:fill="auto"/>
            <w:noWrap/>
            <w:vAlign w:val="center"/>
            <w:hideMark/>
          </w:tcPr>
          <w:p w:rsidR="001E08F1" w:rsidRPr="0074361D" w:rsidRDefault="001E08F1" w:rsidP="00D07A42">
            <w:pPr>
              <w:jc w:val="right"/>
              <w:rPr>
                <w:rFonts w:cs="Arial"/>
                <w:color w:val="7F7F7F"/>
                <w:szCs w:val="18"/>
                <w:lang w:eastAsia="en-AU"/>
              </w:rPr>
            </w:pPr>
            <w:r w:rsidRPr="0074361D">
              <w:rPr>
                <w:rFonts w:cs="Arial"/>
                <w:color w:val="7F7F7F"/>
                <w:szCs w:val="18"/>
                <w:lang w:eastAsia="en-AU"/>
              </w:rPr>
              <w:t>2%</w:t>
            </w:r>
          </w:p>
        </w:tc>
        <w:tc>
          <w:tcPr>
            <w:tcW w:w="1134" w:type="dxa"/>
            <w:tcBorders>
              <w:top w:val="nil"/>
              <w:left w:val="nil"/>
              <w:bottom w:val="nil"/>
              <w:right w:val="nil"/>
            </w:tcBorders>
            <w:shd w:val="clear" w:color="auto" w:fill="auto"/>
            <w:noWrap/>
            <w:vAlign w:val="center"/>
            <w:hideMark/>
          </w:tcPr>
          <w:p w:rsidR="001E08F1" w:rsidRPr="0074361D" w:rsidRDefault="001E08F1" w:rsidP="00D07A42">
            <w:pPr>
              <w:jc w:val="right"/>
              <w:rPr>
                <w:rFonts w:cs="Arial"/>
                <w:color w:val="7F7F7F"/>
                <w:szCs w:val="18"/>
                <w:lang w:eastAsia="en-AU"/>
              </w:rPr>
            </w:pPr>
            <w:r w:rsidRPr="0074361D">
              <w:rPr>
                <w:rFonts w:cs="Arial"/>
                <w:color w:val="7F7F7F"/>
                <w:szCs w:val="18"/>
                <w:lang w:eastAsia="en-AU"/>
              </w:rPr>
              <w:t>0%</w:t>
            </w:r>
          </w:p>
        </w:tc>
        <w:tc>
          <w:tcPr>
            <w:tcW w:w="1134" w:type="dxa"/>
            <w:tcBorders>
              <w:top w:val="nil"/>
              <w:left w:val="nil"/>
              <w:bottom w:val="nil"/>
              <w:right w:val="nil"/>
            </w:tcBorders>
            <w:shd w:val="clear" w:color="auto" w:fill="auto"/>
            <w:noWrap/>
            <w:vAlign w:val="center"/>
            <w:hideMark/>
          </w:tcPr>
          <w:p w:rsidR="001E08F1" w:rsidRPr="0074361D" w:rsidRDefault="001E08F1" w:rsidP="00D07A42">
            <w:pPr>
              <w:jc w:val="right"/>
              <w:rPr>
                <w:rFonts w:cs="Arial"/>
                <w:color w:val="7F7F7F"/>
                <w:szCs w:val="18"/>
                <w:lang w:eastAsia="en-AU"/>
              </w:rPr>
            </w:pPr>
            <w:r w:rsidRPr="0074361D">
              <w:rPr>
                <w:rFonts w:cs="Arial"/>
                <w:color w:val="7F7F7F"/>
                <w:szCs w:val="18"/>
                <w:lang w:eastAsia="en-AU"/>
              </w:rPr>
              <w:t>-13%</w:t>
            </w:r>
          </w:p>
        </w:tc>
      </w:tr>
      <w:tr w:rsidR="001E08F1" w:rsidRPr="00F6064B" w:rsidTr="00D07A42">
        <w:trPr>
          <w:trHeight w:val="1099"/>
        </w:trPr>
        <w:tc>
          <w:tcPr>
            <w:tcW w:w="2425" w:type="dxa"/>
            <w:tcBorders>
              <w:top w:val="nil"/>
              <w:left w:val="nil"/>
              <w:bottom w:val="nil"/>
              <w:right w:val="nil"/>
            </w:tcBorders>
            <w:shd w:val="clear" w:color="auto" w:fill="auto"/>
            <w:vAlign w:val="center"/>
            <w:hideMark/>
          </w:tcPr>
          <w:p w:rsidR="001E08F1" w:rsidRPr="00F6064B" w:rsidRDefault="001E08F1" w:rsidP="00D07A42">
            <w:pPr>
              <w:rPr>
                <w:rFonts w:cs="Arial"/>
                <w:color w:val="7F7F7F"/>
                <w:szCs w:val="18"/>
                <w:lang w:eastAsia="en-AU"/>
              </w:rPr>
            </w:pPr>
            <w:r w:rsidRPr="00F6064B">
              <w:rPr>
                <w:rFonts w:cs="Arial"/>
                <w:color w:val="7F7F7F"/>
                <w:szCs w:val="18"/>
                <w:lang w:eastAsia="en-AU"/>
              </w:rPr>
              <w:t>Aged 15-19 without at least Year 12 or a Cert II, not at school and enrolled in Cert II or above</w:t>
            </w:r>
          </w:p>
        </w:tc>
        <w:tc>
          <w:tcPr>
            <w:tcW w:w="1134" w:type="dxa"/>
            <w:tcBorders>
              <w:top w:val="nil"/>
              <w:left w:val="nil"/>
              <w:bottom w:val="nil"/>
              <w:right w:val="nil"/>
            </w:tcBorders>
            <w:shd w:val="clear" w:color="auto" w:fill="auto"/>
            <w:noWrap/>
            <w:vAlign w:val="center"/>
            <w:hideMark/>
          </w:tcPr>
          <w:p w:rsidR="001E08F1" w:rsidRPr="00F6064B" w:rsidRDefault="001E08F1" w:rsidP="00D07A42">
            <w:pPr>
              <w:jc w:val="right"/>
              <w:rPr>
                <w:rFonts w:cs="Arial"/>
                <w:color w:val="7F7F7F"/>
                <w:szCs w:val="18"/>
                <w:lang w:eastAsia="en-AU"/>
              </w:rPr>
            </w:pPr>
            <w:r w:rsidRPr="00F6064B">
              <w:rPr>
                <w:rFonts w:cs="Arial"/>
                <w:color w:val="7F7F7F"/>
                <w:szCs w:val="18"/>
                <w:lang w:eastAsia="en-AU"/>
              </w:rPr>
              <w:t>-25%</w:t>
            </w:r>
          </w:p>
        </w:tc>
        <w:tc>
          <w:tcPr>
            <w:tcW w:w="1134" w:type="dxa"/>
            <w:tcBorders>
              <w:top w:val="nil"/>
              <w:left w:val="nil"/>
              <w:bottom w:val="nil"/>
              <w:right w:val="nil"/>
            </w:tcBorders>
            <w:shd w:val="clear" w:color="auto" w:fill="auto"/>
            <w:noWrap/>
            <w:vAlign w:val="center"/>
            <w:hideMark/>
          </w:tcPr>
          <w:p w:rsidR="001E08F1" w:rsidRPr="00F6064B" w:rsidRDefault="001E08F1" w:rsidP="00D07A42">
            <w:pPr>
              <w:jc w:val="right"/>
              <w:rPr>
                <w:rFonts w:cs="Arial"/>
                <w:color w:val="7F7F7F"/>
                <w:szCs w:val="18"/>
                <w:lang w:eastAsia="en-AU"/>
              </w:rPr>
            </w:pPr>
            <w:r w:rsidRPr="00F6064B">
              <w:rPr>
                <w:rFonts w:cs="Arial"/>
                <w:color w:val="7F7F7F"/>
                <w:szCs w:val="18"/>
                <w:lang w:eastAsia="en-AU"/>
              </w:rPr>
              <w:t>-32%</w:t>
            </w:r>
          </w:p>
        </w:tc>
        <w:tc>
          <w:tcPr>
            <w:tcW w:w="1134" w:type="dxa"/>
            <w:tcBorders>
              <w:top w:val="nil"/>
              <w:left w:val="nil"/>
              <w:bottom w:val="nil"/>
              <w:right w:val="nil"/>
            </w:tcBorders>
            <w:shd w:val="clear" w:color="auto" w:fill="auto"/>
            <w:noWrap/>
            <w:vAlign w:val="center"/>
            <w:hideMark/>
          </w:tcPr>
          <w:p w:rsidR="001E08F1" w:rsidRPr="00F6064B" w:rsidRDefault="001E08F1" w:rsidP="00D07A42">
            <w:pPr>
              <w:jc w:val="right"/>
              <w:rPr>
                <w:rFonts w:cs="Arial"/>
                <w:color w:val="7F7F7F"/>
                <w:szCs w:val="18"/>
                <w:lang w:eastAsia="en-AU"/>
              </w:rPr>
            </w:pPr>
            <w:r w:rsidRPr="00F6064B">
              <w:rPr>
                <w:rFonts w:cs="Arial"/>
                <w:color w:val="7F7F7F"/>
                <w:szCs w:val="18"/>
                <w:lang w:eastAsia="en-AU"/>
              </w:rPr>
              <w:t>-38%</w:t>
            </w:r>
          </w:p>
        </w:tc>
        <w:tc>
          <w:tcPr>
            <w:tcW w:w="1134" w:type="dxa"/>
            <w:tcBorders>
              <w:top w:val="nil"/>
              <w:left w:val="nil"/>
              <w:bottom w:val="nil"/>
              <w:right w:val="nil"/>
            </w:tcBorders>
            <w:shd w:val="clear" w:color="auto" w:fill="auto"/>
            <w:noWrap/>
            <w:vAlign w:val="center"/>
            <w:hideMark/>
          </w:tcPr>
          <w:p w:rsidR="001E08F1" w:rsidRPr="00F6064B" w:rsidRDefault="001E08F1" w:rsidP="00D07A42">
            <w:pPr>
              <w:jc w:val="right"/>
              <w:rPr>
                <w:rFonts w:cs="Arial"/>
                <w:color w:val="7F7F7F"/>
                <w:szCs w:val="18"/>
                <w:lang w:eastAsia="en-AU"/>
              </w:rPr>
            </w:pPr>
            <w:r w:rsidRPr="00F6064B">
              <w:rPr>
                <w:rFonts w:cs="Arial"/>
                <w:color w:val="7F7F7F"/>
                <w:szCs w:val="18"/>
                <w:lang w:eastAsia="en-AU"/>
              </w:rPr>
              <w:t>-21%</w:t>
            </w:r>
          </w:p>
        </w:tc>
        <w:tc>
          <w:tcPr>
            <w:tcW w:w="1134" w:type="dxa"/>
            <w:tcBorders>
              <w:top w:val="nil"/>
              <w:left w:val="nil"/>
              <w:bottom w:val="nil"/>
              <w:right w:val="nil"/>
            </w:tcBorders>
            <w:shd w:val="clear" w:color="auto" w:fill="auto"/>
            <w:noWrap/>
            <w:vAlign w:val="center"/>
            <w:hideMark/>
          </w:tcPr>
          <w:p w:rsidR="001E08F1" w:rsidRPr="00F6064B" w:rsidRDefault="001E08F1" w:rsidP="00D07A42">
            <w:pPr>
              <w:jc w:val="right"/>
              <w:rPr>
                <w:rFonts w:cs="Arial"/>
                <w:color w:val="7F7F7F"/>
                <w:szCs w:val="18"/>
                <w:lang w:eastAsia="en-AU"/>
              </w:rPr>
            </w:pPr>
            <w:r w:rsidRPr="00F6064B">
              <w:rPr>
                <w:rFonts w:cs="Arial"/>
                <w:color w:val="7F7F7F"/>
                <w:szCs w:val="18"/>
                <w:lang w:eastAsia="en-AU"/>
              </w:rPr>
              <w:t>-14%</w:t>
            </w:r>
          </w:p>
        </w:tc>
      </w:tr>
      <w:tr w:rsidR="001E08F1" w:rsidRPr="0074361D" w:rsidTr="00D07A42">
        <w:trPr>
          <w:trHeight w:val="600"/>
        </w:trPr>
        <w:tc>
          <w:tcPr>
            <w:tcW w:w="2425" w:type="dxa"/>
            <w:tcBorders>
              <w:top w:val="nil"/>
              <w:left w:val="nil"/>
              <w:bottom w:val="single" w:sz="12" w:space="0" w:color="7F7F7F"/>
              <w:right w:val="nil"/>
            </w:tcBorders>
            <w:shd w:val="clear" w:color="auto" w:fill="auto"/>
            <w:vAlign w:val="center"/>
            <w:hideMark/>
          </w:tcPr>
          <w:p w:rsidR="001E08F1" w:rsidRPr="00F6064B" w:rsidRDefault="001E08F1" w:rsidP="00D07A42">
            <w:pPr>
              <w:rPr>
                <w:rFonts w:cs="Arial"/>
                <w:color w:val="7F7F7F"/>
                <w:szCs w:val="18"/>
                <w:lang w:eastAsia="en-AU"/>
              </w:rPr>
            </w:pPr>
            <w:r w:rsidRPr="00F6064B">
              <w:rPr>
                <w:rFonts w:cs="Arial"/>
                <w:color w:val="7F7F7F"/>
                <w:szCs w:val="18"/>
                <w:lang w:eastAsia="en-AU"/>
              </w:rPr>
              <w:t>Aged 20-64 not holding a Cert III or above</w:t>
            </w:r>
          </w:p>
        </w:tc>
        <w:tc>
          <w:tcPr>
            <w:tcW w:w="1134" w:type="dxa"/>
            <w:tcBorders>
              <w:top w:val="nil"/>
              <w:left w:val="nil"/>
              <w:bottom w:val="single" w:sz="12" w:space="0" w:color="7F7F7F"/>
              <w:right w:val="nil"/>
            </w:tcBorders>
            <w:shd w:val="clear" w:color="auto" w:fill="auto"/>
            <w:noWrap/>
            <w:vAlign w:val="center"/>
            <w:hideMark/>
          </w:tcPr>
          <w:p w:rsidR="001E08F1" w:rsidRPr="00F6064B" w:rsidRDefault="001E08F1" w:rsidP="00D07A42">
            <w:pPr>
              <w:jc w:val="right"/>
              <w:rPr>
                <w:rFonts w:cs="Arial"/>
                <w:color w:val="7F7F7F"/>
                <w:szCs w:val="18"/>
                <w:lang w:eastAsia="en-AU"/>
              </w:rPr>
            </w:pPr>
            <w:r w:rsidRPr="00F6064B">
              <w:rPr>
                <w:rFonts w:cs="Arial"/>
                <w:color w:val="7F7F7F"/>
                <w:szCs w:val="18"/>
                <w:lang w:eastAsia="en-AU"/>
              </w:rPr>
              <w:t>55%</w:t>
            </w:r>
          </w:p>
        </w:tc>
        <w:tc>
          <w:tcPr>
            <w:tcW w:w="1134" w:type="dxa"/>
            <w:tcBorders>
              <w:top w:val="nil"/>
              <w:left w:val="nil"/>
              <w:bottom w:val="single" w:sz="12" w:space="0" w:color="7F7F7F"/>
              <w:right w:val="nil"/>
            </w:tcBorders>
            <w:shd w:val="clear" w:color="auto" w:fill="auto"/>
            <w:noWrap/>
            <w:vAlign w:val="center"/>
            <w:hideMark/>
          </w:tcPr>
          <w:p w:rsidR="001E08F1" w:rsidRPr="00F6064B" w:rsidRDefault="001E08F1" w:rsidP="00D07A42">
            <w:pPr>
              <w:jc w:val="right"/>
              <w:rPr>
                <w:rFonts w:cs="Arial"/>
                <w:color w:val="7F7F7F"/>
                <w:szCs w:val="18"/>
                <w:lang w:eastAsia="en-AU"/>
              </w:rPr>
            </w:pPr>
            <w:r w:rsidRPr="00F6064B">
              <w:rPr>
                <w:rFonts w:cs="Arial"/>
                <w:color w:val="7F7F7F"/>
                <w:szCs w:val="18"/>
                <w:lang w:eastAsia="en-AU"/>
              </w:rPr>
              <w:t>15%</w:t>
            </w:r>
          </w:p>
        </w:tc>
        <w:tc>
          <w:tcPr>
            <w:tcW w:w="1134" w:type="dxa"/>
            <w:tcBorders>
              <w:top w:val="nil"/>
              <w:left w:val="nil"/>
              <w:bottom w:val="single" w:sz="12" w:space="0" w:color="7F7F7F"/>
              <w:right w:val="nil"/>
            </w:tcBorders>
            <w:shd w:val="clear" w:color="auto" w:fill="auto"/>
            <w:noWrap/>
            <w:vAlign w:val="center"/>
            <w:hideMark/>
          </w:tcPr>
          <w:p w:rsidR="001E08F1" w:rsidRPr="00F6064B" w:rsidRDefault="001E08F1" w:rsidP="00D07A42">
            <w:pPr>
              <w:jc w:val="right"/>
              <w:rPr>
                <w:rFonts w:cs="Arial"/>
                <w:color w:val="7F7F7F"/>
                <w:szCs w:val="18"/>
                <w:lang w:eastAsia="en-AU"/>
              </w:rPr>
            </w:pPr>
            <w:r w:rsidRPr="00F6064B">
              <w:rPr>
                <w:rFonts w:cs="Arial"/>
                <w:color w:val="7F7F7F"/>
                <w:szCs w:val="18"/>
                <w:lang w:eastAsia="en-AU"/>
              </w:rPr>
              <w:t>-19%</w:t>
            </w:r>
          </w:p>
        </w:tc>
        <w:tc>
          <w:tcPr>
            <w:tcW w:w="1134" w:type="dxa"/>
            <w:tcBorders>
              <w:top w:val="nil"/>
              <w:left w:val="nil"/>
              <w:bottom w:val="single" w:sz="12" w:space="0" w:color="7F7F7F"/>
              <w:right w:val="nil"/>
            </w:tcBorders>
            <w:shd w:val="clear" w:color="auto" w:fill="auto"/>
            <w:noWrap/>
            <w:vAlign w:val="center"/>
            <w:hideMark/>
          </w:tcPr>
          <w:p w:rsidR="001E08F1" w:rsidRPr="00F6064B" w:rsidRDefault="001E08F1" w:rsidP="00D07A42">
            <w:pPr>
              <w:jc w:val="right"/>
              <w:rPr>
                <w:rFonts w:cs="Arial"/>
                <w:color w:val="7F7F7F"/>
                <w:szCs w:val="18"/>
                <w:lang w:eastAsia="en-AU"/>
              </w:rPr>
            </w:pPr>
            <w:r w:rsidRPr="00F6064B">
              <w:rPr>
                <w:rFonts w:cs="Arial"/>
                <w:color w:val="7F7F7F"/>
                <w:szCs w:val="18"/>
                <w:lang w:eastAsia="en-AU"/>
              </w:rPr>
              <w:t>-8%</w:t>
            </w:r>
          </w:p>
        </w:tc>
        <w:tc>
          <w:tcPr>
            <w:tcW w:w="1134" w:type="dxa"/>
            <w:tcBorders>
              <w:top w:val="nil"/>
              <w:left w:val="nil"/>
              <w:bottom w:val="single" w:sz="12" w:space="0" w:color="7F7F7F"/>
              <w:right w:val="nil"/>
            </w:tcBorders>
            <w:shd w:val="clear" w:color="auto" w:fill="auto"/>
            <w:noWrap/>
            <w:vAlign w:val="center"/>
            <w:hideMark/>
          </w:tcPr>
          <w:p w:rsidR="001E08F1" w:rsidRPr="0074361D" w:rsidRDefault="001E08F1" w:rsidP="00D07A42">
            <w:pPr>
              <w:jc w:val="right"/>
              <w:rPr>
                <w:rFonts w:cs="Arial"/>
                <w:color w:val="7F7F7F"/>
                <w:szCs w:val="18"/>
                <w:lang w:eastAsia="en-AU"/>
              </w:rPr>
            </w:pPr>
            <w:r w:rsidRPr="00F6064B">
              <w:rPr>
                <w:rFonts w:cs="Arial"/>
                <w:color w:val="7F7F7F"/>
                <w:szCs w:val="18"/>
                <w:lang w:eastAsia="en-AU"/>
              </w:rPr>
              <w:t>-11%</w:t>
            </w:r>
          </w:p>
        </w:tc>
      </w:tr>
    </w:tbl>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4A0" w:firstRow="1" w:lastRow="0" w:firstColumn="1" w:lastColumn="0" w:noHBand="0" w:noVBand="1"/>
      </w:tblPr>
      <w:tblGrid>
        <w:gridCol w:w="431"/>
        <w:gridCol w:w="7649"/>
      </w:tblGrid>
      <w:tr w:rsidR="001E08F1" w:rsidRPr="00913551" w:rsidTr="00D07A42">
        <w:tc>
          <w:tcPr>
            <w:tcW w:w="431" w:type="dxa"/>
            <w:tcMar>
              <w:left w:w="0" w:type="dxa"/>
              <w:right w:w="28" w:type="dxa"/>
            </w:tcMar>
          </w:tcPr>
          <w:p w:rsidR="001E08F1" w:rsidRPr="00913551" w:rsidRDefault="001E08F1" w:rsidP="00D07A42">
            <w:pPr>
              <w:spacing w:after="0" w:line="240" w:lineRule="auto"/>
              <w:jc w:val="right"/>
              <w:rPr>
                <w:color w:val="7F7F7F" w:themeColor="text2"/>
                <w:sz w:val="16"/>
                <w:szCs w:val="16"/>
              </w:rPr>
            </w:pPr>
            <w:r w:rsidRPr="00913551">
              <w:rPr>
                <w:color w:val="7F7F7F" w:themeColor="text2"/>
                <w:sz w:val="16"/>
                <w:szCs w:val="16"/>
              </w:rPr>
              <w:t xml:space="preserve">* </w:t>
            </w:r>
          </w:p>
        </w:tc>
        <w:tc>
          <w:tcPr>
            <w:tcW w:w="7649" w:type="dxa"/>
            <w:tcMar>
              <w:left w:w="0" w:type="dxa"/>
              <w:right w:w="28" w:type="dxa"/>
            </w:tcMar>
          </w:tcPr>
          <w:p w:rsidR="001E08F1" w:rsidRPr="00913551" w:rsidRDefault="001E08F1" w:rsidP="00D07A42">
            <w:pPr>
              <w:spacing w:after="0" w:line="240" w:lineRule="auto"/>
              <w:rPr>
                <w:i/>
                <w:color w:val="7F7F7F" w:themeColor="text2"/>
                <w:sz w:val="16"/>
                <w:szCs w:val="16"/>
              </w:rPr>
            </w:pPr>
            <w:r w:rsidRPr="00913551">
              <w:rPr>
                <w:i/>
                <w:sz w:val="16"/>
                <w:szCs w:val="16"/>
              </w:rPr>
              <w:t>The above groups of students are not mutually exclusive.</w:t>
            </w:r>
          </w:p>
        </w:tc>
      </w:tr>
    </w:tbl>
    <w:p w:rsidR="001E08F1" w:rsidRDefault="001E08F1" w:rsidP="001E08F1">
      <w:pPr>
        <w:rPr>
          <w:szCs w:val="18"/>
        </w:rPr>
      </w:pPr>
    </w:p>
    <w:p w:rsidR="001E08F1" w:rsidRDefault="001E08F1" w:rsidP="001E08F1">
      <w:pPr>
        <w:rPr>
          <w:szCs w:val="18"/>
        </w:rPr>
      </w:pPr>
    </w:p>
    <w:p w:rsidR="001E08F1" w:rsidRPr="0074361D" w:rsidRDefault="001E08F1" w:rsidP="001E08F1">
      <w:pPr>
        <w:rPr>
          <w:rFonts w:cs="Arial"/>
          <w:bCs/>
          <w:iCs/>
          <w:color w:val="7F7F7F" w:themeColor="text2"/>
          <w:szCs w:val="18"/>
        </w:rPr>
      </w:pPr>
      <w:r w:rsidRPr="0074361D">
        <w:rPr>
          <w:szCs w:val="18"/>
        </w:rPr>
        <w:br w:type="page"/>
      </w:r>
    </w:p>
    <w:p w:rsidR="001E08F1" w:rsidRPr="008B477B" w:rsidRDefault="001E08F1" w:rsidP="001E08F1">
      <w:pPr>
        <w:pStyle w:val="Heading2"/>
        <w:rPr>
          <w:color w:val="B41F22" w:themeColor="accent1"/>
        </w:rPr>
      </w:pPr>
      <w:bookmarkStart w:id="21" w:name="_Toc432758329"/>
      <w:r w:rsidRPr="008B477B">
        <w:rPr>
          <w:color w:val="B41F22" w:themeColor="accent1"/>
        </w:rPr>
        <w:lastRenderedPageBreak/>
        <w:t>Indigenous Students</w:t>
      </w:r>
      <w:bookmarkEnd w:id="21"/>
    </w:p>
    <w:p w:rsidR="001E08F1" w:rsidRPr="00365EB2" w:rsidRDefault="001E08F1" w:rsidP="001E08F1"/>
    <w:p w:rsidR="001E08F1" w:rsidRPr="00DE7971" w:rsidRDefault="001E08F1" w:rsidP="001E08F1">
      <w:pPr>
        <w:pStyle w:val="Heading3"/>
        <w:rPr>
          <w:color w:val="7F7F7F" w:themeColor="text2"/>
        </w:rPr>
      </w:pPr>
      <w:r>
        <w:rPr>
          <w:color w:val="7F7F7F" w:themeColor="text2"/>
        </w:rPr>
        <w:t xml:space="preserve">Accredited </w:t>
      </w:r>
      <w:r w:rsidRPr="00DE7971">
        <w:rPr>
          <w:color w:val="7F7F7F" w:themeColor="text2"/>
        </w:rPr>
        <w:t>Course Enrolments</w:t>
      </w:r>
    </w:p>
    <w:p w:rsidR="001E08F1" w:rsidRPr="00365EB2" w:rsidRDefault="001E08F1" w:rsidP="001E08F1">
      <w:pPr>
        <w:pStyle w:val="Quote"/>
        <w:pBdr>
          <w:top w:val="single" w:sz="4" w:space="1" w:color="7F7F7F" w:themeColor="text2"/>
          <w:left w:val="single" w:sz="4" w:space="4" w:color="7F7F7F" w:themeColor="text2"/>
          <w:bottom w:val="single" w:sz="4" w:space="1" w:color="7F7F7F" w:themeColor="text2"/>
          <w:right w:val="single" w:sz="4" w:space="4" w:color="7F7F7F" w:themeColor="text2"/>
        </w:pBdr>
        <w:spacing w:after="120"/>
      </w:pPr>
      <w:r w:rsidRPr="00BB466D">
        <w:t>Key points</w:t>
      </w:r>
    </w:p>
    <w:p w:rsidR="001E08F1" w:rsidRPr="00365EB2" w:rsidRDefault="001E08F1" w:rsidP="001E08F1">
      <w:pPr>
        <w:pBdr>
          <w:top w:val="single" w:sz="4" w:space="1" w:color="7F7F7F" w:themeColor="text2"/>
          <w:left w:val="single" w:sz="4" w:space="4" w:color="7F7F7F" w:themeColor="text2"/>
          <w:bottom w:val="single" w:sz="4" w:space="1" w:color="7F7F7F" w:themeColor="text2"/>
          <w:right w:val="single" w:sz="4" w:space="4" w:color="7F7F7F" w:themeColor="text2"/>
        </w:pBdr>
        <w:spacing w:before="120" w:after="120"/>
      </w:pPr>
      <w:r w:rsidRPr="00365EB2">
        <w:t>The 201</w:t>
      </w:r>
      <w:r>
        <w:t>5 (half year)</w:t>
      </w:r>
      <w:r w:rsidRPr="00365EB2">
        <w:t xml:space="preserve"> data shows that:</w:t>
      </w:r>
    </w:p>
    <w:p w:rsidR="001E08F1" w:rsidRPr="00AE7775" w:rsidRDefault="001E08F1" w:rsidP="001E08F1">
      <w:pPr>
        <w:pStyle w:val="ListParagraph"/>
        <w:numPr>
          <w:ilvl w:val="0"/>
          <w:numId w:val="18"/>
        </w:numPr>
        <w:pBdr>
          <w:top w:val="single" w:sz="4" w:space="1" w:color="7F7F7F" w:themeColor="text2"/>
          <w:left w:val="single" w:sz="4" w:space="4" w:color="7F7F7F" w:themeColor="text2"/>
          <w:bottom w:val="single" w:sz="4" w:space="1" w:color="7F7F7F" w:themeColor="text2"/>
          <w:right w:val="single" w:sz="4" w:space="4" w:color="7F7F7F" w:themeColor="text2"/>
        </w:pBdr>
        <w:spacing w:before="120" w:after="120"/>
        <w:ind w:left="426" w:hanging="426"/>
        <w:contextualSpacing w:val="0"/>
        <w:rPr>
          <w:color w:val="7F7F7F" w:themeColor="text2"/>
        </w:rPr>
      </w:pPr>
      <w:r w:rsidRPr="00AE7775">
        <w:rPr>
          <w:color w:val="7F7F7F" w:themeColor="text2"/>
        </w:rPr>
        <w:t>There were 3,774 Indigenous students who were enrolled in 4,350 government subsidised accredited training courses. This is down by 8 per cent of students and 12 per cent of enrolments from the same period in 2014.</w:t>
      </w:r>
    </w:p>
    <w:p w:rsidR="001E08F1" w:rsidRPr="00AE7775" w:rsidRDefault="001E08F1" w:rsidP="001E08F1">
      <w:pPr>
        <w:pStyle w:val="ListParagraph"/>
        <w:numPr>
          <w:ilvl w:val="0"/>
          <w:numId w:val="18"/>
        </w:numPr>
        <w:pBdr>
          <w:top w:val="single" w:sz="4" w:space="1" w:color="7F7F7F" w:themeColor="text2"/>
          <w:left w:val="single" w:sz="4" w:space="4" w:color="7F7F7F" w:themeColor="text2"/>
          <w:bottom w:val="single" w:sz="4" w:space="1" w:color="7F7F7F" w:themeColor="text2"/>
          <w:right w:val="single" w:sz="4" w:space="4" w:color="7F7F7F" w:themeColor="text2"/>
        </w:pBdr>
        <w:spacing w:before="120" w:after="120"/>
        <w:ind w:left="426" w:hanging="426"/>
        <w:contextualSpacing w:val="0"/>
        <w:rPr>
          <w:color w:val="7F7F7F" w:themeColor="text2"/>
        </w:rPr>
      </w:pPr>
      <w:r w:rsidRPr="00AE7775">
        <w:rPr>
          <w:color w:val="7F7F7F" w:themeColor="text2"/>
        </w:rPr>
        <w:t>Apart from Diploma and above, there was a decline in the number of government subsidised accredited course enrolments by Indigenous students across all qualification levels compared to the same period in 2014.</w:t>
      </w:r>
    </w:p>
    <w:p w:rsidR="001E08F1" w:rsidRPr="00AE7775" w:rsidRDefault="001E08F1" w:rsidP="001E08F1">
      <w:pPr>
        <w:pStyle w:val="ListParagraph"/>
        <w:numPr>
          <w:ilvl w:val="0"/>
          <w:numId w:val="18"/>
        </w:numPr>
        <w:pBdr>
          <w:top w:val="single" w:sz="4" w:space="1" w:color="7F7F7F" w:themeColor="text2"/>
          <w:left w:val="single" w:sz="4" w:space="4" w:color="7F7F7F" w:themeColor="text2"/>
          <w:bottom w:val="single" w:sz="4" w:space="1" w:color="7F7F7F" w:themeColor="text2"/>
          <w:right w:val="single" w:sz="4" w:space="4" w:color="7F7F7F" w:themeColor="text2"/>
        </w:pBdr>
        <w:spacing w:before="120"/>
        <w:ind w:left="425" w:hanging="425"/>
        <w:contextualSpacing w:val="0"/>
        <w:rPr>
          <w:color w:val="7F7F7F" w:themeColor="text2"/>
        </w:rPr>
      </w:pPr>
      <w:r w:rsidRPr="00AE7775">
        <w:rPr>
          <w:color w:val="7F7F7F" w:themeColor="text2"/>
        </w:rPr>
        <w:t>Seventy three per cent of enrolments by Indigenous students were in Certificate III and above levels.</w:t>
      </w:r>
    </w:p>
    <w:p w:rsidR="001E08F1" w:rsidRPr="00365EB2" w:rsidRDefault="001E08F1" w:rsidP="001E08F1">
      <w:pPr>
        <w:pBdr>
          <w:top w:val="single" w:sz="4" w:space="1" w:color="7F7F7F" w:themeColor="text2"/>
          <w:left w:val="single" w:sz="4" w:space="4" w:color="7F7F7F" w:themeColor="text2"/>
          <w:bottom w:val="single" w:sz="4" w:space="1" w:color="7F7F7F" w:themeColor="text2"/>
          <w:right w:val="single" w:sz="4" w:space="4" w:color="7F7F7F" w:themeColor="text2"/>
        </w:pBdr>
      </w:pPr>
    </w:p>
    <w:p w:rsidR="001E08F1" w:rsidRDefault="001E08F1" w:rsidP="001E08F1"/>
    <w:p w:rsidR="001E08F1" w:rsidRDefault="001E08F1" w:rsidP="001E08F1"/>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1E08F1" w:rsidTr="00D07A42">
        <w:tc>
          <w:tcPr>
            <w:tcW w:w="1134" w:type="dxa"/>
            <w:tcMar>
              <w:left w:w="0" w:type="dxa"/>
              <w:right w:w="0" w:type="dxa"/>
            </w:tcMar>
          </w:tcPr>
          <w:p w:rsidR="001E08F1" w:rsidRDefault="00AF3E67" w:rsidP="00D07A42">
            <w:pPr>
              <w:pStyle w:val="Quote"/>
              <w:tabs>
                <w:tab w:val="left" w:pos="1134"/>
              </w:tabs>
              <w:rPr>
                <w:b w:val="0"/>
                <w:color w:val="B41F22" w:themeColor="accent1"/>
              </w:rPr>
            </w:pPr>
            <w:r>
              <w:rPr>
                <w:b w:val="0"/>
                <w:color w:val="B41F22" w:themeColor="accent1"/>
              </w:rPr>
              <w:t>Table 2</w:t>
            </w:r>
            <w:r w:rsidR="001E08F1">
              <w:rPr>
                <w:b w:val="0"/>
                <w:color w:val="B41F22" w:themeColor="accent1"/>
              </w:rPr>
              <w:t>.3.1:</w:t>
            </w:r>
          </w:p>
        </w:tc>
        <w:tc>
          <w:tcPr>
            <w:tcW w:w="6946" w:type="dxa"/>
            <w:tcMar>
              <w:left w:w="0" w:type="dxa"/>
              <w:right w:w="0" w:type="dxa"/>
            </w:tcMar>
          </w:tcPr>
          <w:p w:rsidR="001E08F1" w:rsidRDefault="001E08F1" w:rsidP="00D07A42">
            <w:pPr>
              <w:pStyle w:val="Quote"/>
              <w:tabs>
                <w:tab w:val="left" w:pos="1134"/>
              </w:tabs>
              <w:rPr>
                <w:b w:val="0"/>
                <w:color w:val="B41F22" w:themeColor="accent1"/>
              </w:rPr>
            </w:pPr>
            <w:r w:rsidRPr="00D87198">
              <w:rPr>
                <w:b w:val="0"/>
                <w:color w:val="B41F22" w:themeColor="accent1"/>
              </w:rPr>
              <w:t>Enrolments in government subsidised accredited training by qualification level for Indigenous students, 2010 to 2015 (half year)</w:t>
            </w:r>
          </w:p>
        </w:tc>
      </w:tr>
    </w:tbl>
    <w:tbl>
      <w:tblPr>
        <w:tblW w:w="8095" w:type="dxa"/>
        <w:tblInd w:w="93" w:type="dxa"/>
        <w:tblLayout w:type="fixed"/>
        <w:tblLook w:val="04A0" w:firstRow="1" w:lastRow="0" w:firstColumn="1" w:lastColumn="0" w:noHBand="0" w:noVBand="1"/>
      </w:tblPr>
      <w:tblGrid>
        <w:gridCol w:w="2283"/>
        <w:gridCol w:w="968"/>
        <w:gridCol w:w="969"/>
        <w:gridCol w:w="969"/>
        <w:gridCol w:w="968"/>
        <w:gridCol w:w="969"/>
        <w:gridCol w:w="969"/>
      </w:tblGrid>
      <w:tr w:rsidR="001E08F1" w:rsidRPr="00D87198" w:rsidTr="00D07A42">
        <w:trPr>
          <w:trHeight w:val="300"/>
        </w:trPr>
        <w:tc>
          <w:tcPr>
            <w:tcW w:w="2283" w:type="dxa"/>
            <w:tcBorders>
              <w:top w:val="nil"/>
              <w:left w:val="nil"/>
              <w:bottom w:val="nil"/>
              <w:right w:val="nil"/>
            </w:tcBorders>
            <w:shd w:val="clear" w:color="000000" w:fill="7F7F7F"/>
            <w:noWrap/>
            <w:vAlign w:val="center"/>
            <w:hideMark/>
          </w:tcPr>
          <w:p w:rsidR="001E08F1" w:rsidRPr="00D87198" w:rsidRDefault="001E08F1" w:rsidP="00D07A42">
            <w:pPr>
              <w:rPr>
                <w:rFonts w:cs="Arial"/>
                <w:color w:val="FFFFFF"/>
                <w:szCs w:val="18"/>
                <w:lang w:eastAsia="en-AU"/>
              </w:rPr>
            </w:pPr>
            <w:r w:rsidRPr="00D87198">
              <w:rPr>
                <w:rFonts w:cs="Arial"/>
                <w:color w:val="FFFFFF"/>
                <w:szCs w:val="18"/>
                <w:lang w:eastAsia="en-AU"/>
              </w:rPr>
              <w:t> </w:t>
            </w:r>
          </w:p>
        </w:tc>
        <w:tc>
          <w:tcPr>
            <w:tcW w:w="968" w:type="dxa"/>
            <w:tcBorders>
              <w:top w:val="nil"/>
              <w:left w:val="nil"/>
              <w:bottom w:val="nil"/>
              <w:right w:val="nil"/>
            </w:tcBorders>
            <w:shd w:val="clear" w:color="000000" w:fill="7F7F7F"/>
            <w:noWrap/>
            <w:vAlign w:val="center"/>
            <w:hideMark/>
          </w:tcPr>
          <w:p w:rsidR="001E08F1" w:rsidRPr="00D87198" w:rsidRDefault="001E08F1" w:rsidP="00D07A42">
            <w:pPr>
              <w:jc w:val="right"/>
              <w:rPr>
                <w:rFonts w:cs="Arial"/>
                <w:b/>
                <w:bCs/>
                <w:color w:val="FFFFFF"/>
                <w:szCs w:val="18"/>
                <w:lang w:eastAsia="en-AU"/>
              </w:rPr>
            </w:pPr>
            <w:r w:rsidRPr="00D87198">
              <w:rPr>
                <w:rFonts w:cs="Arial"/>
                <w:b/>
                <w:bCs/>
                <w:color w:val="FFFFFF"/>
                <w:szCs w:val="18"/>
                <w:lang w:eastAsia="en-AU"/>
              </w:rPr>
              <w:t>2010</w:t>
            </w:r>
          </w:p>
        </w:tc>
        <w:tc>
          <w:tcPr>
            <w:tcW w:w="969" w:type="dxa"/>
            <w:tcBorders>
              <w:top w:val="nil"/>
              <w:left w:val="nil"/>
              <w:bottom w:val="nil"/>
              <w:right w:val="nil"/>
            </w:tcBorders>
            <w:shd w:val="clear" w:color="000000" w:fill="7F7F7F"/>
            <w:noWrap/>
            <w:vAlign w:val="center"/>
            <w:hideMark/>
          </w:tcPr>
          <w:p w:rsidR="001E08F1" w:rsidRPr="00D87198" w:rsidRDefault="001E08F1" w:rsidP="00D07A42">
            <w:pPr>
              <w:jc w:val="right"/>
              <w:rPr>
                <w:rFonts w:cs="Arial"/>
                <w:b/>
                <w:bCs/>
                <w:color w:val="FFFFFF"/>
                <w:szCs w:val="18"/>
                <w:lang w:eastAsia="en-AU"/>
              </w:rPr>
            </w:pPr>
            <w:r w:rsidRPr="00D87198">
              <w:rPr>
                <w:rFonts w:cs="Arial"/>
                <w:b/>
                <w:bCs/>
                <w:color w:val="FFFFFF"/>
                <w:szCs w:val="18"/>
                <w:lang w:eastAsia="en-AU"/>
              </w:rPr>
              <w:t>2011</w:t>
            </w:r>
          </w:p>
        </w:tc>
        <w:tc>
          <w:tcPr>
            <w:tcW w:w="969" w:type="dxa"/>
            <w:tcBorders>
              <w:top w:val="nil"/>
              <w:left w:val="nil"/>
              <w:bottom w:val="nil"/>
              <w:right w:val="nil"/>
            </w:tcBorders>
            <w:shd w:val="clear" w:color="000000" w:fill="7F7F7F"/>
            <w:noWrap/>
            <w:vAlign w:val="center"/>
            <w:hideMark/>
          </w:tcPr>
          <w:p w:rsidR="001E08F1" w:rsidRPr="00D87198" w:rsidRDefault="001E08F1" w:rsidP="00D07A42">
            <w:pPr>
              <w:jc w:val="right"/>
              <w:rPr>
                <w:rFonts w:cs="Arial"/>
                <w:b/>
                <w:bCs/>
                <w:color w:val="FFFFFF"/>
                <w:szCs w:val="18"/>
                <w:lang w:eastAsia="en-AU"/>
              </w:rPr>
            </w:pPr>
            <w:r w:rsidRPr="00D87198">
              <w:rPr>
                <w:rFonts w:cs="Arial"/>
                <w:b/>
                <w:bCs/>
                <w:color w:val="FFFFFF"/>
                <w:szCs w:val="18"/>
                <w:lang w:eastAsia="en-AU"/>
              </w:rPr>
              <w:t>2012</w:t>
            </w:r>
          </w:p>
        </w:tc>
        <w:tc>
          <w:tcPr>
            <w:tcW w:w="968" w:type="dxa"/>
            <w:tcBorders>
              <w:top w:val="nil"/>
              <w:left w:val="nil"/>
              <w:bottom w:val="nil"/>
              <w:right w:val="nil"/>
            </w:tcBorders>
            <w:shd w:val="clear" w:color="000000" w:fill="7F7F7F"/>
            <w:noWrap/>
            <w:vAlign w:val="center"/>
            <w:hideMark/>
          </w:tcPr>
          <w:p w:rsidR="001E08F1" w:rsidRPr="00D87198" w:rsidRDefault="001E08F1" w:rsidP="00D07A42">
            <w:pPr>
              <w:jc w:val="right"/>
              <w:rPr>
                <w:rFonts w:cs="Arial"/>
                <w:b/>
                <w:bCs/>
                <w:color w:val="FFFFFF"/>
                <w:szCs w:val="18"/>
                <w:lang w:eastAsia="en-AU"/>
              </w:rPr>
            </w:pPr>
            <w:r w:rsidRPr="00D87198">
              <w:rPr>
                <w:rFonts w:cs="Arial"/>
                <w:b/>
                <w:bCs/>
                <w:color w:val="FFFFFF"/>
                <w:szCs w:val="18"/>
                <w:lang w:eastAsia="en-AU"/>
              </w:rPr>
              <w:t>2013</w:t>
            </w:r>
          </w:p>
        </w:tc>
        <w:tc>
          <w:tcPr>
            <w:tcW w:w="969" w:type="dxa"/>
            <w:tcBorders>
              <w:top w:val="nil"/>
              <w:left w:val="nil"/>
              <w:bottom w:val="nil"/>
              <w:right w:val="nil"/>
            </w:tcBorders>
            <w:shd w:val="clear" w:color="000000" w:fill="7F7F7F"/>
            <w:noWrap/>
            <w:vAlign w:val="center"/>
            <w:hideMark/>
          </w:tcPr>
          <w:p w:rsidR="001E08F1" w:rsidRPr="00D87198" w:rsidRDefault="001E08F1" w:rsidP="00D07A42">
            <w:pPr>
              <w:jc w:val="right"/>
              <w:rPr>
                <w:rFonts w:cs="Arial"/>
                <w:b/>
                <w:bCs/>
                <w:color w:val="FFFFFF"/>
                <w:szCs w:val="18"/>
                <w:lang w:eastAsia="en-AU"/>
              </w:rPr>
            </w:pPr>
            <w:r w:rsidRPr="00D87198">
              <w:rPr>
                <w:rFonts w:cs="Arial"/>
                <w:b/>
                <w:bCs/>
                <w:color w:val="FFFFFF"/>
                <w:szCs w:val="18"/>
                <w:lang w:eastAsia="en-AU"/>
              </w:rPr>
              <w:t>2014</w:t>
            </w:r>
          </w:p>
        </w:tc>
        <w:tc>
          <w:tcPr>
            <w:tcW w:w="969" w:type="dxa"/>
            <w:tcBorders>
              <w:top w:val="nil"/>
              <w:left w:val="nil"/>
              <w:bottom w:val="nil"/>
              <w:right w:val="nil"/>
            </w:tcBorders>
            <w:shd w:val="clear" w:color="000000" w:fill="7F7F7F"/>
            <w:noWrap/>
            <w:vAlign w:val="center"/>
            <w:hideMark/>
          </w:tcPr>
          <w:p w:rsidR="001E08F1" w:rsidRPr="00D87198" w:rsidRDefault="001E08F1" w:rsidP="00D07A42">
            <w:pPr>
              <w:jc w:val="right"/>
              <w:rPr>
                <w:rFonts w:cs="Arial"/>
                <w:b/>
                <w:bCs/>
                <w:color w:val="FFFFFF"/>
                <w:szCs w:val="18"/>
                <w:lang w:eastAsia="en-AU"/>
              </w:rPr>
            </w:pPr>
            <w:r w:rsidRPr="00D87198">
              <w:rPr>
                <w:rFonts w:cs="Arial"/>
                <w:b/>
                <w:bCs/>
                <w:color w:val="FFFFFF"/>
                <w:szCs w:val="18"/>
                <w:lang w:eastAsia="en-AU"/>
              </w:rPr>
              <w:t>2015</w:t>
            </w:r>
          </w:p>
        </w:tc>
      </w:tr>
      <w:tr w:rsidR="001E08F1" w:rsidRPr="00D87198" w:rsidTr="00D07A42">
        <w:trPr>
          <w:trHeight w:val="300"/>
        </w:trPr>
        <w:tc>
          <w:tcPr>
            <w:tcW w:w="2283" w:type="dxa"/>
            <w:tcBorders>
              <w:top w:val="nil"/>
              <w:left w:val="nil"/>
              <w:bottom w:val="nil"/>
              <w:right w:val="nil"/>
            </w:tcBorders>
            <w:shd w:val="clear" w:color="auto" w:fill="auto"/>
            <w:noWrap/>
            <w:vAlign w:val="center"/>
            <w:hideMark/>
          </w:tcPr>
          <w:p w:rsidR="001E08F1" w:rsidRPr="00D87198" w:rsidRDefault="001E08F1" w:rsidP="00D07A42">
            <w:pPr>
              <w:rPr>
                <w:rFonts w:cs="Arial"/>
                <w:color w:val="7F7F7F"/>
                <w:szCs w:val="18"/>
                <w:lang w:eastAsia="en-AU"/>
              </w:rPr>
            </w:pPr>
            <w:r w:rsidRPr="00D87198">
              <w:rPr>
                <w:rFonts w:cs="Arial"/>
                <w:color w:val="7F7F7F"/>
                <w:szCs w:val="18"/>
                <w:lang w:eastAsia="en-AU"/>
              </w:rPr>
              <w:t>Cert I/II</w:t>
            </w:r>
          </w:p>
        </w:tc>
        <w:tc>
          <w:tcPr>
            <w:tcW w:w="968" w:type="dxa"/>
            <w:tcBorders>
              <w:top w:val="nil"/>
              <w:left w:val="nil"/>
              <w:bottom w:val="nil"/>
              <w:right w:val="nil"/>
            </w:tcBorders>
            <w:shd w:val="clear" w:color="auto" w:fill="auto"/>
            <w:noWrap/>
            <w:vAlign w:val="center"/>
            <w:hideMark/>
          </w:tcPr>
          <w:p w:rsidR="001E08F1" w:rsidRPr="00D87198" w:rsidRDefault="001E08F1" w:rsidP="00D07A42">
            <w:pPr>
              <w:jc w:val="right"/>
              <w:rPr>
                <w:rFonts w:cs="Arial"/>
                <w:color w:val="7F7F7F"/>
                <w:szCs w:val="18"/>
                <w:lang w:eastAsia="en-AU"/>
              </w:rPr>
            </w:pPr>
            <w:r w:rsidRPr="00D87198">
              <w:rPr>
                <w:rFonts w:cs="Arial"/>
                <w:color w:val="7F7F7F"/>
                <w:szCs w:val="18"/>
                <w:lang w:eastAsia="en-AU"/>
              </w:rPr>
              <w:t>1,501</w:t>
            </w:r>
          </w:p>
        </w:tc>
        <w:tc>
          <w:tcPr>
            <w:tcW w:w="969" w:type="dxa"/>
            <w:tcBorders>
              <w:top w:val="nil"/>
              <w:left w:val="nil"/>
              <w:bottom w:val="nil"/>
              <w:right w:val="nil"/>
            </w:tcBorders>
            <w:shd w:val="clear" w:color="auto" w:fill="auto"/>
            <w:noWrap/>
            <w:vAlign w:val="center"/>
            <w:hideMark/>
          </w:tcPr>
          <w:p w:rsidR="001E08F1" w:rsidRPr="00D87198" w:rsidRDefault="001E08F1" w:rsidP="00D07A42">
            <w:pPr>
              <w:jc w:val="right"/>
              <w:rPr>
                <w:rFonts w:cs="Arial"/>
                <w:color w:val="7F7F7F"/>
                <w:szCs w:val="18"/>
                <w:lang w:eastAsia="en-AU"/>
              </w:rPr>
            </w:pPr>
            <w:r w:rsidRPr="00D87198">
              <w:rPr>
                <w:rFonts w:cs="Arial"/>
                <w:color w:val="7F7F7F"/>
                <w:szCs w:val="18"/>
                <w:lang w:eastAsia="en-AU"/>
              </w:rPr>
              <w:t>1,610</w:t>
            </w:r>
          </w:p>
        </w:tc>
        <w:tc>
          <w:tcPr>
            <w:tcW w:w="969" w:type="dxa"/>
            <w:tcBorders>
              <w:top w:val="nil"/>
              <w:left w:val="nil"/>
              <w:bottom w:val="nil"/>
              <w:right w:val="nil"/>
            </w:tcBorders>
            <w:shd w:val="clear" w:color="auto" w:fill="auto"/>
            <w:noWrap/>
            <w:vAlign w:val="center"/>
            <w:hideMark/>
          </w:tcPr>
          <w:p w:rsidR="001E08F1" w:rsidRPr="00D87198" w:rsidRDefault="001E08F1" w:rsidP="00D07A42">
            <w:pPr>
              <w:jc w:val="right"/>
              <w:rPr>
                <w:rFonts w:cs="Arial"/>
                <w:color w:val="7F7F7F"/>
                <w:szCs w:val="18"/>
                <w:lang w:eastAsia="en-AU"/>
              </w:rPr>
            </w:pPr>
            <w:r w:rsidRPr="00D87198">
              <w:rPr>
                <w:rFonts w:cs="Arial"/>
                <w:color w:val="7F7F7F"/>
                <w:szCs w:val="18"/>
                <w:lang w:eastAsia="en-AU"/>
              </w:rPr>
              <w:t>1,759</w:t>
            </w:r>
          </w:p>
        </w:tc>
        <w:tc>
          <w:tcPr>
            <w:tcW w:w="968" w:type="dxa"/>
            <w:tcBorders>
              <w:top w:val="nil"/>
              <w:left w:val="nil"/>
              <w:bottom w:val="nil"/>
              <w:right w:val="nil"/>
            </w:tcBorders>
            <w:shd w:val="clear" w:color="auto" w:fill="auto"/>
            <w:noWrap/>
            <w:vAlign w:val="center"/>
            <w:hideMark/>
          </w:tcPr>
          <w:p w:rsidR="001E08F1" w:rsidRPr="00D87198" w:rsidRDefault="001E08F1" w:rsidP="00D07A42">
            <w:pPr>
              <w:jc w:val="right"/>
              <w:rPr>
                <w:rFonts w:cs="Arial"/>
                <w:color w:val="7F7F7F"/>
                <w:szCs w:val="18"/>
                <w:lang w:eastAsia="en-AU"/>
              </w:rPr>
            </w:pPr>
            <w:r w:rsidRPr="00D87198">
              <w:rPr>
                <w:rFonts w:cs="Arial"/>
                <w:color w:val="7F7F7F"/>
                <w:szCs w:val="18"/>
                <w:lang w:eastAsia="en-AU"/>
              </w:rPr>
              <w:t>1,841</w:t>
            </w:r>
          </w:p>
        </w:tc>
        <w:tc>
          <w:tcPr>
            <w:tcW w:w="969" w:type="dxa"/>
            <w:tcBorders>
              <w:top w:val="nil"/>
              <w:left w:val="nil"/>
              <w:bottom w:val="nil"/>
              <w:right w:val="nil"/>
            </w:tcBorders>
            <w:shd w:val="clear" w:color="auto" w:fill="auto"/>
            <w:noWrap/>
            <w:vAlign w:val="center"/>
            <w:hideMark/>
          </w:tcPr>
          <w:p w:rsidR="001E08F1" w:rsidRPr="00D87198" w:rsidRDefault="001E08F1" w:rsidP="00D07A42">
            <w:pPr>
              <w:jc w:val="right"/>
              <w:rPr>
                <w:rFonts w:cs="Arial"/>
                <w:color w:val="7F7F7F"/>
                <w:szCs w:val="18"/>
                <w:lang w:eastAsia="en-AU"/>
              </w:rPr>
            </w:pPr>
            <w:r w:rsidRPr="00D87198">
              <w:rPr>
                <w:rFonts w:cs="Arial"/>
                <w:color w:val="7F7F7F"/>
                <w:szCs w:val="18"/>
                <w:lang w:eastAsia="en-AU"/>
              </w:rPr>
              <w:t>1,133</w:t>
            </w:r>
          </w:p>
        </w:tc>
        <w:tc>
          <w:tcPr>
            <w:tcW w:w="969" w:type="dxa"/>
            <w:tcBorders>
              <w:top w:val="nil"/>
              <w:left w:val="nil"/>
              <w:bottom w:val="nil"/>
              <w:right w:val="nil"/>
            </w:tcBorders>
            <w:shd w:val="clear" w:color="auto" w:fill="auto"/>
            <w:noWrap/>
            <w:vAlign w:val="center"/>
            <w:hideMark/>
          </w:tcPr>
          <w:p w:rsidR="001E08F1" w:rsidRPr="00D87198" w:rsidRDefault="001E08F1" w:rsidP="00D07A42">
            <w:pPr>
              <w:jc w:val="right"/>
              <w:rPr>
                <w:rFonts w:cs="Arial"/>
                <w:color w:val="7F7F7F"/>
                <w:szCs w:val="18"/>
                <w:lang w:eastAsia="en-AU"/>
              </w:rPr>
            </w:pPr>
            <w:r w:rsidRPr="00D87198">
              <w:rPr>
                <w:rFonts w:cs="Arial"/>
                <w:color w:val="7F7F7F"/>
                <w:szCs w:val="18"/>
                <w:lang w:eastAsia="en-AU"/>
              </w:rPr>
              <w:t>921</w:t>
            </w:r>
          </w:p>
        </w:tc>
      </w:tr>
      <w:tr w:rsidR="001E08F1" w:rsidRPr="00D87198" w:rsidTr="00D07A42">
        <w:trPr>
          <w:trHeight w:val="300"/>
        </w:trPr>
        <w:tc>
          <w:tcPr>
            <w:tcW w:w="2283" w:type="dxa"/>
            <w:tcBorders>
              <w:top w:val="nil"/>
              <w:left w:val="nil"/>
              <w:bottom w:val="nil"/>
              <w:right w:val="nil"/>
            </w:tcBorders>
            <w:shd w:val="clear" w:color="auto" w:fill="auto"/>
            <w:noWrap/>
            <w:vAlign w:val="center"/>
            <w:hideMark/>
          </w:tcPr>
          <w:p w:rsidR="001E08F1" w:rsidRPr="00D87198" w:rsidRDefault="001E08F1" w:rsidP="00D07A42">
            <w:pPr>
              <w:rPr>
                <w:rFonts w:cs="Arial"/>
                <w:color w:val="7F7F7F"/>
                <w:szCs w:val="18"/>
                <w:lang w:eastAsia="en-AU"/>
              </w:rPr>
            </w:pPr>
            <w:r w:rsidRPr="00D87198">
              <w:rPr>
                <w:rFonts w:cs="Arial"/>
                <w:color w:val="7F7F7F"/>
                <w:szCs w:val="18"/>
                <w:lang w:eastAsia="en-AU"/>
              </w:rPr>
              <w:t>Cert III/IV</w:t>
            </w:r>
          </w:p>
        </w:tc>
        <w:tc>
          <w:tcPr>
            <w:tcW w:w="968" w:type="dxa"/>
            <w:tcBorders>
              <w:top w:val="nil"/>
              <w:left w:val="nil"/>
              <w:bottom w:val="nil"/>
              <w:right w:val="nil"/>
            </w:tcBorders>
            <w:shd w:val="clear" w:color="auto" w:fill="auto"/>
            <w:noWrap/>
            <w:vAlign w:val="center"/>
            <w:hideMark/>
          </w:tcPr>
          <w:p w:rsidR="001E08F1" w:rsidRPr="00D87198" w:rsidRDefault="001E08F1" w:rsidP="00D07A42">
            <w:pPr>
              <w:jc w:val="right"/>
              <w:rPr>
                <w:rFonts w:cs="Arial"/>
                <w:color w:val="7F7F7F"/>
                <w:szCs w:val="18"/>
                <w:lang w:eastAsia="en-AU"/>
              </w:rPr>
            </w:pPr>
            <w:r w:rsidRPr="00D87198">
              <w:rPr>
                <w:rFonts w:cs="Arial"/>
                <w:color w:val="7F7F7F"/>
                <w:szCs w:val="18"/>
                <w:lang w:eastAsia="en-AU"/>
              </w:rPr>
              <w:t>1,420</w:t>
            </w:r>
          </w:p>
        </w:tc>
        <w:tc>
          <w:tcPr>
            <w:tcW w:w="969" w:type="dxa"/>
            <w:tcBorders>
              <w:top w:val="nil"/>
              <w:left w:val="nil"/>
              <w:bottom w:val="nil"/>
              <w:right w:val="nil"/>
            </w:tcBorders>
            <w:shd w:val="clear" w:color="auto" w:fill="auto"/>
            <w:noWrap/>
            <w:vAlign w:val="center"/>
            <w:hideMark/>
          </w:tcPr>
          <w:p w:rsidR="001E08F1" w:rsidRPr="00D87198" w:rsidRDefault="001E08F1" w:rsidP="00D07A42">
            <w:pPr>
              <w:jc w:val="right"/>
              <w:rPr>
                <w:rFonts w:cs="Arial"/>
                <w:color w:val="7F7F7F"/>
                <w:szCs w:val="18"/>
                <w:lang w:eastAsia="en-AU"/>
              </w:rPr>
            </w:pPr>
            <w:r w:rsidRPr="00D87198">
              <w:rPr>
                <w:rFonts w:cs="Arial"/>
                <w:color w:val="7F7F7F"/>
                <w:szCs w:val="18"/>
                <w:lang w:eastAsia="en-AU"/>
              </w:rPr>
              <w:t>1,908</w:t>
            </w:r>
          </w:p>
        </w:tc>
        <w:tc>
          <w:tcPr>
            <w:tcW w:w="969" w:type="dxa"/>
            <w:tcBorders>
              <w:top w:val="nil"/>
              <w:left w:val="nil"/>
              <w:bottom w:val="nil"/>
              <w:right w:val="nil"/>
            </w:tcBorders>
            <w:shd w:val="clear" w:color="auto" w:fill="auto"/>
            <w:noWrap/>
            <w:vAlign w:val="center"/>
            <w:hideMark/>
          </w:tcPr>
          <w:p w:rsidR="001E08F1" w:rsidRPr="00D87198" w:rsidRDefault="001E08F1" w:rsidP="00D07A42">
            <w:pPr>
              <w:jc w:val="right"/>
              <w:rPr>
                <w:rFonts w:cs="Arial"/>
                <w:color w:val="7F7F7F"/>
                <w:szCs w:val="18"/>
                <w:lang w:eastAsia="en-AU"/>
              </w:rPr>
            </w:pPr>
            <w:r w:rsidRPr="00D87198">
              <w:rPr>
                <w:rFonts w:cs="Arial"/>
                <w:color w:val="7F7F7F"/>
                <w:szCs w:val="18"/>
                <w:lang w:eastAsia="en-AU"/>
              </w:rPr>
              <w:t>2,582</w:t>
            </w:r>
          </w:p>
        </w:tc>
        <w:tc>
          <w:tcPr>
            <w:tcW w:w="968" w:type="dxa"/>
            <w:tcBorders>
              <w:top w:val="nil"/>
              <w:left w:val="nil"/>
              <w:bottom w:val="nil"/>
              <w:right w:val="nil"/>
            </w:tcBorders>
            <w:shd w:val="clear" w:color="auto" w:fill="auto"/>
            <w:noWrap/>
            <w:vAlign w:val="center"/>
            <w:hideMark/>
          </w:tcPr>
          <w:p w:rsidR="001E08F1" w:rsidRPr="00D87198" w:rsidRDefault="001E08F1" w:rsidP="00D07A42">
            <w:pPr>
              <w:jc w:val="right"/>
              <w:rPr>
                <w:rFonts w:cs="Arial"/>
                <w:color w:val="7F7F7F"/>
                <w:szCs w:val="18"/>
                <w:lang w:eastAsia="en-AU"/>
              </w:rPr>
            </w:pPr>
            <w:r w:rsidRPr="00D87198">
              <w:rPr>
                <w:rFonts w:cs="Arial"/>
                <w:color w:val="7F7F7F"/>
                <w:szCs w:val="18"/>
                <w:lang w:eastAsia="en-AU"/>
              </w:rPr>
              <w:t>2,369</w:t>
            </w:r>
          </w:p>
        </w:tc>
        <w:tc>
          <w:tcPr>
            <w:tcW w:w="969" w:type="dxa"/>
            <w:tcBorders>
              <w:top w:val="nil"/>
              <w:left w:val="nil"/>
              <w:bottom w:val="nil"/>
              <w:right w:val="nil"/>
            </w:tcBorders>
            <w:shd w:val="clear" w:color="auto" w:fill="auto"/>
            <w:noWrap/>
            <w:vAlign w:val="center"/>
            <w:hideMark/>
          </w:tcPr>
          <w:p w:rsidR="001E08F1" w:rsidRPr="00D87198" w:rsidRDefault="001E08F1" w:rsidP="00D07A42">
            <w:pPr>
              <w:jc w:val="right"/>
              <w:rPr>
                <w:rFonts w:cs="Arial"/>
                <w:color w:val="7F7F7F"/>
                <w:szCs w:val="18"/>
                <w:lang w:eastAsia="en-AU"/>
              </w:rPr>
            </w:pPr>
            <w:r w:rsidRPr="00D87198">
              <w:rPr>
                <w:rFonts w:cs="Arial"/>
                <w:color w:val="7F7F7F"/>
                <w:szCs w:val="18"/>
                <w:lang w:eastAsia="en-AU"/>
              </w:rPr>
              <w:t>2,757</w:t>
            </w:r>
          </w:p>
        </w:tc>
        <w:tc>
          <w:tcPr>
            <w:tcW w:w="969" w:type="dxa"/>
            <w:tcBorders>
              <w:top w:val="nil"/>
              <w:left w:val="nil"/>
              <w:bottom w:val="nil"/>
              <w:right w:val="nil"/>
            </w:tcBorders>
            <w:shd w:val="clear" w:color="auto" w:fill="auto"/>
            <w:noWrap/>
            <w:vAlign w:val="center"/>
            <w:hideMark/>
          </w:tcPr>
          <w:p w:rsidR="001E08F1" w:rsidRPr="00D87198" w:rsidRDefault="001E08F1" w:rsidP="00D07A42">
            <w:pPr>
              <w:jc w:val="right"/>
              <w:rPr>
                <w:rFonts w:cs="Arial"/>
                <w:color w:val="7F7F7F"/>
                <w:szCs w:val="18"/>
                <w:lang w:eastAsia="en-AU"/>
              </w:rPr>
            </w:pPr>
            <w:r w:rsidRPr="00D87198">
              <w:rPr>
                <w:rFonts w:cs="Arial"/>
                <w:color w:val="7F7F7F"/>
                <w:szCs w:val="18"/>
                <w:lang w:eastAsia="en-AU"/>
              </w:rPr>
              <w:t>2,678</w:t>
            </w:r>
          </w:p>
        </w:tc>
      </w:tr>
      <w:tr w:rsidR="001E08F1" w:rsidRPr="00D87198" w:rsidTr="00D07A42">
        <w:trPr>
          <w:trHeight w:val="300"/>
        </w:trPr>
        <w:tc>
          <w:tcPr>
            <w:tcW w:w="2283" w:type="dxa"/>
            <w:tcBorders>
              <w:top w:val="nil"/>
              <w:left w:val="nil"/>
              <w:bottom w:val="nil"/>
              <w:right w:val="nil"/>
            </w:tcBorders>
            <w:shd w:val="clear" w:color="auto" w:fill="auto"/>
            <w:noWrap/>
            <w:vAlign w:val="center"/>
            <w:hideMark/>
          </w:tcPr>
          <w:p w:rsidR="001E08F1" w:rsidRPr="00D87198" w:rsidRDefault="001E08F1" w:rsidP="00D07A42">
            <w:pPr>
              <w:rPr>
                <w:rFonts w:cs="Arial"/>
                <w:color w:val="7F7F7F"/>
                <w:szCs w:val="18"/>
                <w:lang w:eastAsia="en-AU"/>
              </w:rPr>
            </w:pPr>
            <w:r w:rsidRPr="00D87198">
              <w:rPr>
                <w:rFonts w:cs="Arial"/>
                <w:color w:val="7F7F7F"/>
                <w:szCs w:val="18"/>
                <w:lang w:eastAsia="en-AU"/>
              </w:rPr>
              <w:t>Diploma &amp; Above</w:t>
            </w:r>
          </w:p>
        </w:tc>
        <w:tc>
          <w:tcPr>
            <w:tcW w:w="968" w:type="dxa"/>
            <w:tcBorders>
              <w:top w:val="nil"/>
              <w:left w:val="nil"/>
              <w:bottom w:val="nil"/>
              <w:right w:val="nil"/>
            </w:tcBorders>
            <w:shd w:val="clear" w:color="auto" w:fill="auto"/>
            <w:noWrap/>
            <w:vAlign w:val="center"/>
            <w:hideMark/>
          </w:tcPr>
          <w:p w:rsidR="001E08F1" w:rsidRPr="00D87198" w:rsidRDefault="001E08F1" w:rsidP="00D07A42">
            <w:pPr>
              <w:jc w:val="right"/>
              <w:rPr>
                <w:rFonts w:cs="Arial"/>
                <w:color w:val="7F7F7F"/>
                <w:szCs w:val="18"/>
                <w:lang w:eastAsia="en-AU"/>
              </w:rPr>
            </w:pPr>
            <w:r w:rsidRPr="00D87198">
              <w:rPr>
                <w:rFonts w:cs="Arial"/>
                <w:color w:val="7F7F7F"/>
                <w:szCs w:val="18"/>
                <w:lang w:eastAsia="en-AU"/>
              </w:rPr>
              <w:t>286</w:t>
            </w:r>
          </w:p>
        </w:tc>
        <w:tc>
          <w:tcPr>
            <w:tcW w:w="969" w:type="dxa"/>
            <w:tcBorders>
              <w:top w:val="nil"/>
              <w:left w:val="nil"/>
              <w:bottom w:val="nil"/>
              <w:right w:val="nil"/>
            </w:tcBorders>
            <w:shd w:val="clear" w:color="auto" w:fill="auto"/>
            <w:noWrap/>
            <w:vAlign w:val="center"/>
            <w:hideMark/>
          </w:tcPr>
          <w:p w:rsidR="001E08F1" w:rsidRPr="00D87198" w:rsidRDefault="001E08F1" w:rsidP="00D07A42">
            <w:pPr>
              <w:jc w:val="right"/>
              <w:rPr>
                <w:rFonts w:cs="Arial"/>
                <w:color w:val="7F7F7F"/>
                <w:szCs w:val="18"/>
                <w:lang w:eastAsia="en-AU"/>
              </w:rPr>
            </w:pPr>
            <w:r w:rsidRPr="00D87198">
              <w:rPr>
                <w:rFonts w:cs="Arial"/>
                <w:color w:val="7F7F7F"/>
                <w:szCs w:val="18"/>
                <w:lang w:eastAsia="en-AU"/>
              </w:rPr>
              <w:t>398</w:t>
            </w:r>
          </w:p>
        </w:tc>
        <w:tc>
          <w:tcPr>
            <w:tcW w:w="969" w:type="dxa"/>
            <w:tcBorders>
              <w:top w:val="nil"/>
              <w:left w:val="nil"/>
              <w:bottom w:val="nil"/>
              <w:right w:val="nil"/>
            </w:tcBorders>
            <w:shd w:val="clear" w:color="auto" w:fill="auto"/>
            <w:noWrap/>
            <w:vAlign w:val="center"/>
            <w:hideMark/>
          </w:tcPr>
          <w:p w:rsidR="001E08F1" w:rsidRPr="00D87198" w:rsidRDefault="001E08F1" w:rsidP="00D07A42">
            <w:pPr>
              <w:jc w:val="right"/>
              <w:rPr>
                <w:rFonts w:cs="Arial"/>
                <w:color w:val="7F7F7F"/>
                <w:szCs w:val="18"/>
                <w:lang w:eastAsia="en-AU"/>
              </w:rPr>
            </w:pPr>
            <w:r w:rsidRPr="00D87198">
              <w:rPr>
                <w:rFonts w:cs="Arial"/>
                <w:color w:val="7F7F7F"/>
                <w:szCs w:val="18"/>
                <w:lang w:eastAsia="en-AU"/>
              </w:rPr>
              <w:t>478</w:t>
            </w:r>
          </w:p>
        </w:tc>
        <w:tc>
          <w:tcPr>
            <w:tcW w:w="968" w:type="dxa"/>
            <w:tcBorders>
              <w:top w:val="nil"/>
              <w:left w:val="nil"/>
              <w:bottom w:val="nil"/>
              <w:right w:val="nil"/>
            </w:tcBorders>
            <w:shd w:val="clear" w:color="auto" w:fill="auto"/>
            <w:noWrap/>
            <w:vAlign w:val="center"/>
            <w:hideMark/>
          </w:tcPr>
          <w:p w:rsidR="001E08F1" w:rsidRPr="00D87198" w:rsidRDefault="001E08F1" w:rsidP="00D07A42">
            <w:pPr>
              <w:jc w:val="right"/>
              <w:rPr>
                <w:rFonts w:cs="Arial"/>
                <w:color w:val="7F7F7F"/>
                <w:szCs w:val="18"/>
                <w:lang w:eastAsia="en-AU"/>
              </w:rPr>
            </w:pPr>
            <w:r w:rsidRPr="00D87198">
              <w:rPr>
                <w:rFonts w:cs="Arial"/>
                <w:color w:val="7F7F7F"/>
                <w:szCs w:val="18"/>
                <w:lang w:eastAsia="en-AU"/>
              </w:rPr>
              <w:t>402</w:t>
            </w:r>
          </w:p>
        </w:tc>
        <w:tc>
          <w:tcPr>
            <w:tcW w:w="969" w:type="dxa"/>
            <w:tcBorders>
              <w:top w:val="nil"/>
              <w:left w:val="nil"/>
              <w:bottom w:val="nil"/>
              <w:right w:val="nil"/>
            </w:tcBorders>
            <w:shd w:val="clear" w:color="auto" w:fill="auto"/>
            <w:noWrap/>
            <w:vAlign w:val="center"/>
            <w:hideMark/>
          </w:tcPr>
          <w:p w:rsidR="001E08F1" w:rsidRPr="00D87198" w:rsidRDefault="001E08F1" w:rsidP="00D07A42">
            <w:pPr>
              <w:jc w:val="right"/>
              <w:rPr>
                <w:rFonts w:cs="Arial"/>
                <w:color w:val="7F7F7F"/>
                <w:szCs w:val="18"/>
                <w:lang w:eastAsia="en-AU"/>
              </w:rPr>
            </w:pPr>
            <w:r w:rsidRPr="00D87198">
              <w:rPr>
                <w:rFonts w:cs="Arial"/>
                <w:color w:val="7F7F7F"/>
                <w:szCs w:val="18"/>
                <w:lang w:eastAsia="en-AU"/>
              </w:rPr>
              <w:t>450</w:t>
            </w:r>
          </w:p>
        </w:tc>
        <w:tc>
          <w:tcPr>
            <w:tcW w:w="969" w:type="dxa"/>
            <w:tcBorders>
              <w:top w:val="nil"/>
              <w:left w:val="nil"/>
              <w:bottom w:val="nil"/>
              <w:right w:val="nil"/>
            </w:tcBorders>
            <w:shd w:val="clear" w:color="auto" w:fill="auto"/>
            <w:noWrap/>
            <w:vAlign w:val="center"/>
            <w:hideMark/>
          </w:tcPr>
          <w:p w:rsidR="001E08F1" w:rsidRPr="00D87198" w:rsidRDefault="001E08F1" w:rsidP="00D07A42">
            <w:pPr>
              <w:jc w:val="right"/>
              <w:rPr>
                <w:rFonts w:cs="Arial"/>
                <w:color w:val="7F7F7F"/>
                <w:szCs w:val="18"/>
                <w:lang w:eastAsia="en-AU"/>
              </w:rPr>
            </w:pPr>
            <w:r w:rsidRPr="00D87198">
              <w:rPr>
                <w:rFonts w:cs="Arial"/>
                <w:color w:val="7F7F7F"/>
                <w:szCs w:val="18"/>
                <w:lang w:eastAsia="en-AU"/>
              </w:rPr>
              <w:t>499</w:t>
            </w:r>
          </w:p>
        </w:tc>
      </w:tr>
      <w:tr w:rsidR="001E08F1" w:rsidRPr="00D87198" w:rsidTr="00D07A42">
        <w:trPr>
          <w:trHeight w:val="300"/>
        </w:trPr>
        <w:tc>
          <w:tcPr>
            <w:tcW w:w="2283" w:type="dxa"/>
            <w:tcBorders>
              <w:top w:val="nil"/>
              <w:left w:val="nil"/>
              <w:bottom w:val="nil"/>
              <w:right w:val="nil"/>
            </w:tcBorders>
            <w:shd w:val="clear" w:color="auto" w:fill="auto"/>
            <w:noWrap/>
            <w:vAlign w:val="center"/>
            <w:hideMark/>
          </w:tcPr>
          <w:p w:rsidR="001E08F1" w:rsidRPr="00D87198" w:rsidRDefault="001E08F1" w:rsidP="00D07A42">
            <w:pPr>
              <w:rPr>
                <w:rFonts w:cs="Arial"/>
                <w:color w:val="7F7F7F"/>
                <w:szCs w:val="18"/>
                <w:lang w:eastAsia="en-AU"/>
              </w:rPr>
            </w:pPr>
            <w:r w:rsidRPr="00D87198">
              <w:rPr>
                <w:rFonts w:cs="Arial"/>
                <w:color w:val="7F7F7F"/>
                <w:szCs w:val="18"/>
                <w:lang w:eastAsia="en-AU"/>
              </w:rPr>
              <w:t>Module Only</w:t>
            </w:r>
          </w:p>
        </w:tc>
        <w:tc>
          <w:tcPr>
            <w:tcW w:w="968" w:type="dxa"/>
            <w:tcBorders>
              <w:top w:val="nil"/>
              <w:left w:val="nil"/>
              <w:bottom w:val="nil"/>
              <w:right w:val="nil"/>
            </w:tcBorders>
            <w:shd w:val="clear" w:color="auto" w:fill="auto"/>
            <w:noWrap/>
            <w:vAlign w:val="center"/>
            <w:hideMark/>
          </w:tcPr>
          <w:p w:rsidR="001E08F1" w:rsidRPr="00D87198" w:rsidRDefault="001E08F1" w:rsidP="00D07A42">
            <w:pPr>
              <w:jc w:val="right"/>
              <w:rPr>
                <w:rFonts w:cs="Arial"/>
                <w:color w:val="7F7F7F"/>
                <w:szCs w:val="18"/>
                <w:lang w:eastAsia="en-AU"/>
              </w:rPr>
            </w:pPr>
            <w:r w:rsidRPr="00D87198">
              <w:rPr>
                <w:rFonts w:cs="Arial"/>
                <w:color w:val="7F7F7F"/>
                <w:szCs w:val="18"/>
                <w:lang w:eastAsia="en-AU"/>
              </w:rPr>
              <w:t>80</w:t>
            </w:r>
          </w:p>
        </w:tc>
        <w:tc>
          <w:tcPr>
            <w:tcW w:w="969" w:type="dxa"/>
            <w:tcBorders>
              <w:top w:val="nil"/>
              <w:left w:val="nil"/>
              <w:bottom w:val="nil"/>
              <w:right w:val="nil"/>
            </w:tcBorders>
            <w:shd w:val="clear" w:color="auto" w:fill="auto"/>
            <w:noWrap/>
            <w:vAlign w:val="center"/>
            <w:hideMark/>
          </w:tcPr>
          <w:p w:rsidR="001E08F1" w:rsidRPr="00D87198" w:rsidRDefault="001E08F1" w:rsidP="00D07A42">
            <w:pPr>
              <w:jc w:val="right"/>
              <w:rPr>
                <w:rFonts w:cs="Arial"/>
                <w:color w:val="7F7F7F"/>
                <w:szCs w:val="18"/>
                <w:lang w:eastAsia="en-AU"/>
              </w:rPr>
            </w:pPr>
            <w:r w:rsidRPr="00D87198">
              <w:rPr>
                <w:rFonts w:cs="Arial"/>
                <w:color w:val="7F7F7F"/>
                <w:szCs w:val="18"/>
                <w:lang w:eastAsia="en-AU"/>
              </w:rPr>
              <w:t>14</w:t>
            </w:r>
          </w:p>
        </w:tc>
        <w:tc>
          <w:tcPr>
            <w:tcW w:w="969" w:type="dxa"/>
            <w:tcBorders>
              <w:top w:val="nil"/>
              <w:left w:val="nil"/>
              <w:bottom w:val="nil"/>
              <w:right w:val="nil"/>
            </w:tcBorders>
            <w:shd w:val="clear" w:color="auto" w:fill="auto"/>
            <w:noWrap/>
            <w:vAlign w:val="center"/>
            <w:hideMark/>
          </w:tcPr>
          <w:p w:rsidR="001E08F1" w:rsidRPr="00D87198" w:rsidRDefault="001E08F1" w:rsidP="00D07A42">
            <w:pPr>
              <w:jc w:val="right"/>
              <w:rPr>
                <w:rFonts w:cs="Arial"/>
                <w:color w:val="7F7F7F"/>
                <w:szCs w:val="18"/>
                <w:lang w:eastAsia="en-AU"/>
              </w:rPr>
            </w:pPr>
            <w:r w:rsidRPr="00D87198">
              <w:rPr>
                <w:rFonts w:cs="Arial"/>
                <w:color w:val="7F7F7F"/>
                <w:szCs w:val="18"/>
                <w:lang w:eastAsia="en-AU"/>
              </w:rPr>
              <w:t>9</w:t>
            </w:r>
          </w:p>
        </w:tc>
        <w:tc>
          <w:tcPr>
            <w:tcW w:w="968" w:type="dxa"/>
            <w:tcBorders>
              <w:top w:val="nil"/>
              <w:left w:val="nil"/>
              <w:bottom w:val="nil"/>
              <w:right w:val="nil"/>
            </w:tcBorders>
            <w:shd w:val="clear" w:color="auto" w:fill="auto"/>
            <w:noWrap/>
            <w:vAlign w:val="center"/>
            <w:hideMark/>
          </w:tcPr>
          <w:p w:rsidR="001E08F1" w:rsidRPr="00D87198" w:rsidRDefault="001E08F1" w:rsidP="00D07A42">
            <w:pPr>
              <w:jc w:val="right"/>
              <w:rPr>
                <w:rFonts w:cs="Arial"/>
                <w:color w:val="7F7F7F"/>
                <w:szCs w:val="18"/>
                <w:lang w:eastAsia="en-AU"/>
              </w:rPr>
            </w:pPr>
            <w:r w:rsidRPr="00D87198">
              <w:rPr>
                <w:rFonts w:cs="Arial"/>
                <w:color w:val="7F7F7F"/>
                <w:szCs w:val="18"/>
                <w:lang w:eastAsia="en-AU"/>
              </w:rPr>
              <w:t>5</w:t>
            </w:r>
          </w:p>
        </w:tc>
        <w:tc>
          <w:tcPr>
            <w:tcW w:w="969" w:type="dxa"/>
            <w:tcBorders>
              <w:top w:val="nil"/>
              <w:left w:val="nil"/>
              <w:bottom w:val="nil"/>
              <w:right w:val="nil"/>
            </w:tcBorders>
            <w:shd w:val="clear" w:color="auto" w:fill="auto"/>
            <w:noWrap/>
            <w:vAlign w:val="center"/>
            <w:hideMark/>
          </w:tcPr>
          <w:p w:rsidR="001E08F1" w:rsidRPr="00D87198" w:rsidRDefault="001E08F1" w:rsidP="00D07A42">
            <w:pPr>
              <w:jc w:val="right"/>
              <w:rPr>
                <w:rFonts w:cs="Arial"/>
                <w:color w:val="7F7F7F"/>
                <w:szCs w:val="18"/>
                <w:lang w:eastAsia="en-AU"/>
              </w:rPr>
            </w:pPr>
            <w:r w:rsidRPr="00D87198">
              <w:rPr>
                <w:rFonts w:cs="Arial"/>
                <w:color w:val="7F7F7F"/>
                <w:szCs w:val="18"/>
                <w:lang w:eastAsia="en-AU"/>
              </w:rPr>
              <w:t>173</w:t>
            </w:r>
          </w:p>
        </w:tc>
        <w:tc>
          <w:tcPr>
            <w:tcW w:w="969" w:type="dxa"/>
            <w:tcBorders>
              <w:top w:val="nil"/>
              <w:left w:val="nil"/>
              <w:bottom w:val="nil"/>
              <w:right w:val="nil"/>
            </w:tcBorders>
            <w:shd w:val="clear" w:color="auto" w:fill="auto"/>
            <w:noWrap/>
            <w:vAlign w:val="center"/>
            <w:hideMark/>
          </w:tcPr>
          <w:p w:rsidR="001E08F1" w:rsidRPr="00D87198" w:rsidRDefault="001E08F1" w:rsidP="00D07A42">
            <w:pPr>
              <w:jc w:val="right"/>
              <w:rPr>
                <w:rFonts w:cs="Arial"/>
                <w:color w:val="7F7F7F"/>
                <w:szCs w:val="18"/>
                <w:lang w:eastAsia="en-AU"/>
              </w:rPr>
            </w:pPr>
            <w:r w:rsidRPr="00D87198">
              <w:rPr>
                <w:rFonts w:cs="Arial"/>
                <w:color w:val="7F7F7F"/>
                <w:szCs w:val="18"/>
                <w:lang w:eastAsia="en-AU"/>
              </w:rPr>
              <w:t>18</w:t>
            </w:r>
          </w:p>
        </w:tc>
      </w:tr>
      <w:tr w:rsidR="001E08F1" w:rsidRPr="00D87198" w:rsidTr="00D07A42">
        <w:trPr>
          <w:trHeight w:val="300"/>
        </w:trPr>
        <w:tc>
          <w:tcPr>
            <w:tcW w:w="2283" w:type="dxa"/>
            <w:tcBorders>
              <w:top w:val="nil"/>
              <w:left w:val="nil"/>
              <w:bottom w:val="nil"/>
              <w:right w:val="nil"/>
            </w:tcBorders>
            <w:shd w:val="clear" w:color="auto" w:fill="auto"/>
            <w:noWrap/>
            <w:vAlign w:val="center"/>
            <w:hideMark/>
          </w:tcPr>
          <w:p w:rsidR="001E08F1" w:rsidRPr="00D87198" w:rsidRDefault="001E08F1" w:rsidP="00D07A42">
            <w:pPr>
              <w:rPr>
                <w:rFonts w:cs="Arial"/>
                <w:color w:val="7F7F7F"/>
                <w:szCs w:val="18"/>
                <w:lang w:eastAsia="en-AU"/>
              </w:rPr>
            </w:pPr>
            <w:r w:rsidRPr="00D87198">
              <w:rPr>
                <w:rFonts w:cs="Arial"/>
                <w:color w:val="7F7F7F"/>
                <w:szCs w:val="18"/>
                <w:lang w:eastAsia="en-AU"/>
              </w:rPr>
              <w:t>Secondary Education*</w:t>
            </w:r>
          </w:p>
        </w:tc>
        <w:tc>
          <w:tcPr>
            <w:tcW w:w="968" w:type="dxa"/>
            <w:tcBorders>
              <w:top w:val="nil"/>
              <w:left w:val="nil"/>
              <w:bottom w:val="nil"/>
              <w:right w:val="nil"/>
            </w:tcBorders>
            <w:shd w:val="clear" w:color="auto" w:fill="auto"/>
            <w:noWrap/>
            <w:vAlign w:val="center"/>
            <w:hideMark/>
          </w:tcPr>
          <w:p w:rsidR="001E08F1" w:rsidRPr="00D87198" w:rsidRDefault="001E08F1" w:rsidP="00D07A42">
            <w:pPr>
              <w:jc w:val="right"/>
              <w:rPr>
                <w:rFonts w:cs="Arial"/>
                <w:color w:val="7F7F7F"/>
                <w:szCs w:val="18"/>
                <w:lang w:eastAsia="en-AU"/>
              </w:rPr>
            </w:pPr>
            <w:r w:rsidRPr="00D87198">
              <w:rPr>
                <w:rFonts w:cs="Arial"/>
                <w:color w:val="7F7F7F"/>
                <w:szCs w:val="18"/>
                <w:lang w:eastAsia="en-AU"/>
              </w:rPr>
              <w:t>317</w:t>
            </w:r>
          </w:p>
        </w:tc>
        <w:tc>
          <w:tcPr>
            <w:tcW w:w="969" w:type="dxa"/>
            <w:tcBorders>
              <w:top w:val="nil"/>
              <w:left w:val="nil"/>
              <w:bottom w:val="nil"/>
              <w:right w:val="nil"/>
            </w:tcBorders>
            <w:shd w:val="clear" w:color="auto" w:fill="auto"/>
            <w:noWrap/>
            <w:vAlign w:val="center"/>
            <w:hideMark/>
          </w:tcPr>
          <w:p w:rsidR="001E08F1" w:rsidRPr="00D87198" w:rsidRDefault="001E08F1" w:rsidP="00D07A42">
            <w:pPr>
              <w:jc w:val="right"/>
              <w:rPr>
                <w:rFonts w:cs="Arial"/>
                <w:color w:val="7F7F7F"/>
                <w:szCs w:val="18"/>
                <w:lang w:eastAsia="en-AU"/>
              </w:rPr>
            </w:pPr>
            <w:r w:rsidRPr="00D87198">
              <w:rPr>
                <w:rFonts w:cs="Arial"/>
                <w:color w:val="7F7F7F"/>
                <w:szCs w:val="18"/>
                <w:lang w:eastAsia="en-AU"/>
              </w:rPr>
              <w:t>185</w:t>
            </w:r>
          </w:p>
        </w:tc>
        <w:tc>
          <w:tcPr>
            <w:tcW w:w="969" w:type="dxa"/>
            <w:tcBorders>
              <w:top w:val="nil"/>
              <w:left w:val="nil"/>
              <w:bottom w:val="nil"/>
              <w:right w:val="nil"/>
            </w:tcBorders>
            <w:shd w:val="clear" w:color="auto" w:fill="auto"/>
            <w:noWrap/>
            <w:vAlign w:val="center"/>
            <w:hideMark/>
          </w:tcPr>
          <w:p w:rsidR="001E08F1" w:rsidRPr="00D87198" w:rsidRDefault="001E08F1" w:rsidP="00D07A42">
            <w:pPr>
              <w:jc w:val="right"/>
              <w:rPr>
                <w:rFonts w:cs="Arial"/>
                <w:color w:val="7F7F7F"/>
                <w:szCs w:val="18"/>
                <w:lang w:eastAsia="en-AU"/>
              </w:rPr>
            </w:pPr>
            <w:r w:rsidRPr="00D87198">
              <w:rPr>
                <w:rFonts w:cs="Arial"/>
                <w:color w:val="7F7F7F"/>
                <w:szCs w:val="18"/>
                <w:lang w:eastAsia="en-AU"/>
              </w:rPr>
              <w:t>192</w:t>
            </w:r>
          </w:p>
        </w:tc>
        <w:tc>
          <w:tcPr>
            <w:tcW w:w="968" w:type="dxa"/>
            <w:tcBorders>
              <w:top w:val="nil"/>
              <w:left w:val="nil"/>
              <w:bottom w:val="nil"/>
              <w:right w:val="nil"/>
            </w:tcBorders>
            <w:shd w:val="clear" w:color="auto" w:fill="auto"/>
            <w:noWrap/>
            <w:vAlign w:val="center"/>
            <w:hideMark/>
          </w:tcPr>
          <w:p w:rsidR="001E08F1" w:rsidRPr="00D87198" w:rsidRDefault="001E08F1" w:rsidP="00D07A42">
            <w:pPr>
              <w:jc w:val="right"/>
              <w:rPr>
                <w:rFonts w:cs="Arial"/>
                <w:color w:val="7F7F7F"/>
                <w:szCs w:val="18"/>
                <w:lang w:eastAsia="en-AU"/>
              </w:rPr>
            </w:pPr>
            <w:r w:rsidRPr="00D87198">
              <w:rPr>
                <w:rFonts w:cs="Arial"/>
                <w:color w:val="7F7F7F"/>
                <w:szCs w:val="18"/>
                <w:lang w:eastAsia="en-AU"/>
              </w:rPr>
              <w:t>222</w:t>
            </w:r>
          </w:p>
        </w:tc>
        <w:tc>
          <w:tcPr>
            <w:tcW w:w="969" w:type="dxa"/>
            <w:tcBorders>
              <w:top w:val="nil"/>
              <w:left w:val="nil"/>
              <w:bottom w:val="nil"/>
              <w:right w:val="nil"/>
            </w:tcBorders>
            <w:shd w:val="clear" w:color="auto" w:fill="auto"/>
            <w:noWrap/>
            <w:vAlign w:val="center"/>
            <w:hideMark/>
          </w:tcPr>
          <w:p w:rsidR="001E08F1" w:rsidRPr="00D87198" w:rsidRDefault="001E08F1" w:rsidP="00D07A42">
            <w:pPr>
              <w:jc w:val="right"/>
              <w:rPr>
                <w:rFonts w:cs="Arial"/>
                <w:color w:val="7F7F7F"/>
                <w:szCs w:val="18"/>
                <w:lang w:eastAsia="en-AU"/>
              </w:rPr>
            </w:pPr>
            <w:r w:rsidRPr="00D87198">
              <w:rPr>
                <w:rFonts w:cs="Arial"/>
                <w:color w:val="7F7F7F"/>
                <w:szCs w:val="18"/>
                <w:lang w:eastAsia="en-AU"/>
              </w:rPr>
              <w:t>316</w:t>
            </w:r>
          </w:p>
        </w:tc>
        <w:tc>
          <w:tcPr>
            <w:tcW w:w="969" w:type="dxa"/>
            <w:tcBorders>
              <w:top w:val="nil"/>
              <w:left w:val="nil"/>
              <w:bottom w:val="nil"/>
              <w:right w:val="nil"/>
            </w:tcBorders>
            <w:shd w:val="clear" w:color="auto" w:fill="auto"/>
            <w:noWrap/>
            <w:vAlign w:val="center"/>
            <w:hideMark/>
          </w:tcPr>
          <w:p w:rsidR="001E08F1" w:rsidRPr="00D87198" w:rsidRDefault="001E08F1" w:rsidP="00D07A42">
            <w:pPr>
              <w:jc w:val="right"/>
              <w:rPr>
                <w:rFonts w:cs="Arial"/>
                <w:color w:val="7F7F7F"/>
                <w:szCs w:val="18"/>
                <w:lang w:eastAsia="en-AU"/>
              </w:rPr>
            </w:pPr>
            <w:r w:rsidRPr="00D87198">
              <w:rPr>
                <w:rFonts w:cs="Arial"/>
                <w:color w:val="7F7F7F"/>
                <w:szCs w:val="18"/>
                <w:lang w:eastAsia="en-AU"/>
              </w:rPr>
              <w:t>196</w:t>
            </w:r>
          </w:p>
        </w:tc>
      </w:tr>
      <w:tr w:rsidR="001E08F1" w:rsidRPr="00D87198" w:rsidTr="00D07A42">
        <w:trPr>
          <w:trHeight w:val="300"/>
        </w:trPr>
        <w:tc>
          <w:tcPr>
            <w:tcW w:w="2283" w:type="dxa"/>
            <w:tcBorders>
              <w:top w:val="nil"/>
              <w:left w:val="nil"/>
              <w:bottom w:val="nil"/>
              <w:right w:val="nil"/>
            </w:tcBorders>
            <w:shd w:val="clear" w:color="auto" w:fill="auto"/>
            <w:noWrap/>
            <w:vAlign w:val="center"/>
            <w:hideMark/>
          </w:tcPr>
          <w:p w:rsidR="001E08F1" w:rsidRPr="00D87198" w:rsidRDefault="001E08F1" w:rsidP="00D07A42">
            <w:pPr>
              <w:rPr>
                <w:rFonts w:cs="Arial"/>
                <w:color w:val="7F7F7F"/>
                <w:szCs w:val="18"/>
                <w:lang w:eastAsia="en-AU"/>
              </w:rPr>
            </w:pPr>
            <w:r w:rsidRPr="00D87198">
              <w:rPr>
                <w:rFonts w:cs="Arial"/>
                <w:color w:val="7F7F7F"/>
                <w:szCs w:val="18"/>
                <w:lang w:eastAsia="en-AU"/>
              </w:rPr>
              <w:t>Other**</w:t>
            </w:r>
          </w:p>
        </w:tc>
        <w:tc>
          <w:tcPr>
            <w:tcW w:w="968" w:type="dxa"/>
            <w:tcBorders>
              <w:top w:val="nil"/>
              <w:left w:val="nil"/>
              <w:bottom w:val="nil"/>
              <w:right w:val="nil"/>
            </w:tcBorders>
            <w:shd w:val="clear" w:color="auto" w:fill="auto"/>
            <w:noWrap/>
            <w:vAlign w:val="center"/>
            <w:hideMark/>
          </w:tcPr>
          <w:p w:rsidR="001E08F1" w:rsidRPr="00D87198" w:rsidRDefault="001E08F1" w:rsidP="00D07A42">
            <w:pPr>
              <w:jc w:val="right"/>
              <w:rPr>
                <w:rFonts w:cs="Arial"/>
                <w:color w:val="7F7F7F"/>
                <w:szCs w:val="18"/>
                <w:lang w:eastAsia="en-AU"/>
              </w:rPr>
            </w:pPr>
            <w:r w:rsidRPr="00D87198">
              <w:rPr>
                <w:rFonts w:cs="Arial"/>
                <w:color w:val="7F7F7F"/>
                <w:szCs w:val="18"/>
                <w:lang w:eastAsia="en-AU"/>
              </w:rPr>
              <w:t>86</w:t>
            </w:r>
          </w:p>
        </w:tc>
        <w:tc>
          <w:tcPr>
            <w:tcW w:w="969" w:type="dxa"/>
            <w:tcBorders>
              <w:top w:val="nil"/>
              <w:left w:val="nil"/>
              <w:bottom w:val="nil"/>
              <w:right w:val="nil"/>
            </w:tcBorders>
            <w:shd w:val="clear" w:color="auto" w:fill="auto"/>
            <w:noWrap/>
            <w:vAlign w:val="center"/>
            <w:hideMark/>
          </w:tcPr>
          <w:p w:rsidR="001E08F1" w:rsidRPr="00D87198" w:rsidRDefault="001E08F1" w:rsidP="00D07A42">
            <w:pPr>
              <w:jc w:val="right"/>
              <w:rPr>
                <w:rFonts w:cs="Arial"/>
                <w:color w:val="7F7F7F"/>
                <w:szCs w:val="18"/>
                <w:lang w:eastAsia="en-AU"/>
              </w:rPr>
            </w:pPr>
            <w:r w:rsidRPr="00D87198">
              <w:rPr>
                <w:rFonts w:cs="Arial"/>
                <w:color w:val="7F7F7F"/>
                <w:szCs w:val="18"/>
                <w:lang w:eastAsia="en-AU"/>
              </w:rPr>
              <w:t>39</w:t>
            </w:r>
          </w:p>
        </w:tc>
        <w:tc>
          <w:tcPr>
            <w:tcW w:w="969" w:type="dxa"/>
            <w:tcBorders>
              <w:top w:val="nil"/>
              <w:left w:val="nil"/>
              <w:bottom w:val="nil"/>
              <w:right w:val="nil"/>
            </w:tcBorders>
            <w:shd w:val="clear" w:color="auto" w:fill="auto"/>
            <w:noWrap/>
            <w:vAlign w:val="center"/>
            <w:hideMark/>
          </w:tcPr>
          <w:p w:rsidR="001E08F1" w:rsidRPr="00D87198" w:rsidRDefault="001E08F1" w:rsidP="00D07A42">
            <w:pPr>
              <w:jc w:val="right"/>
              <w:rPr>
                <w:rFonts w:cs="Arial"/>
                <w:color w:val="7F7F7F"/>
                <w:szCs w:val="18"/>
                <w:lang w:eastAsia="en-AU"/>
              </w:rPr>
            </w:pPr>
            <w:r w:rsidRPr="00D87198">
              <w:rPr>
                <w:rFonts w:cs="Arial"/>
                <w:color w:val="7F7F7F"/>
                <w:szCs w:val="18"/>
                <w:lang w:eastAsia="en-AU"/>
              </w:rPr>
              <w:t>75</w:t>
            </w:r>
          </w:p>
        </w:tc>
        <w:tc>
          <w:tcPr>
            <w:tcW w:w="968" w:type="dxa"/>
            <w:tcBorders>
              <w:top w:val="nil"/>
              <w:left w:val="nil"/>
              <w:bottom w:val="nil"/>
              <w:right w:val="nil"/>
            </w:tcBorders>
            <w:shd w:val="clear" w:color="auto" w:fill="auto"/>
            <w:noWrap/>
            <w:vAlign w:val="center"/>
            <w:hideMark/>
          </w:tcPr>
          <w:p w:rsidR="001E08F1" w:rsidRPr="00D87198" w:rsidRDefault="001E08F1" w:rsidP="00D07A42">
            <w:pPr>
              <w:jc w:val="right"/>
              <w:rPr>
                <w:rFonts w:cs="Arial"/>
                <w:color w:val="7F7F7F"/>
                <w:szCs w:val="18"/>
                <w:lang w:eastAsia="en-AU"/>
              </w:rPr>
            </w:pPr>
            <w:r w:rsidRPr="00D87198">
              <w:rPr>
                <w:rFonts w:cs="Arial"/>
                <w:color w:val="7F7F7F"/>
                <w:szCs w:val="18"/>
                <w:lang w:eastAsia="en-AU"/>
              </w:rPr>
              <w:t>42</w:t>
            </w:r>
          </w:p>
        </w:tc>
        <w:tc>
          <w:tcPr>
            <w:tcW w:w="969" w:type="dxa"/>
            <w:tcBorders>
              <w:top w:val="nil"/>
              <w:left w:val="nil"/>
              <w:bottom w:val="nil"/>
              <w:right w:val="nil"/>
            </w:tcBorders>
            <w:shd w:val="clear" w:color="auto" w:fill="auto"/>
            <w:noWrap/>
            <w:vAlign w:val="center"/>
            <w:hideMark/>
          </w:tcPr>
          <w:p w:rsidR="001E08F1" w:rsidRPr="00D87198" w:rsidRDefault="001E08F1" w:rsidP="00D07A42">
            <w:pPr>
              <w:jc w:val="right"/>
              <w:rPr>
                <w:rFonts w:cs="Arial"/>
                <w:color w:val="7F7F7F"/>
                <w:szCs w:val="18"/>
                <w:lang w:eastAsia="en-AU"/>
              </w:rPr>
            </w:pPr>
            <w:r w:rsidRPr="00D87198">
              <w:rPr>
                <w:rFonts w:cs="Arial"/>
                <w:color w:val="7F7F7F"/>
                <w:szCs w:val="18"/>
                <w:lang w:eastAsia="en-AU"/>
              </w:rPr>
              <w:t>107</w:t>
            </w:r>
          </w:p>
        </w:tc>
        <w:tc>
          <w:tcPr>
            <w:tcW w:w="969" w:type="dxa"/>
            <w:tcBorders>
              <w:top w:val="nil"/>
              <w:left w:val="nil"/>
              <w:bottom w:val="nil"/>
              <w:right w:val="nil"/>
            </w:tcBorders>
            <w:shd w:val="clear" w:color="auto" w:fill="auto"/>
            <w:noWrap/>
            <w:vAlign w:val="center"/>
            <w:hideMark/>
          </w:tcPr>
          <w:p w:rsidR="001E08F1" w:rsidRPr="00D87198" w:rsidRDefault="001E08F1" w:rsidP="00D07A42">
            <w:pPr>
              <w:jc w:val="right"/>
              <w:rPr>
                <w:rFonts w:cs="Arial"/>
                <w:color w:val="7F7F7F"/>
                <w:szCs w:val="18"/>
                <w:lang w:eastAsia="en-AU"/>
              </w:rPr>
            </w:pPr>
            <w:r w:rsidRPr="00D87198">
              <w:rPr>
                <w:rFonts w:cs="Arial"/>
                <w:color w:val="7F7F7F"/>
                <w:szCs w:val="18"/>
                <w:lang w:eastAsia="en-AU"/>
              </w:rPr>
              <w:t>38</w:t>
            </w:r>
          </w:p>
        </w:tc>
      </w:tr>
      <w:tr w:rsidR="001E08F1" w:rsidRPr="00D87198" w:rsidTr="00D07A42">
        <w:trPr>
          <w:trHeight w:val="300"/>
        </w:trPr>
        <w:tc>
          <w:tcPr>
            <w:tcW w:w="2283" w:type="dxa"/>
            <w:tcBorders>
              <w:top w:val="nil"/>
              <w:left w:val="nil"/>
              <w:bottom w:val="nil"/>
              <w:right w:val="nil"/>
            </w:tcBorders>
            <w:shd w:val="clear" w:color="000000" w:fill="7F7F7F"/>
            <w:noWrap/>
            <w:vAlign w:val="center"/>
            <w:hideMark/>
          </w:tcPr>
          <w:p w:rsidR="001E08F1" w:rsidRPr="00D87198" w:rsidRDefault="001E08F1" w:rsidP="00D07A42">
            <w:pPr>
              <w:rPr>
                <w:rFonts w:cs="Arial"/>
                <w:b/>
                <w:bCs/>
                <w:color w:val="FFFFFF"/>
                <w:szCs w:val="18"/>
                <w:lang w:eastAsia="en-AU"/>
              </w:rPr>
            </w:pPr>
            <w:r w:rsidRPr="00D87198">
              <w:rPr>
                <w:rFonts w:cs="Arial"/>
                <w:b/>
                <w:bCs/>
                <w:color w:val="FFFFFF"/>
                <w:szCs w:val="18"/>
                <w:lang w:eastAsia="en-AU"/>
              </w:rPr>
              <w:t>Total</w:t>
            </w:r>
          </w:p>
        </w:tc>
        <w:tc>
          <w:tcPr>
            <w:tcW w:w="968" w:type="dxa"/>
            <w:tcBorders>
              <w:top w:val="nil"/>
              <w:left w:val="nil"/>
              <w:bottom w:val="nil"/>
              <w:right w:val="nil"/>
            </w:tcBorders>
            <w:shd w:val="clear" w:color="000000" w:fill="7F7F7F"/>
            <w:noWrap/>
            <w:vAlign w:val="center"/>
            <w:hideMark/>
          </w:tcPr>
          <w:p w:rsidR="001E08F1" w:rsidRPr="00D87198" w:rsidRDefault="001E08F1" w:rsidP="00D07A42">
            <w:pPr>
              <w:jc w:val="right"/>
              <w:rPr>
                <w:rFonts w:cs="Arial"/>
                <w:b/>
                <w:bCs/>
                <w:color w:val="FFFFFF"/>
                <w:szCs w:val="18"/>
                <w:lang w:eastAsia="en-AU"/>
              </w:rPr>
            </w:pPr>
            <w:r w:rsidRPr="00D87198">
              <w:rPr>
                <w:rFonts w:cs="Arial"/>
                <w:b/>
                <w:bCs/>
                <w:color w:val="FFFFFF"/>
                <w:szCs w:val="18"/>
                <w:lang w:eastAsia="en-AU"/>
              </w:rPr>
              <w:t>3,690</w:t>
            </w:r>
          </w:p>
        </w:tc>
        <w:tc>
          <w:tcPr>
            <w:tcW w:w="969" w:type="dxa"/>
            <w:tcBorders>
              <w:top w:val="nil"/>
              <w:left w:val="nil"/>
              <w:bottom w:val="nil"/>
              <w:right w:val="nil"/>
            </w:tcBorders>
            <w:shd w:val="clear" w:color="000000" w:fill="7F7F7F"/>
            <w:noWrap/>
            <w:vAlign w:val="center"/>
            <w:hideMark/>
          </w:tcPr>
          <w:p w:rsidR="001E08F1" w:rsidRPr="00D87198" w:rsidRDefault="001E08F1" w:rsidP="00D07A42">
            <w:pPr>
              <w:jc w:val="right"/>
              <w:rPr>
                <w:rFonts w:cs="Arial"/>
                <w:b/>
                <w:bCs/>
                <w:color w:val="FFFFFF"/>
                <w:szCs w:val="18"/>
                <w:lang w:eastAsia="en-AU"/>
              </w:rPr>
            </w:pPr>
            <w:r w:rsidRPr="00D87198">
              <w:rPr>
                <w:rFonts w:cs="Arial"/>
                <w:b/>
                <w:bCs/>
                <w:color w:val="FFFFFF"/>
                <w:szCs w:val="18"/>
                <w:lang w:eastAsia="en-AU"/>
              </w:rPr>
              <w:t>4,154</w:t>
            </w:r>
          </w:p>
        </w:tc>
        <w:tc>
          <w:tcPr>
            <w:tcW w:w="969" w:type="dxa"/>
            <w:tcBorders>
              <w:top w:val="nil"/>
              <w:left w:val="nil"/>
              <w:bottom w:val="nil"/>
              <w:right w:val="nil"/>
            </w:tcBorders>
            <w:shd w:val="clear" w:color="000000" w:fill="7F7F7F"/>
            <w:noWrap/>
            <w:vAlign w:val="center"/>
            <w:hideMark/>
          </w:tcPr>
          <w:p w:rsidR="001E08F1" w:rsidRPr="00D87198" w:rsidRDefault="001E08F1" w:rsidP="00D07A42">
            <w:pPr>
              <w:jc w:val="right"/>
              <w:rPr>
                <w:rFonts w:cs="Arial"/>
                <w:b/>
                <w:bCs/>
                <w:color w:val="FFFFFF"/>
                <w:szCs w:val="18"/>
                <w:lang w:eastAsia="en-AU"/>
              </w:rPr>
            </w:pPr>
            <w:r w:rsidRPr="00D87198">
              <w:rPr>
                <w:rFonts w:cs="Arial"/>
                <w:b/>
                <w:bCs/>
                <w:color w:val="FFFFFF"/>
                <w:szCs w:val="18"/>
                <w:lang w:eastAsia="en-AU"/>
              </w:rPr>
              <w:t>5,095</w:t>
            </w:r>
          </w:p>
        </w:tc>
        <w:tc>
          <w:tcPr>
            <w:tcW w:w="968" w:type="dxa"/>
            <w:tcBorders>
              <w:top w:val="nil"/>
              <w:left w:val="nil"/>
              <w:bottom w:val="nil"/>
              <w:right w:val="nil"/>
            </w:tcBorders>
            <w:shd w:val="clear" w:color="000000" w:fill="7F7F7F"/>
            <w:noWrap/>
            <w:vAlign w:val="center"/>
            <w:hideMark/>
          </w:tcPr>
          <w:p w:rsidR="001E08F1" w:rsidRPr="00D87198" w:rsidRDefault="001E08F1" w:rsidP="00D07A42">
            <w:pPr>
              <w:jc w:val="right"/>
              <w:rPr>
                <w:rFonts w:cs="Arial"/>
                <w:b/>
                <w:bCs/>
                <w:color w:val="FFFFFF"/>
                <w:szCs w:val="18"/>
                <w:lang w:eastAsia="en-AU"/>
              </w:rPr>
            </w:pPr>
            <w:r w:rsidRPr="00D87198">
              <w:rPr>
                <w:rFonts w:cs="Arial"/>
                <w:b/>
                <w:bCs/>
                <w:color w:val="FFFFFF"/>
                <w:szCs w:val="18"/>
                <w:lang w:eastAsia="en-AU"/>
              </w:rPr>
              <w:t>4,881</w:t>
            </w:r>
          </w:p>
        </w:tc>
        <w:tc>
          <w:tcPr>
            <w:tcW w:w="969" w:type="dxa"/>
            <w:tcBorders>
              <w:top w:val="nil"/>
              <w:left w:val="nil"/>
              <w:bottom w:val="nil"/>
              <w:right w:val="nil"/>
            </w:tcBorders>
            <w:shd w:val="clear" w:color="000000" w:fill="7F7F7F"/>
            <w:noWrap/>
            <w:vAlign w:val="center"/>
            <w:hideMark/>
          </w:tcPr>
          <w:p w:rsidR="001E08F1" w:rsidRPr="00D87198" w:rsidRDefault="001E08F1" w:rsidP="00D07A42">
            <w:pPr>
              <w:jc w:val="right"/>
              <w:rPr>
                <w:rFonts w:cs="Arial"/>
                <w:b/>
                <w:bCs/>
                <w:color w:val="FFFFFF"/>
                <w:szCs w:val="18"/>
                <w:lang w:eastAsia="en-AU"/>
              </w:rPr>
            </w:pPr>
            <w:r w:rsidRPr="00D87198">
              <w:rPr>
                <w:rFonts w:cs="Arial"/>
                <w:b/>
                <w:bCs/>
                <w:color w:val="FFFFFF"/>
                <w:szCs w:val="18"/>
                <w:lang w:eastAsia="en-AU"/>
              </w:rPr>
              <w:t>4,936</w:t>
            </w:r>
          </w:p>
        </w:tc>
        <w:tc>
          <w:tcPr>
            <w:tcW w:w="969" w:type="dxa"/>
            <w:tcBorders>
              <w:top w:val="nil"/>
              <w:left w:val="nil"/>
              <w:bottom w:val="nil"/>
              <w:right w:val="nil"/>
            </w:tcBorders>
            <w:shd w:val="clear" w:color="000000" w:fill="7F7F7F"/>
            <w:noWrap/>
            <w:vAlign w:val="center"/>
            <w:hideMark/>
          </w:tcPr>
          <w:p w:rsidR="001E08F1" w:rsidRPr="00D87198" w:rsidRDefault="001E08F1" w:rsidP="00D07A42">
            <w:pPr>
              <w:jc w:val="right"/>
              <w:rPr>
                <w:rFonts w:cs="Arial"/>
                <w:b/>
                <w:bCs/>
                <w:color w:val="FFFFFF"/>
                <w:szCs w:val="18"/>
                <w:lang w:eastAsia="en-AU"/>
              </w:rPr>
            </w:pPr>
            <w:r w:rsidRPr="00D87198">
              <w:rPr>
                <w:rFonts w:cs="Arial"/>
                <w:b/>
                <w:bCs/>
                <w:color w:val="FFFFFF"/>
                <w:szCs w:val="18"/>
                <w:lang w:eastAsia="en-AU"/>
              </w:rPr>
              <w:t>4,350</w:t>
            </w:r>
          </w:p>
        </w:tc>
      </w:tr>
    </w:tbl>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4A0" w:firstRow="1" w:lastRow="0" w:firstColumn="1" w:lastColumn="0" w:noHBand="0" w:noVBand="1"/>
      </w:tblPr>
      <w:tblGrid>
        <w:gridCol w:w="431"/>
        <w:gridCol w:w="7649"/>
      </w:tblGrid>
      <w:tr w:rsidR="001E08F1" w:rsidRPr="00913551" w:rsidTr="00D07A42">
        <w:tc>
          <w:tcPr>
            <w:tcW w:w="431" w:type="dxa"/>
            <w:tcMar>
              <w:left w:w="0" w:type="dxa"/>
              <w:right w:w="28" w:type="dxa"/>
            </w:tcMar>
          </w:tcPr>
          <w:p w:rsidR="001E08F1" w:rsidRPr="00913551" w:rsidRDefault="001E08F1" w:rsidP="00D07A42">
            <w:pPr>
              <w:spacing w:after="0" w:line="240" w:lineRule="auto"/>
              <w:jc w:val="right"/>
              <w:rPr>
                <w:color w:val="7F7F7F" w:themeColor="text2"/>
                <w:sz w:val="16"/>
                <w:szCs w:val="16"/>
              </w:rPr>
            </w:pPr>
            <w:r w:rsidRPr="00913551">
              <w:rPr>
                <w:color w:val="7F7F7F" w:themeColor="text2"/>
                <w:sz w:val="16"/>
                <w:szCs w:val="16"/>
              </w:rPr>
              <w:t xml:space="preserve">* </w:t>
            </w:r>
          </w:p>
        </w:tc>
        <w:tc>
          <w:tcPr>
            <w:tcW w:w="7649" w:type="dxa"/>
            <w:tcMar>
              <w:left w:w="0" w:type="dxa"/>
              <w:right w:w="28" w:type="dxa"/>
            </w:tcMar>
          </w:tcPr>
          <w:p w:rsidR="001E08F1" w:rsidRPr="00913551" w:rsidRDefault="001E08F1" w:rsidP="00D07A42">
            <w:pPr>
              <w:spacing w:after="0" w:line="240" w:lineRule="auto"/>
              <w:rPr>
                <w:i/>
                <w:color w:val="7F7F7F" w:themeColor="text2"/>
                <w:sz w:val="16"/>
                <w:szCs w:val="16"/>
              </w:rPr>
            </w:pPr>
            <w:proofErr w:type="gramStart"/>
            <w:r w:rsidRPr="00913551">
              <w:rPr>
                <w:i/>
                <w:sz w:val="16"/>
                <w:szCs w:val="16"/>
              </w:rPr>
              <w:t>Includes VCE/VCAL courses of study.</w:t>
            </w:r>
            <w:proofErr w:type="gramEnd"/>
          </w:p>
        </w:tc>
      </w:tr>
      <w:tr w:rsidR="001E08F1" w:rsidRPr="00913551" w:rsidTr="00D07A42">
        <w:tc>
          <w:tcPr>
            <w:tcW w:w="431" w:type="dxa"/>
            <w:tcMar>
              <w:left w:w="0" w:type="dxa"/>
              <w:right w:w="28" w:type="dxa"/>
            </w:tcMar>
          </w:tcPr>
          <w:p w:rsidR="001E08F1" w:rsidRPr="00913551" w:rsidRDefault="001E08F1" w:rsidP="00D07A42">
            <w:pPr>
              <w:spacing w:after="0" w:line="240" w:lineRule="auto"/>
              <w:jc w:val="right"/>
              <w:rPr>
                <w:color w:val="7F7F7F" w:themeColor="text2"/>
                <w:sz w:val="16"/>
                <w:szCs w:val="16"/>
              </w:rPr>
            </w:pPr>
            <w:r w:rsidRPr="00913551">
              <w:rPr>
                <w:color w:val="7F7F7F" w:themeColor="text2"/>
                <w:sz w:val="16"/>
                <w:szCs w:val="16"/>
              </w:rPr>
              <w:t>**</w:t>
            </w:r>
          </w:p>
        </w:tc>
        <w:tc>
          <w:tcPr>
            <w:tcW w:w="7649" w:type="dxa"/>
            <w:tcMar>
              <w:left w:w="0" w:type="dxa"/>
              <w:right w:w="28" w:type="dxa"/>
            </w:tcMar>
          </w:tcPr>
          <w:p w:rsidR="001E08F1" w:rsidRPr="00913551" w:rsidRDefault="001E08F1" w:rsidP="00D07A42">
            <w:pPr>
              <w:spacing w:after="0" w:line="240" w:lineRule="auto"/>
              <w:rPr>
                <w:i/>
                <w:sz w:val="16"/>
                <w:szCs w:val="16"/>
              </w:rPr>
            </w:pPr>
            <w:r w:rsidRPr="00913551">
              <w:rPr>
                <w:i/>
                <w:sz w:val="16"/>
                <w:szCs w:val="16"/>
              </w:rPr>
              <w:t>'Other' includes statement of attainment, other non-award courses or not elsewhere classified.</w:t>
            </w:r>
          </w:p>
        </w:tc>
      </w:tr>
    </w:tbl>
    <w:p w:rsidR="001E08F1" w:rsidRDefault="001E08F1" w:rsidP="001E08F1"/>
    <w:p w:rsidR="001E08F1" w:rsidRDefault="001E08F1" w:rsidP="001E08F1"/>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1E08F1" w:rsidTr="00D07A42">
        <w:tc>
          <w:tcPr>
            <w:tcW w:w="1134" w:type="dxa"/>
            <w:tcMar>
              <w:left w:w="0" w:type="dxa"/>
              <w:right w:w="0" w:type="dxa"/>
            </w:tcMar>
          </w:tcPr>
          <w:p w:rsidR="001E08F1" w:rsidRDefault="00AF3E67" w:rsidP="00D07A42">
            <w:pPr>
              <w:pStyle w:val="Quote"/>
              <w:tabs>
                <w:tab w:val="left" w:pos="1134"/>
              </w:tabs>
              <w:rPr>
                <w:b w:val="0"/>
                <w:color w:val="B41F22" w:themeColor="accent1"/>
              </w:rPr>
            </w:pPr>
            <w:r>
              <w:rPr>
                <w:b w:val="0"/>
                <w:color w:val="B41F22" w:themeColor="accent1"/>
              </w:rPr>
              <w:t>Table 2</w:t>
            </w:r>
            <w:r w:rsidR="001E08F1">
              <w:rPr>
                <w:b w:val="0"/>
                <w:color w:val="B41F22" w:themeColor="accent1"/>
              </w:rPr>
              <w:t>.3.2:</w:t>
            </w:r>
          </w:p>
        </w:tc>
        <w:tc>
          <w:tcPr>
            <w:tcW w:w="6946" w:type="dxa"/>
            <w:tcMar>
              <w:left w:w="0" w:type="dxa"/>
              <w:right w:w="0" w:type="dxa"/>
            </w:tcMar>
          </w:tcPr>
          <w:p w:rsidR="001E08F1" w:rsidRDefault="001E08F1" w:rsidP="00D07A42">
            <w:pPr>
              <w:pStyle w:val="Quote"/>
              <w:tabs>
                <w:tab w:val="left" w:pos="1134"/>
              </w:tabs>
              <w:rPr>
                <w:b w:val="0"/>
                <w:color w:val="B41F22" w:themeColor="accent1"/>
              </w:rPr>
            </w:pPr>
            <w:r w:rsidRPr="002913D3">
              <w:rPr>
                <w:b w:val="0"/>
                <w:color w:val="B41F22" w:themeColor="accent1"/>
              </w:rPr>
              <w:t>Change in number of enrolments in government subsidised accredited training by qualification level for Indigenous students (half year)</w:t>
            </w:r>
          </w:p>
        </w:tc>
      </w:tr>
    </w:tbl>
    <w:tbl>
      <w:tblPr>
        <w:tblW w:w="8095" w:type="dxa"/>
        <w:tblInd w:w="93" w:type="dxa"/>
        <w:tblLayout w:type="fixed"/>
        <w:tblLook w:val="04A0" w:firstRow="1" w:lastRow="0" w:firstColumn="1" w:lastColumn="0" w:noHBand="0" w:noVBand="1"/>
      </w:tblPr>
      <w:tblGrid>
        <w:gridCol w:w="2425"/>
        <w:gridCol w:w="1134"/>
        <w:gridCol w:w="1134"/>
        <w:gridCol w:w="1134"/>
        <w:gridCol w:w="1134"/>
        <w:gridCol w:w="1134"/>
      </w:tblGrid>
      <w:tr w:rsidR="001E08F1" w:rsidRPr="002913D3" w:rsidTr="00D07A42">
        <w:trPr>
          <w:trHeight w:val="720"/>
        </w:trPr>
        <w:tc>
          <w:tcPr>
            <w:tcW w:w="2425" w:type="dxa"/>
            <w:tcBorders>
              <w:top w:val="nil"/>
              <w:left w:val="nil"/>
              <w:bottom w:val="nil"/>
              <w:right w:val="nil"/>
            </w:tcBorders>
            <w:shd w:val="clear" w:color="000000" w:fill="7F7F7F"/>
            <w:noWrap/>
            <w:vAlign w:val="center"/>
            <w:hideMark/>
          </w:tcPr>
          <w:p w:rsidR="001E08F1" w:rsidRPr="002913D3" w:rsidRDefault="001E08F1" w:rsidP="00D07A42">
            <w:pPr>
              <w:rPr>
                <w:rFonts w:cs="Arial"/>
                <w:color w:val="FFFFFF"/>
                <w:szCs w:val="18"/>
                <w:lang w:eastAsia="en-AU"/>
              </w:rPr>
            </w:pPr>
            <w:r w:rsidRPr="002913D3">
              <w:rPr>
                <w:rFonts w:cs="Arial"/>
                <w:color w:val="FFFFFF"/>
                <w:szCs w:val="18"/>
                <w:lang w:eastAsia="en-AU"/>
              </w:rPr>
              <w:t> </w:t>
            </w:r>
          </w:p>
        </w:tc>
        <w:tc>
          <w:tcPr>
            <w:tcW w:w="1134" w:type="dxa"/>
            <w:tcBorders>
              <w:top w:val="nil"/>
              <w:left w:val="nil"/>
              <w:bottom w:val="nil"/>
              <w:right w:val="nil"/>
            </w:tcBorders>
            <w:shd w:val="clear" w:color="000000" w:fill="7F7F7F"/>
            <w:vAlign w:val="center"/>
            <w:hideMark/>
          </w:tcPr>
          <w:p w:rsidR="001E08F1" w:rsidRPr="002913D3" w:rsidRDefault="001E08F1" w:rsidP="00D07A42">
            <w:pPr>
              <w:jc w:val="right"/>
              <w:rPr>
                <w:rFonts w:cs="Arial"/>
                <w:b/>
                <w:bCs/>
                <w:color w:val="FFFFFF"/>
                <w:szCs w:val="18"/>
                <w:lang w:eastAsia="en-AU"/>
              </w:rPr>
            </w:pPr>
            <w:r w:rsidRPr="002913D3">
              <w:rPr>
                <w:rFonts w:cs="Arial"/>
                <w:b/>
                <w:bCs/>
                <w:color w:val="FFFFFF"/>
                <w:szCs w:val="18"/>
                <w:lang w:eastAsia="en-AU"/>
              </w:rPr>
              <w:t>% change 2010 to 2015</w:t>
            </w:r>
          </w:p>
        </w:tc>
        <w:tc>
          <w:tcPr>
            <w:tcW w:w="1134" w:type="dxa"/>
            <w:tcBorders>
              <w:top w:val="nil"/>
              <w:left w:val="nil"/>
              <w:bottom w:val="nil"/>
              <w:right w:val="nil"/>
            </w:tcBorders>
            <w:shd w:val="clear" w:color="000000" w:fill="7F7F7F"/>
            <w:vAlign w:val="center"/>
            <w:hideMark/>
          </w:tcPr>
          <w:p w:rsidR="001E08F1" w:rsidRPr="002913D3" w:rsidRDefault="001E08F1" w:rsidP="00D07A42">
            <w:pPr>
              <w:jc w:val="right"/>
              <w:rPr>
                <w:rFonts w:cs="Arial"/>
                <w:b/>
                <w:bCs/>
                <w:color w:val="FFFFFF"/>
                <w:szCs w:val="18"/>
                <w:lang w:eastAsia="en-AU"/>
              </w:rPr>
            </w:pPr>
            <w:r w:rsidRPr="002913D3">
              <w:rPr>
                <w:rFonts w:cs="Arial"/>
                <w:b/>
                <w:bCs/>
                <w:color w:val="FFFFFF"/>
                <w:szCs w:val="18"/>
                <w:lang w:eastAsia="en-AU"/>
              </w:rPr>
              <w:t>% change 2011 to 2015</w:t>
            </w:r>
          </w:p>
        </w:tc>
        <w:tc>
          <w:tcPr>
            <w:tcW w:w="1134" w:type="dxa"/>
            <w:tcBorders>
              <w:top w:val="nil"/>
              <w:left w:val="nil"/>
              <w:bottom w:val="nil"/>
              <w:right w:val="nil"/>
            </w:tcBorders>
            <w:shd w:val="clear" w:color="000000" w:fill="7F7F7F"/>
            <w:vAlign w:val="center"/>
            <w:hideMark/>
          </w:tcPr>
          <w:p w:rsidR="001E08F1" w:rsidRPr="002913D3" w:rsidRDefault="001E08F1" w:rsidP="00D07A42">
            <w:pPr>
              <w:jc w:val="right"/>
              <w:rPr>
                <w:rFonts w:cs="Arial"/>
                <w:b/>
                <w:bCs/>
                <w:color w:val="FFFFFF"/>
                <w:szCs w:val="18"/>
                <w:lang w:eastAsia="en-AU"/>
              </w:rPr>
            </w:pPr>
            <w:r w:rsidRPr="002913D3">
              <w:rPr>
                <w:rFonts w:cs="Arial"/>
                <w:b/>
                <w:bCs/>
                <w:color w:val="FFFFFF"/>
                <w:szCs w:val="18"/>
                <w:lang w:eastAsia="en-AU"/>
              </w:rPr>
              <w:t>% change 2012 to 2015</w:t>
            </w:r>
          </w:p>
        </w:tc>
        <w:tc>
          <w:tcPr>
            <w:tcW w:w="1134" w:type="dxa"/>
            <w:tcBorders>
              <w:top w:val="nil"/>
              <w:left w:val="nil"/>
              <w:bottom w:val="nil"/>
              <w:right w:val="nil"/>
            </w:tcBorders>
            <w:shd w:val="clear" w:color="000000" w:fill="7F7F7F"/>
            <w:vAlign w:val="center"/>
            <w:hideMark/>
          </w:tcPr>
          <w:p w:rsidR="001E08F1" w:rsidRPr="002913D3" w:rsidRDefault="001E08F1" w:rsidP="00D07A42">
            <w:pPr>
              <w:jc w:val="right"/>
              <w:rPr>
                <w:rFonts w:cs="Arial"/>
                <w:b/>
                <w:bCs/>
                <w:color w:val="FFFFFF"/>
                <w:szCs w:val="18"/>
                <w:lang w:eastAsia="en-AU"/>
              </w:rPr>
            </w:pPr>
            <w:r w:rsidRPr="002913D3">
              <w:rPr>
                <w:rFonts w:cs="Arial"/>
                <w:b/>
                <w:bCs/>
                <w:color w:val="FFFFFF"/>
                <w:szCs w:val="18"/>
                <w:lang w:eastAsia="en-AU"/>
              </w:rPr>
              <w:t>% change 2013 to 2015</w:t>
            </w:r>
          </w:p>
        </w:tc>
        <w:tc>
          <w:tcPr>
            <w:tcW w:w="1134" w:type="dxa"/>
            <w:tcBorders>
              <w:top w:val="nil"/>
              <w:left w:val="nil"/>
              <w:bottom w:val="nil"/>
              <w:right w:val="nil"/>
            </w:tcBorders>
            <w:shd w:val="clear" w:color="000000" w:fill="7F7F7F"/>
            <w:vAlign w:val="center"/>
            <w:hideMark/>
          </w:tcPr>
          <w:p w:rsidR="001E08F1" w:rsidRPr="002913D3" w:rsidRDefault="001E08F1" w:rsidP="00D07A42">
            <w:pPr>
              <w:jc w:val="right"/>
              <w:rPr>
                <w:rFonts w:cs="Arial"/>
                <w:b/>
                <w:bCs/>
                <w:color w:val="FFFFFF"/>
                <w:szCs w:val="18"/>
                <w:lang w:eastAsia="en-AU"/>
              </w:rPr>
            </w:pPr>
            <w:r w:rsidRPr="002913D3">
              <w:rPr>
                <w:rFonts w:cs="Arial"/>
                <w:b/>
                <w:bCs/>
                <w:color w:val="FFFFFF"/>
                <w:szCs w:val="18"/>
                <w:lang w:eastAsia="en-AU"/>
              </w:rPr>
              <w:t>% change 2014 to 2015</w:t>
            </w:r>
          </w:p>
        </w:tc>
      </w:tr>
      <w:tr w:rsidR="001E08F1" w:rsidRPr="002913D3" w:rsidTr="00D07A42">
        <w:trPr>
          <w:trHeight w:val="300"/>
        </w:trPr>
        <w:tc>
          <w:tcPr>
            <w:tcW w:w="2425" w:type="dxa"/>
            <w:tcBorders>
              <w:top w:val="nil"/>
              <w:left w:val="nil"/>
              <w:bottom w:val="nil"/>
              <w:right w:val="nil"/>
            </w:tcBorders>
            <w:shd w:val="clear" w:color="auto" w:fill="auto"/>
            <w:noWrap/>
            <w:vAlign w:val="center"/>
            <w:hideMark/>
          </w:tcPr>
          <w:p w:rsidR="001E08F1" w:rsidRPr="002913D3" w:rsidRDefault="001E08F1" w:rsidP="00D07A42">
            <w:pPr>
              <w:rPr>
                <w:rFonts w:cs="Arial"/>
                <w:color w:val="7F7F7F"/>
                <w:szCs w:val="18"/>
                <w:lang w:eastAsia="en-AU"/>
              </w:rPr>
            </w:pPr>
            <w:r w:rsidRPr="002913D3">
              <w:rPr>
                <w:rFonts w:cs="Arial"/>
                <w:color w:val="7F7F7F"/>
                <w:szCs w:val="18"/>
                <w:lang w:eastAsia="en-AU"/>
              </w:rPr>
              <w:t>Cert I/II</w:t>
            </w:r>
          </w:p>
        </w:tc>
        <w:tc>
          <w:tcPr>
            <w:tcW w:w="1134" w:type="dxa"/>
            <w:tcBorders>
              <w:top w:val="nil"/>
              <w:left w:val="nil"/>
              <w:bottom w:val="nil"/>
              <w:right w:val="nil"/>
            </w:tcBorders>
            <w:shd w:val="clear" w:color="auto" w:fill="auto"/>
            <w:noWrap/>
            <w:vAlign w:val="center"/>
            <w:hideMark/>
          </w:tcPr>
          <w:p w:rsidR="001E08F1" w:rsidRPr="002913D3" w:rsidRDefault="001E08F1" w:rsidP="00D07A42">
            <w:pPr>
              <w:jc w:val="right"/>
              <w:rPr>
                <w:rFonts w:cs="Arial"/>
                <w:color w:val="7F7F7F"/>
                <w:szCs w:val="18"/>
                <w:lang w:eastAsia="en-AU"/>
              </w:rPr>
            </w:pPr>
            <w:r w:rsidRPr="002913D3">
              <w:rPr>
                <w:rFonts w:cs="Arial"/>
                <w:color w:val="7F7F7F"/>
                <w:szCs w:val="18"/>
                <w:lang w:eastAsia="en-AU"/>
              </w:rPr>
              <w:t>-39%</w:t>
            </w:r>
          </w:p>
        </w:tc>
        <w:tc>
          <w:tcPr>
            <w:tcW w:w="1134" w:type="dxa"/>
            <w:tcBorders>
              <w:top w:val="nil"/>
              <w:left w:val="nil"/>
              <w:bottom w:val="nil"/>
              <w:right w:val="nil"/>
            </w:tcBorders>
            <w:shd w:val="clear" w:color="auto" w:fill="auto"/>
            <w:noWrap/>
            <w:vAlign w:val="center"/>
            <w:hideMark/>
          </w:tcPr>
          <w:p w:rsidR="001E08F1" w:rsidRPr="002913D3" w:rsidRDefault="001E08F1" w:rsidP="00D07A42">
            <w:pPr>
              <w:jc w:val="right"/>
              <w:rPr>
                <w:rFonts w:cs="Arial"/>
                <w:color w:val="7F7F7F"/>
                <w:szCs w:val="18"/>
                <w:lang w:eastAsia="en-AU"/>
              </w:rPr>
            </w:pPr>
            <w:r w:rsidRPr="002913D3">
              <w:rPr>
                <w:rFonts w:cs="Arial"/>
                <w:color w:val="7F7F7F"/>
                <w:szCs w:val="18"/>
                <w:lang w:eastAsia="en-AU"/>
              </w:rPr>
              <w:t>-43%</w:t>
            </w:r>
          </w:p>
        </w:tc>
        <w:tc>
          <w:tcPr>
            <w:tcW w:w="1134" w:type="dxa"/>
            <w:tcBorders>
              <w:top w:val="nil"/>
              <w:left w:val="nil"/>
              <w:bottom w:val="nil"/>
              <w:right w:val="nil"/>
            </w:tcBorders>
            <w:shd w:val="clear" w:color="auto" w:fill="auto"/>
            <w:noWrap/>
            <w:vAlign w:val="center"/>
            <w:hideMark/>
          </w:tcPr>
          <w:p w:rsidR="001E08F1" w:rsidRPr="002913D3" w:rsidRDefault="001E08F1" w:rsidP="00D07A42">
            <w:pPr>
              <w:jc w:val="right"/>
              <w:rPr>
                <w:rFonts w:cs="Arial"/>
                <w:color w:val="7F7F7F"/>
                <w:szCs w:val="18"/>
                <w:lang w:eastAsia="en-AU"/>
              </w:rPr>
            </w:pPr>
            <w:r w:rsidRPr="002913D3">
              <w:rPr>
                <w:rFonts w:cs="Arial"/>
                <w:color w:val="7F7F7F"/>
                <w:szCs w:val="18"/>
                <w:lang w:eastAsia="en-AU"/>
              </w:rPr>
              <w:t>-48%</w:t>
            </w:r>
          </w:p>
        </w:tc>
        <w:tc>
          <w:tcPr>
            <w:tcW w:w="1134" w:type="dxa"/>
            <w:tcBorders>
              <w:top w:val="nil"/>
              <w:left w:val="nil"/>
              <w:bottom w:val="nil"/>
              <w:right w:val="nil"/>
            </w:tcBorders>
            <w:shd w:val="clear" w:color="auto" w:fill="auto"/>
            <w:noWrap/>
            <w:vAlign w:val="center"/>
            <w:hideMark/>
          </w:tcPr>
          <w:p w:rsidR="001E08F1" w:rsidRPr="002913D3" w:rsidRDefault="001E08F1" w:rsidP="00D07A42">
            <w:pPr>
              <w:jc w:val="right"/>
              <w:rPr>
                <w:rFonts w:cs="Arial"/>
                <w:color w:val="7F7F7F"/>
                <w:szCs w:val="18"/>
                <w:lang w:eastAsia="en-AU"/>
              </w:rPr>
            </w:pPr>
            <w:r w:rsidRPr="002913D3">
              <w:rPr>
                <w:rFonts w:cs="Arial"/>
                <w:color w:val="7F7F7F"/>
                <w:szCs w:val="18"/>
                <w:lang w:eastAsia="en-AU"/>
              </w:rPr>
              <w:t>-50%</w:t>
            </w:r>
          </w:p>
        </w:tc>
        <w:tc>
          <w:tcPr>
            <w:tcW w:w="1134" w:type="dxa"/>
            <w:tcBorders>
              <w:top w:val="nil"/>
              <w:left w:val="nil"/>
              <w:bottom w:val="nil"/>
              <w:right w:val="nil"/>
            </w:tcBorders>
            <w:shd w:val="clear" w:color="auto" w:fill="auto"/>
            <w:noWrap/>
            <w:vAlign w:val="center"/>
            <w:hideMark/>
          </w:tcPr>
          <w:p w:rsidR="001E08F1" w:rsidRPr="002913D3" w:rsidRDefault="001E08F1" w:rsidP="00D07A42">
            <w:pPr>
              <w:jc w:val="right"/>
              <w:rPr>
                <w:rFonts w:cs="Arial"/>
                <w:color w:val="7F7F7F"/>
                <w:szCs w:val="18"/>
                <w:lang w:eastAsia="en-AU"/>
              </w:rPr>
            </w:pPr>
            <w:r w:rsidRPr="002913D3">
              <w:rPr>
                <w:rFonts w:cs="Arial"/>
                <w:color w:val="7F7F7F"/>
                <w:szCs w:val="18"/>
                <w:lang w:eastAsia="en-AU"/>
              </w:rPr>
              <w:t>-19%</w:t>
            </w:r>
          </w:p>
        </w:tc>
      </w:tr>
      <w:tr w:rsidR="001E08F1" w:rsidRPr="002913D3" w:rsidTr="00D07A42">
        <w:trPr>
          <w:trHeight w:val="300"/>
        </w:trPr>
        <w:tc>
          <w:tcPr>
            <w:tcW w:w="2425" w:type="dxa"/>
            <w:tcBorders>
              <w:top w:val="nil"/>
              <w:left w:val="nil"/>
              <w:bottom w:val="nil"/>
              <w:right w:val="nil"/>
            </w:tcBorders>
            <w:shd w:val="clear" w:color="auto" w:fill="auto"/>
            <w:noWrap/>
            <w:vAlign w:val="center"/>
            <w:hideMark/>
          </w:tcPr>
          <w:p w:rsidR="001E08F1" w:rsidRPr="002913D3" w:rsidRDefault="001E08F1" w:rsidP="00D07A42">
            <w:pPr>
              <w:rPr>
                <w:rFonts w:cs="Arial"/>
                <w:color w:val="7F7F7F"/>
                <w:szCs w:val="18"/>
                <w:lang w:eastAsia="en-AU"/>
              </w:rPr>
            </w:pPr>
            <w:r w:rsidRPr="002913D3">
              <w:rPr>
                <w:rFonts w:cs="Arial"/>
                <w:color w:val="7F7F7F"/>
                <w:szCs w:val="18"/>
                <w:lang w:eastAsia="en-AU"/>
              </w:rPr>
              <w:t>Cert III/IV</w:t>
            </w:r>
          </w:p>
        </w:tc>
        <w:tc>
          <w:tcPr>
            <w:tcW w:w="1134" w:type="dxa"/>
            <w:tcBorders>
              <w:top w:val="nil"/>
              <w:left w:val="nil"/>
              <w:bottom w:val="nil"/>
              <w:right w:val="nil"/>
            </w:tcBorders>
            <w:shd w:val="clear" w:color="auto" w:fill="auto"/>
            <w:noWrap/>
            <w:vAlign w:val="center"/>
            <w:hideMark/>
          </w:tcPr>
          <w:p w:rsidR="001E08F1" w:rsidRPr="002913D3" w:rsidRDefault="001E08F1" w:rsidP="00D07A42">
            <w:pPr>
              <w:jc w:val="right"/>
              <w:rPr>
                <w:rFonts w:cs="Arial"/>
                <w:color w:val="7F7F7F"/>
                <w:szCs w:val="18"/>
                <w:lang w:eastAsia="en-AU"/>
              </w:rPr>
            </w:pPr>
            <w:r w:rsidRPr="002913D3">
              <w:rPr>
                <w:rFonts w:cs="Arial"/>
                <w:color w:val="7F7F7F"/>
                <w:szCs w:val="18"/>
                <w:lang w:eastAsia="en-AU"/>
              </w:rPr>
              <w:t>89%</w:t>
            </w:r>
          </w:p>
        </w:tc>
        <w:tc>
          <w:tcPr>
            <w:tcW w:w="1134" w:type="dxa"/>
            <w:tcBorders>
              <w:top w:val="nil"/>
              <w:left w:val="nil"/>
              <w:bottom w:val="nil"/>
              <w:right w:val="nil"/>
            </w:tcBorders>
            <w:shd w:val="clear" w:color="auto" w:fill="auto"/>
            <w:noWrap/>
            <w:vAlign w:val="center"/>
            <w:hideMark/>
          </w:tcPr>
          <w:p w:rsidR="001E08F1" w:rsidRPr="002913D3" w:rsidRDefault="001E08F1" w:rsidP="00D07A42">
            <w:pPr>
              <w:jc w:val="right"/>
              <w:rPr>
                <w:rFonts w:cs="Arial"/>
                <w:color w:val="7F7F7F"/>
                <w:szCs w:val="18"/>
                <w:lang w:eastAsia="en-AU"/>
              </w:rPr>
            </w:pPr>
            <w:r w:rsidRPr="002913D3">
              <w:rPr>
                <w:rFonts w:cs="Arial"/>
                <w:color w:val="7F7F7F"/>
                <w:szCs w:val="18"/>
                <w:lang w:eastAsia="en-AU"/>
              </w:rPr>
              <w:t>40%</w:t>
            </w:r>
          </w:p>
        </w:tc>
        <w:tc>
          <w:tcPr>
            <w:tcW w:w="1134" w:type="dxa"/>
            <w:tcBorders>
              <w:top w:val="nil"/>
              <w:left w:val="nil"/>
              <w:bottom w:val="nil"/>
              <w:right w:val="nil"/>
            </w:tcBorders>
            <w:shd w:val="clear" w:color="auto" w:fill="auto"/>
            <w:noWrap/>
            <w:vAlign w:val="center"/>
            <w:hideMark/>
          </w:tcPr>
          <w:p w:rsidR="001E08F1" w:rsidRPr="002913D3" w:rsidRDefault="001E08F1" w:rsidP="00D07A42">
            <w:pPr>
              <w:jc w:val="right"/>
              <w:rPr>
                <w:rFonts w:cs="Arial"/>
                <w:color w:val="7F7F7F"/>
                <w:szCs w:val="18"/>
                <w:lang w:eastAsia="en-AU"/>
              </w:rPr>
            </w:pPr>
            <w:r w:rsidRPr="002913D3">
              <w:rPr>
                <w:rFonts w:cs="Arial"/>
                <w:color w:val="7F7F7F"/>
                <w:szCs w:val="18"/>
                <w:lang w:eastAsia="en-AU"/>
              </w:rPr>
              <w:t>4%</w:t>
            </w:r>
          </w:p>
        </w:tc>
        <w:tc>
          <w:tcPr>
            <w:tcW w:w="1134" w:type="dxa"/>
            <w:tcBorders>
              <w:top w:val="nil"/>
              <w:left w:val="nil"/>
              <w:bottom w:val="nil"/>
              <w:right w:val="nil"/>
            </w:tcBorders>
            <w:shd w:val="clear" w:color="auto" w:fill="auto"/>
            <w:noWrap/>
            <w:vAlign w:val="center"/>
            <w:hideMark/>
          </w:tcPr>
          <w:p w:rsidR="001E08F1" w:rsidRPr="002913D3" w:rsidRDefault="001E08F1" w:rsidP="00D07A42">
            <w:pPr>
              <w:jc w:val="right"/>
              <w:rPr>
                <w:rFonts w:cs="Arial"/>
                <w:color w:val="7F7F7F"/>
                <w:szCs w:val="18"/>
                <w:lang w:eastAsia="en-AU"/>
              </w:rPr>
            </w:pPr>
            <w:r w:rsidRPr="002913D3">
              <w:rPr>
                <w:rFonts w:cs="Arial"/>
                <w:color w:val="7F7F7F"/>
                <w:szCs w:val="18"/>
                <w:lang w:eastAsia="en-AU"/>
              </w:rPr>
              <w:t>13%</w:t>
            </w:r>
          </w:p>
        </w:tc>
        <w:tc>
          <w:tcPr>
            <w:tcW w:w="1134" w:type="dxa"/>
            <w:tcBorders>
              <w:top w:val="nil"/>
              <w:left w:val="nil"/>
              <w:bottom w:val="nil"/>
              <w:right w:val="nil"/>
            </w:tcBorders>
            <w:shd w:val="clear" w:color="auto" w:fill="auto"/>
            <w:noWrap/>
            <w:vAlign w:val="center"/>
            <w:hideMark/>
          </w:tcPr>
          <w:p w:rsidR="001E08F1" w:rsidRPr="002913D3" w:rsidRDefault="001E08F1" w:rsidP="00D07A42">
            <w:pPr>
              <w:jc w:val="right"/>
              <w:rPr>
                <w:rFonts w:cs="Arial"/>
                <w:color w:val="7F7F7F"/>
                <w:szCs w:val="18"/>
                <w:lang w:eastAsia="en-AU"/>
              </w:rPr>
            </w:pPr>
            <w:r w:rsidRPr="002913D3">
              <w:rPr>
                <w:rFonts w:cs="Arial"/>
                <w:color w:val="7F7F7F"/>
                <w:szCs w:val="18"/>
                <w:lang w:eastAsia="en-AU"/>
              </w:rPr>
              <w:t>-3%</w:t>
            </w:r>
          </w:p>
        </w:tc>
      </w:tr>
      <w:tr w:rsidR="001E08F1" w:rsidRPr="002913D3" w:rsidTr="00D07A42">
        <w:trPr>
          <w:trHeight w:val="300"/>
        </w:trPr>
        <w:tc>
          <w:tcPr>
            <w:tcW w:w="2425" w:type="dxa"/>
            <w:tcBorders>
              <w:top w:val="nil"/>
              <w:left w:val="nil"/>
              <w:bottom w:val="nil"/>
              <w:right w:val="nil"/>
            </w:tcBorders>
            <w:shd w:val="clear" w:color="auto" w:fill="auto"/>
            <w:noWrap/>
            <w:vAlign w:val="center"/>
            <w:hideMark/>
          </w:tcPr>
          <w:p w:rsidR="001E08F1" w:rsidRPr="002913D3" w:rsidRDefault="001E08F1" w:rsidP="00D07A42">
            <w:pPr>
              <w:rPr>
                <w:rFonts w:cs="Arial"/>
                <w:color w:val="7F7F7F"/>
                <w:szCs w:val="18"/>
                <w:lang w:eastAsia="en-AU"/>
              </w:rPr>
            </w:pPr>
            <w:r w:rsidRPr="002913D3">
              <w:rPr>
                <w:rFonts w:cs="Arial"/>
                <w:color w:val="7F7F7F"/>
                <w:szCs w:val="18"/>
                <w:lang w:eastAsia="en-AU"/>
              </w:rPr>
              <w:t>Diploma &amp; Above</w:t>
            </w:r>
          </w:p>
        </w:tc>
        <w:tc>
          <w:tcPr>
            <w:tcW w:w="1134" w:type="dxa"/>
            <w:tcBorders>
              <w:top w:val="nil"/>
              <w:left w:val="nil"/>
              <w:bottom w:val="nil"/>
              <w:right w:val="nil"/>
            </w:tcBorders>
            <w:shd w:val="clear" w:color="auto" w:fill="auto"/>
            <w:noWrap/>
            <w:vAlign w:val="center"/>
            <w:hideMark/>
          </w:tcPr>
          <w:p w:rsidR="001E08F1" w:rsidRPr="002913D3" w:rsidRDefault="001E08F1" w:rsidP="00D07A42">
            <w:pPr>
              <w:jc w:val="right"/>
              <w:rPr>
                <w:rFonts w:cs="Arial"/>
                <w:color w:val="7F7F7F"/>
                <w:szCs w:val="18"/>
                <w:lang w:eastAsia="en-AU"/>
              </w:rPr>
            </w:pPr>
            <w:r w:rsidRPr="002913D3">
              <w:rPr>
                <w:rFonts w:cs="Arial"/>
                <w:color w:val="7F7F7F"/>
                <w:szCs w:val="18"/>
                <w:lang w:eastAsia="en-AU"/>
              </w:rPr>
              <w:t>74%</w:t>
            </w:r>
          </w:p>
        </w:tc>
        <w:tc>
          <w:tcPr>
            <w:tcW w:w="1134" w:type="dxa"/>
            <w:tcBorders>
              <w:top w:val="nil"/>
              <w:left w:val="nil"/>
              <w:bottom w:val="nil"/>
              <w:right w:val="nil"/>
            </w:tcBorders>
            <w:shd w:val="clear" w:color="auto" w:fill="auto"/>
            <w:noWrap/>
            <w:vAlign w:val="center"/>
            <w:hideMark/>
          </w:tcPr>
          <w:p w:rsidR="001E08F1" w:rsidRPr="002913D3" w:rsidRDefault="001E08F1" w:rsidP="00D07A42">
            <w:pPr>
              <w:jc w:val="right"/>
              <w:rPr>
                <w:rFonts w:cs="Arial"/>
                <w:color w:val="7F7F7F"/>
                <w:szCs w:val="18"/>
                <w:lang w:eastAsia="en-AU"/>
              </w:rPr>
            </w:pPr>
            <w:r w:rsidRPr="002913D3">
              <w:rPr>
                <w:rFonts w:cs="Arial"/>
                <w:color w:val="7F7F7F"/>
                <w:szCs w:val="18"/>
                <w:lang w:eastAsia="en-AU"/>
              </w:rPr>
              <w:t>25%</w:t>
            </w:r>
          </w:p>
        </w:tc>
        <w:tc>
          <w:tcPr>
            <w:tcW w:w="1134" w:type="dxa"/>
            <w:tcBorders>
              <w:top w:val="nil"/>
              <w:left w:val="nil"/>
              <w:bottom w:val="nil"/>
              <w:right w:val="nil"/>
            </w:tcBorders>
            <w:shd w:val="clear" w:color="auto" w:fill="auto"/>
            <w:noWrap/>
            <w:vAlign w:val="center"/>
            <w:hideMark/>
          </w:tcPr>
          <w:p w:rsidR="001E08F1" w:rsidRPr="002913D3" w:rsidRDefault="001E08F1" w:rsidP="00D07A42">
            <w:pPr>
              <w:jc w:val="right"/>
              <w:rPr>
                <w:rFonts w:cs="Arial"/>
                <w:color w:val="7F7F7F"/>
                <w:szCs w:val="18"/>
                <w:lang w:eastAsia="en-AU"/>
              </w:rPr>
            </w:pPr>
            <w:r w:rsidRPr="002913D3">
              <w:rPr>
                <w:rFonts w:cs="Arial"/>
                <w:color w:val="7F7F7F"/>
                <w:szCs w:val="18"/>
                <w:lang w:eastAsia="en-AU"/>
              </w:rPr>
              <w:t>4%</w:t>
            </w:r>
          </w:p>
        </w:tc>
        <w:tc>
          <w:tcPr>
            <w:tcW w:w="1134" w:type="dxa"/>
            <w:tcBorders>
              <w:top w:val="nil"/>
              <w:left w:val="nil"/>
              <w:bottom w:val="nil"/>
              <w:right w:val="nil"/>
            </w:tcBorders>
            <w:shd w:val="clear" w:color="auto" w:fill="auto"/>
            <w:noWrap/>
            <w:vAlign w:val="center"/>
            <w:hideMark/>
          </w:tcPr>
          <w:p w:rsidR="001E08F1" w:rsidRPr="002913D3" w:rsidRDefault="001E08F1" w:rsidP="00D07A42">
            <w:pPr>
              <w:jc w:val="right"/>
              <w:rPr>
                <w:rFonts w:cs="Arial"/>
                <w:color w:val="7F7F7F"/>
                <w:szCs w:val="18"/>
                <w:lang w:eastAsia="en-AU"/>
              </w:rPr>
            </w:pPr>
            <w:r w:rsidRPr="002913D3">
              <w:rPr>
                <w:rFonts w:cs="Arial"/>
                <w:color w:val="7F7F7F"/>
                <w:szCs w:val="18"/>
                <w:lang w:eastAsia="en-AU"/>
              </w:rPr>
              <w:t>24%</w:t>
            </w:r>
          </w:p>
        </w:tc>
        <w:tc>
          <w:tcPr>
            <w:tcW w:w="1134" w:type="dxa"/>
            <w:tcBorders>
              <w:top w:val="nil"/>
              <w:left w:val="nil"/>
              <w:bottom w:val="nil"/>
              <w:right w:val="nil"/>
            </w:tcBorders>
            <w:shd w:val="clear" w:color="auto" w:fill="auto"/>
            <w:noWrap/>
            <w:vAlign w:val="center"/>
            <w:hideMark/>
          </w:tcPr>
          <w:p w:rsidR="001E08F1" w:rsidRPr="002913D3" w:rsidRDefault="001E08F1" w:rsidP="00D07A42">
            <w:pPr>
              <w:jc w:val="right"/>
              <w:rPr>
                <w:rFonts w:cs="Arial"/>
                <w:color w:val="7F7F7F"/>
                <w:szCs w:val="18"/>
                <w:lang w:eastAsia="en-AU"/>
              </w:rPr>
            </w:pPr>
            <w:r w:rsidRPr="002913D3">
              <w:rPr>
                <w:rFonts w:cs="Arial"/>
                <w:color w:val="7F7F7F"/>
                <w:szCs w:val="18"/>
                <w:lang w:eastAsia="en-AU"/>
              </w:rPr>
              <w:t>11%</w:t>
            </w:r>
          </w:p>
        </w:tc>
      </w:tr>
      <w:tr w:rsidR="001E08F1" w:rsidRPr="002913D3" w:rsidTr="00D07A42">
        <w:trPr>
          <w:trHeight w:val="300"/>
        </w:trPr>
        <w:tc>
          <w:tcPr>
            <w:tcW w:w="2425" w:type="dxa"/>
            <w:tcBorders>
              <w:top w:val="nil"/>
              <w:left w:val="nil"/>
              <w:bottom w:val="nil"/>
              <w:right w:val="nil"/>
            </w:tcBorders>
            <w:shd w:val="clear" w:color="auto" w:fill="auto"/>
            <w:noWrap/>
            <w:vAlign w:val="center"/>
            <w:hideMark/>
          </w:tcPr>
          <w:p w:rsidR="001E08F1" w:rsidRPr="002913D3" w:rsidRDefault="001E08F1" w:rsidP="00D07A42">
            <w:pPr>
              <w:rPr>
                <w:rFonts w:cs="Arial"/>
                <w:color w:val="7F7F7F"/>
                <w:szCs w:val="18"/>
                <w:lang w:eastAsia="en-AU"/>
              </w:rPr>
            </w:pPr>
            <w:r w:rsidRPr="002913D3">
              <w:rPr>
                <w:rFonts w:cs="Arial"/>
                <w:color w:val="7F7F7F"/>
                <w:szCs w:val="18"/>
                <w:lang w:eastAsia="en-AU"/>
              </w:rPr>
              <w:t>Module Only</w:t>
            </w:r>
          </w:p>
        </w:tc>
        <w:tc>
          <w:tcPr>
            <w:tcW w:w="1134" w:type="dxa"/>
            <w:tcBorders>
              <w:top w:val="nil"/>
              <w:left w:val="nil"/>
              <w:bottom w:val="nil"/>
              <w:right w:val="nil"/>
            </w:tcBorders>
            <w:shd w:val="clear" w:color="auto" w:fill="auto"/>
            <w:noWrap/>
            <w:vAlign w:val="center"/>
            <w:hideMark/>
          </w:tcPr>
          <w:p w:rsidR="001E08F1" w:rsidRPr="002913D3" w:rsidRDefault="001E08F1" w:rsidP="00D07A42">
            <w:pPr>
              <w:jc w:val="right"/>
              <w:rPr>
                <w:rFonts w:cs="Arial"/>
                <w:color w:val="7F7F7F"/>
                <w:szCs w:val="18"/>
                <w:lang w:eastAsia="en-AU"/>
              </w:rPr>
            </w:pPr>
            <w:r w:rsidRPr="002913D3">
              <w:rPr>
                <w:rFonts w:cs="Arial"/>
                <w:color w:val="7F7F7F"/>
                <w:szCs w:val="18"/>
                <w:lang w:eastAsia="en-AU"/>
              </w:rPr>
              <w:t>-78%</w:t>
            </w:r>
          </w:p>
        </w:tc>
        <w:tc>
          <w:tcPr>
            <w:tcW w:w="1134" w:type="dxa"/>
            <w:tcBorders>
              <w:top w:val="nil"/>
              <w:left w:val="nil"/>
              <w:bottom w:val="nil"/>
              <w:right w:val="nil"/>
            </w:tcBorders>
            <w:shd w:val="clear" w:color="auto" w:fill="auto"/>
            <w:noWrap/>
            <w:vAlign w:val="center"/>
            <w:hideMark/>
          </w:tcPr>
          <w:p w:rsidR="001E08F1" w:rsidRPr="002913D3" w:rsidRDefault="001E08F1" w:rsidP="00D07A42">
            <w:pPr>
              <w:jc w:val="right"/>
              <w:rPr>
                <w:rFonts w:cs="Arial"/>
                <w:color w:val="7F7F7F"/>
                <w:szCs w:val="18"/>
                <w:lang w:eastAsia="en-AU"/>
              </w:rPr>
            </w:pPr>
            <w:r w:rsidRPr="002913D3">
              <w:rPr>
                <w:rFonts w:cs="Arial"/>
                <w:color w:val="7F7F7F"/>
                <w:szCs w:val="18"/>
                <w:lang w:eastAsia="en-AU"/>
              </w:rPr>
              <w:t>29%</w:t>
            </w:r>
          </w:p>
        </w:tc>
        <w:tc>
          <w:tcPr>
            <w:tcW w:w="1134" w:type="dxa"/>
            <w:tcBorders>
              <w:top w:val="nil"/>
              <w:left w:val="nil"/>
              <w:bottom w:val="nil"/>
              <w:right w:val="nil"/>
            </w:tcBorders>
            <w:shd w:val="clear" w:color="auto" w:fill="auto"/>
            <w:noWrap/>
            <w:vAlign w:val="center"/>
            <w:hideMark/>
          </w:tcPr>
          <w:p w:rsidR="001E08F1" w:rsidRPr="002913D3" w:rsidRDefault="001E08F1" w:rsidP="00D07A42">
            <w:pPr>
              <w:jc w:val="right"/>
              <w:rPr>
                <w:rFonts w:cs="Arial"/>
                <w:color w:val="7F7F7F"/>
                <w:szCs w:val="18"/>
                <w:lang w:eastAsia="en-AU"/>
              </w:rPr>
            </w:pPr>
            <w:r w:rsidRPr="002913D3">
              <w:rPr>
                <w:rFonts w:cs="Arial"/>
                <w:color w:val="7F7F7F"/>
                <w:szCs w:val="18"/>
                <w:lang w:eastAsia="en-AU"/>
              </w:rPr>
              <w:t>100%</w:t>
            </w:r>
          </w:p>
        </w:tc>
        <w:tc>
          <w:tcPr>
            <w:tcW w:w="1134" w:type="dxa"/>
            <w:tcBorders>
              <w:top w:val="nil"/>
              <w:left w:val="nil"/>
              <w:bottom w:val="nil"/>
              <w:right w:val="nil"/>
            </w:tcBorders>
            <w:shd w:val="clear" w:color="auto" w:fill="auto"/>
            <w:noWrap/>
            <w:vAlign w:val="center"/>
            <w:hideMark/>
          </w:tcPr>
          <w:p w:rsidR="001E08F1" w:rsidRPr="002913D3" w:rsidRDefault="001E08F1" w:rsidP="00D07A42">
            <w:pPr>
              <w:jc w:val="right"/>
              <w:rPr>
                <w:rFonts w:cs="Arial"/>
                <w:color w:val="7F7F7F"/>
                <w:szCs w:val="18"/>
                <w:lang w:eastAsia="en-AU"/>
              </w:rPr>
            </w:pPr>
            <w:r w:rsidRPr="002913D3">
              <w:rPr>
                <w:rFonts w:cs="Arial"/>
                <w:color w:val="7F7F7F"/>
                <w:szCs w:val="18"/>
                <w:lang w:eastAsia="en-AU"/>
              </w:rPr>
              <w:t>260%</w:t>
            </w:r>
          </w:p>
        </w:tc>
        <w:tc>
          <w:tcPr>
            <w:tcW w:w="1134" w:type="dxa"/>
            <w:tcBorders>
              <w:top w:val="nil"/>
              <w:left w:val="nil"/>
              <w:bottom w:val="nil"/>
              <w:right w:val="nil"/>
            </w:tcBorders>
            <w:shd w:val="clear" w:color="auto" w:fill="auto"/>
            <w:noWrap/>
            <w:vAlign w:val="center"/>
            <w:hideMark/>
          </w:tcPr>
          <w:p w:rsidR="001E08F1" w:rsidRPr="002913D3" w:rsidRDefault="001E08F1" w:rsidP="00D07A42">
            <w:pPr>
              <w:jc w:val="right"/>
              <w:rPr>
                <w:rFonts w:cs="Arial"/>
                <w:color w:val="7F7F7F"/>
                <w:szCs w:val="18"/>
                <w:lang w:eastAsia="en-AU"/>
              </w:rPr>
            </w:pPr>
            <w:r w:rsidRPr="002913D3">
              <w:rPr>
                <w:rFonts w:cs="Arial"/>
                <w:color w:val="7F7F7F"/>
                <w:szCs w:val="18"/>
                <w:lang w:eastAsia="en-AU"/>
              </w:rPr>
              <w:t>-90%</w:t>
            </w:r>
          </w:p>
        </w:tc>
      </w:tr>
      <w:tr w:rsidR="001E08F1" w:rsidRPr="002913D3" w:rsidTr="00D07A42">
        <w:trPr>
          <w:trHeight w:val="300"/>
        </w:trPr>
        <w:tc>
          <w:tcPr>
            <w:tcW w:w="2425" w:type="dxa"/>
            <w:tcBorders>
              <w:top w:val="nil"/>
              <w:left w:val="nil"/>
              <w:bottom w:val="nil"/>
              <w:right w:val="nil"/>
            </w:tcBorders>
            <w:shd w:val="clear" w:color="auto" w:fill="auto"/>
            <w:noWrap/>
            <w:vAlign w:val="center"/>
            <w:hideMark/>
          </w:tcPr>
          <w:p w:rsidR="001E08F1" w:rsidRPr="002913D3" w:rsidRDefault="001E08F1" w:rsidP="00D07A42">
            <w:pPr>
              <w:rPr>
                <w:rFonts w:cs="Arial"/>
                <w:color w:val="7F7F7F"/>
                <w:szCs w:val="18"/>
                <w:lang w:eastAsia="en-AU"/>
              </w:rPr>
            </w:pPr>
            <w:r w:rsidRPr="002913D3">
              <w:rPr>
                <w:rFonts w:cs="Arial"/>
                <w:color w:val="7F7F7F"/>
                <w:szCs w:val="18"/>
                <w:lang w:eastAsia="en-AU"/>
              </w:rPr>
              <w:t>Secondary Education*</w:t>
            </w:r>
          </w:p>
        </w:tc>
        <w:tc>
          <w:tcPr>
            <w:tcW w:w="1134" w:type="dxa"/>
            <w:tcBorders>
              <w:top w:val="nil"/>
              <w:left w:val="nil"/>
              <w:bottom w:val="nil"/>
              <w:right w:val="nil"/>
            </w:tcBorders>
            <w:shd w:val="clear" w:color="auto" w:fill="auto"/>
            <w:noWrap/>
            <w:vAlign w:val="center"/>
            <w:hideMark/>
          </w:tcPr>
          <w:p w:rsidR="001E08F1" w:rsidRPr="002913D3" w:rsidRDefault="001E08F1" w:rsidP="00D07A42">
            <w:pPr>
              <w:jc w:val="right"/>
              <w:rPr>
                <w:rFonts w:cs="Arial"/>
                <w:color w:val="7F7F7F"/>
                <w:szCs w:val="18"/>
                <w:lang w:eastAsia="en-AU"/>
              </w:rPr>
            </w:pPr>
            <w:r w:rsidRPr="002913D3">
              <w:rPr>
                <w:rFonts w:cs="Arial"/>
                <w:color w:val="7F7F7F"/>
                <w:szCs w:val="18"/>
                <w:lang w:eastAsia="en-AU"/>
              </w:rPr>
              <w:t>-38%</w:t>
            </w:r>
          </w:p>
        </w:tc>
        <w:tc>
          <w:tcPr>
            <w:tcW w:w="1134" w:type="dxa"/>
            <w:tcBorders>
              <w:top w:val="nil"/>
              <w:left w:val="nil"/>
              <w:bottom w:val="nil"/>
              <w:right w:val="nil"/>
            </w:tcBorders>
            <w:shd w:val="clear" w:color="auto" w:fill="auto"/>
            <w:noWrap/>
            <w:vAlign w:val="center"/>
            <w:hideMark/>
          </w:tcPr>
          <w:p w:rsidR="001E08F1" w:rsidRPr="002913D3" w:rsidRDefault="001E08F1" w:rsidP="00D07A42">
            <w:pPr>
              <w:jc w:val="right"/>
              <w:rPr>
                <w:rFonts w:cs="Arial"/>
                <w:color w:val="7F7F7F"/>
                <w:szCs w:val="18"/>
                <w:lang w:eastAsia="en-AU"/>
              </w:rPr>
            </w:pPr>
            <w:r w:rsidRPr="002913D3">
              <w:rPr>
                <w:rFonts w:cs="Arial"/>
                <w:color w:val="7F7F7F"/>
                <w:szCs w:val="18"/>
                <w:lang w:eastAsia="en-AU"/>
              </w:rPr>
              <w:t>6%</w:t>
            </w:r>
          </w:p>
        </w:tc>
        <w:tc>
          <w:tcPr>
            <w:tcW w:w="1134" w:type="dxa"/>
            <w:tcBorders>
              <w:top w:val="nil"/>
              <w:left w:val="nil"/>
              <w:bottom w:val="nil"/>
              <w:right w:val="nil"/>
            </w:tcBorders>
            <w:shd w:val="clear" w:color="auto" w:fill="auto"/>
            <w:noWrap/>
            <w:vAlign w:val="center"/>
            <w:hideMark/>
          </w:tcPr>
          <w:p w:rsidR="001E08F1" w:rsidRPr="002913D3" w:rsidRDefault="001E08F1" w:rsidP="00D07A42">
            <w:pPr>
              <w:jc w:val="right"/>
              <w:rPr>
                <w:rFonts w:cs="Arial"/>
                <w:color w:val="7F7F7F"/>
                <w:szCs w:val="18"/>
                <w:lang w:eastAsia="en-AU"/>
              </w:rPr>
            </w:pPr>
            <w:r w:rsidRPr="002913D3">
              <w:rPr>
                <w:rFonts w:cs="Arial"/>
                <w:color w:val="7F7F7F"/>
                <w:szCs w:val="18"/>
                <w:lang w:eastAsia="en-AU"/>
              </w:rPr>
              <w:t>2%</w:t>
            </w:r>
          </w:p>
        </w:tc>
        <w:tc>
          <w:tcPr>
            <w:tcW w:w="1134" w:type="dxa"/>
            <w:tcBorders>
              <w:top w:val="nil"/>
              <w:left w:val="nil"/>
              <w:bottom w:val="nil"/>
              <w:right w:val="nil"/>
            </w:tcBorders>
            <w:shd w:val="clear" w:color="auto" w:fill="auto"/>
            <w:noWrap/>
            <w:vAlign w:val="center"/>
            <w:hideMark/>
          </w:tcPr>
          <w:p w:rsidR="001E08F1" w:rsidRPr="002913D3" w:rsidRDefault="001E08F1" w:rsidP="00D07A42">
            <w:pPr>
              <w:jc w:val="right"/>
              <w:rPr>
                <w:rFonts w:cs="Arial"/>
                <w:color w:val="7F7F7F"/>
                <w:szCs w:val="18"/>
                <w:lang w:eastAsia="en-AU"/>
              </w:rPr>
            </w:pPr>
            <w:r w:rsidRPr="002913D3">
              <w:rPr>
                <w:rFonts w:cs="Arial"/>
                <w:color w:val="7F7F7F"/>
                <w:szCs w:val="18"/>
                <w:lang w:eastAsia="en-AU"/>
              </w:rPr>
              <w:t>-12%</w:t>
            </w:r>
          </w:p>
        </w:tc>
        <w:tc>
          <w:tcPr>
            <w:tcW w:w="1134" w:type="dxa"/>
            <w:tcBorders>
              <w:top w:val="nil"/>
              <w:left w:val="nil"/>
              <w:bottom w:val="nil"/>
              <w:right w:val="nil"/>
            </w:tcBorders>
            <w:shd w:val="clear" w:color="auto" w:fill="auto"/>
            <w:noWrap/>
            <w:vAlign w:val="center"/>
            <w:hideMark/>
          </w:tcPr>
          <w:p w:rsidR="001E08F1" w:rsidRPr="002913D3" w:rsidRDefault="001E08F1" w:rsidP="00D07A42">
            <w:pPr>
              <w:jc w:val="right"/>
              <w:rPr>
                <w:rFonts w:cs="Arial"/>
                <w:color w:val="7F7F7F"/>
                <w:szCs w:val="18"/>
                <w:lang w:eastAsia="en-AU"/>
              </w:rPr>
            </w:pPr>
            <w:r w:rsidRPr="002913D3">
              <w:rPr>
                <w:rFonts w:cs="Arial"/>
                <w:color w:val="7F7F7F"/>
                <w:szCs w:val="18"/>
                <w:lang w:eastAsia="en-AU"/>
              </w:rPr>
              <w:t>-38%</w:t>
            </w:r>
          </w:p>
        </w:tc>
      </w:tr>
      <w:tr w:rsidR="001E08F1" w:rsidRPr="002913D3" w:rsidTr="00D07A42">
        <w:trPr>
          <w:trHeight w:val="300"/>
        </w:trPr>
        <w:tc>
          <w:tcPr>
            <w:tcW w:w="2425" w:type="dxa"/>
            <w:tcBorders>
              <w:top w:val="nil"/>
              <w:left w:val="nil"/>
              <w:bottom w:val="nil"/>
              <w:right w:val="nil"/>
            </w:tcBorders>
            <w:shd w:val="clear" w:color="auto" w:fill="auto"/>
            <w:noWrap/>
            <w:vAlign w:val="center"/>
            <w:hideMark/>
          </w:tcPr>
          <w:p w:rsidR="001E08F1" w:rsidRPr="002913D3" w:rsidRDefault="001E08F1" w:rsidP="00D07A42">
            <w:pPr>
              <w:rPr>
                <w:rFonts w:cs="Arial"/>
                <w:color w:val="7F7F7F"/>
                <w:szCs w:val="18"/>
                <w:lang w:eastAsia="en-AU"/>
              </w:rPr>
            </w:pPr>
            <w:r w:rsidRPr="002913D3">
              <w:rPr>
                <w:rFonts w:cs="Arial"/>
                <w:color w:val="7F7F7F"/>
                <w:szCs w:val="18"/>
                <w:lang w:eastAsia="en-AU"/>
              </w:rPr>
              <w:t>Other**</w:t>
            </w:r>
          </w:p>
        </w:tc>
        <w:tc>
          <w:tcPr>
            <w:tcW w:w="1134" w:type="dxa"/>
            <w:tcBorders>
              <w:top w:val="nil"/>
              <w:left w:val="nil"/>
              <w:bottom w:val="nil"/>
              <w:right w:val="nil"/>
            </w:tcBorders>
            <w:shd w:val="clear" w:color="auto" w:fill="auto"/>
            <w:noWrap/>
            <w:vAlign w:val="center"/>
            <w:hideMark/>
          </w:tcPr>
          <w:p w:rsidR="001E08F1" w:rsidRPr="002913D3" w:rsidRDefault="001E08F1" w:rsidP="00D07A42">
            <w:pPr>
              <w:jc w:val="right"/>
              <w:rPr>
                <w:rFonts w:cs="Arial"/>
                <w:color w:val="7F7F7F"/>
                <w:szCs w:val="18"/>
                <w:lang w:eastAsia="en-AU"/>
              </w:rPr>
            </w:pPr>
            <w:r w:rsidRPr="002913D3">
              <w:rPr>
                <w:rFonts w:cs="Arial"/>
                <w:color w:val="7F7F7F"/>
                <w:szCs w:val="18"/>
                <w:lang w:eastAsia="en-AU"/>
              </w:rPr>
              <w:t>-56%</w:t>
            </w:r>
          </w:p>
        </w:tc>
        <w:tc>
          <w:tcPr>
            <w:tcW w:w="1134" w:type="dxa"/>
            <w:tcBorders>
              <w:top w:val="nil"/>
              <w:left w:val="nil"/>
              <w:bottom w:val="nil"/>
              <w:right w:val="nil"/>
            </w:tcBorders>
            <w:shd w:val="clear" w:color="auto" w:fill="auto"/>
            <w:noWrap/>
            <w:vAlign w:val="center"/>
            <w:hideMark/>
          </w:tcPr>
          <w:p w:rsidR="001E08F1" w:rsidRPr="002913D3" w:rsidRDefault="001E08F1" w:rsidP="00D07A42">
            <w:pPr>
              <w:jc w:val="right"/>
              <w:rPr>
                <w:rFonts w:cs="Arial"/>
                <w:color w:val="7F7F7F"/>
                <w:szCs w:val="18"/>
                <w:lang w:eastAsia="en-AU"/>
              </w:rPr>
            </w:pPr>
            <w:r w:rsidRPr="002913D3">
              <w:rPr>
                <w:rFonts w:cs="Arial"/>
                <w:color w:val="7F7F7F"/>
                <w:szCs w:val="18"/>
                <w:lang w:eastAsia="en-AU"/>
              </w:rPr>
              <w:t>-3%</w:t>
            </w:r>
          </w:p>
        </w:tc>
        <w:tc>
          <w:tcPr>
            <w:tcW w:w="1134" w:type="dxa"/>
            <w:tcBorders>
              <w:top w:val="nil"/>
              <w:left w:val="nil"/>
              <w:bottom w:val="nil"/>
              <w:right w:val="nil"/>
            </w:tcBorders>
            <w:shd w:val="clear" w:color="auto" w:fill="auto"/>
            <w:noWrap/>
            <w:vAlign w:val="center"/>
            <w:hideMark/>
          </w:tcPr>
          <w:p w:rsidR="001E08F1" w:rsidRPr="002913D3" w:rsidRDefault="001E08F1" w:rsidP="00D07A42">
            <w:pPr>
              <w:jc w:val="right"/>
              <w:rPr>
                <w:rFonts w:cs="Arial"/>
                <w:color w:val="7F7F7F"/>
                <w:szCs w:val="18"/>
                <w:lang w:eastAsia="en-AU"/>
              </w:rPr>
            </w:pPr>
            <w:r w:rsidRPr="002913D3">
              <w:rPr>
                <w:rFonts w:cs="Arial"/>
                <w:color w:val="7F7F7F"/>
                <w:szCs w:val="18"/>
                <w:lang w:eastAsia="en-AU"/>
              </w:rPr>
              <w:t>-49%</w:t>
            </w:r>
          </w:p>
        </w:tc>
        <w:tc>
          <w:tcPr>
            <w:tcW w:w="1134" w:type="dxa"/>
            <w:tcBorders>
              <w:top w:val="nil"/>
              <w:left w:val="nil"/>
              <w:bottom w:val="nil"/>
              <w:right w:val="nil"/>
            </w:tcBorders>
            <w:shd w:val="clear" w:color="auto" w:fill="auto"/>
            <w:noWrap/>
            <w:vAlign w:val="center"/>
            <w:hideMark/>
          </w:tcPr>
          <w:p w:rsidR="001E08F1" w:rsidRPr="002913D3" w:rsidRDefault="001E08F1" w:rsidP="00D07A42">
            <w:pPr>
              <w:jc w:val="right"/>
              <w:rPr>
                <w:rFonts w:cs="Arial"/>
                <w:color w:val="7F7F7F"/>
                <w:szCs w:val="18"/>
                <w:lang w:eastAsia="en-AU"/>
              </w:rPr>
            </w:pPr>
            <w:r w:rsidRPr="002913D3">
              <w:rPr>
                <w:rFonts w:cs="Arial"/>
                <w:color w:val="7F7F7F"/>
                <w:szCs w:val="18"/>
                <w:lang w:eastAsia="en-AU"/>
              </w:rPr>
              <w:t>-10%</w:t>
            </w:r>
          </w:p>
        </w:tc>
        <w:tc>
          <w:tcPr>
            <w:tcW w:w="1134" w:type="dxa"/>
            <w:tcBorders>
              <w:top w:val="nil"/>
              <w:left w:val="nil"/>
              <w:bottom w:val="nil"/>
              <w:right w:val="nil"/>
            </w:tcBorders>
            <w:shd w:val="clear" w:color="auto" w:fill="auto"/>
            <w:noWrap/>
            <w:vAlign w:val="center"/>
            <w:hideMark/>
          </w:tcPr>
          <w:p w:rsidR="001E08F1" w:rsidRPr="002913D3" w:rsidRDefault="001E08F1" w:rsidP="00D07A42">
            <w:pPr>
              <w:jc w:val="right"/>
              <w:rPr>
                <w:rFonts w:cs="Arial"/>
                <w:color w:val="7F7F7F"/>
                <w:szCs w:val="18"/>
                <w:lang w:eastAsia="en-AU"/>
              </w:rPr>
            </w:pPr>
            <w:r w:rsidRPr="002913D3">
              <w:rPr>
                <w:rFonts w:cs="Arial"/>
                <w:color w:val="7F7F7F"/>
                <w:szCs w:val="18"/>
                <w:lang w:eastAsia="en-AU"/>
              </w:rPr>
              <w:t>-64%</w:t>
            </w:r>
          </w:p>
        </w:tc>
      </w:tr>
      <w:tr w:rsidR="001E08F1" w:rsidRPr="002913D3" w:rsidTr="00D07A42">
        <w:trPr>
          <w:trHeight w:val="300"/>
        </w:trPr>
        <w:tc>
          <w:tcPr>
            <w:tcW w:w="2425" w:type="dxa"/>
            <w:tcBorders>
              <w:top w:val="nil"/>
              <w:left w:val="nil"/>
              <w:bottom w:val="nil"/>
              <w:right w:val="nil"/>
            </w:tcBorders>
            <w:shd w:val="clear" w:color="000000" w:fill="7F7F7F"/>
            <w:noWrap/>
            <w:vAlign w:val="center"/>
            <w:hideMark/>
          </w:tcPr>
          <w:p w:rsidR="001E08F1" w:rsidRPr="002913D3" w:rsidRDefault="001E08F1" w:rsidP="00D07A42">
            <w:pPr>
              <w:rPr>
                <w:rFonts w:cs="Arial"/>
                <w:b/>
                <w:bCs/>
                <w:color w:val="FFFFFF"/>
                <w:szCs w:val="18"/>
                <w:lang w:eastAsia="en-AU"/>
              </w:rPr>
            </w:pPr>
            <w:r w:rsidRPr="002913D3">
              <w:rPr>
                <w:rFonts w:cs="Arial"/>
                <w:b/>
                <w:bCs/>
                <w:color w:val="FFFFFF"/>
                <w:szCs w:val="18"/>
                <w:lang w:eastAsia="en-AU"/>
              </w:rPr>
              <w:t>Total</w:t>
            </w:r>
          </w:p>
        </w:tc>
        <w:tc>
          <w:tcPr>
            <w:tcW w:w="1134" w:type="dxa"/>
            <w:tcBorders>
              <w:top w:val="nil"/>
              <w:left w:val="nil"/>
              <w:bottom w:val="nil"/>
              <w:right w:val="nil"/>
            </w:tcBorders>
            <w:shd w:val="clear" w:color="000000" w:fill="7F7F7F"/>
            <w:noWrap/>
            <w:vAlign w:val="center"/>
            <w:hideMark/>
          </w:tcPr>
          <w:p w:rsidR="001E08F1" w:rsidRPr="002913D3" w:rsidRDefault="001E08F1" w:rsidP="00D07A42">
            <w:pPr>
              <w:jc w:val="right"/>
              <w:rPr>
                <w:rFonts w:cs="Arial"/>
                <w:b/>
                <w:bCs/>
                <w:color w:val="FFFFFF"/>
                <w:szCs w:val="18"/>
                <w:lang w:eastAsia="en-AU"/>
              </w:rPr>
            </w:pPr>
            <w:r w:rsidRPr="002913D3">
              <w:rPr>
                <w:rFonts w:cs="Arial"/>
                <w:b/>
                <w:bCs/>
                <w:color w:val="FFFFFF"/>
                <w:szCs w:val="18"/>
                <w:lang w:eastAsia="en-AU"/>
              </w:rPr>
              <w:t>18%</w:t>
            </w:r>
          </w:p>
        </w:tc>
        <w:tc>
          <w:tcPr>
            <w:tcW w:w="1134" w:type="dxa"/>
            <w:tcBorders>
              <w:top w:val="nil"/>
              <w:left w:val="nil"/>
              <w:bottom w:val="nil"/>
              <w:right w:val="nil"/>
            </w:tcBorders>
            <w:shd w:val="clear" w:color="000000" w:fill="7F7F7F"/>
            <w:noWrap/>
            <w:vAlign w:val="center"/>
            <w:hideMark/>
          </w:tcPr>
          <w:p w:rsidR="001E08F1" w:rsidRPr="002913D3" w:rsidRDefault="001E08F1" w:rsidP="00D07A42">
            <w:pPr>
              <w:jc w:val="right"/>
              <w:rPr>
                <w:rFonts w:cs="Arial"/>
                <w:b/>
                <w:bCs/>
                <w:color w:val="FFFFFF"/>
                <w:szCs w:val="18"/>
                <w:lang w:eastAsia="en-AU"/>
              </w:rPr>
            </w:pPr>
            <w:r w:rsidRPr="002913D3">
              <w:rPr>
                <w:rFonts w:cs="Arial"/>
                <w:b/>
                <w:bCs/>
                <w:color w:val="FFFFFF"/>
                <w:szCs w:val="18"/>
                <w:lang w:eastAsia="en-AU"/>
              </w:rPr>
              <w:t>5%</w:t>
            </w:r>
          </w:p>
        </w:tc>
        <w:tc>
          <w:tcPr>
            <w:tcW w:w="1134" w:type="dxa"/>
            <w:tcBorders>
              <w:top w:val="nil"/>
              <w:left w:val="nil"/>
              <w:bottom w:val="nil"/>
              <w:right w:val="nil"/>
            </w:tcBorders>
            <w:shd w:val="clear" w:color="000000" w:fill="7F7F7F"/>
            <w:noWrap/>
            <w:vAlign w:val="center"/>
            <w:hideMark/>
          </w:tcPr>
          <w:p w:rsidR="001E08F1" w:rsidRPr="002913D3" w:rsidRDefault="001E08F1" w:rsidP="00D07A42">
            <w:pPr>
              <w:jc w:val="right"/>
              <w:rPr>
                <w:rFonts w:cs="Arial"/>
                <w:b/>
                <w:bCs/>
                <w:color w:val="FFFFFF"/>
                <w:szCs w:val="18"/>
                <w:lang w:eastAsia="en-AU"/>
              </w:rPr>
            </w:pPr>
            <w:r w:rsidRPr="002913D3">
              <w:rPr>
                <w:rFonts w:cs="Arial"/>
                <w:b/>
                <w:bCs/>
                <w:color w:val="FFFFFF"/>
                <w:szCs w:val="18"/>
                <w:lang w:eastAsia="en-AU"/>
              </w:rPr>
              <w:t>-15%</w:t>
            </w:r>
          </w:p>
        </w:tc>
        <w:tc>
          <w:tcPr>
            <w:tcW w:w="1134" w:type="dxa"/>
            <w:tcBorders>
              <w:top w:val="nil"/>
              <w:left w:val="nil"/>
              <w:bottom w:val="nil"/>
              <w:right w:val="nil"/>
            </w:tcBorders>
            <w:shd w:val="clear" w:color="000000" w:fill="7F7F7F"/>
            <w:noWrap/>
            <w:vAlign w:val="center"/>
            <w:hideMark/>
          </w:tcPr>
          <w:p w:rsidR="001E08F1" w:rsidRPr="002913D3" w:rsidRDefault="001E08F1" w:rsidP="00D07A42">
            <w:pPr>
              <w:jc w:val="right"/>
              <w:rPr>
                <w:rFonts w:cs="Arial"/>
                <w:b/>
                <w:bCs/>
                <w:color w:val="FFFFFF"/>
                <w:szCs w:val="18"/>
                <w:lang w:eastAsia="en-AU"/>
              </w:rPr>
            </w:pPr>
            <w:r w:rsidRPr="002913D3">
              <w:rPr>
                <w:rFonts w:cs="Arial"/>
                <w:b/>
                <w:bCs/>
                <w:color w:val="FFFFFF"/>
                <w:szCs w:val="18"/>
                <w:lang w:eastAsia="en-AU"/>
              </w:rPr>
              <w:t>-11%</w:t>
            </w:r>
          </w:p>
        </w:tc>
        <w:tc>
          <w:tcPr>
            <w:tcW w:w="1134" w:type="dxa"/>
            <w:tcBorders>
              <w:top w:val="nil"/>
              <w:left w:val="nil"/>
              <w:bottom w:val="nil"/>
              <w:right w:val="nil"/>
            </w:tcBorders>
            <w:shd w:val="clear" w:color="000000" w:fill="7F7F7F"/>
            <w:noWrap/>
            <w:vAlign w:val="center"/>
            <w:hideMark/>
          </w:tcPr>
          <w:p w:rsidR="001E08F1" w:rsidRPr="002913D3" w:rsidRDefault="001E08F1" w:rsidP="00D07A42">
            <w:pPr>
              <w:jc w:val="right"/>
              <w:rPr>
                <w:rFonts w:cs="Arial"/>
                <w:b/>
                <w:bCs/>
                <w:color w:val="FFFFFF"/>
                <w:szCs w:val="18"/>
                <w:lang w:eastAsia="en-AU"/>
              </w:rPr>
            </w:pPr>
            <w:r w:rsidRPr="002913D3">
              <w:rPr>
                <w:rFonts w:cs="Arial"/>
                <w:b/>
                <w:bCs/>
                <w:color w:val="FFFFFF"/>
                <w:szCs w:val="18"/>
                <w:lang w:eastAsia="en-AU"/>
              </w:rPr>
              <w:t>-12%</w:t>
            </w:r>
          </w:p>
        </w:tc>
      </w:tr>
    </w:tbl>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4A0" w:firstRow="1" w:lastRow="0" w:firstColumn="1" w:lastColumn="0" w:noHBand="0" w:noVBand="1"/>
      </w:tblPr>
      <w:tblGrid>
        <w:gridCol w:w="431"/>
        <w:gridCol w:w="7649"/>
      </w:tblGrid>
      <w:tr w:rsidR="001E08F1" w:rsidRPr="00913551" w:rsidTr="00D07A42">
        <w:tc>
          <w:tcPr>
            <w:tcW w:w="431" w:type="dxa"/>
            <w:tcMar>
              <w:left w:w="0" w:type="dxa"/>
              <w:right w:w="28" w:type="dxa"/>
            </w:tcMar>
          </w:tcPr>
          <w:p w:rsidR="001E08F1" w:rsidRPr="00913551" w:rsidRDefault="001E08F1" w:rsidP="00D07A42">
            <w:pPr>
              <w:spacing w:after="0" w:line="240" w:lineRule="auto"/>
              <w:jc w:val="right"/>
              <w:rPr>
                <w:color w:val="7F7F7F" w:themeColor="text2"/>
                <w:sz w:val="16"/>
                <w:szCs w:val="16"/>
              </w:rPr>
            </w:pPr>
            <w:r w:rsidRPr="00913551">
              <w:rPr>
                <w:color w:val="7F7F7F" w:themeColor="text2"/>
                <w:sz w:val="16"/>
                <w:szCs w:val="16"/>
              </w:rPr>
              <w:t xml:space="preserve">* </w:t>
            </w:r>
          </w:p>
        </w:tc>
        <w:tc>
          <w:tcPr>
            <w:tcW w:w="7649" w:type="dxa"/>
            <w:tcMar>
              <w:left w:w="0" w:type="dxa"/>
              <w:right w:w="28" w:type="dxa"/>
            </w:tcMar>
          </w:tcPr>
          <w:p w:rsidR="001E08F1" w:rsidRPr="00913551" w:rsidRDefault="001E08F1" w:rsidP="00D07A42">
            <w:pPr>
              <w:spacing w:after="0" w:line="240" w:lineRule="auto"/>
              <w:rPr>
                <w:i/>
                <w:color w:val="7F7F7F" w:themeColor="text2"/>
                <w:sz w:val="16"/>
                <w:szCs w:val="16"/>
              </w:rPr>
            </w:pPr>
            <w:proofErr w:type="gramStart"/>
            <w:r w:rsidRPr="00913551">
              <w:rPr>
                <w:i/>
                <w:sz w:val="16"/>
                <w:szCs w:val="16"/>
              </w:rPr>
              <w:t>Includes VCE/VCAL courses of study.</w:t>
            </w:r>
            <w:proofErr w:type="gramEnd"/>
          </w:p>
        </w:tc>
      </w:tr>
      <w:tr w:rsidR="001E08F1" w:rsidRPr="00913551" w:rsidTr="00D07A42">
        <w:tc>
          <w:tcPr>
            <w:tcW w:w="431" w:type="dxa"/>
            <w:tcMar>
              <w:left w:w="0" w:type="dxa"/>
              <w:right w:w="28" w:type="dxa"/>
            </w:tcMar>
          </w:tcPr>
          <w:p w:rsidR="001E08F1" w:rsidRPr="00913551" w:rsidRDefault="001E08F1" w:rsidP="00D07A42">
            <w:pPr>
              <w:spacing w:after="0" w:line="240" w:lineRule="auto"/>
              <w:jc w:val="right"/>
              <w:rPr>
                <w:color w:val="7F7F7F" w:themeColor="text2"/>
                <w:sz w:val="16"/>
                <w:szCs w:val="16"/>
              </w:rPr>
            </w:pPr>
            <w:r w:rsidRPr="00913551">
              <w:rPr>
                <w:color w:val="7F7F7F" w:themeColor="text2"/>
                <w:sz w:val="16"/>
                <w:szCs w:val="16"/>
              </w:rPr>
              <w:t>**</w:t>
            </w:r>
          </w:p>
        </w:tc>
        <w:tc>
          <w:tcPr>
            <w:tcW w:w="7649" w:type="dxa"/>
            <w:tcMar>
              <w:left w:w="0" w:type="dxa"/>
              <w:right w:w="28" w:type="dxa"/>
            </w:tcMar>
          </w:tcPr>
          <w:p w:rsidR="001E08F1" w:rsidRPr="00913551" w:rsidRDefault="001E08F1" w:rsidP="00D07A42">
            <w:pPr>
              <w:spacing w:after="0" w:line="240" w:lineRule="auto"/>
              <w:rPr>
                <w:i/>
                <w:sz w:val="16"/>
                <w:szCs w:val="16"/>
              </w:rPr>
            </w:pPr>
            <w:r w:rsidRPr="00913551">
              <w:rPr>
                <w:i/>
                <w:sz w:val="16"/>
                <w:szCs w:val="16"/>
              </w:rPr>
              <w:t>'Other' includes statement of attainment, other non-award courses or not elsewhere classified.</w:t>
            </w:r>
          </w:p>
        </w:tc>
      </w:tr>
    </w:tbl>
    <w:p w:rsidR="001E08F1" w:rsidRDefault="001E08F1" w:rsidP="001E08F1"/>
    <w:p w:rsidR="001E08F1" w:rsidRPr="00365EB2" w:rsidRDefault="001E08F1" w:rsidP="001E08F1"/>
    <w:p w:rsidR="001E08F1" w:rsidRPr="00365EB2" w:rsidRDefault="001E08F1" w:rsidP="001E08F1">
      <w:r w:rsidRPr="00365EB2">
        <w:br w:type="page"/>
      </w:r>
    </w:p>
    <w:p w:rsidR="001E08F1" w:rsidRPr="002913D3" w:rsidRDefault="001E08F1" w:rsidP="001E08F1">
      <w:pPr>
        <w:pStyle w:val="Heading2"/>
        <w:rPr>
          <w:color w:val="B41F22" w:themeColor="accent1"/>
        </w:rPr>
      </w:pPr>
      <w:bookmarkStart w:id="22" w:name="_Toc432758330"/>
      <w:r w:rsidRPr="002913D3">
        <w:rPr>
          <w:color w:val="B41F22" w:themeColor="accent1"/>
        </w:rPr>
        <w:lastRenderedPageBreak/>
        <w:t>Students with a Disability</w:t>
      </w:r>
      <w:bookmarkEnd w:id="22"/>
    </w:p>
    <w:p w:rsidR="001E08F1" w:rsidRPr="00365EB2" w:rsidRDefault="001E08F1" w:rsidP="001E08F1"/>
    <w:p w:rsidR="001E08F1" w:rsidRPr="00DE7971" w:rsidRDefault="001E08F1" w:rsidP="001E08F1">
      <w:pPr>
        <w:pStyle w:val="Heading3"/>
        <w:rPr>
          <w:color w:val="7F7F7F" w:themeColor="text2"/>
        </w:rPr>
      </w:pPr>
      <w:r>
        <w:rPr>
          <w:color w:val="7F7F7F" w:themeColor="text2"/>
        </w:rPr>
        <w:t xml:space="preserve">Accredited </w:t>
      </w:r>
      <w:r w:rsidRPr="00DE7971">
        <w:rPr>
          <w:color w:val="7F7F7F" w:themeColor="text2"/>
        </w:rPr>
        <w:t>Course Enrolments</w:t>
      </w:r>
    </w:p>
    <w:p w:rsidR="001E08F1" w:rsidRPr="00365EB2" w:rsidRDefault="001E08F1" w:rsidP="001E08F1">
      <w:pPr>
        <w:pStyle w:val="Quote"/>
        <w:pBdr>
          <w:top w:val="single" w:sz="4" w:space="1" w:color="7F7F7F" w:themeColor="text2"/>
          <w:left w:val="single" w:sz="4" w:space="4" w:color="7F7F7F" w:themeColor="text2"/>
          <w:bottom w:val="single" w:sz="4" w:space="1" w:color="7F7F7F" w:themeColor="text2"/>
          <w:right w:val="single" w:sz="4" w:space="4" w:color="7F7F7F" w:themeColor="text2"/>
        </w:pBdr>
        <w:spacing w:after="120"/>
      </w:pPr>
      <w:r w:rsidRPr="00BB466D">
        <w:t>Key points</w:t>
      </w:r>
    </w:p>
    <w:p w:rsidR="001E08F1" w:rsidRPr="00365EB2" w:rsidRDefault="001E08F1" w:rsidP="001E08F1">
      <w:pPr>
        <w:pBdr>
          <w:top w:val="single" w:sz="4" w:space="1" w:color="7F7F7F" w:themeColor="text2"/>
          <w:left w:val="single" w:sz="4" w:space="4" w:color="7F7F7F" w:themeColor="text2"/>
          <w:bottom w:val="single" w:sz="4" w:space="1" w:color="7F7F7F" w:themeColor="text2"/>
          <w:right w:val="single" w:sz="4" w:space="4" w:color="7F7F7F" w:themeColor="text2"/>
        </w:pBdr>
        <w:spacing w:before="120" w:after="120"/>
      </w:pPr>
      <w:r w:rsidRPr="00365EB2">
        <w:t>The 201</w:t>
      </w:r>
      <w:r>
        <w:t>5 (half year)</w:t>
      </w:r>
      <w:r w:rsidRPr="00365EB2">
        <w:t xml:space="preserve"> data shows that:</w:t>
      </w:r>
    </w:p>
    <w:p w:rsidR="001E08F1" w:rsidRPr="00AE7775" w:rsidRDefault="001E08F1" w:rsidP="001E08F1">
      <w:pPr>
        <w:pStyle w:val="ListParagraph"/>
        <w:numPr>
          <w:ilvl w:val="0"/>
          <w:numId w:val="18"/>
        </w:numPr>
        <w:pBdr>
          <w:top w:val="single" w:sz="4" w:space="1" w:color="7F7F7F" w:themeColor="text2"/>
          <w:left w:val="single" w:sz="4" w:space="4" w:color="7F7F7F" w:themeColor="text2"/>
          <w:bottom w:val="single" w:sz="4" w:space="1" w:color="7F7F7F" w:themeColor="text2"/>
          <w:right w:val="single" w:sz="4" w:space="4" w:color="7F7F7F" w:themeColor="text2"/>
        </w:pBdr>
        <w:spacing w:before="120" w:after="120"/>
        <w:ind w:left="426" w:hanging="426"/>
        <w:contextualSpacing w:val="0"/>
        <w:rPr>
          <w:color w:val="7F7F7F" w:themeColor="text2"/>
        </w:rPr>
      </w:pPr>
      <w:r w:rsidRPr="00AE7775">
        <w:rPr>
          <w:color w:val="7F7F7F" w:themeColor="text2"/>
        </w:rPr>
        <w:t>There were 23,7</w:t>
      </w:r>
      <w:r>
        <w:rPr>
          <w:color w:val="7F7F7F" w:themeColor="text2"/>
        </w:rPr>
        <w:t>8</w:t>
      </w:r>
      <w:r w:rsidRPr="00AE7775">
        <w:rPr>
          <w:color w:val="7F7F7F" w:themeColor="text2"/>
        </w:rPr>
        <w:t>7 students with a disability who were enrolled in 27,362 government subsidised accredited training courses. This is down by 7 per cent of students and 10 per cent of enrolments from the same period in 2014.</w:t>
      </w:r>
    </w:p>
    <w:p w:rsidR="001E08F1" w:rsidRPr="00AE7775" w:rsidRDefault="001E08F1" w:rsidP="001E08F1">
      <w:pPr>
        <w:pStyle w:val="ListParagraph"/>
        <w:numPr>
          <w:ilvl w:val="0"/>
          <w:numId w:val="18"/>
        </w:numPr>
        <w:pBdr>
          <w:top w:val="single" w:sz="4" w:space="1" w:color="7F7F7F" w:themeColor="text2"/>
          <w:left w:val="single" w:sz="4" w:space="4" w:color="7F7F7F" w:themeColor="text2"/>
          <w:bottom w:val="single" w:sz="4" w:space="1" w:color="7F7F7F" w:themeColor="text2"/>
          <w:right w:val="single" w:sz="4" w:space="4" w:color="7F7F7F" w:themeColor="text2"/>
        </w:pBdr>
        <w:spacing w:before="120" w:after="120"/>
        <w:ind w:left="426" w:hanging="426"/>
        <w:contextualSpacing w:val="0"/>
        <w:rPr>
          <w:color w:val="7F7F7F" w:themeColor="text2"/>
        </w:rPr>
      </w:pPr>
      <w:r w:rsidRPr="00AE7775">
        <w:rPr>
          <w:color w:val="7F7F7F" w:themeColor="text2"/>
        </w:rPr>
        <w:t>Apart from Diploma and above, there was a decline in the number of government subsidised accredited course enrolments by students with a disability across all qualification levels compared to the same period in 2014.</w:t>
      </w:r>
    </w:p>
    <w:p w:rsidR="001E08F1" w:rsidRPr="00AE7775" w:rsidRDefault="001E08F1" w:rsidP="001E08F1">
      <w:pPr>
        <w:pStyle w:val="ListParagraph"/>
        <w:numPr>
          <w:ilvl w:val="0"/>
          <w:numId w:val="18"/>
        </w:numPr>
        <w:pBdr>
          <w:top w:val="single" w:sz="4" w:space="1" w:color="7F7F7F" w:themeColor="text2"/>
          <w:left w:val="single" w:sz="4" w:space="4" w:color="7F7F7F" w:themeColor="text2"/>
          <w:bottom w:val="single" w:sz="4" w:space="1" w:color="7F7F7F" w:themeColor="text2"/>
          <w:right w:val="single" w:sz="4" w:space="4" w:color="7F7F7F" w:themeColor="text2"/>
        </w:pBdr>
        <w:spacing w:before="120"/>
        <w:ind w:left="425" w:hanging="425"/>
        <w:contextualSpacing w:val="0"/>
        <w:rPr>
          <w:color w:val="7F7F7F" w:themeColor="text2"/>
        </w:rPr>
      </w:pPr>
      <w:r w:rsidRPr="00AE7775">
        <w:rPr>
          <w:color w:val="7F7F7F" w:themeColor="text2"/>
        </w:rPr>
        <w:t>Fifty eight per cent of enrolments by students with a disability were in Certificate III and above levels.</w:t>
      </w:r>
    </w:p>
    <w:p w:rsidR="001E08F1" w:rsidRPr="00AE7775" w:rsidRDefault="001E08F1" w:rsidP="001E08F1">
      <w:pPr>
        <w:pBdr>
          <w:top w:val="single" w:sz="4" w:space="1" w:color="7F7F7F" w:themeColor="text2"/>
          <w:left w:val="single" w:sz="4" w:space="4" w:color="7F7F7F" w:themeColor="text2"/>
          <w:bottom w:val="single" w:sz="4" w:space="1" w:color="7F7F7F" w:themeColor="text2"/>
          <w:right w:val="single" w:sz="4" w:space="4" w:color="7F7F7F" w:themeColor="text2"/>
        </w:pBdr>
        <w:rPr>
          <w:color w:val="7F7F7F" w:themeColor="text2"/>
        </w:rPr>
      </w:pPr>
    </w:p>
    <w:p w:rsidR="001E08F1" w:rsidRDefault="001E08F1" w:rsidP="001E08F1"/>
    <w:p w:rsidR="001E08F1" w:rsidRDefault="001E08F1" w:rsidP="001E08F1"/>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1E08F1" w:rsidTr="00D07A42">
        <w:tc>
          <w:tcPr>
            <w:tcW w:w="1134" w:type="dxa"/>
            <w:tcMar>
              <w:left w:w="0" w:type="dxa"/>
              <w:right w:w="0" w:type="dxa"/>
            </w:tcMar>
          </w:tcPr>
          <w:p w:rsidR="001E08F1" w:rsidRDefault="00AF3E67" w:rsidP="00D07A42">
            <w:pPr>
              <w:pStyle w:val="Quote"/>
              <w:tabs>
                <w:tab w:val="left" w:pos="1134"/>
              </w:tabs>
              <w:rPr>
                <w:b w:val="0"/>
                <w:color w:val="B41F22" w:themeColor="accent1"/>
              </w:rPr>
            </w:pPr>
            <w:r>
              <w:rPr>
                <w:b w:val="0"/>
                <w:color w:val="B41F22" w:themeColor="accent1"/>
              </w:rPr>
              <w:t>Table 2</w:t>
            </w:r>
            <w:r w:rsidR="001E08F1">
              <w:rPr>
                <w:b w:val="0"/>
                <w:color w:val="B41F22" w:themeColor="accent1"/>
              </w:rPr>
              <w:t>.4.1:</w:t>
            </w:r>
          </w:p>
        </w:tc>
        <w:tc>
          <w:tcPr>
            <w:tcW w:w="6946" w:type="dxa"/>
            <w:tcMar>
              <w:left w:w="0" w:type="dxa"/>
              <w:right w:w="0" w:type="dxa"/>
            </w:tcMar>
          </w:tcPr>
          <w:p w:rsidR="001E08F1" w:rsidRDefault="001E08F1" w:rsidP="00D07A42">
            <w:pPr>
              <w:pStyle w:val="Quote"/>
              <w:tabs>
                <w:tab w:val="left" w:pos="1134"/>
              </w:tabs>
              <w:rPr>
                <w:b w:val="0"/>
                <w:color w:val="B41F22" w:themeColor="accent1"/>
              </w:rPr>
            </w:pPr>
            <w:r w:rsidRPr="00204886">
              <w:rPr>
                <w:b w:val="0"/>
                <w:color w:val="B41F22" w:themeColor="accent1"/>
              </w:rPr>
              <w:t>Enrolments in government subsidised accredited training by qualification level for students with a disability, 2010 to 2015 (half year)</w:t>
            </w:r>
          </w:p>
        </w:tc>
      </w:tr>
    </w:tbl>
    <w:tbl>
      <w:tblPr>
        <w:tblW w:w="8095" w:type="dxa"/>
        <w:tblInd w:w="93" w:type="dxa"/>
        <w:tblLayout w:type="fixed"/>
        <w:tblLook w:val="04A0" w:firstRow="1" w:lastRow="0" w:firstColumn="1" w:lastColumn="0" w:noHBand="0" w:noVBand="1"/>
      </w:tblPr>
      <w:tblGrid>
        <w:gridCol w:w="2283"/>
        <w:gridCol w:w="968"/>
        <w:gridCol w:w="969"/>
        <w:gridCol w:w="969"/>
        <w:gridCol w:w="968"/>
        <w:gridCol w:w="969"/>
        <w:gridCol w:w="969"/>
      </w:tblGrid>
      <w:tr w:rsidR="001E08F1" w:rsidRPr="00204886" w:rsidTr="00D07A42">
        <w:trPr>
          <w:trHeight w:val="300"/>
        </w:trPr>
        <w:tc>
          <w:tcPr>
            <w:tcW w:w="2283" w:type="dxa"/>
            <w:tcBorders>
              <w:top w:val="nil"/>
              <w:left w:val="nil"/>
              <w:bottom w:val="nil"/>
              <w:right w:val="nil"/>
            </w:tcBorders>
            <w:shd w:val="clear" w:color="000000" w:fill="7F7F7F"/>
            <w:noWrap/>
            <w:vAlign w:val="center"/>
            <w:hideMark/>
          </w:tcPr>
          <w:p w:rsidR="001E08F1" w:rsidRPr="00204886" w:rsidRDefault="001E08F1" w:rsidP="00D07A42">
            <w:pPr>
              <w:rPr>
                <w:rFonts w:cs="Arial"/>
                <w:color w:val="FFFFFF"/>
                <w:szCs w:val="18"/>
                <w:lang w:eastAsia="en-AU"/>
              </w:rPr>
            </w:pPr>
            <w:r w:rsidRPr="00204886">
              <w:rPr>
                <w:rFonts w:cs="Arial"/>
                <w:color w:val="FFFFFF"/>
                <w:szCs w:val="18"/>
                <w:lang w:eastAsia="en-AU"/>
              </w:rPr>
              <w:t> </w:t>
            </w:r>
          </w:p>
        </w:tc>
        <w:tc>
          <w:tcPr>
            <w:tcW w:w="968" w:type="dxa"/>
            <w:tcBorders>
              <w:top w:val="nil"/>
              <w:left w:val="nil"/>
              <w:bottom w:val="nil"/>
              <w:right w:val="nil"/>
            </w:tcBorders>
            <w:shd w:val="clear" w:color="000000" w:fill="7F7F7F"/>
            <w:noWrap/>
            <w:vAlign w:val="center"/>
            <w:hideMark/>
          </w:tcPr>
          <w:p w:rsidR="001E08F1" w:rsidRPr="00204886" w:rsidRDefault="001E08F1" w:rsidP="00D07A42">
            <w:pPr>
              <w:jc w:val="right"/>
              <w:rPr>
                <w:rFonts w:cs="Arial"/>
                <w:b/>
                <w:bCs/>
                <w:color w:val="FFFFFF"/>
                <w:szCs w:val="18"/>
                <w:lang w:eastAsia="en-AU"/>
              </w:rPr>
            </w:pPr>
            <w:r w:rsidRPr="00204886">
              <w:rPr>
                <w:rFonts w:cs="Arial"/>
                <w:b/>
                <w:bCs/>
                <w:color w:val="FFFFFF"/>
                <w:szCs w:val="18"/>
                <w:lang w:eastAsia="en-AU"/>
              </w:rPr>
              <w:t>2010</w:t>
            </w:r>
          </w:p>
        </w:tc>
        <w:tc>
          <w:tcPr>
            <w:tcW w:w="969" w:type="dxa"/>
            <w:tcBorders>
              <w:top w:val="nil"/>
              <w:left w:val="nil"/>
              <w:bottom w:val="nil"/>
              <w:right w:val="nil"/>
            </w:tcBorders>
            <w:shd w:val="clear" w:color="000000" w:fill="7F7F7F"/>
            <w:noWrap/>
            <w:vAlign w:val="center"/>
            <w:hideMark/>
          </w:tcPr>
          <w:p w:rsidR="001E08F1" w:rsidRPr="00204886" w:rsidRDefault="001E08F1" w:rsidP="00D07A42">
            <w:pPr>
              <w:jc w:val="right"/>
              <w:rPr>
                <w:rFonts w:cs="Arial"/>
                <w:b/>
                <w:bCs/>
                <w:color w:val="FFFFFF"/>
                <w:szCs w:val="18"/>
                <w:lang w:eastAsia="en-AU"/>
              </w:rPr>
            </w:pPr>
            <w:r w:rsidRPr="00204886">
              <w:rPr>
                <w:rFonts w:cs="Arial"/>
                <w:b/>
                <w:bCs/>
                <w:color w:val="FFFFFF"/>
                <w:szCs w:val="18"/>
                <w:lang w:eastAsia="en-AU"/>
              </w:rPr>
              <w:t>2011</w:t>
            </w:r>
          </w:p>
        </w:tc>
        <w:tc>
          <w:tcPr>
            <w:tcW w:w="969" w:type="dxa"/>
            <w:tcBorders>
              <w:top w:val="nil"/>
              <w:left w:val="nil"/>
              <w:bottom w:val="nil"/>
              <w:right w:val="nil"/>
            </w:tcBorders>
            <w:shd w:val="clear" w:color="000000" w:fill="7F7F7F"/>
            <w:noWrap/>
            <w:vAlign w:val="center"/>
            <w:hideMark/>
          </w:tcPr>
          <w:p w:rsidR="001E08F1" w:rsidRPr="00204886" w:rsidRDefault="001E08F1" w:rsidP="00D07A42">
            <w:pPr>
              <w:jc w:val="right"/>
              <w:rPr>
                <w:rFonts w:cs="Arial"/>
                <w:b/>
                <w:bCs/>
                <w:color w:val="FFFFFF"/>
                <w:szCs w:val="18"/>
                <w:lang w:eastAsia="en-AU"/>
              </w:rPr>
            </w:pPr>
            <w:r w:rsidRPr="00204886">
              <w:rPr>
                <w:rFonts w:cs="Arial"/>
                <w:b/>
                <w:bCs/>
                <w:color w:val="FFFFFF"/>
                <w:szCs w:val="18"/>
                <w:lang w:eastAsia="en-AU"/>
              </w:rPr>
              <w:t>2012</w:t>
            </w:r>
          </w:p>
        </w:tc>
        <w:tc>
          <w:tcPr>
            <w:tcW w:w="968" w:type="dxa"/>
            <w:tcBorders>
              <w:top w:val="nil"/>
              <w:left w:val="nil"/>
              <w:bottom w:val="nil"/>
              <w:right w:val="nil"/>
            </w:tcBorders>
            <w:shd w:val="clear" w:color="000000" w:fill="7F7F7F"/>
            <w:noWrap/>
            <w:vAlign w:val="center"/>
            <w:hideMark/>
          </w:tcPr>
          <w:p w:rsidR="001E08F1" w:rsidRPr="00204886" w:rsidRDefault="001E08F1" w:rsidP="00D07A42">
            <w:pPr>
              <w:jc w:val="right"/>
              <w:rPr>
                <w:rFonts w:cs="Arial"/>
                <w:b/>
                <w:bCs/>
                <w:color w:val="FFFFFF"/>
                <w:szCs w:val="18"/>
                <w:lang w:eastAsia="en-AU"/>
              </w:rPr>
            </w:pPr>
            <w:r w:rsidRPr="00204886">
              <w:rPr>
                <w:rFonts w:cs="Arial"/>
                <w:b/>
                <w:bCs/>
                <w:color w:val="FFFFFF"/>
                <w:szCs w:val="18"/>
                <w:lang w:eastAsia="en-AU"/>
              </w:rPr>
              <w:t>2013</w:t>
            </w:r>
          </w:p>
        </w:tc>
        <w:tc>
          <w:tcPr>
            <w:tcW w:w="969" w:type="dxa"/>
            <w:tcBorders>
              <w:top w:val="nil"/>
              <w:left w:val="nil"/>
              <w:bottom w:val="nil"/>
              <w:right w:val="nil"/>
            </w:tcBorders>
            <w:shd w:val="clear" w:color="000000" w:fill="7F7F7F"/>
            <w:noWrap/>
            <w:vAlign w:val="center"/>
            <w:hideMark/>
          </w:tcPr>
          <w:p w:rsidR="001E08F1" w:rsidRPr="00204886" w:rsidRDefault="001E08F1" w:rsidP="00D07A42">
            <w:pPr>
              <w:jc w:val="right"/>
              <w:rPr>
                <w:rFonts w:cs="Arial"/>
                <w:b/>
                <w:bCs/>
                <w:color w:val="FFFFFF"/>
                <w:szCs w:val="18"/>
                <w:lang w:eastAsia="en-AU"/>
              </w:rPr>
            </w:pPr>
            <w:r w:rsidRPr="00204886">
              <w:rPr>
                <w:rFonts w:cs="Arial"/>
                <w:b/>
                <w:bCs/>
                <w:color w:val="FFFFFF"/>
                <w:szCs w:val="18"/>
                <w:lang w:eastAsia="en-AU"/>
              </w:rPr>
              <w:t>2014</w:t>
            </w:r>
          </w:p>
        </w:tc>
        <w:tc>
          <w:tcPr>
            <w:tcW w:w="969" w:type="dxa"/>
            <w:tcBorders>
              <w:top w:val="nil"/>
              <w:left w:val="nil"/>
              <w:bottom w:val="nil"/>
              <w:right w:val="nil"/>
            </w:tcBorders>
            <w:shd w:val="clear" w:color="000000" w:fill="7F7F7F"/>
            <w:noWrap/>
            <w:vAlign w:val="center"/>
            <w:hideMark/>
          </w:tcPr>
          <w:p w:rsidR="001E08F1" w:rsidRPr="00204886" w:rsidRDefault="001E08F1" w:rsidP="00D07A42">
            <w:pPr>
              <w:jc w:val="right"/>
              <w:rPr>
                <w:rFonts w:cs="Arial"/>
                <w:b/>
                <w:bCs/>
                <w:color w:val="FFFFFF"/>
                <w:szCs w:val="18"/>
                <w:lang w:eastAsia="en-AU"/>
              </w:rPr>
            </w:pPr>
            <w:r w:rsidRPr="00204886">
              <w:rPr>
                <w:rFonts w:cs="Arial"/>
                <w:b/>
                <w:bCs/>
                <w:color w:val="FFFFFF"/>
                <w:szCs w:val="18"/>
                <w:lang w:eastAsia="en-AU"/>
              </w:rPr>
              <w:t>2015</w:t>
            </w:r>
          </w:p>
        </w:tc>
      </w:tr>
      <w:tr w:rsidR="001E08F1" w:rsidRPr="00204886" w:rsidTr="00D07A42">
        <w:trPr>
          <w:trHeight w:val="300"/>
        </w:trPr>
        <w:tc>
          <w:tcPr>
            <w:tcW w:w="2283" w:type="dxa"/>
            <w:tcBorders>
              <w:top w:val="nil"/>
              <w:left w:val="nil"/>
              <w:bottom w:val="nil"/>
              <w:right w:val="nil"/>
            </w:tcBorders>
            <w:shd w:val="clear" w:color="auto" w:fill="auto"/>
            <w:noWrap/>
            <w:vAlign w:val="center"/>
            <w:hideMark/>
          </w:tcPr>
          <w:p w:rsidR="001E08F1" w:rsidRPr="00204886" w:rsidRDefault="001E08F1" w:rsidP="00D07A42">
            <w:pPr>
              <w:rPr>
                <w:rFonts w:cs="Arial"/>
                <w:color w:val="7F7F7F"/>
                <w:szCs w:val="18"/>
                <w:lang w:eastAsia="en-AU"/>
              </w:rPr>
            </w:pPr>
            <w:r w:rsidRPr="00204886">
              <w:rPr>
                <w:rFonts w:cs="Arial"/>
                <w:color w:val="7F7F7F"/>
                <w:szCs w:val="18"/>
                <w:lang w:eastAsia="en-AU"/>
              </w:rPr>
              <w:t>Cert I/II</w:t>
            </w:r>
          </w:p>
        </w:tc>
        <w:tc>
          <w:tcPr>
            <w:tcW w:w="968" w:type="dxa"/>
            <w:tcBorders>
              <w:top w:val="nil"/>
              <w:left w:val="nil"/>
              <w:bottom w:val="nil"/>
              <w:right w:val="nil"/>
            </w:tcBorders>
            <w:shd w:val="clear" w:color="auto" w:fill="auto"/>
            <w:noWrap/>
            <w:vAlign w:val="center"/>
            <w:hideMark/>
          </w:tcPr>
          <w:p w:rsidR="001E08F1" w:rsidRPr="00204886" w:rsidRDefault="001E08F1" w:rsidP="00D07A42">
            <w:pPr>
              <w:jc w:val="right"/>
              <w:rPr>
                <w:rFonts w:cs="Arial"/>
                <w:color w:val="7F7F7F"/>
                <w:szCs w:val="18"/>
                <w:lang w:eastAsia="en-AU"/>
              </w:rPr>
            </w:pPr>
            <w:r w:rsidRPr="00204886">
              <w:rPr>
                <w:rFonts w:cs="Arial"/>
                <w:color w:val="7F7F7F"/>
                <w:szCs w:val="18"/>
                <w:lang w:eastAsia="en-AU"/>
              </w:rPr>
              <w:t>7,346</w:t>
            </w:r>
          </w:p>
        </w:tc>
        <w:tc>
          <w:tcPr>
            <w:tcW w:w="969" w:type="dxa"/>
            <w:tcBorders>
              <w:top w:val="nil"/>
              <w:left w:val="nil"/>
              <w:bottom w:val="nil"/>
              <w:right w:val="nil"/>
            </w:tcBorders>
            <w:shd w:val="clear" w:color="auto" w:fill="auto"/>
            <w:noWrap/>
            <w:vAlign w:val="center"/>
            <w:hideMark/>
          </w:tcPr>
          <w:p w:rsidR="001E08F1" w:rsidRPr="00204886" w:rsidRDefault="001E08F1" w:rsidP="00D07A42">
            <w:pPr>
              <w:jc w:val="right"/>
              <w:rPr>
                <w:rFonts w:cs="Arial"/>
                <w:color w:val="7F7F7F"/>
                <w:szCs w:val="18"/>
                <w:lang w:eastAsia="en-AU"/>
              </w:rPr>
            </w:pPr>
            <w:r w:rsidRPr="00204886">
              <w:rPr>
                <w:rFonts w:cs="Arial"/>
                <w:color w:val="7F7F7F"/>
                <w:szCs w:val="18"/>
                <w:lang w:eastAsia="en-AU"/>
              </w:rPr>
              <w:t>9,565</w:t>
            </w:r>
          </w:p>
        </w:tc>
        <w:tc>
          <w:tcPr>
            <w:tcW w:w="969" w:type="dxa"/>
            <w:tcBorders>
              <w:top w:val="nil"/>
              <w:left w:val="nil"/>
              <w:bottom w:val="nil"/>
              <w:right w:val="nil"/>
            </w:tcBorders>
            <w:shd w:val="clear" w:color="auto" w:fill="auto"/>
            <w:noWrap/>
            <w:vAlign w:val="center"/>
            <w:hideMark/>
          </w:tcPr>
          <w:p w:rsidR="001E08F1" w:rsidRPr="00204886" w:rsidRDefault="001E08F1" w:rsidP="00D07A42">
            <w:pPr>
              <w:jc w:val="right"/>
              <w:rPr>
                <w:rFonts w:cs="Arial"/>
                <w:color w:val="7F7F7F"/>
                <w:szCs w:val="18"/>
                <w:lang w:eastAsia="en-AU"/>
              </w:rPr>
            </w:pPr>
            <w:r w:rsidRPr="00204886">
              <w:rPr>
                <w:rFonts w:cs="Arial"/>
                <w:color w:val="7F7F7F"/>
                <w:szCs w:val="18"/>
                <w:lang w:eastAsia="en-AU"/>
              </w:rPr>
              <w:t>12,851</w:t>
            </w:r>
          </w:p>
        </w:tc>
        <w:tc>
          <w:tcPr>
            <w:tcW w:w="968" w:type="dxa"/>
            <w:tcBorders>
              <w:top w:val="nil"/>
              <w:left w:val="nil"/>
              <w:bottom w:val="nil"/>
              <w:right w:val="nil"/>
            </w:tcBorders>
            <w:shd w:val="clear" w:color="auto" w:fill="auto"/>
            <w:noWrap/>
            <w:vAlign w:val="center"/>
            <w:hideMark/>
          </w:tcPr>
          <w:p w:rsidR="001E08F1" w:rsidRPr="00204886" w:rsidRDefault="001E08F1" w:rsidP="00D07A42">
            <w:pPr>
              <w:jc w:val="right"/>
              <w:rPr>
                <w:rFonts w:cs="Arial"/>
                <w:color w:val="7F7F7F"/>
                <w:szCs w:val="18"/>
                <w:lang w:eastAsia="en-AU"/>
              </w:rPr>
            </w:pPr>
            <w:r w:rsidRPr="00204886">
              <w:rPr>
                <w:rFonts w:cs="Arial"/>
                <w:color w:val="7F7F7F"/>
                <w:szCs w:val="18"/>
                <w:lang w:eastAsia="en-AU"/>
              </w:rPr>
              <w:t>13,489</w:t>
            </w:r>
          </w:p>
        </w:tc>
        <w:tc>
          <w:tcPr>
            <w:tcW w:w="969" w:type="dxa"/>
            <w:tcBorders>
              <w:top w:val="nil"/>
              <w:left w:val="nil"/>
              <w:bottom w:val="nil"/>
              <w:right w:val="nil"/>
            </w:tcBorders>
            <w:shd w:val="clear" w:color="auto" w:fill="auto"/>
            <w:noWrap/>
            <w:vAlign w:val="center"/>
            <w:hideMark/>
          </w:tcPr>
          <w:p w:rsidR="001E08F1" w:rsidRPr="00204886" w:rsidRDefault="001E08F1" w:rsidP="00D07A42">
            <w:pPr>
              <w:jc w:val="right"/>
              <w:rPr>
                <w:rFonts w:cs="Arial"/>
                <w:color w:val="7F7F7F"/>
                <w:szCs w:val="18"/>
                <w:lang w:eastAsia="en-AU"/>
              </w:rPr>
            </w:pPr>
            <w:r w:rsidRPr="00204886">
              <w:rPr>
                <w:rFonts w:cs="Arial"/>
                <w:color w:val="7F7F7F"/>
                <w:szCs w:val="18"/>
                <w:lang w:eastAsia="en-AU"/>
              </w:rPr>
              <w:t>10,544</w:t>
            </w:r>
          </w:p>
        </w:tc>
        <w:tc>
          <w:tcPr>
            <w:tcW w:w="969" w:type="dxa"/>
            <w:tcBorders>
              <w:top w:val="nil"/>
              <w:left w:val="nil"/>
              <w:bottom w:val="nil"/>
              <w:right w:val="nil"/>
            </w:tcBorders>
            <w:shd w:val="clear" w:color="auto" w:fill="auto"/>
            <w:noWrap/>
            <w:vAlign w:val="center"/>
            <w:hideMark/>
          </w:tcPr>
          <w:p w:rsidR="001E08F1" w:rsidRPr="00204886" w:rsidRDefault="001E08F1" w:rsidP="00D07A42">
            <w:pPr>
              <w:jc w:val="right"/>
              <w:rPr>
                <w:rFonts w:cs="Arial"/>
                <w:color w:val="7F7F7F"/>
                <w:szCs w:val="18"/>
                <w:lang w:eastAsia="en-AU"/>
              </w:rPr>
            </w:pPr>
            <w:r w:rsidRPr="00204886">
              <w:rPr>
                <w:rFonts w:cs="Arial"/>
                <w:color w:val="7F7F7F"/>
                <w:szCs w:val="18"/>
                <w:lang w:eastAsia="en-AU"/>
              </w:rPr>
              <w:t>9,604</w:t>
            </w:r>
          </w:p>
        </w:tc>
      </w:tr>
      <w:tr w:rsidR="001E08F1" w:rsidRPr="00204886" w:rsidTr="00D07A42">
        <w:trPr>
          <w:trHeight w:val="300"/>
        </w:trPr>
        <w:tc>
          <w:tcPr>
            <w:tcW w:w="2283" w:type="dxa"/>
            <w:tcBorders>
              <w:top w:val="nil"/>
              <w:left w:val="nil"/>
              <w:bottom w:val="nil"/>
              <w:right w:val="nil"/>
            </w:tcBorders>
            <w:shd w:val="clear" w:color="auto" w:fill="auto"/>
            <w:noWrap/>
            <w:vAlign w:val="center"/>
            <w:hideMark/>
          </w:tcPr>
          <w:p w:rsidR="001E08F1" w:rsidRPr="00204886" w:rsidRDefault="001E08F1" w:rsidP="00D07A42">
            <w:pPr>
              <w:rPr>
                <w:rFonts w:cs="Arial"/>
                <w:color w:val="7F7F7F"/>
                <w:szCs w:val="18"/>
                <w:lang w:eastAsia="en-AU"/>
              </w:rPr>
            </w:pPr>
            <w:r w:rsidRPr="00204886">
              <w:rPr>
                <w:rFonts w:cs="Arial"/>
                <w:color w:val="7F7F7F"/>
                <w:szCs w:val="18"/>
                <w:lang w:eastAsia="en-AU"/>
              </w:rPr>
              <w:t>Cert III/IV</w:t>
            </w:r>
          </w:p>
        </w:tc>
        <w:tc>
          <w:tcPr>
            <w:tcW w:w="968" w:type="dxa"/>
            <w:tcBorders>
              <w:top w:val="nil"/>
              <w:left w:val="nil"/>
              <w:bottom w:val="nil"/>
              <w:right w:val="nil"/>
            </w:tcBorders>
            <w:shd w:val="clear" w:color="auto" w:fill="auto"/>
            <w:noWrap/>
            <w:vAlign w:val="center"/>
            <w:hideMark/>
          </w:tcPr>
          <w:p w:rsidR="001E08F1" w:rsidRPr="00204886" w:rsidRDefault="001E08F1" w:rsidP="00D07A42">
            <w:pPr>
              <w:jc w:val="right"/>
              <w:rPr>
                <w:rFonts w:cs="Arial"/>
                <w:color w:val="7F7F7F"/>
                <w:szCs w:val="18"/>
                <w:lang w:eastAsia="en-AU"/>
              </w:rPr>
            </w:pPr>
            <w:r w:rsidRPr="00204886">
              <w:rPr>
                <w:rFonts w:cs="Arial"/>
                <w:color w:val="7F7F7F"/>
                <w:szCs w:val="18"/>
                <w:lang w:eastAsia="en-AU"/>
              </w:rPr>
              <w:t>7,163</w:t>
            </w:r>
          </w:p>
        </w:tc>
        <w:tc>
          <w:tcPr>
            <w:tcW w:w="969" w:type="dxa"/>
            <w:tcBorders>
              <w:top w:val="nil"/>
              <w:left w:val="nil"/>
              <w:bottom w:val="nil"/>
              <w:right w:val="nil"/>
            </w:tcBorders>
            <w:shd w:val="clear" w:color="auto" w:fill="auto"/>
            <w:noWrap/>
            <w:vAlign w:val="center"/>
            <w:hideMark/>
          </w:tcPr>
          <w:p w:rsidR="001E08F1" w:rsidRPr="00204886" w:rsidRDefault="001E08F1" w:rsidP="00D07A42">
            <w:pPr>
              <w:jc w:val="right"/>
              <w:rPr>
                <w:rFonts w:cs="Arial"/>
                <w:color w:val="7F7F7F"/>
                <w:szCs w:val="18"/>
                <w:lang w:eastAsia="en-AU"/>
              </w:rPr>
            </w:pPr>
            <w:r w:rsidRPr="00204886">
              <w:rPr>
                <w:rFonts w:cs="Arial"/>
                <w:color w:val="7F7F7F"/>
                <w:szCs w:val="18"/>
                <w:lang w:eastAsia="en-AU"/>
              </w:rPr>
              <w:t>10,138</w:t>
            </w:r>
          </w:p>
        </w:tc>
        <w:tc>
          <w:tcPr>
            <w:tcW w:w="969" w:type="dxa"/>
            <w:tcBorders>
              <w:top w:val="nil"/>
              <w:left w:val="nil"/>
              <w:bottom w:val="nil"/>
              <w:right w:val="nil"/>
            </w:tcBorders>
            <w:shd w:val="clear" w:color="auto" w:fill="auto"/>
            <w:noWrap/>
            <w:vAlign w:val="center"/>
            <w:hideMark/>
          </w:tcPr>
          <w:p w:rsidR="001E08F1" w:rsidRPr="00204886" w:rsidRDefault="001E08F1" w:rsidP="00D07A42">
            <w:pPr>
              <w:jc w:val="right"/>
              <w:rPr>
                <w:rFonts w:cs="Arial"/>
                <w:color w:val="7F7F7F"/>
                <w:szCs w:val="18"/>
                <w:lang w:eastAsia="en-AU"/>
              </w:rPr>
            </w:pPr>
            <w:r w:rsidRPr="00204886">
              <w:rPr>
                <w:rFonts w:cs="Arial"/>
                <w:color w:val="7F7F7F"/>
                <w:szCs w:val="18"/>
                <w:lang w:eastAsia="en-AU"/>
              </w:rPr>
              <w:t>14,538</w:t>
            </w:r>
          </w:p>
        </w:tc>
        <w:tc>
          <w:tcPr>
            <w:tcW w:w="968" w:type="dxa"/>
            <w:tcBorders>
              <w:top w:val="nil"/>
              <w:left w:val="nil"/>
              <w:bottom w:val="nil"/>
              <w:right w:val="nil"/>
            </w:tcBorders>
            <w:shd w:val="clear" w:color="auto" w:fill="auto"/>
            <w:noWrap/>
            <w:vAlign w:val="center"/>
            <w:hideMark/>
          </w:tcPr>
          <w:p w:rsidR="001E08F1" w:rsidRPr="00204886" w:rsidRDefault="001E08F1" w:rsidP="00D07A42">
            <w:pPr>
              <w:jc w:val="right"/>
              <w:rPr>
                <w:rFonts w:cs="Arial"/>
                <w:color w:val="7F7F7F"/>
                <w:szCs w:val="18"/>
                <w:lang w:eastAsia="en-AU"/>
              </w:rPr>
            </w:pPr>
            <w:r w:rsidRPr="00204886">
              <w:rPr>
                <w:rFonts w:cs="Arial"/>
                <w:color w:val="7F7F7F"/>
                <w:szCs w:val="18"/>
                <w:lang w:eastAsia="en-AU"/>
              </w:rPr>
              <w:t>13,214</w:t>
            </w:r>
          </w:p>
        </w:tc>
        <w:tc>
          <w:tcPr>
            <w:tcW w:w="969" w:type="dxa"/>
            <w:tcBorders>
              <w:top w:val="nil"/>
              <w:left w:val="nil"/>
              <w:bottom w:val="nil"/>
              <w:right w:val="nil"/>
            </w:tcBorders>
            <w:shd w:val="clear" w:color="auto" w:fill="auto"/>
            <w:noWrap/>
            <w:vAlign w:val="center"/>
            <w:hideMark/>
          </w:tcPr>
          <w:p w:rsidR="001E08F1" w:rsidRPr="00204886" w:rsidRDefault="001E08F1" w:rsidP="00D07A42">
            <w:pPr>
              <w:jc w:val="right"/>
              <w:rPr>
                <w:rFonts w:cs="Arial"/>
                <w:color w:val="7F7F7F"/>
                <w:szCs w:val="18"/>
                <w:lang w:eastAsia="en-AU"/>
              </w:rPr>
            </w:pPr>
            <w:r w:rsidRPr="00204886">
              <w:rPr>
                <w:rFonts w:cs="Arial"/>
                <w:color w:val="7F7F7F"/>
                <w:szCs w:val="18"/>
                <w:lang w:eastAsia="en-AU"/>
              </w:rPr>
              <w:t>14,364</w:t>
            </w:r>
          </w:p>
        </w:tc>
        <w:tc>
          <w:tcPr>
            <w:tcW w:w="969" w:type="dxa"/>
            <w:tcBorders>
              <w:top w:val="nil"/>
              <w:left w:val="nil"/>
              <w:bottom w:val="nil"/>
              <w:right w:val="nil"/>
            </w:tcBorders>
            <w:shd w:val="clear" w:color="auto" w:fill="auto"/>
            <w:noWrap/>
            <w:vAlign w:val="center"/>
            <w:hideMark/>
          </w:tcPr>
          <w:p w:rsidR="001E08F1" w:rsidRPr="00204886" w:rsidRDefault="001E08F1" w:rsidP="00D07A42">
            <w:pPr>
              <w:jc w:val="right"/>
              <w:rPr>
                <w:rFonts w:cs="Arial"/>
                <w:color w:val="7F7F7F"/>
                <w:szCs w:val="18"/>
                <w:lang w:eastAsia="en-AU"/>
              </w:rPr>
            </w:pPr>
            <w:r w:rsidRPr="00204886">
              <w:rPr>
                <w:rFonts w:cs="Arial"/>
                <w:color w:val="7F7F7F"/>
                <w:szCs w:val="18"/>
                <w:lang w:eastAsia="en-AU"/>
              </w:rPr>
              <w:t>12,737</w:t>
            </w:r>
          </w:p>
        </w:tc>
      </w:tr>
      <w:tr w:rsidR="001E08F1" w:rsidRPr="00204886" w:rsidTr="00D07A42">
        <w:trPr>
          <w:trHeight w:val="300"/>
        </w:trPr>
        <w:tc>
          <w:tcPr>
            <w:tcW w:w="2283" w:type="dxa"/>
            <w:tcBorders>
              <w:top w:val="nil"/>
              <w:left w:val="nil"/>
              <w:bottom w:val="nil"/>
              <w:right w:val="nil"/>
            </w:tcBorders>
            <w:shd w:val="clear" w:color="auto" w:fill="auto"/>
            <w:noWrap/>
            <w:vAlign w:val="center"/>
            <w:hideMark/>
          </w:tcPr>
          <w:p w:rsidR="001E08F1" w:rsidRPr="00204886" w:rsidRDefault="001E08F1" w:rsidP="00D07A42">
            <w:pPr>
              <w:rPr>
                <w:rFonts w:cs="Arial"/>
                <w:color w:val="7F7F7F"/>
                <w:szCs w:val="18"/>
                <w:lang w:eastAsia="en-AU"/>
              </w:rPr>
            </w:pPr>
            <w:r w:rsidRPr="00204886">
              <w:rPr>
                <w:rFonts w:cs="Arial"/>
                <w:color w:val="7F7F7F"/>
                <w:szCs w:val="18"/>
                <w:lang w:eastAsia="en-AU"/>
              </w:rPr>
              <w:t>Diploma &amp; Above</w:t>
            </w:r>
          </w:p>
        </w:tc>
        <w:tc>
          <w:tcPr>
            <w:tcW w:w="968" w:type="dxa"/>
            <w:tcBorders>
              <w:top w:val="nil"/>
              <w:left w:val="nil"/>
              <w:bottom w:val="nil"/>
              <w:right w:val="nil"/>
            </w:tcBorders>
            <w:shd w:val="clear" w:color="auto" w:fill="auto"/>
            <w:noWrap/>
            <w:vAlign w:val="center"/>
            <w:hideMark/>
          </w:tcPr>
          <w:p w:rsidR="001E08F1" w:rsidRPr="00204886" w:rsidRDefault="001E08F1" w:rsidP="00D07A42">
            <w:pPr>
              <w:jc w:val="right"/>
              <w:rPr>
                <w:rFonts w:cs="Arial"/>
                <w:color w:val="7F7F7F"/>
                <w:szCs w:val="18"/>
                <w:lang w:eastAsia="en-AU"/>
              </w:rPr>
            </w:pPr>
            <w:r w:rsidRPr="00204886">
              <w:rPr>
                <w:rFonts w:cs="Arial"/>
                <w:color w:val="7F7F7F"/>
                <w:szCs w:val="18"/>
                <w:lang w:eastAsia="en-AU"/>
              </w:rPr>
              <w:t>2,998</w:t>
            </w:r>
          </w:p>
        </w:tc>
        <w:tc>
          <w:tcPr>
            <w:tcW w:w="969" w:type="dxa"/>
            <w:tcBorders>
              <w:top w:val="nil"/>
              <w:left w:val="nil"/>
              <w:bottom w:val="nil"/>
              <w:right w:val="nil"/>
            </w:tcBorders>
            <w:shd w:val="clear" w:color="auto" w:fill="auto"/>
            <w:noWrap/>
            <w:vAlign w:val="center"/>
            <w:hideMark/>
          </w:tcPr>
          <w:p w:rsidR="001E08F1" w:rsidRPr="00204886" w:rsidRDefault="001E08F1" w:rsidP="00D07A42">
            <w:pPr>
              <w:jc w:val="right"/>
              <w:rPr>
                <w:rFonts w:cs="Arial"/>
                <w:color w:val="7F7F7F"/>
                <w:szCs w:val="18"/>
                <w:lang w:eastAsia="en-AU"/>
              </w:rPr>
            </w:pPr>
            <w:r w:rsidRPr="00204886">
              <w:rPr>
                <w:rFonts w:cs="Arial"/>
                <w:color w:val="7F7F7F"/>
                <w:szCs w:val="18"/>
                <w:lang w:eastAsia="en-AU"/>
              </w:rPr>
              <w:t>3,815</w:t>
            </w:r>
          </w:p>
        </w:tc>
        <w:tc>
          <w:tcPr>
            <w:tcW w:w="969" w:type="dxa"/>
            <w:tcBorders>
              <w:top w:val="nil"/>
              <w:left w:val="nil"/>
              <w:bottom w:val="nil"/>
              <w:right w:val="nil"/>
            </w:tcBorders>
            <w:shd w:val="clear" w:color="auto" w:fill="auto"/>
            <w:noWrap/>
            <w:vAlign w:val="center"/>
            <w:hideMark/>
          </w:tcPr>
          <w:p w:rsidR="001E08F1" w:rsidRPr="00204886" w:rsidRDefault="001E08F1" w:rsidP="00D07A42">
            <w:pPr>
              <w:jc w:val="right"/>
              <w:rPr>
                <w:rFonts w:cs="Arial"/>
                <w:color w:val="7F7F7F"/>
                <w:szCs w:val="18"/>
                <w:lang w:eastAsia="en-AU"/>
              </w:rPr>
            </w:pPr>
            <w:r w:rsidRPr="00204886">
              <w:rPr>
                <w:rFonts w:cs="Arial"/>
                <w:color w:val="7F7F7F"/>
                <w:szCs w:val="18"/>
                <w:lang w:eastAsia="en-AU"/>
              </w:rPr>
              <w:t>4,287</w:t>
            </w:r>
          </w:p>
        </w:tc>
        <w:tc>
          <w:tcPr>
            <w:tcW w:w="968" w:type="dxa"/>
            <w:tcBorders>
              <w:top w:val="nil"/>
              <w:left w:val="nil"/>
              <w:bottom w:val="nil"/>
              <w:right w:val="nil"/>
            </w:tcBorders>
            <w:shd w:val="clear" w:color="auto" w:fill="auto"/>
            <w:noWrap/>
            <w:vAlign w:val="center"/>
            <w:hideMark/>
          </w:tcPr>
          <w:p w:rsidR="001E08F1" w:rsidRPr="00204886" w:rsidRDefault="001E08F1" w:rsidP="00D07A42">
            <w:pPr>
              <w:jc w:val="right"/>
              <w:rPr>
                <w:rFonts w:cs="Arial"/>
                <w:color w:val="7F7F7F"/>
                <w:szCs w:val="18"/>
                <w:lang w:eastAsia="en-AU"/>
              </w:rPr>
            </w:pPr>
            <w:r w:rsidRPr="00204886">
              <w:rPr>
                <w:rFonts w:cs="Arial"/>
                <w:color w:val="7F7F7F"/>
                <w:szCs w:val="18"/>
                <w:lang w:eastAsia="en-AU"/>
              </w:rPr>
              <w:t>3,174</w:t>
            </w:r>
          </w:p>
        </w:tc>
        <w:tc>
          <w:tcPr>
            <w:tcW w:w="969" w:type="dxa"/>
            <w:tcBorders>
              <w:top w:val="nil"/>
              <w:left w:val="nil"/>
              <w:bottom w:val="nil"/>
              <w:right w:val="nil"/>
            </w:tcBorders>
            <w:shd w:val="clear" w:color="auto" w:fill="auto"/>
            <w:noWrap/>
            <w:vAlign w:val="center"/>
            <w:hideMark/>
          </w:tcPr>
          <w:p w:rsidR="001E08F1" w:rsidRPr="00204886" w:rsidRDefault="001E08F1" w:rsidP="00D07A42">
            <w:pPr>
              <w:jc w:val="right"/>
              <w:rPr>
                <w:rFonts w:cs="Arial"/>
                <w:color w:val="7F7F7F"/>
                <w:szCs w:val="18"/>
                <w:lang w:eastAsia="en-AU"/>
              </w:rPr>
            </w:pPr>
            <w:r w:rsidRPr="00204886">
              <w:rPr>
                <w:rFonts w:cs="Arial"/>
                <w:color w:val="7F7F7F"/>
                <w:szCs w:val="18"/>
                <w:lang w:eastAsia="en-AU"/>
              </w:rPr>
              <w:t>3,003</w:t>
            </w:r>
          </w:p>
        </w:tc>
        <w:tc>
          <w:tcPr>
            <w:tcW w:w="969" w:type="dxa"/>
            <w:tcBorders>
              <w:top w:val="nil"/>
              <w:left w:val="nil"/>
              <w:bottom w:val="nil"/>
              <w:right w:val="nil"/>
            </w:tcBorders>
            <w:shd w:val="clear" w:color="auto" w:fill="auto"/>
            <w:noWrap/>
            <w:vAlign w:val="center"/>
            <w:hideMark/>
          </w:tcPr>
          <w:p w:rsidR="001E08F1" w:rsidRPr="00204886" w:rsidRDefault="001E08F1" w:rsidP="00D07A42">
            <w:pPr>
              <w:jc w:val="right"/>
              <w:rPr>
                <w:rFonts w:cs="Arial"/>
                <w:color w:val="7F7F7F"/>
                <w:szCs w:val="18"/>
                <w:lang w:eastAsia="en-AU"/>
              </w:rPr>
            </w:pPr>
            <w:r w:rsidRPr="00204886">
              <w:rPr>
                <w:rFonts w:cs="Arial"/>
                <w:color w:val="7F7F7F"/>
                <w:szCs w:val="18"/>
                <w:lang w:eastAsia="en-AU"/>
              </w:rPr>
              <w:t>3,134</w:t>
            </w:r>
          </w:p>
        </w:tc>
      </w:tr>
      <w:tr w:rsidR="001E08F1" w:rsidRPr="00204886" w:rsidTr="00D07A42">
        <w:trPr>
          <w:trHeight w:val="300"/>
        </w:trPr>
        <w:tc>
          <w:tcPr>
            <w:tcW w:w="2283" w:type="dxa"/>
            <w:tcBorders>
              <w:top w:val="nil"/>
              <w:left w:val="nil"/>
              <w:bottom w:val="nil"/>
              <w:right w:val="nil"/>
            </w:tcBorders>
            <w:shd w:val="clear" w:color="auto" w:fill="auto"/>
            <w:noWrap/>
            <w:vAlign w:val="center"/>
            <w:hideMark/>
          </w:tcPr>
          <w:p w:rsidR="001E08F1" w:rsidRPr="00204886" w:rsidRDefault="001E08F1" w:rsidP="00D07A42">
            <w:pPr>
              <w:rPr>
                <w:rFonts w:cs="Arial"/>
                <w:color w:val="7F7F7F"/>
                <w:szCs w:val="18"/>
                <w:lang w:eastAsia="en-AU"/>
              </w:rPr>
            </w:pPr>
            <w:r w:rsidRPr="00204886">
              <w:rPr>
                <w:rFonts w:cs="Arial"/>
                <w:color w:val="7F7F7F"/>
                <w:szCs w:val="18"/>
                <w:lang w:eastAsia="en-AU"/>
              </w:rPr>
              <w:t>Module Only</w:t>
            </w:r>
          </w:p>
        </w:tc>
        <w:tc>
          <w:tcPr>
            <w:tcW w:w="968" w:type="dxa"/>
            <w:tcBorders>
              <w:top w:val="nil"/>
              <w:left w:val="nil"/>
              <w:bottom w:val="nil"/>
              <w:right w:val="nil"/>
            </w:tcBorders>
            <w:shd w:val="clear" w:color="auto" w:fill="auto"/>
            <w:noWrap/>
            <w:vAlign w:val="center"/>
            <w:hideMark/>
          </w:tcPr>
          <w:p w:rsidR="001E08F1" w:rsidRPr="00204886" w:rsidRDefault="001E08F1" w:rsidP="00D07A42">
            <w:pPr>
              <w:jc w:val="right"/>
              <w:rPr>
                <w:rFonts w:cs="Arial"/>
                <w:color w:val="7F7F7F"/>
                <w:szCs w:val="18"/>
                <w:lang w:eastAsia="en-AU"/>
              </w:rPr>
            </w:pPr>
            <w:r w:rsidRPr="00204886">
              <w:rPr>
                <w:rFonts w:cs="Arial"/>
                <w:color w:val="7F7F7F"/>
                <w:szCs w:val="18"/>
                <w:lang w:eastAsia="en-AU"/>
              </w:rPr>
              <w:t>1,818</w:t>
            </w:r>
          </w:p>
        </w:tc>
        <w:tc>
          <w:tcPr>
            <w:tcW w:w="969" w:type="dxa"/>
            <w:tcBorders>
              <w:top w:val="nil"/>
              <w:left w:val="nil"/>
              <w:bottom w:val="nil"/>
              <w:right w:val="nil"/>
            </w:tcBorders>
            <w:shd w:val="clear" w:color="auto" w:fill="auto"/>
            <w:noWrap/>
            <w:vAlign w:val="center"/>
            <w:hideMark/>
          </w:tcPr>
          <w:p w:rsidR="001E08F1" w:rsidRPr="00204886" w:rsidRDefault="001E08F1" w:rsidP="00D07A42">
            <w:pPr>
              <w:jc w:val="right"/>
              <w:rPr>
                <w:rFonts w:cs="Arial"/>
                <w:color w:val="7F7F7F"/>
                <w:szCs w:val="18"/>
                <w:lang w:eastAsia="en-AU"/>
              </w:rPr>
            </w:pPr>
            <w:r w:rsidRPr="00204886">
              <w:rPr>
                <w:rFonts w:cs="Arial"/>
                <w:color w:val="7F7F7F"/>
                <w:szCs w:val="18"/>
                <w:lang w:eastAsia="en-AU"/>
              </w:rPr>
              <w:t>598</w:t>
            </w:r>
          </w:p>
        </w:tc>
        <w:tc>
          <w:tcPr>
            <w:tcW w:w="969" w:type="dxa"/>
            <w:tcBorders>
              <w:top w:val="nil"/>
              <w:left w:val="nil"/>
              <w:bottom w:val="nil"/>
              <w:right w:val="nil"/>
            </w:tcBorders>
            <w:shd w:val="clear" w:color="auto" w:fill="auto"/>
            <w:noWrap/>
            <w:vAlign w:val="center"/>
            <w:hideMark/>
          </w:tcPr>
          <w:p w:rsidR="001E08F1" w:rsidRPr="00204886" w:rsidRDefault="001E08F1" w:rsidP="00D07A42">
            <w:pPr>
              <w:jc w:val="right"/>
              <w:rPr>
                <w:rFonts w:cs="Arial"/>
                <w:color w:val="7F7F7F"/>
                <w:szCs w:val="18"/>
                <w:lang w:eastAsia="en-AU"/>
              </w:rPr>
            </w:pPr>
            <w:r w:rsidRPr="00204886">
              <w:rPr>
                <w:rFonts w:cs="Arial"/>
                <w:color w:val="7F7F7F"/>
                <w:szCs w:val="18"/>
                <w:lang w:eastAsia="en-AU"/>
              </w:rPr>
              <w:t>323</w:t>
            </w:r>
          </w:p>
        </w:tc>
        <w:tc>
          <w:tcPr>
            <w:tcW w:w="968" w:type="dxa"/>
            <w:tcBorders>
              <w:top w:val="nil"/>
              <w:left w:val="nil"/>
              <w:bottom w:val="nil"/>
              <w:right w:val="nil"/>
            </w:tcBorders>
            <w:shd w:val="clear" w:color="auto" w:fill="auto"/>
            <w:noWrap/>
            <w:vAlign w:val="center"/>
            <w:hideMark/>
          </w:tcPr>
          <w:p w:rsidR="001E08F1" w:rsidRPr="00204886" w:rsidRDefault="001E08F1" w:rsidP="00D07A42">
            <w:pPr>
              <w:jc w:val="right"/>
              <w:rPr>
                <w:rFonts w:cs="Arial"/>
                <w:color w:val="7F7F7F"/>
                <w:szCs w:val="18"/>
                <w:lang w:eastAsia="en-AU"/>
              </w:rPr>
            </w:pPr>
            <w:r w:rsidRPr="00204886">
              <w:rPr>
                <w:rFonts w:cs="Arial"/>
                <w:color w:val="7F7F7F"/>
                <w:szCs w:val="18"/>
                <w:lang w:eastAsia="en-AU"/>
              </w:rPr>
              <w:t>196</w:t>
            </w:r>
          </w:p>
        </w:tc>
        <w:tc>
          <w:tcPr>
            <w:tcW w:w="969" w:type="dxa"/>
            <w:tcBorders>
              <w:top w:val="nil"/>
              <w:left w:val="nil"/>
              <w:bottom w:val="nil"/>
              <w:right w:val="nil"/>
            </w:tcBorders>
            <w:shd w:val="clear" w:color="auto" w:fill="auto"/>
            <w:noWrap/>
            <w:vAlign w:val="center"/>
            <w:hideMark/>
          </w:tcPr>
          <w:p w:rsidR="001E08F1" w:rsidRPr="00204886" w:rsidRDefault="001E08F1" w:rsidP="00D07A42">
            <w:pPr>
              <w:jc w:val="right"/>
              <w:rPr>
                <w:rFonts w:cs="Arial"/>
                <w:color w:val="7F7F7F"/>
                <w:szCs w:val="18"/>
                <w:lang w:eastAsia="en-AU"/>
              </w:rPr>
            </w:pPr>
            <w:r w:rsidRPr="00204886">
              <w:rPr>
                <w:rFonts w:cs="Arial"/>
                <w:color w:val="7F7F7F"/>
                <w:szCs w:val="18"/>
                <w:lang w:eastAsia="en-AU"/>
              </w:rPr>
              <w:t>353</w:t>
            </w:r>
          </w:p>
        </w:tc>
        <w:tc>
          <w:tcPr>
            <w:tcW w:w="969" w:type="dxa"/>
            <w:tcBorders>
              <w:top w:val="nil"/>
              <w:left w:val="nil"/>
              <w:bottom w:val="nil"/>
              <w:right w:val="nil"/>
            </w:tcBorders>
            <w:shd w:val="clear" w:color="auto" w:fill="auto"/>
            <w:noWrap/>
            <w:vAlign w:val="center"/>
            <w:hideMark/>
          </w:tcPr>
          <w:p w:rsidR="001E08F1" w:rsidRPr="00204886" w:rsidRDefault="001E08F1" w:rsidP="00D07A42">
            <w:pPr>
              <w:jc w:val="right"/>
              <w:rPr>
                <w:rFonts w:cs="Arial"/>
                <w:color w:val="7F7F7F"/>
                <w:szCs w:val="18"/>
                <w:lang w:eastAsia="en-AU"/>
              </w:rPr>
            </w:pPr>
            <w:r w:rsidRPr="00204886">
              <w:rPr>
                <w:rFonts w:cs="Arial"/>
                <w:color w:val="7F7F7F"/>
                <w:szCs w:val="18"/>
                <w:lang w:eastAsia="en-AU"/>
              </w:rPr>
              <w:t>223</w:t>
            </w:r>
          </w:p>
        </w:tc>
      </w:tr>
      <w:tr w:rsidR="001E08F1" w:rsidRPr="00204886" w:rsidTr="00D07A42">
        <w:trPr>
          <w:trHeight w:val="300"/>
        </w:trPr>
        <w:tc>
          <w:tcPr>
            <w:tcW w:w="2283" w:type="dxa"/>
            <w:tcBorders>
              <w:top w:val="nil"/>
              <w:left w:val="nil"/>
              <w:bottom w:val="nil"/>
              <w:right w:val="nil"/>
            </w:tcBorders>
            <w:shd w:val="clear" w:color="auto" w:fill="auto"/>
            <w:noWrap/>
            <w:vAlign w:val="center"/>
            <w:hideMark/>
          </w:tcPr>
          <w:p w:rsidR="001E08F1" w:rsidRPr="00204886" w:rsidRDefault="001E08F1" w:rsidP="00D07A42">
            <w:pPr>
              <w:rPr>
                <w:rFonts w:cs="Arial"/>
                <w:color w:val="7F7F7F"/>
                <w:szCs w:val="18"/>
                <w:lang w:eastAsia="en-AU"/>
              </w:rPr>
            </w:pPr>
            <w:r w:rsidRPr="00204886">
              <w:rPr>
                <w:rFonts w:cs="Arial"/>
                <w:color w:val="7F7F7F"/>
                <w:szCs w:val="18"/>
                <w:lang w:eastAsia="en-AU"/>
              </w:rPr>
              <w:t>Secondary Education*</w:t>
            </w:r>
          </w:p>
        </w:tc>
        <w:tc>
          <w:tcPr>
            <w:tcW w:w="968" w:type="dxa"/>
            <w:tcBorders>
              <w:top w:val="nil"/>
              <w:left w:val="nil"/>
              <w:bottom w:val="nil"/>
              <w:right w:val="nil"/>
            </w:tcBorders>
            <w:shd w:val="clear" w:color="auto" w:fill="auto"/>
            <w:noWrap/>
            <w:vAlign w:val="center"/>
            <w:hideMark/>
          </w:tcPr>
          <w:p w:rsidR="001E08F1" w:rsidRPr="00204886" w:rsidRDefault="001E08F1" w:rsidP="00D07A42">
            <w:pPr>
              <w:jc w:val="right"/>
              <w:rPr>
                <w:rFonts w:cs="Arial"/>
                <w:color w:val="7F7F7F"/>
                <w:szCs w:val="18"/>
                <w:lang w:eastAsia="en-AU"/>
              </w:rPr>
            </w:pPr>
            <w:r w:rsidRPr="00204886">
              <w:rPr>
                <w:rFonts w:cs="Arial"/>
                <w:color w:val="7F7F7F"/>
                <w:szCs w:val="18"/>
                <w:lang w:eastAsia="en-AU"/>
              </w:rPr>
              <w:t>829</w:t>
            </w:r>
          </w:p>
        </w:tc>
        <w:tc>
          <w:tcPr>
            <w:tcW w:w="969" w:type="dxa"/>
            <w:tcBorders>
              <w:top w:val="nil"/>
              <w:left w:val="nil"/>
              <w:bottom w:val="nil"/>
              <w:right w:val="nil"/>
            </w:tcBorders>
            <w:shd w:val="clear" w:color="auto" w:fill="auto"/>
            <w:noWrap/>
            <w:vAlign w:val="center"/>
            <w:hideMark/>
          </w:tcPr>
          <w:p w:rsidR="001E08F1" w:rsidRPr="00204886" w:rsidRDefault="001E08F1" w:rsidP="00D07A42">
            <w:pPr>
              <w:jc w:val="right"/>
              <w:rPr>
                <w:rFonts w:cs="Arial"/>
                <w:color w:val="7F7F7F"/>
                <w:szCs w:val="18"/>
                <w:lang w:eastAsia="en-AU"/>
              </w:rPr>
            </w:pPr>
            <w:r w:rsidRPr="00204886">
              <w:rPr>
                <w:rFonts w:cs="Arial"/>
                <w:color w:val="7F7F7F"/>
                <w:szCs w:val="18"/>
                <w:lang w:eastAsia="en-AU"/>
              </w:rPr>
              <w:t>918</w:t>
            </w:r>
          </w:p>
        </w:tc>
        <w:tc>
          <w:tcPr>
            <w:tcW w:w="969" w:type="dxa"/>
            <w:tcBorders>
              <w:top w:val="nil"/>
              <w:left w:val="nil"/>
              <w:bottom w:val="nil"/>
              <w:right w:val="nil"/>
            </w:tcBorders>
            <w:shd w:val="clear" w:color="auto" w:fill="auto"/>
            <w:noWrap/>
            <w:vAlign w:val="center"/>
            <w:hideMark/>
          </w:tcPr>
          <w:p w:rsidR="001E08F1" w:rsidRPr="00204886" w:rsidRDefault="001E08F1" w:rsidP="00D07A42">
            <w:pPr>
              <w:jc w:val="right"/>
              <w:rPr>
                <w:rFonts w:cs="Arial"/>
                <w:color w:val="7F7F7F"/>
                <w:szCs w:val="18"/>
                <w:lang w:eastAsia="en-AU"/>
              </w:rPr>
            </w:pPr>
            <w:r w:rsidRPr="00204886">
              <w:rPr>
                <w:rFonts w:cs="Arial"/>
                <w:color w:val="7F7F7F"/>
                <w:szCs w:val="18"/>
                <w:lang w:eastAsia="en-AU"/>
              </w:rPr>
              <w:t>973</w:t>
            </w:r>
          </w:p>
        </w:tc>
        <w:tc>
          <w:tcPr>
            <w:tcW w:w="968" w:type="dxa"/>
            <w:tcBorders>
              <w:top w:val="nil"/>
              <w:left w:val="nil"/>
              <w:bottom w:val="nil"/>
              <w:right w:val="nil"/>
            </w:tcBorders>
            <w:shd w:val="clear" w:color="auto" w:fill="auto"/>
            <w:noWrap/>
            <w:vAlign w:val="center"/>
            <w:hideMark/>
          </w:tcPr>
          <w:p w:rsidR="001E08F1" w:rsidRPr="00204886" w:rsidRDefault="001E08F1" w:rsidP="00D07A42">
            <w:pPr>
              <w:jc w:val="right"/>
              <w:rPr>
                <w:rFonts w:cs="Arial"/>
                <w:color w:val="7F7F7F"/>
                <w:szCs w:val="18"/>
                <w:lang w:eastAsia="en-AU"/>
              </w:rPr>
            </w:pPr>
            <w:r w:rsidRPr="00204886">
              <w:rPr>
                <w:rFonts w:cs="Arial"/>
                <w:color w:val="7F7F7F"/>
                <w:szCs w:val="18"/>
                <w:lang w:eastAsia="en-AU"/>
              </w:rPr>
              <w:t>1,187</w:t>
            </w:r>
          </w:p>
        </w:tc>
        <w:tc>
          <w:tcPr>
            <w:tcW w:w="969" w:type="dxa"/>
            <w:tcBorders>
              <w:top w:val="nil"/>
              <w:left w:val="nil"/>
              <w:bottom w:val="nil"/>
              <w:right w:val="nil"/>
            </w:tcBorders>
            <w:shd w:val="clear" w:color="auto" w:fill="auto"/>
            <w:noWrap/>
            <w:vAlign w:val="center"/>
            <w:hideMark/>
          </w:tcPr>
          <w:p w:rsidR="001E08F1" w:rsidRPr="00204886" w:rsidRDefault="001E08F1" w:rsidP="00D07A42">
            <w:pPr>
              <w:jc w:val="right"/>
              <w:rPr>
                <w:rFonts w:cs="Arial"/>
                <w:color w:val="7F7F7F"/>
                <w:szCs w:val="18"/>
                <w:lang w:eastAsia="en-AU"/>
              </w:rPr>
            </w:pPr>
            <w:r w:rsidRPr="00204886">
              <w:rPr>
                <w:rFonts w:cs="Arial"/>
                <w:color w:val="7F7F7F"/>
                <w:szCs w:val="18"/>
                <w:lang w:eastAsia="en-AU"/>
              </w:rPr>
              <w:t>1,319</w:t>
            </w:r>
          </w:p>
        </w:tc>
        <w:tc>
          <w:tcPr>
            <w:tcW w:w="969" w:type="dxa"/>
            <w:tcBorders>
              <w:top w:val="nil"/>
              <w:left w:val="nil"/>
              <w:bottom w:val="nil"/>
              <w:right w:val="nil"/>
            </w:tcBorders>
            <w:shd w:val="clear" w:color="auto" w:fill="auto"/>
            <w:noWrap/>
            <w:vAlign w:val="center"/>
            <w:hideMark/>
          </w:tcPr>
          <w:p w:rsidR="001E08F1" w:rsidRPr="00204886" w:rsidRDefault="001E08F1" w:rsidP="00D07A42">
            <w:pPr>
              <w:jc w:val="right"/>
              <w:rPr>
                <w:rFonts w:cs="Arial"/>
                <w:color w:val="7F7F7F"/>
                <w:szCs w:val="18"/>
                <w:lang w:eastAsia="en-AU"/>
              </w:rPr>
            </w:pPr>
            <w:r w:rsidRPr="00204886">
              <w:rPr>
                <w:rFonts w:cs="Arial"/>
                <w:color w:val="7F7F7F"/>
                <w:szCs w:val="18"/>
                <w:lang w:eastAsia="en-AU"/>
              </w:rPr>
              <w:t>990</w:t>
            </w:r>
          </w:p>
        </w:tc>
      </w:tr>
      <w:tr w:rsidR="001E08F1" w:rsidRPr="00204886" w:rsidTr="00D07A42">
        <w:trPr>
          <w:trHeight w:val="300"/>
        </w:trPr>
        <w:tc>
          <w:tcPr>
            <w:tcW w:w="2283" w:type="dxa"/>
            <w:tcBorders>
              <w:top w:val="nil"/>
              <w:left w:val="nil"/>
              <w:bottom w:val="nil"/>
              <w:right w:val="nil"/>
            </w:tcBorders>
            <w:shd w:val="clear" w:color="auto" w:fill="auto"/>
            <w:noWrap/>
            <w:vAlign w:val="center"/>
            <w:hideMark/>
          </w:tcPr>
          <w:p w:rsidR="001E08F1" w:rsidRPr="00204886" w:rsidRDefault="001E08F1" w:rsidP="00D07A42">
            <w:pPr>
              <w:rPr>
                <w:rFonts w:cs="Arial"/>
                <w:color w:val="7F7F7F"/>
                <w:szCs w:val="18"/>
                <w:lang w:eastAsia="en-AU"/>
              </w:rPr>
            </w:pPr>
            <w:r w:rsidRPr="00204886">
              <w:rPr>
                <w:rFonts w:cs="Arial"/>
                <w:color w:val="7F7F7F"/>
                <w:szCs w:val="18"/>
                <w:lang w:eastAsia="en-AU"/>
              </w:rPr>
              <w:t>Other**</w:t>
            </w:r>
          </w:p>
        </w:tc>
        <w:tc>
          <w:tcPr>
            <w:tcW w:w="968" w:type="dxa"/>
            <w:tcBorders>
              <w:top w:val="nil"/>
              <w:left w:val="nil"/>
              <w:bottom w:val="nil"/>
              <w:right w:val="nil"/>
            </w:tcBorders>
            <w:shd w:val="clear" w:color="auto" w:fill="auto"/>
            <w:noWrap/>
            <w:vAlign w:val="center"/>
            <w:hideMark/>
          </w:tcPr>
          <w:p w:rsidR="001E08F1" w:rsidRPr="00204886" w:rsidRDefault="001E08F1" w:rsidP="00D07A42">
            <w:pPr>
              <w:jc w:val="right"/>
              <w:rPr>
                <w:rFonts w:cs="Arial"/>
                <w:color w:val="7F7F7F"/>
                <w:szCs w:val="18"/>
                <w:lang w:eastAsia="en-AU"/>
              </w:rPr>
            </w:pPr>
            <w:r w:rsidRPr="00204886">
              <w:rPr>
                <w:rFonts w:cs="Arial"/>
                <w:color w:val="7F7F7F"/>
                <w:szCs w:val="18"/>
                <w:lang w:eastAsia="en-AU"/>
              </w:rPr>
              <w:t>854</w:t>
            </w:r>
          </w:p>
        </w:tc>
        <w:tc>
          <w:tcPr>
            <w:tcW w:w="969" w:type="dxa"/>
            <w:tcBorders>
              <w:top w:val="nil"/>
              <w:left w:val="nil"/>
              <w:bottom w:val="nil"/>
              <w:right w:val="nil"/>
            </w:tcBorders>
            <w:shd w:val="clear" w:color="auto" w:fill="auto"/>
            <w:noWrap/>
            <w:vAlign w:val="center"/>
            <w:hideMark/>
          </w:tcPr>
          <w:p w:rsidR="001E08F1" w:rsidRPr="00204886" w:rsidRDefault="001E08F1" w:rsidP="00D07A42">
            <w:pPr>
              <w:jc w:val="right"/>
              <w:rPr>
                <w:rFonts w:cs="Arial"/>
                <w:color w:val="7F7F7F"/>
                <w:szCs w:val="18"/>
                <w:lang w:eastAsia="en-AU"/>
              </w:rPr>
            </w:pPr>
            <w:r w:rsidRPr="00204886">
              <w:rPr>
                <w:rFonts w:cs="Arial"/>
                <w:color w:val="7F7F7F"/>
                <w:szCs w:val="18"/>
                <w:lang w:eastAsia="en-AU"/>
              </w:rPr>
              <w:t>614</w:t>
            </w:r>
          </w:p>
        </w:tc>
        <w:tc>
          <w:tcPr>
            <w:tcW w:w="969" w:type="dxa"/>
            <w:tcBorders>
              <w:top w:val="nil"/>
              <w:left w:val="nil"/>
              <w:bottom w:val="nil"/>
              <w:right w:val="nil"/>
            </w:tcBorders>
            <w:shd w:val="clear" w:color="auto" w:fill="auto"/>
            <w:noWrap/>
            <w:vAlign w:val="center"/>
            <w:hideMark/>
          </w:tcPr>
          <w:p w:rsidR="001E08F1" w:rsidRPr="00204886" w:rsidRDefault="001E08F1" w:rsidP="00D07A42">
            <w:pPr>
              <w:jc w:val="right"/>
              <w:rPr>
                <w:rFonts w:cs="Arial"/>
                <w:color w:val="7F7F7F"/>
                <w:szCs w:val="18"/>
                <w:lang w:eastAsia="en-AU"/>
              </w:rPr>
            </w:pPr>
            <w:r w:rsidRPr="00204886">
              <w:rPr>
                <w:rFonts w:cs="Arial"/>
                <w:color w:val="7F7F7F"/>
                <w:szCs w:val="18"/>
                <w:lang w:eastAsia="en-AU"/>
              </w:rPr>
              <w:t>737</w:t>
            </w:r>
          </w:p>
        </w:tc>
        <w:tc>
          <w:tcPr>
            <w:tcW w:w="968" w:type="dxa"/>
            <w:tcBorders>
              <w:top w:val="nil"/>
              <w:left w:val="nil"/>
              <w:bottom w:val="nil"/>
              <w:right w:val="nil"/>
            </w:tcBorders>
            <w:shd w:val="clear" w:color="auto" w:fill="auto"/>
            <w:noWrap/>
            <w:vAlign w:val="center"/>
            <w:hideMark/>
          </w:tcPr>
          <w:p w:rsidR="001E08F1" w:rsidRPr="00204886" w:rsidRDefault="001E08F1" w:rsidP="00D07A42">
            <w:pPr>
              <w:jc w:val="right"/>
              <w:rPr>
                <w:rFonts w:cs="Arial"/>
                <w:color w:val="7F7F7F"/>
                <w:szCs w:val="18"/>
                <w:lang w:eastAsia="en-AU"/>
              </w:rPr>
            </w:pPr>
            <w:r w:rsidRPr="00204886">
              <w:rPr>
                <w:rFonts w:cs="Arial"/>
                <w:color w:val="7F7F7F"/>
                <w:szCs w:val="18"/>
                <w:lang w:eastAsia="en-AU"/>
              </w:rPr>
              <w:t>631</w:t>
            </w:r>
          </w:p>
        </w:tc>
        <w:tc>
          <w:tcPr>
            <w:tcW w:w="969" w:type="dxa"/>
            <w:tcBorders>
              <w:top w:val="nil"/>
              <w:left w:val="nil"/>
              <w:bottom w:val="nil"/>
              <w:right w:val="nil"/>
            </w:tcBorders>
            <w:shd w:val="clear" w:color="auto" w:fill="auto"/>
            <w:noWrap/>
            <w:vAlign w:val="center"/>
            <w:hideMark/>
          </w:tcPr>
          <w:p w:rsidR="001E08F1" w:rsidRPr="00204886" w:rsidRDefault="001E08F1" w:rsidP="00D07A42">
            <w:pPr>
              <w:jc w:val="right"/>
              <w:rPr>
                <w:rFonts w:cs="Arial"/>
                <w:color w:val="7F7F7F"/>
                <w:szCs w:val="18"/>
                <w:lang w:eastAsia="en-AU"/>
              </w:rPr>
            </w:pPr>
            <w:r w:rsidRPr="00204886">
              <w:rPr>
                <w:rFonts w:cs="Arial"/>
                <w:color w:val="7F7F7F"/>
                <w:szCs w:val="18"/>
                <w:lang w:eastAsia="en-AU"/>
              </w:rPr>
              <w:t>838</w:t>
            </w:r>
          </w:p>
        </w:tc>
        <w:tc>
          <w:tcPr>
            <w:tcW w:w="969" w:type="dxa"/>
            <w:tcBorders>
              <w:top w:val="nil"/>
              <w:left w:val="nil"/>
              <w:bottom w:val="nil"/>
              <w:right w:val="nil"/>
            </w:tcBorders>
            <w:shd w:val="clear" w:color="auto" w:fill="auto"/>
            <w:noWrap/>
            <w:vAlign w:val="center"/>
            <w:hideMark/>
          </w:tcPr>
          <w:p w:rsidR="001E08F1" w:rsidRPr="00204886" w:rsidRDefault="001E08F1" w:rsidP="00D07A42">
            <w:pPr>
              <w:jc w:val="right"/>
              <w:rPr>
                <w:rFonts w:cs="Arial"/>
                <w:color w:val="7F7F7F"/>
                <w:szCs w:val="18"/>
                <w:lang w:eastAsia="en-AU"/>
              </w:rPr>
            </w:pPr>
            <w:r w:rsidRPr="00204886">
              <w:rPr>
                <w:rFonts w:cs="Arial"/>
                <w:color w:val="7F7F7F"/>
                <w:szCs w:val="18"/>
                <w:lang w:eastAsia="en-AU"/>
              </w:rPr>
              <w:t>674</w:t>
            </w:r>
          </w:p>
        </w:tc>
      </w:tr>
      <w:tr w:rsidR="001E08F1" w:rsidRPr="00204886" w:rsidTr="00D07A42">
        <w:trPr>
          <w:trHeight w:val="300"/>
        </w:trPr>
        <w:tc>
          <w:tcPr>
            <w:tcW w:w="2283" w:type="dxa"/>
            <w:tcBorders>
              <w:top w:val="nil"/>
              <w:left w:val="nil"/>
              <w:bottom w:val="nil"/>
              <w:right w:val="nil"/>
            </w:tcBorders>
            <w:shd w:val="clear" w:color="000000" w:fill="7F7F7F"/>
            <w:noWrap/>
            <w:vAlign w:val="center"/>
            <w:hideMark/>
          </w:tcPr>
          <w:p w:rsidR="001E08F1" w:rsidRPr="00204886" w:rsidRDefault="001E08F1" w:rsidP="00D07A42">
            <w:pPr>
              <w:rPr>
                <w:rFonts w:cs="Arial"/>
                <w:b/>
                <w:bCs/>
                <w:color w:val="FFFFFF"/>
                <w:szCs w:val="18"/>
                <w:lang w:eastAsia="en-AU"/>
              </w:rPr>
            </w:pPr>
            <w:r w:rsidRPr="00204886">
              <w:rPr>
                <w:rFonts w:cs="Arial"/>
                <w:b/>
                <w:bCs/>
                <w:color w:val="FFFFFF"/>
                <w:szCs w:val="18"/>
                <w:lang w:eastAsia="en-AU"/>
              </w:rPr>
              <w:t>Total</w:t>
            </w:r>
          </w:p>
        </w:tc>
        <w:tc>
          <w:tcPr>
            <w:tcW w:w="968" w:type="dxa"/>
            <w:tcBorders>
              <w:top w:val="nil"/>
              <w:left w:val="nil"/>
              <w:bottom w:val="nil"/>
              <w:right w:val="nil"/>
            </w:tcBorders>
            <w:shd w:val="clear" w:color="000000" w:fill="7F7F7F"/>
            <w:noWrap/>
            <w:vAlign w:val="center"/>
            <w:hideMark/>
          </w:tcPr>
          <w:p w:rsidR="001E08F1" w:rsidRPr="00204886" w:rsidRDefault="001E08F1" w:rsidP="00D07A42">
            <w:pPr>
              <w:jc w:val="right"/>
              <w:rPr>
                <w:rFonts w:cs="Arial"/>
                <w:b/>
                <w:bCs/>
                <w:color w:val="FFFFFF"/>
                <w:szCs w:val="18"/>
                <w:lang w:eastAsia="en-AU"/>
              </w:rPr>
            </w:pPr>
            <w:r w:rsidRPr="00204886">
              <w:rPr>
                <w:rFonts w:cs="Arial"/>
                <w:b/>
                <w:bCs/>
                <w:color w:val="FFFFFF"/>
                <w:szCs w:val="18"/>
                <w:lang w:eastAsia="en-AU"/>
              </w:rPr>
              <w:t>21,008</w:t>
            </w:r>
          </w:p>
        </w:tc>
        <w:tc>
          <w:tcPr>
            <w:tcW w:w="969" w:type="dxa"/>
            <w:tcBorders>
              <w:top w:val="nil"/>
              <w:left w:val="nil"/>
              <w:bottom w:val="nil"/>
              <w:right w:val="nil"/>
            </w:tcBorders>
            <w:shd w:val="clear" w:color="000000" w:fill="7F7F7F"/>
            <w:noWrap/>
            <w:vAlign w:val="center"/>
            <w:hideMark/>
          </w:tcPr>
          <w:p w:rsidR="001E08F1" w:rsidRPr="00204886" w:rsidRDefault="001E08F1" w:rsidP="00D07A42">
            <w:pPr>
              <w:jc w:val="right"/>
              <w:rPr>
                <w:rFonts w:cs="Arial"/>
                <w:b/>
                <w:bCs/>
                <w:color w:val="FFFFFF"/>
                <w:szCs w:val="18"/>
                <w:lang w:eastAsia="en-AU"/>
              </w:rPr>
            </w:pPr>
            <w:r w:rsidRPr="00204886">
              <w:rPr>
                <w:rFonts w:cs="Arial"/>
                <w:b/>
                <w:bCs/>
                <w:color w:val="FFFFFF"/>
                <w:szCs w:val="18"/>
                <w:lang w:eastAsia="en-AU"/>
              </w:rPr>
              <w:t>25,648</w:t>
            </w:r>
          </w:p>
        </w:tc>
        <w:tc>
          <w:tcPr>
            <w:tcW w:w="969" w:type="dxa"/>
            <w:tcBorders>
              <w:top w:val="nil"/>
              <w:left w:val="nil"/>
              <w:bottom w:val="nil"/>
              <w:right w:val="nil"/>
            </w:tcBorders>
            <w:shd w:val="clear" w:color="000000" w:fill="7F7F7F"/>
            <w:noWrap/>
            <w:vAlign w:val="center"/>
            <w:hideMark/>
          </w:tcPr>
          <w:p w:rsidR="001E08F1" w:rsidRPr="00204886" w:rsidRDefault="001E08F1" w:rsidP="00D07A42">
            <w:pPr>
              <w:jc w:val="right"/>
              <w:rPr>
                <w:rFonts w:cs="Arial"/>
                <w:b/>
                <w:bCs/>
                <w:color w:val="FFFFFF"/>
                <w:szCs w:val="18"/>
                <w:lang w:eastAsia="en-AU"/>
              </w:rPr>
            </w:pPr>
            <w:r w:rsidRPr="00204886">
              <w:rPr>
                <w:rFonts w:cs="Arial"/>
                <w:b/>
                <w:bCs/>
                <w:color w:val="FFFFFF"/>
                <w:szCs w:val="18"/>
                <w:lang w:eastAsia="en-AU"/>
              </w:rPr>
              <w:t>33,709</w:t>
            </w:r>
          </w:p>
        </w:tc>
        <w:tc>
          <w:tcPr>
            <w:tcW w:w="968" w:type="dxa"/>
            <w:tcBorders>
              <w:top w:val="nil"/>
              <w:left w:val="nil"/>
              <w:bottom w:val="nil"/>
              <w:right w:val="nil"/>
            </w:tcBorders>
            <w:shd w:val="clear" w:color="000000" w:fill="7F7F7F"/>
            <w:noWrap/>
            <w:vAlign w:val="center"/>
            <w:hideMark/>
          </w:tcPr>
          <w:p w:rsidR="001E08F1" w:rsidRPr="00204886" w:rsidRDefault="001E08F1" w:rsidP="00D07A42">
            <w:pPr>
              <w:jc w:val="right"/>
              <w:rPr>
                <w:rFonts w:cs="Arial"/>
                <w:b/>
                <w:bCs/>
                <w:color w:val="FFFFFF"/>
                <w:szCs w:val="18"/>
                <w:lang w:eastAsia="en-AU"/>
              </w:rPr>
            </w:pPr>
            <w:r w:rsidRPr="00204886">
              <w:rPr>
                <w:rFonts w:cs="Arial"/>
                <w:b/>
                <w:bCs/>
                <w:color w:val="FFFFFF"/>
                <w:szCs w:val="18"/>
                <w:lang w:eastAsia="en-AU"/>
              </w:rPr>
              <w:t>31,891</w:t>
            </w:r>
          </w:p>
        </w:tc>
        <w:tc>
          <w:tcPr>
            <w:tcW w:w="969" w:type="dxa"/>
            <w:tcBorders>
              <w:top w:val="nil"/>
              <w:left w:val="nil"/>
              <w:bottom w:val="nil"/>
              <w:right w:val="nil"/>
            </w:tcBorders>
            <w:shd w:val="clear" w:color="000000" w:fill="7F7F7F"/>
            <w:noWrap/>
            <w:vAlign w:val="center"/>
            <w:hideMark/>
          </w:tcPr>
          <w:p w:rsidR="001E08F1" w:rsidRPr="00204886" w:rsidRDefault="001E08F1" w:rsidP="00D07A42">
            <w:pPr>
              <w:jc w:val="right"/>
              <w:rPr>
                <w:rFonts w:cs="Arial"/>
                <w:b/>
                <w:bCs/>
                <w:color w:val="FFFFFF"/>
                <w:szCs w:val="18"/>
                <w:lang w:eastAsia="en-AU"/>
              </w:rPr>
            </w:pPr>
            <w:r w:rsidRPr="00204886">
              <w:rPr>
                <w:rFonts w:cs="Arial"/>
                <w:b/>
                <w:bCs/>
                <w:color w:val="FFFFFF"/>
                <w:szCs w:val="18"/>
                <w:lang w:eastAsia="en-AU"/>
              </w:rPr>
              <w:t>30,421</w:t>
            </w:r>
          </w:p>
        </w:tc>
        <w:tc>
          <w:tcPr>
            <w:tcW w:w="969" w:type="dxa"/>
            <w:tcBorders>
              <w:top w:val="nil"/>
              <w:left w:val="nil"/>
              <w:bottom w:val="nil"/>
              <w:right w:val="nil"/>
            </w:tcBorders>
            <w:shd w:val="clear" w:color="000000" w:fill="7F7F7F"/>
            <w:noWrap/>
            <w:vAlign w:val="center"/>
            <w:hideMark/>
          </w:tcPr>
          <w:p w:rsidR="001E08F1" w:rsidRPr="00204886" w:rsidRDefault="001E08F1" w:rsidP="00D07A42">
            <w:pPr>
              <w:jc w:val="right"/>
              <w:rPr>
                <w:rFonts w:cs="Arial"/>
                <w:b/>
                <w:bCs/>
                <w:color w:val="FFFFFF"/>
                <w:szCs w:val="18"/>
                <w:lang w:eastAsia="en-AU"/>
              </w:rPr>
            </w:pPr>
            <w:r w:rsidRPr="00204886">
              <w:rPr>
                <w:rFonts w:cs="Arial"/>
                <w:b/>
                <w:bCs/>
                <w:color w:val="FFFFFF"/>
                <w:szCs w:val="18"/>
                <w:lang w:eastAsia="en-AU"/>
              </w:rPr>
              <w:t>27,362</w:t>
            </w:r>
          </w:p>
        </w:tc>
      </w:tr>
    </w:tbl>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4A0" w:firstRow="1" w:lastRow="0" w:firstColumn="1" w:lastColumn="0" w:noHBand="0" w:noVBand="1"/>
      </w:tblPr>
      <w:tblGrid>
        <w:gridCol w:w="431"/>
        <w:gridCol w:w="7649"/>
      </w:tblGrid>
      <w:tr w:rsidR="001E08F1" w:rsidRPr="00913551" w:rsidTr="00D07A42">
        <w:tc>
          <w:tcPr>
            <w:tcW w:w="431" w:type="dxa"/>
            <w:tcMar>
              <w:left w:w="0" w:type="dxa"/>
              <w:right w:w="28" w:type="dxa"/>
            </w:tcMar>
          </w:tcPr>
          <w:p w:rsidR="001E08F1" w:rsidRPr="00913551" w:rsidRDefault="001E08F1" w:rsidP="00D07A42">
            <w:pPr>
              <w:spacing w:after="0" w:line="240" w:lineRule="auto"/>
              <w:jc w:val="right"/>
              <w:rPr>
                <w:color w:val="7F7F7F" w:themeColor="text2"/>
                <w:sz w:val="16"/>
                <w:szCs w:val="16"/>
              </w:rPr>
            </w:pPr>
            <w:r w:rsidRPr="00913551">
              <w:rPr>
                <w:color w:val="7F7F7F" w:themeColor="text2"/>
                <w:sz w:val="16"/>
                <w:szCs w:val="16"/>
              </w:rPr>
              <w:t xml:space="preserve">* </w:t>
            </w:r>
          </w:p>
        </w:tc>
        <w:tc>
          <w:tcPr>
            <w:tcW w:w="7649" w:type="dxa"/>
            <w:tcMar>
              <w:left w:w="0" w:type="dxa"/>
              <w:right w:w="28" w:type="dxa"/>
            </w:tcMar>
          </w:tcPr>
          <w:p w:rsidR="001E08F1" w:rsidRPr="00913551" w:rsidRDefault="001E08F1" w:rsidP="00D07A42">
            <w:pPr>
              <w:spacing w:after="0" w:line="240" w:lineRule="auto"/>
              <w:rPr>
                <w:i/>
                <w:color w:val="7F7F7F" w:themeColor="text2"/>
                <w:sz w:val="16"/>
                <w:szCs w:val="16"/>
              </w:rPr>
            </w:pPr>
            <w:proofErr w:type="gramStart"/>
            <w:r w:rsidRPr="00913551">
              <w:rPr>
                <w:i/>
                <w:sz w:val="16"/>
                <w:szCs w:val="16"/>
              </w:rPr>
              <w:t>Includes VCE/VCAL courses of study.</w:t>
            </w:r>
            <w:proofErr w:type="gramEnd"/>
          </w:p>
        </w:tc>
      </w:tr>
      <w:tr w:rsidR="001E08F1" w:rsidRPr="00913551" w:rsidTr="00D07A42">
        <w:tc>
          <w:tcPr>
            <w:tcW w:w="431" w:type="dxa"/>
            <w:tcMar>
              <w:left w:w="0" w:type="dxa"/>
              <w:right w:w="28" w:type="dxa"/>
            </w:tcMar>
          </w:tcPr>
          <w:p w:rsidR="001E08F1" w:rsidRPr="00913551" w:rsidRDefault="001E08F1" w:rsidP="00D07A42">
            <w:pPr>
              <w:spacing w:after="0" w:line="240" w:lineRule="auto"/>
              <w:jc w:val="right"/>
              <w:rPr>
                <w:color w:val="7F7F7F" w:themeColor="text2"/>
                <w:sz w:val="16"/>
                <w:szCs w:val="16"/>
              </w:rPr>
            </w:pPr>
            <w:r w:rsidRPr="00913551">
              <w:rPr>
                <w:color w:val="7F7F7F" w:themeColor="text2"/>
                <w:sz w:val="16"/>
                <w:szCs w:val="16"/>
              </w:rPr>
              <w:t>**</w:t>
            </w:r>
          </w:p>
        </w:tc>
        <w:tc>
          <w:tcPr>
            <w:tcW w:w="7649" w:type="dxa"/>
            <w:tcMar>
              <w:left w:w="0" w:type="dxa"/>
              <w:right w:w="28" w:type="dxa"/>
            </w:tcMar>
          </w:tcPr>
          <w:p w:rsidR="001E08F1" w:rsidRPr="00913551" w:rsidRDefault="001E08F1" w:rsidP="00D07A42">
            <w:pPr>
              <w:spacing w:after="0" w:line="240" w:lineRule="auto"/>
              <w:rPr>
                <w:i/>
                <w:sz w:val="16"/>
                <w:szCs w:val="16"/>
              </w:rPr>
            </w:pPr>
            <w:r w:rsidRPr="00913551">
              <w:rPr>
                <w:i/>
                <w:sz w:val="16"/>
                <w:szCs w:val="16"/>
              </w:rPr>
              <w:t>'Other' includes statement of attainment, other non-award courses or not elsewhere classified.</w:t>
            </w:r>
          </w:p>
        </w:tc>
      </w:tr>
    </w:tbl>
    <w:p w:rsidR="001E08F1" w:rsidRDefault="001E08F1" w:rsidP="001E08F1"/>
    <w:p w:rsidR="001E08F1" w:rsidRDefault="001E08F1" w:rsidP="001E08F1"/>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1E08F1" w:rsidTr="00D07A42">
        <w:tc>
          <w:tcPr>
            <w:tcW w:w="1134" w:type="dxa"/>
            <w:tcMar>
              <w:left w:w="0" w:type="dxa"/>
              <w:right w:w="0" w:type="dxa"/>
            </w:tcMar>
          </w:tcPr>
          <w:p w:rsidR="001E08F1" w:rsidRDefault="00AF3E67" w:rsidP="00D07A42">
            <w:pPr>
              <w:pStyle w:val="Quote"/>
              <w:tabs>
                <w:tab w:val="left" w:pos="1134"/>
              </w:tabs>
              <w:rPr>
                <w:b w:val="0"/>
                <w:color w:val="B41F22" w:themeColor="accent1"/>
              </w:rPr>
            </w:pPr>
            <w:r>
              <w:rPr>
                <w:b w:val="0"/>
                <w:color w:val="B41F22" w:themeColor="accent1"/>
              </w:rPr>
              <w:t>Table 2</w:t>
            </w:r>
            <w:r w:rsidR="001E08F1">
              <w:rPr>
                <w:b w:val="0"/>
                <w:color w:val="B41F22" w:themeColor="accent1"/>
              </w:rPr>
              <w:t>.4.2:</w:t>
            </w:r>
          </w:p>
        </w:tc>
        <w:tc>
          <w:tcPr>
            <w:tcW w:w="6946" w:type="dxa"/>
            <w:tcMar>
              <w:left w:w="0" w:type="dxa"/>
              <w:right w:w="0" w:type="dxa"/>
            </w:tcMar>
          </w:tcPr>
          <w:p w:rsidR="001E08F1" w:rsidRDefault="001E08F1" w:rsidP="00D07A42">
            <w:pPr>
              <w:pStyle w:val="Quote"/>
              <w:tabs>
                <w:tab w:val="left" w:pos="1134"/>
              </w:tabs>
              <w:rPr>
                <w:b w:val="0"/>
                <w:color w:val="B41F22" w:themeColor="accent1"/>
              </w:rPr>
            </w:pPr>
            <w:r w:rsidRPr="00204886">
              <w:rPr>
                <w:b w:val="0"/>
                <w:color w:val="B41F22" w:themeColor="accent1"/>
              </w:rPr>
              <w:t>Change in number of enrolments in government subsidised accredited training by qualification level for students with a disability (half year)</w:t>
            </w:r>
          </w:p>
        </w:tc>
      </w:tr>
    </w:tbl>
    <w:tbl>
      <w:tblPr>
        <w:tblW w:w="8095" w:type="dxa"/>
        <w:tblInd w:w="93" w:type="dxa"/>
        <w:tblLayout w:type="fixed"/>
        <w:tblLook w:val="04A0" w:firstRow="1" w:lastRow="0" w:firstColumn="1" w:lastColumn="0" w:noHBand="0" w:noVBand="1"/>
      </w:tblPr>
      <w:tblGrid>
        <w:gridCol w:w="2425"/>
        <w:gridCol w:w="1134"/>
        <w:gridCol w:w="1134"/>
        <w:gridCol w:w="1134"/>
        <w:gridCol w:w="1134"/>
        <w:gridCol w:w="1134"/>
      </w:tblGrid>
      <w:tr w:rsidR="001E08F1" w:rsidRPr="00204886" w:rsidTr="00D07A42">
        <w:trPr>
          <w:trHeight w:val="720"/>
        </w:trPr>
        <w:tc>
          <w:tcPr>
            <w:tcW w:w="2425" w:type="dxa"/>
            <w:tcBorders>
              <w:top w:val="nil"/>
              <w:left w:val="nil"/>
              <w:bottom w:val="nil"/>
              <w:right w:val="nil"/>
            </w:tcBorders>
            <w:shd w:val="clear" w:color="000000" w:fill="7F7F7F"/>
            <w:noWrap/>
            <w:vAlign w:val="center"/>
            <w:hideMark/>
          </w:tcPr>
          <w:p w:rsidR="001E08F1" w:rsidRPr="00204886" w:rsidRDefault="001E08F1" w:rsidP="00D07A42">
            <w:pPr>
              <w:rPr>
                <w:rFonts w:cs="Arial"/>
                <w:color w:val="FFFFFF"/>
                <w:szCs w:val="18"/>
                <w:lang w:eastAsia="en-AU"/>
              </w:rPr>
            </w:pPr>
            <w:r w:rsidRPr="00204886">
              <w:rPr>
                <w:rFonts w:cs="Arial"/>
                <w:color w:val="FFFFFF"/>
                <w:szCs w:val="18"/>
                <w:lang w:eastAsia="en-AU"/>
              </w:rPr>
              <w:t> </w:t>
            </w:r>
          </w:p>
        </w:tc>
        <w:tc>
          <w:tcPr>
            <w:tcW w:w="1134" w:type="dxa"/>
            <w:tcBorders>
              <w:top w:val="nil"/>
              <w:left w:val="nil"/>
              <w:bottom w:val="nil"/>
              <w:right w:val="nil"/>
            </w:tcBorders>
            <w:shd w:val="clear" w:color="000000" w:fill="7F7F7F"/>
            <w:vAlign w:val="center"/>
            <w:hideMark/>
          </w:tcPr>
          <w:p w:rsidR="001E08F1" w:rsidRPr="00204886" w:rsidRDefault="001E08F1" w:rsidP="00D07A42">
            <w:pPr>
              <w:jc w:val="right"/>
              <w:rPr>
                <w:rFonts w:cs="Arial"/>
                <w:b/>
                <w:bCs/>
                <w:color w:val="FFFFFF"/>
                <w:szCs w:val="18"/>
                <w:lang w:eastAsia="en-AU"/>
              </w:rPr>
            </w:pPr>
            <w:r w:rsidRPr="00204886">
              <w:rPr>
                <w:rFonts w:cs="Arial"/>
                <w:b/>
                <w:bCs/>
                <w:color w:val="FFFFFF"/>
                <w:szCs w:val="18"/>
                <w:lang w:eastAsia="en-AU"/>
              </w:rPr>
              <w:t>% change 2010 to 2015</w:t>
            </w:r>
          </w:p>
        </w:tc>
        <w:tc>
          <w:tcPr>
            <w:tcW w:w="1134" w:type="dxa"/>
            <w:tcBorders>
              <w:top w:val="nil"/>
              <w:left w:val="nil"/>
              <w:bottom w:val="nil"/>
              <w:right w:val="nil"/>
            </w:tcBorders>
            <w:shd w:val="clear" w:color="000000" w:fill="7F7F7F"/>
            <w:vAlign w:val="center"/>
            <w:hideMark/>
          </w:tcPr>
          <w:p w:rsidR="001E08F1" w:rsidRPr="00204886" w:rsidRDefault="001E08F1" w:rsidP="00D07A42">
            <w:pPr>
              <w:jc w:val="right"/>
              <w:rPr>
                <w:rFonts w:cs="Arial"/>
                <w:b/>
                <w:bCs/>
                <w:color w:val="FFFFFF"/>
                <w:szCs w:val="18"/>
                <w:lang w:eastAsia="en-AU"/>
              </w:rPr>
            </w:pPr>
            <w:r w:rsidRPr="00204886">
              <w:rPr>
                <w:rFonts w:cs="Arial"/>
                <w:b/>
                <w:bCs/>
                <w:color w:val="FFFFFF"/>
                <w:szCs w:val="18"/>
                <w:lang w:eastAsia="en-AU"/>
              </w:rPr>
              <w:t>% change 2011 to 2015</w:t>
            </w:r>
          </w:p>
        </w:tc>
        <w:tc>
          <w:tcPr>
            <w:tcW w:w="1134" w:type="dxa"/>
            <w:tcBorders>
              <w:top w:val="nil"/>
              <w:left w:val="nil"/>
              <w:bottom w:val="nil"/>
              <w:right w:val="nil"/>
            </w:tcBorders>
            <w:shd w:val="clear" w:color="000000" w:fill="7F7F7F"/>
            <w:vAlign w:val="center"/>
            <w:hideMark/>
          </w:tcPr>
          <w:p w:rsidR="001E08F1" w:rsidRPr="00204886" w:rsidRDefault="001E08F1" w:rsidP="00D07A42">
            <w:pPr>
              <w:jc w:val="right"/>
              <w:rPr>
                <w:rFonts w:cs="Arial"/>
                <w:b/>
                <w:bCs/>
                <w:color w:val="FFFFFF"/>
                <w:szCs w:val="18"/>
                <w:lang w:eastAsia="en-AU"/>
              </w:rPr>
            </w:pPr>
            <w:r w:rsidRPr="00204886">
              <w:rPr>
                <w:rFonts w:cs="Arial"/>
                <w:b/>
                <w:bCs/>
                <w:color w:val="FFFFFF"/>
                <w:szCs w:val="18"/>
                <w:lang w:eastAsia="en-AU"/>
              </w:rPr>
              <w:t>% change 2012 to 2015</w:t>
            </w:r>
          </w:p>
        </w:tc>
        <w:tc>
          <w:tcPr>
            <w:tcW w:w="1134" w:type="dxa"/>
            <w:tcBorders>
              <w:top w:val="nil"/>
              <w:left w:val="nil"/>
              <w:bottom w:val="nil"/>
              <w:right w:val="nil"/>
            </w:tcBorders>
            <w:shd w:val="clear" w:color="000000" w:fill="7F7F7F"/>
            <w:vAlign w:val="center"/>
            <w:hideMark/>
          </w:tcPr>
          <w:p w:rsidR="001E08F1" w:rsidRPr="00204886" w:rsidRDefault="001E08F1" w:rsidP="00D07A42">
            <w:pPr>
              <w:jc w:val="right"/>
              <w:rPr>
                <w:rFonts w:cs="Arial"/>
                <w:b/>
                <w:bCs/>
                <w:color w:val="FFFFFF"/>
                <w:szCs w:val="18"/>
                <w:lang w:eastAsia="en-AU"/>
              </w:rPr>
            </w:pPr>
            <w:r w:rsidRPr="00204886">
              <w:rPr>
                <w:rFonts w:cs="Arial"/>
                <w:b/>
                <w:bCs/>
                <w:color w:val="FFFFFF"/>
                <w:szCs w:val="18"/>
                <w:lang w:eastAsia="en-AU"/>
              </w:rPr>
              <w:t>% change 2013 to 2015</w:t>
            </w:r>
          </w:p>
        </w:tc>
        <w:tc>
          <w:tcPr>
            <w:tcW w:w="1134" w:type="dxa"/>
            <w:tcBorders>
              <w:top w:val="nil"/>
              <w:left w:val="nil"/>
              <w:bottom w:val="nil"/>
              <w:right w:val="nil"/>
            </w:tcBorders>
            <w:shd w:val="clear" w:color="000000" w:fill="7F7F7F"/>
            <w:vAlign w:val="center"/>
            <w:hideMark/>
          </w:tcPr>
          <w:p w:rsidR="001E08F1" w:rsidRPr="00204886" w:rsidRDefault="001E08F1" w:rsidP="00D07A42">
            <w:pPr>
              <w:jc w:val="right"/>
              <w:rPr>
                <w:rFonts w:cs="Arial"/>
                <w:b/>
                <w:bCs/>
                <w:color w:val="FFFFFF"/>
                <w:szCs w:val="18"/>
                <w:lang w:eastAsia="en-AU"/>
              </w:rPr>
            </w:pPr>
            <w:r w:rsidRPr="00204886">
              <w:rPr>
                <w:rFonts w:cs="Arial"/>
                <w:b/>
                <w:bCs/>
                <w:color w:val="FFFFFF"/>
                <w:szCs w:val="18"/>
                <w:lang w:eastAsia="en-AU"/>
              </w:rPr>
              <w:t>% change 2014 to 2015</w:t>
            </w:r>
          </w:p>
        </w:tc>
      </w:tr>
      <w:tr w:rsidR="001E08F1" w:rsidRPr="00204886" w:rsidTr="00D07A42">
        <w:trPr>
          <w:trHeight w:val="300"/>
        </w:trPr>
        <w:tc>
          <w:tcPr>
            <w:tcW w:w="2425" w:type="dxa"/>
            <w:tcBorders>
              <w:top w:val="nil"/>
              <w:left w:val="nil"/>
              <w:bottom w:val="nil"/>
              <w:right w:val="nil"/>
            </w:tcBorders>
            <w:shd w:val="clear" w:color="auto" w:fill="auto"/>
            <w:noWrap/>
            <w:vAlign w:val="center"/>
            <w:hideMark/>
          </w:tcPr>
          <w:p w:rsidR="001E08F1" w:rsidRPr="00204886" w:rsidRDefault="001E08F1" w:rsidP="00D07A42">
            <w:pPr>
              <w:rPr>
                <w:rFonts w:cs="Arial"/>
                <w:color w:val="7F7F7F"/>
                <w:szCs w:val="18"/>
                <w:lang w:eastAsia="en-AU"/>
              </w:rPr>
            </w:pPr>
            <w:r w:rsidRPr="00204886">
              <w:rPr>
                <w:rFonts w:cs="Arial"/>
                <w:color w:val="7F7F7F"/>
                <w:szCs w:val="18"/>
                <w:lang w:eastAsia="en-AU"/>
              </w:rPr>
              <w:t>Cert I/II</w:t>
            </w:r>
          </w:p>
        </w:tc>
        <w:tc>
          <w:tcPr>
            <w:tcW w:w="1134" w:type="dxa"/>
            <w:tcBorders>
              <w:top w:val="nil"/>
              <w:left w:val="nil"/>
              <w:bottom w:val="nil"/>
              <w:right w:val="nil"/>
            </w:tcBorders>
            <w:shd w:val="clear" w:color="auto" w:fill="auto"/>
            <w:noWrap/>
            <w:vAlign w:val="center"/>
            <w:hideMark/>
          </w:tcPr>
          <w:p w:rsidR="001E08F1" w:rsidRPr="00204886" w:rsidRDefault="001E08F1" w:rsidP="00D07A42">
            <w:pPr>
              <w:jc w:val="right"/>
              <w:rPr>
                <w:rFonts w:cs="Arial"/>
                <w:color w:val="7F7F7F"/>
                <w:szCs w:val="18"/>
                <w:lang w:eastAsia="en-AU"/>
              </w:rPr>
            </w:pPr>
            <w:r w:rsidRPr="00204886">
              <w:rPr>
                <w:rFonts w:cs="Arial"/>
                <w:color w:val="7F7F7F"/>
                <w:szCs w:val="18"/>
                <w:lang w:eastAsia="en-AU"/>
              </w:rPr>
              <w:t>31%</w:t>
            </w:r>
          </w:p>
        </w:tc>
        <w:tc>
          <w:tcPr>
            <w:tcW w:w="1134" w:type="dxa"/>
            <w:tcBorders>
              <w:top w:val="nil"/>
              <w:left w:val="nil"/>
              <w:bottom w:val="nil"/>
              <w:right w:val="nil"/>
            </w:tcBorders>
            <w:shd w:val="clear" w:color="auto" w:fill="auto"/>
            <w:noWrap/>
            <w:vAlign w:val="center"/>
            <w:hideMark/>
          </w:tcPr>
          <w:p w:rsidR="001E08F1" w:rsidRPr="00204886" w:rsidRDefault="001E08F1" w:rsidP="00D07A42">
            <w:pPr>
              <w:jc w:val="right"/>
              <w:rPr>
                <w:rFonts w:cs="Arial"/>
                <w:color w:val="7F7F7F"/>
                <w:szCs w:val="18"/>
                <w:lang w:eastAsia="en-AU"/>
              </w:rPr>
            </w:pPr>
            <w:r w:rsidRPr="00204886">
              <w:rPr>
                <w:rFonts w:cs="Arial"/>
                <w:color w:val="7F7F7F"/>
                <w:szCs w:val="18"/>
                <w:lang w:eastAsia="en-AU"/>
              </w:rPr>
              <w:t>0%</w:t>
            </w:r>
          </w:p>
        </w:tc>
        <w:tc>
          <w:tcPr>
            <w:tcW w:w="1134" w:type="dxa"/>
            <w:tcBorders>
              <w:top w:val="nil"/>
              <w:left w:val="nil"/>
              <w:bottom w:val="nil"/>
              <w:right w:val="nil"/>
            </w:tcBorders>
            <w:shd w:val="clear" w:color="auto" w:fill="auto"/>
            <w:noWrap/>
            <w:vAlign w:val="center"/>
            <w:hideMark/>
          </w:tcPr>
          <w:p w:rsidR="001E08F1" w:rsidRPr="00204886" w:rsidRDefault="001E08F1" w:rsidP="00D07A42">
            <w:pPr>
              <w:jc w:val="right"/>
              <w:rPr>
                <w:rFonts w:cs="Arial"/>
                <w:color w:val="7F7F7F"/>
                <w:szCs w:val="18"/>
                <w:lang w:eastAsia="en-AU"/>
              </w:rPr>
            </w:pPr>
            <w:r w:rsidRPr="00204886">
              <w:rPr>
                <w:rFonts w:cs="Arial"/>
                <w:color w:val="7F7F7F"/>
                <w:szCs w:val="18"/>
                <w:lang w:eastAsia="en-AU"/>
              </w:rPr>
              <w:t>-25%</w:t>
            </w:r>
          </w:p>
        </w:tc>
        <w:tc>
          <w:tcPr>
            <w:tcW w:w="1134" w:type="dxa"/>
            <w:tcBorders>
              <w:top w:val="nil"/>
              <w:left w:val="nil"/>
              <w:bottom w:val="nil"/>
              <w:right w:val="nil"/>
            </w:tcBorders>
            <w:shd w:val="clear" w:color="auto" w:fill="auto"/>
            <w:noWrap/>
            <w:vAlign w:val="center"/>
            <w:hideMark/>
          </w:tcPr>
          <w:p w:rsidR="001E08F1" w:rsidRPr="00204886" w:rsidRDefault="001E08F1" w:rsidP="00D07A42">
            <w:pPr>
              <w:jc w:val="right"/>
              <w:rPr>
                <w:rFonts w:cs="Arial"/>
                <w:color w:val="7F7F7F"/>
                <w:szCs w:val="18"/>
                <w:lang w:eastAsia="en-AU"/>
              </w:rPr>
            </w:pPr>
            <w:r w:rsidRPr="00204886">
              <w:rPr>
                <w:rFonts w:cs="Arial"/>
                <w:color w:val="7F7F7F"/>
                <w:szCs w:val="18"/>
                <w:lang w:eastAsia="en-AU"/>
              </w:rPr>
              <w:t>-29%</w:t>
            </w:r>
          </w:p>
        </w:tc>
        <w:tc>
          <w:tcPr>
            <w:tcW w:w="1134" w:type="dxa"/>
            <w:tcBorders>
              <w:top w:val="nil"/>
              <w:left w:val="nil"/>
              <w:bottom w:val="nil"/>
              <w:right w:val="nil"/>
            </w:tcBorders>
            <w:shd w:val="clear" w:color="auto" w:fill="auto"/>
            <w:noWrap/>
            <w:vAlign w:val="center"/>
            <w:hideMark/>
          </w:tcPr>
          <w:p w:rsidR="001E08F1" w:rsidRPr="00204886" w:rsidRDefault="001E08F1" w:rsidP="00D07A42">
            <w:pPr>
              <w:jc w:val="right"/>
              <w:rPr>
                <w:rFonts w:cs="Arial"/>
                <w:color w:val="7F7F7F"/>
                <w:szCs w:val="18"/>
                <w:lang w:eastAsia="en-AU"/>
              </w:rPr>
            </w:pPr>
            <w:r w:rsidRPr="00204886">
              <w:rPr>
                <w:rFonts w:cs="Arial"/>
                <w:color w:val="7F7F7F"/>
                <w:szCs w:val="18"/>
                <w:lang w:eastAsia="en-AU"/>
              </w:rPr>
              <w:t>-9%</w:t>
            </w:r>
          </w:p>
        </w:tc>
      </w:tr>
      <w:tr w:rsidR="001E08F1" w:rsidRPr="00204886" w:rsidTr="00D07A42">
        <w:trPr>
          <w:trHeight w:val="300"/>
        </w:trPr>
        <w:tc>
          <w:tcPr>
            <w:tcW w:w="2425" w:type="dxa"/>
            <w:tcBorders>
              <w:top w:val="nil"/>
              <w:left w:val="nil"/>
              <w:bottom w:val="nil"/>
              <w:right w:val="nil"/>
            </w:tcBorders>
            <w:shd w:val="clear" w:color="auto" w:fill="auto"/>
            <w:noWrap/>
            <w:vAlign w:val="center"/>
            <w:hideMark/>
          </w:tcPr>
          <w:p w:rsidR="001E08F1" w:rsidRPr="00204886" w:rsidRDefault="001E08F1" w:rsidP="00D07A42">
            <w:pPr>
              <w:rPr>
                <w:rFonts w:cs="Arial"/>
                <w:color w:val="7F7F7F"/>
                <w:szCs w:val="18"/>
                <w:lang w:eastAsia="en-AU"/>
              </w:rPr>
            </w:pPr>
            <w:r w:rsidRPr="00204886">
              <w:rPr>
                <w:rFonts w:cs="Arial"/>
                <w:color w:val="7F7F7F"/>
                <w:szCs w:val="18"/>
                <w:lang w:eastAsia="en-AU"/>
              </w:rPr>
              <w:t>Cert III/IV</w:t>
            </w:r>
          </w:p>
        </w:tc>
        <w:tc>
          <w:tcPr>
            <w:tcW w:w="1134" w:type="dxa"/>
            <w:tcBorders>
              <w:top w:val="nil"/>
              <w:left w:val="nil"/>
              <w:bottom w:val="nil"/>
              <w:right w:val="nil"/>
            </w:tcBorders>
            <w:shd w:val="clear" w:color="auto" w:fill="auto"/>
            <w:noWrap/>
            <w:vAlign w:val="center"/>
            <w:hideMark/>
          </w:tcPr>
          <w:p w:rsidR="001E08F1" w:rsidRPr="00204886" w:rsidRDefault="001E08F1" w:rsidP="00D07A42">
            <w:pPr>
              <w:jc w:val="right"/>
              <w:rPr>
                <w:rFonts w:cs="Arial"/>
                <w:color w:val="7F7F7F"/>
                <w:szCs w:val="18"/>
                <w:lang w:eastAsia="en-AU"/>
              </w:rPr>
            </w:pPr>
            <w:r w:rsidRPr="00204886">
              <w:rPr>
                <w:rFonts w:cs="Arial"/>
                <w:color w:val="7F7F7F"/>
                <w:szCs w:val="18"/>
                <w:lang w:eastAsia="en-AU"/>
              </w:rPr>
              <w:t>78%</w:t>
            </w:r>
          </w:p>
        </w:tc>
        <w:tc>
          <w:tcPr>
            <w:tcW w:w="1134" w:type="dxa"/>
            <w:tcBorders>
              <w:top w:val="nil"/>
              <w:left w:val="nil"/>
              <w:bottom w:val="nil"/>
              <w:right w:val="nil"/>
            </w:tcBorders>
            <w:shd w:val="clear" w:color="auto" w:fill="auto"/>
            <w:noWrap/>
            <w:vAlign w:val="center"/>
            <w:hideMark/>
          </w:tcPr>
          <w:p w:rsidR="001E08F1" w:rsidRPr="00204886" w:rsidRDefault="001E08F1" w:rsidP="00D07A42">
            <w:pPr>
              <w:jc w:val="right"/>
              <w:rPr>
                <w:rFonts w:cs="Arial"/>
                <w:color w:val="7F7F7F"/>
                <w:szCs w:val="18"/>
                <w:lang w:eastAsia="en-AU"/>
              </w:rPr>
            </w:pPr>
            <w:r w:rsidRPr="00204886">
              <w:rPr>
                <w:rFonts w:cs="Arial"/>
                <w:color w:val="7F7F7F"/>
                <w:szCs w:val="18"/>
                <w:lang w:eastAsia="en-AU"/>
              </w:rPr>
              <w:t>26%</w:t>
            </w:r>
          </w:p>
        </w:tc>
        <w:tc>
          <w:tcPr>
            <w:tcW w:w="1134" w:type="dxa"/>
            <w:tcBorders>
              <w:top w:val="nil"/>
              <w:left w:val="nil"/>
              <w:bottom w:val="nil"/>
              <w:right w:val="nil"/>
            </w:tcBorders>
            <w:shd w:val="clear" w:color="auto" w:fill="auto"/>
            <w:noWrap/>
            <w:vAlign w:val="center"/>
            <w:hideMark/>
          </w:tcPr>
          <w:p w:rsidR="001E08F1" w:rsidRPr="00204886" w:rsidRDefault="001E08F1" w:rsidP="00D07A42">
            <w:pPr>
              <w:jc w:val="right"/>
              <w:rPr>
                <w:rFonts w:cs="Arial"/>
                <w:color w:val="7F7F7F"/>
                <w:szCs w:val="18"/>
                <w:lang w:eastAsia="en-AU"/>
              </w:rPr>
            </w:pPr>
            <w:r w:rsidRPr="00204886">
              <w:rPr>
                <w:rFonts w:cs="Arial"/>
                <w:color w:val="7F7F7F"/>
                <w:szCs w:val="18"/>
                <w:lang w:eastAsia="en-AU"/>
              </w:rPr>
              <w:t>-12%</w:t>
            </w:r>
          </w:p>
        </w:tc>
        <w:tc>
          <w:tcPr>
            <w:tcW w:w="1134" w:type="dxa"/>
            <w:tcBorders>
              <w:top w:val="nil"/>
              <w:left w:val="nil"/>
              <w:bottom w:val="nil"/>
              <w:right w:val="nil"/>
            </w:tcBorders>
            <w:shd w:val="clear" w:color="auto" w:fill="auto"/>
            <w:noWrap/>
            <w:vAlign w:val="center"/>
            <w:hideMark/>
          </w:tcPr>
          <w:p w:rsidR="001E08F1" w:rsidRPr="00204886" w:rsidRDefault="001E08F1" w:rsidP="00D07A42">
            <w:pPr>
              <w:jc w:val="right"/>
              <w:rPr>
                <w:rFonts w:cs="Arial"/>
                <w:color w:val="7F7F7F"/>
                <w:szCs w:val="18"/>
                <w:lang w:eastAsia="en-AU"/>
              </w:rPr>
            </w:pPr>
            <w:r w:rsidRPr="00204886">
              <w:rPr>
                <w:rFonts w:cs="Arial"/>
                <w:color w:val="7F7F7F"/>
                <w:szCs w:val="18"/>
                <w:lang w:eastAsia="en-AU"/>
              </w:rPr>
              <w:t>-4%</w:t>
            </w:r>
          </w:p>
        </w:tc>
        <w:tc>
          <w:tcPr>
            <w:tcW w:w="1134" w:type="dxa"/>
            <w:tcBorders>
              <w:top w:val="nil"/>
              <w:left w:val="nil"/>
              <w:bottom w:val="nil"/>
              <w:right w:val="nil"/>
            </w:tcBorders>
            <w:shd w:val="clear" w:color="auto" w:fill="auto"/>
            <w:noWrap/>
            <w:vAlign w:val="center"/>
            <w:hideMark/>
          </w:tcPr>
          <w:p w:rsidR="001E08F1" w:rsidRPr="00204886" w:rsidRDefault="001E08F1" w:rsidP="00D07A42">
            <w:pPr>
              <w:jc w:val="right"/>
              <w:rPr>
                <w:rFonts w:cs="Arial"/>
                <w:color w:val="7F7F7F"/>
                <w:szCs w:val="18"/>
                <w:lang w:eastAsia="en-AU"/>
              </w:rPr>
            </w:pPr>
            <w:r w:rsidRPr="00204886">
              <w:rPr>
                <w:rFonts w:cs="Arial"/>
                <w:color w:val="7F7F7F"/>
                <w:szCs w:val="18"/>
                <w:lang w:eastAsia="en-AU"/>
              </w:rPr>
              <w:t>-11%</w:t>
            </w:r>
          </w:p>
        </w:tc>
      </w:tr>
      <w:tr w:rsidR="001E08F1" w:rsidRPr="00204886" w:rsidTr="00D07A42">
        <w:trPr>
          <w:trHeight w:val="300"/>
        </w:trPr>
        <w:tc>
          <w:tcPr>
            <w:tcW w:w="2425" w:type="dxa"/>
            <w:tcBorders>
              <w:top w:val="nil"/>
              <w:left w:val="nil"/>
              <w:bottom w:val="nil"/>
              <w:right w:val="nil"/>
            </w:tcBorders>
            <w:shd w:val="clear" w:color="auto" w:fill="auto"/>
            <w:noWrap/>
            <w:vAlign w:val="center"/>
            <w:hideMark/>
          </w:tcPr>
          <w:p w:rsidR="001E08F1" w:rsidRPr="00204886" w:rsidRDefault="001E08F1" w:rsidP="00D07A42">
            <w:pPr>
              <w:rPr>
                <w:rFonts w:cs="Arial"/>
                <w:color w:val="7F7F7F"/>
                <w:szCs w:val="18"/>
                <w:lang w:eastAsia="en-AU"/>
              </w:rPr>
            </w:pPr>
            <w:r w:rsidRPr="00204886">
              <w:rPr>
                <w:rFonts w:cs="Arial"/>
                <w:color w:val="7F7F7F"/>
                <w:szCs w:val="18"/>
                <w:lang w:eastAsia="en-AU"/>
              </w:rPr>
              <w:t>Diploma &amp; Above</w:t>
            </w:r>
          </w:p>
        </w:tc>
        <w:tc>
          <w:tcPr>
            <w:tcW w:w="1134" w:type="dxa"/>
            <w:tcBorders>
              <w:top w:val="nil"/>
              <w:left w:val="nil"/>
              <w:bottom w:val="nil"/>
              <w:right w:val="nil"/>
            </w:tcBorders>
            <w:shd w:val="clear" w:color="auto" w:fill="auto"/>
            <w:noWrap/>
            <w:vAlign w:val="center"/>
            <w:hideMark/>
          </w:tcPr>
          <w:p w:rsidR="001E08F1" w:rsidRPr="00204886" w:rsidRDefault="001E08F1" w:rsidP="00D07A42">
            <w:pPr>
              <w:jc w:val="right"/>
              <w:rPr>
                <w:rFonts w:cs="Arial"/>
                <w:color w:val="7F7F7F"/>
                <w:szCs w:val="18"/>
                <w:lang w:eastAsia="en-AU"/>
              </w:rPr>
            </w:pPr>
            <w:r w:rsidRPr="00204886">
              <w:rPr>
                <w:rFonts w:cs="Arial"/>
                <w:color w:val="7F7F7F"/>
                <w:szCs w:val="18"/>
                <w:lang w:eastAsia="en-AU"/>
              </w:rPr>
              <w:t>5%</w:t>
            </w:r>
          </w:p>
        </w:tc>
        <w:tc>
          <w:tcPr>
            <w:tcW w:w="1134" w:type="dxa"/>
            <w:tcBorders>
              <w:top w:val="nil"/>
              <w:left w:val="nil"/>
              <w:bottom w:val="nil"/>
              <w:right w:val="nil"/>
            </w:tcBorders>
            <w:shd w:val="clear" w:color="auto" w:fill="auto"/>
            <w:noWrap/>
            <w:vAlign w:val="center"/>
            <w:hideMark/>
          </w:tcPr>
          <w:p w:rsidR="001E08F1" w:rsidRPr="00204886" w:rsidRDefault="001E08F1" w:rsidP="00D07A42">
            <w:pPr>
              <w:jc w:val="right"/>
              <w:rPr>
                <w:rFonts w:cs="Arial"/>
                <w:color w:val="7F7F7F"/>
                <w:szCs w:val="18"/>
                <w:lang w:eastAsia="en-AU"/>
              </w:rPr>
            </w:pPr>
            <w:r w:rsidRPr="00204886">
              <w:rPr>
                <w:rFonts w:cs="Arial"/>
                <w:color w:val="7F7F7F"/>
                <w:szCs w:val="18"/>
                <w:lang w:eastAsia="en-AU"/>
              </w:rPr>
              <w:t>-18%</w:t>
            </w:r>
          </w:p>
        </w:tc>
        <w:tc>
          <w:tcPr>
            <w:tcW w:w="1134" w:type="dxa"/>
            <w:tcBorders>
              <w:top w:val="nil"/>
              <w:left w:val="nil"/>
              <w:bottom w:val="nil"/>
              <w:right w:val="nil"/>
            </w:tcBorders>
            <w:shd w:val="clear" w:color="auto" w:fill="auto"/>
            <w:noWrap/>
            <w:vAlign w:val="center"/>
            <w:hideMark/>
          </w:tcPr>
          <w:p w:rsidR="001E08F1" w:rsidRPr="00204886" w:rsidRDefault="001E08F1" w:rsidP="00D07A42">
            <w:pPr>
              <w:jc w:val="right"/>
              <w:rPr>
                <w:rFonts w:cs="Arial"/>
                <w:color w:val="7F7F7F"/>
                <w:szCs w:val="18"/>
                <w:lang w:eastAsia="en-AU"/>
              </w:rPr>
            </w:pPr>
            <w:r w:rsidRPr="00204886">
              <w:rPr>
                <w:rFonts w:cs="Arial"/>
                <w:color w:val="7F7F7F"/>
                <w:szCs w:val="18"/>
                <w:lang w:eastAsia="en-AU"/>
              </w:rPr>
              <w:t>-27%</w:t>
            </w:r>
          </w:p>
        </w:tc>
        <w:tc>
          <w:tcPr>
            <w:tcW w:w="1134" w:type="dxa"/>
            <w:tcBorders>
              <w:top w:val="nil"/>
              <w:left w:val="nil"/>
              <w:bottom w:val="nil"/>
              <w:right w:val="nil"/>
            </w:tcBorders>
            <w:shd w:val="clear" w:color="auto" w:fill="auto"/>
            <w:noWrap/>
            <w:vAlign w:val="center"/>
            <w:hideMark/>
          </w:tcPr>
          <w:p w:rsidR="001E08F1" w:rsidRPr="00204886" w:rsidRDefault="001E08F1" w:rsidP="00D07A42">
            <w:pPr>
              <w:jc w:val="right"/>
              <w:rPr>
                <w:rFonts w:cs="Arial"/>
                <w:color w:val="7F7F7F"/>
                <w:szCs w:val="18"/>
                <w:lang w:eastAsia="en-AU"/>
              </w:rPr>
            </w:pPr>
            <w:r w:rsidRPr="00204886">
              <w:rPr>
                <w:rFonts w:cs="Arial"/>
                <w:color w:val="7F7F7F"/>
                <w:szCs w:val="18"/>
                <w:lang w:eastAsia="en-AU"/>
              </w:rPr>
              <w:t>-1%</w:t>
            </w:r>
          </w:p>
        </w:tc>
        <w:tc>
          <w:tcPr>
            <w:tcW w:w="1134" w:type="dxa"/>
            <w:tcBorders>
              <w:top w:val="nil"/>
              <w:left w:val="nil"/>
              <w:bottom w:val="nil"/>
              <w:right w:val="nil"/>
            </w:tcBorders>
            <w:shd w:val="clear" w:color="auto" w:fill="auto"/>
            <w:noWrap/>
            <w:vAlign w:val="center"/>
            <w:hideMark/>
          </w:tcPr>
          <w:p w:rsidR="001E08F1" w:rsidRPr="00204886" w:rsidRDefault="001E08F1" w:rsidP="00D07A42">
            <w:pPr>
              <w:jc w:val="right"/>
              <w:rPr>
                <w:rFonts w:cs="Arial"/>
                <w:color w:val="7F7F7F"/>
                <w:szCs w:val="18"/>
                <w:lang w:eastAsia="en-AU"/>
              </w:rPr>
            </w:pPr>
            <w:r w:rsidRPr="00204886">
              <w:rPr>
                <w:rFonts w:cs="Arial"/>
                <w:color w:val="7F7F7F"/>
                <w:szCs w:val="18"/>
                <w:lang w:eastAsia="en-AU"/>
              </w:rPr>
              <w:t>4%</w:t>
            </w:r>
          </w:p>
        </w:tc>
      </w:tr>
      <w:tr w:rsidR="001E08F1" w:rsidRPr="00204886" w:rsidTr="00D07A42">
        <w:trPr>
          <w:trHeight w:val="300"/>
        </w:trPr>
        <w:tc>
          <w:tcPr>
            <w:tcW w:w="2425" w:type="dxa"/>
            <w:tcBorders>
              <w:top w:val="nil"/>
              <w:left w:val="nil"/>
              <w:bottom w:val="nil"/>
              <w:right w:val="nil"/>
            </w:tcBorders>
            <w:shd w:val="clear" w:color="auto" w:fill="auto"/>
            <w:noWrap/>
            <w:vAlign w:val="center"/>
            <w:hideMark/>
          </w:tcPr>
          <w:p w:rsidR="001E08F1" w:rsidRPr="00204886" w:rsidRDefault="001E08F1" w:rsidP="00D07A42">
            <w:pPr>
              <w:rPr>
                <w:rFonts w:cs="Arial"/>
                <w:color w:val="7F7F7F"/>
                <w:szCs w:val="18"/>
                <w:lang w:eastAsia="en-AU"/>
              </w:rPr>
            </w:pPr>
            <w:r w:rsidRPr="00204886">
              <w:rPr>
                <w:rFonts w:cs="Arial"/>
                <w:color w:val="7F7F7F"/>
                <w:szCs w:val="18"/>
                <w:lang w:eastAsia="en-AU"/>
              </w:rPr>
              <w:t>Module Only</w:t>
            </w:r>
          </w:p>
        </w:tc>
        <w:tc>
          <w:tcPr>
            <w:tcW w:w="1134" w:type="dxa"/>
            <w:tcBorders>
              <w:top w:val="nil"/>
              <w:left w:val="nil"/>
              <w:bottom w:val="nil"/>
              <w:right w:val="nil"/>
            </w:tcBorders>
            <w:shd w:val="clear" w:color="auto" w:fill="auto"/>
            <w:noWrap/>
            <w:vAlign w:val="center"/>
            <w:hideMark/>
          </w:tcPr>
          <w:p w:rsidR="001E08F1" w:rsidRPr="00204886" w:rsidRDefault="001E08F1" w:rsidP="00D07A42">
            <w:pPr>
              <w:jc w:val="right"/>
              <w:rPr>
                <w:rFonts w:cs="Arial"/>
                <w:color w:val="7F7F7F"/>
                <w:szCs w:val="18"/>
                <w:lang w:eastAsia="en-AU"/>
              </w:rPr>
            </w:pPr>
            <w:r w:rsidRPr="00204886">
              <w:rPr>
                <w:rFonts w:cs="Arial"/>
                <w:color w:val="7F7F7F"/>
                <w:szCs w:val="18"/>
                <w:lang w:eastAsia="en-AU"/>
              </w:rPr>
              <w:t>-88%</w:t>
            </w:r>
          </w:p>
        </w:tc>
        <w:tc>
          <w:tcPr>
            <w:tcW w:w="1134" w:type="dxa"/>
            <w:tcBorders>
              <w:top w:val="nil"/>
              <w:left w:val="nil"/>
              <w:bottom w:val="nil"/>
              <w:right w:val="nil"/>
            </w:tcBorders>
            <w:shd w:val="clear" w:color="auto" w:fill="auto"/>
            <w:noWrap/>
            <w:vAlign w:val="center"/>
            <w:hideMark/>
          </w:tcPr>
          <w:p w:rsidR="001E08F1" w:rsidRPr="00204886" w:rsidRDefault="001E08F1" w:rsidP="00D07A42">
            <w:pPr>
              <w:jc w:val="right"/>
              <w:rPr>
                <w:rFonts w:cs="Arial"/>
                <w:color w:val="7F7F7F"/>
                <w:szCs w:val="18"/>
                <w:lang w:eastAsia="en-AU"/>
              </w:rPr>
            </w:pPr>
            <w:r w:rsidRPr="00204886">
              <w:rPr>
                <w:rFonts w:cs="Arial"/>
                <w:color w:val="7F7F7F"/>
                <w:szCs w:val="18"/>
                <w:lang w:eastAsia="en-AU"/>
              </w:rPr>
              <w:t>-63%</w:t>
            </w:r>
          </w:p>
        </w:tc>
        <w:tc>
          <w:tcPr>
            <w:tcW w:w="1134" w:type="dxa"/>
            <w:tcBorders>
              <w:top w:val="nil"/>
              <w:left w:val="nil"/>
              <w:bottom w:val="nil"/>
              <w:right w:val="nil"/>
            </w:tcBorders>
            <w:shd w:val="clear" w:color="auto" w:fill="auto"/>
            <w:noWrap/>
            <w:vAlign w:val="center"/>
            <w:hideMark/>
          </w:tcPr>
          <w:p w:rsidR="001E08F1" w:rsidRPr="00204886" w:rsidRDefault="001E08F1" w:rsidP="00D07A42">
            <w:pPr>
              <w:jc w:val="right"/>
              <w:rPr>
                <w:rFonts w:cs="Arial"/>
                <w:color w:val="7F7F7F"/>
                <w:szCs w:val="18"/>
                <w:lang w:eastAsia="en-AU"/>
              </w:rPr>
            </w:pPr>
            <w:r w:rsidRPr="00204886">
              <w:rPr>
                <w:rFonts w:cs="Arial"/>
                <w:color w:val="7F7F7F"/>
                <w:szCs w:val="18"/>
                <w:lang w:eastAsia="en-AU"/>
              </w:rPr>
              <w:t>-31%</w:t>
            </w:r>
          </w:p>
        </w:tc>
        <w:tc>
          <w:tcPr>
            <w:tcW w:w="1134" w:type="dxa"/>
            <w:tcBorders>
              <w:top w:val="nil"/>
              <w:left w:val="nil"/>
              <w:bottom w:val="nil"/>
              <w:right w:val="nil"/>
            </w:tcBorders>
            <w:shd w:val="clear" w:color="auto" w:fill="auto"/>
            <w:noWrap/>
            <w:vAlign w:val="center"/>
            <w:hideMark/>
          </w:tcPr>
          <w:p w:rsidR="001E08F1" w:rsidRPr="00204886" w:rsidRDefault="001E08F1" w:rsidP="00D07A42">
            <w:pPr>
              <w:jc w:val="right"/>
              <w:rPr>
                <w:rFonts w:cs="Arial"/>
                <w:color w:val="7F7F7F"/>
                <w:szCs w:val="18"/>
                <w:lang w:eastAsia="en-AU"/>
              </w:rPr>
            </w:pPr>
            <w:r w:rsidRPr="00204886">
              <w:rPr>
                <w:rFonts w:cs="Arial"/>
                <w:color w:val="7F7F7F"/>
                <w:szCs w:val="18"/>
                <w:lang w:eastAsia="en-AU"/>
              </w:rPr>
              <w:t>14%</w:t>
            </w:r>
          </w:p>
        </w:tc>
        <w:tc>
          <w:tcPr>
            <w:tcW w:w="1134" w:type="dxa"/>
            <w:tcBorders>
              <w:top w:val="nil"/>
              <w:left w:val="nil"/>
              <w:bottom w:val="nil"/>
              <w:right w:val="nil"/>
            </w:tcBorders>
            <w:shd w:val="clear" w:color="auto" w:fill="auto"/>
            <w:noWrap/>
            <w:vAlign w:val="center"/>
            <w:hideMark/>
          </w:tcPr>
          <w:p w:rsidR="001E08F1" w:rsidRPr="00204886" w:rsidRDefault="001E08F1" w:rsidP="00D07A42">
            <w:pPr>
              <w:jc w:val="right"/>
              <w:rPr>
                <w:rFonts w:cs="Arial"/>
                <w:color w:val="7F7F7F"/>
                <w:szCs w:val="18"/>
                <w:lang w:eastAsia="en-AU"/>
              </w:rPr>
            </w:pPr>
            <w:r w:rsidRPr="00204886">
              <w:rPr>
                <w:rFonts w:cs="Arial"/>
                <w:color w:val="7F7F7F"/>
                <w:szCs w:val="18"/>
                <w:lang w:eastAsia="en-AU"/>
              </w:rPr>
              <w:t>-37%</w:t>
            </w:r>
          </w:p>
        </w:tc>
      </w:tr>
      <w:tr w:rsidR="001E08F1" w:rsidRPr="00204886" w:rsidTr="00D07A42">
        <w:trPr>
          <w:trHeight w:val="300"/>
        </w:trPr>
        <w:tc>
          <w:tcPr>
            <w:tcW w:w="2425" w:type="dxa"/>
            <w:tcBorders>
              <w:top w:val="nil"/>
              <w:left w:val="nil"/>
              <w:bottom w:val="nil"/>
              <w:right w:val="nil"/>
            </w:tcBorders>
            <w:shd w:val="clear" w:color="auto" w:fill="auto"/>
            <w:noWrap/>
            <w:vAlign w:val="center"/>
            <w:hideMark/>
          </w:tcPr>
          <w:p w:rsidR="001E08F1" w:rsidRPr="00204886" w:rsidRDefault="001E08F1" w:rsidP="00D07A42">
            <w:pPr>
              <w:rPr>
                <w:rFonts w:cs="Arial"/>
                <w:color w:val="7F7F7F"/>
                <w:szCs w:val="18"/>
                <w:lang w:eastAsia="en-AU"/>
              </w:rPr>
            </w:pPr>
            <w:r w:rsidRPr="00204886">
              <w:rPr>
                <w:rFonts w:cs="Arial"/>
                <w:color w:val="7F7F7F"/>
                <w:szCs w:val="18"/>
                <w:lang w:eastAsia="en-AU"/>
              </w:rPr>
              <w:t>Secondary Education*</w:t>
            </w:r>
          </w:p>
        </w:tc>
        <w:tc>
          <w:tcPr>
            <w:tcW w:w="1134" w:type="dxa"/>
            <w:tcBorders>
              <w:top w:val="nil"/>
              <w:left w:val="nil"/>
              <w:bottom w:val="nil"/>
              <w:right w:val="nil"/>
            </w:tcBorders>
            <w:shd w:val="clear" w:color="auto" w:fill="auto"/>
            <w:noWrap/>
            <w:vAlign w:val="center"/>
            <w:hideMark/>
          </w:tcPr>
          <w:p w:rsidR="001E08F1" w:rsidRPr="00204886" w:rsidRDefault="001E08F1" w:rsidP="00D07A42">
            <w:pPr>
              <w:jc w:val="right"/>
              <w:rPr>
                <w:rFonts w:cs="Arial"/>
                <w:color w:val="7F7F7F"/>
                <w:szCs w:val="18"/>
                <w:lang w:eastAsia="en-AU"/>
              </w:rPr>
            </w:pPr>
            <w:r w:rsidRPr="00204886">
              <w:rPr>
                <w:rFonts w:cs="Arial"/>
                <w:color w:val="7F7F7F"/>
                <w:szCs w:val="18"/>
                <w:lang w:eastAsia="en-AU"/>
              </w:rPr>
              <w:t>19%</w:t>
            </w:r>
          </w:p>
        </w:tc>
        <w:tc>
          <w:tcPr>
            <w:tcW w:w="1134" w:type="dxa"/>
            <w:tcBorders>
              <w:top w:val="nil"/>
              <w:left w:val="nil"/>
              <w:bottom w:val="nil"/>
              <w:right w:val="nil"/>
            </w:tcBorders>
            <w:shd w:val="clear" w:color="auto" w:fill="auto"/>
            <w:noWrap/>
            <w:vAlign w:val="center"/>
            <w:hideMark/>
          </w:tcPr>
          <w:p w:rsidR="001E08F1" w:rsidRPr="00204886" w:rsidRDefault="001E08F1" w:rsidP="00D07A42">
            <w:pPr>
              <w:jc w:val="right"/>
              <w:rPr>
                <w:rFonts w:cs="Arial"/>
                <w:color w:val="7F7F7F"/>
                <w:szCs w:val="18"/>
                <w:lang w:eastAsia="en-AU"/>
              </w:rPr>
            </w:pPr>
            <w:r w:rsidRPr="00204886">
              <w:rPr>
                <w:rFonts w:cs="Arial"/>
                <w:color w:val="7F7F7F"/>
                <w:szCs w:val="18"/>
                <w:lang w:eastAsia="en-AU"/>
              </w:rPr>
              <w:t>8%</w:t>
            </w:r>
          </w:p>
        </w:tc>
        <w:tc>
          <w:tcPr>
            <w:tcW w:w="1134" w:type="dxa"/>
            <w:tcBorders>
              <w:top w:val="nil"/>
              <w:left w:val="nil"/>
              <w:bottom w:val="nil"/>
              <w:right w:val="nil"/>
            </w:tcBorders>
            <w:shd w:val="clear" w:color="auto" w:fill="auto"/>
            <w:noWrap/>
            <w:vAlign w:val="center"/>
            <w:hideMark/>
          </w:tcPr>
          <w:p w:rsidR="001E08F1" w:rsidRPr="00204886" w:rsidRDefault="001E08F1" w:rsidP="00D07A42">
            <w:pPr>
              <w:jc w:val="right"/>
              <w:rPr>
                <w:rFonts w:cs="Arial"/>
                <w:color w:val="7F7F7F"/>
                <w:szCs w:val="18"/>
                <w:lang w:eastAsia="en-AU"/>
              </w:rPr>
            </w:pPr>
            <w:r w:rsidRPr="00204886">
              <w:rPr>
                <w:rFonts w:cs="Arial"/>
                <w:color w:val="7F7F7F"/>
                <w:szCs w:val="18"/>
                <w:lang w:eastAsia="en-AU"/>
              </w:rPr>
              <w:t>2%</w:t>
            </w:r>
          </w:p>
        </w:tc>
        <w:tc>
          <w:tcPr>
            <w:tcW w:w="1134" w:type="dxa"/>
            <w:tcBorders>
              <w:top w:val="nil"/>
              <w:left w:val="nil"/>
              <w:bottom w:val="nil"/>
              <w:right w:val="nil"/>
            </w:tcBorders>
            <w:shd w:val="clear" w:color="auto" w:fill="auto"/>
            <w:noWrap/>
            <w:vAlign w:val="center"/>
            <w:hideMark/>
          </w:tcPr>
          <w:p w:rsidR="001E08F1" w:rsidRPr="00204886" w:rsidRDefault="001E08F1" w:rsidP="00D07A42">
            <w:pPr>
              <w:jc w:val="right"/>
              <w:rPr>
                <w:rFonts w:cs="Arial"/>
                <w:color w:val="7F7F7F"/>
                <w:szCs w:val="18"/>
                <w:lang w:eastAsia="en-AU"/>
              </w:rPr>
            </w:pPr>
            <w:r w:rsidRPr="00204886">
              <w:rPr>
                <w:rFonts w:cs="Arial"/>
                <w:color w:val="7F7F7F"/>
                <w:szCs w:val="18"/>
                <w:lang w:eastAsia="en-AU"/>
              </w:rPr>
              <w:t>-17%</w:t>
            </w:r>
          </w:p>
        </w:tc>
        <w:tc>
          <w:tcPr>
            <w:tcW w:w="1134" w:type="dxa"/>
            <w:tcBorders>
              <w:top w:val="nil"/>
              <w:left w:val="nil"/>
              <w:bottom w:val="nil"/>
              <w:right w:val="nil"/>
            </w:tcBorders>
            <w:shd w:val="clear" w:color="auto" w:fill="auto"/>
            <w:noWrap/>
            <w:vAlign w:val="center"/>
            <w:hideMark/>
          </w:tcPr>
          <w:p w:rsidR="001E08F1" w:rsidRPr="00204886" w:rsidRDefault="001E08F1" w:rsidP="00D07A42">
            <w:pPr>
              <w:jc w:val="right"/>
              <w:rPr>
                <w:rFonts w:cs="Arial"/>
                <w:color w:val="7F7F7F"/>
                <w:szCs w:val="18"/>
                <w:lang w:eastAsia="en-AU"/>
              </w:rPr>
            </w:pPr>
            <w:r w:rsidRPr="00204886">
              <w:rPr>
                <w:rFonts w:cs="Arial"/>
                <w:color w:val="7F7F7F"/>
                <w:szCs w:val="18"/>
                <w:lang w:eastAsia="en-AU"/>
              </w:rPr>
              <w:t>-25%</w:t>
            </w:r>
          </w:p>
        </w:tc>
      </w:tr>
      <w:tr w:rsidR="001E08F1" w:rsidRPr="00204886" w:rsidTr="00D07A42">
        <w:trPr>
          <w:trHeight w:val="300"/>
        </w:trPr>
        <w:tc>
          <w:tcPr>
            <w:tcW w:w="2425" w:type="dxa"/>
            <w:tcBorders>
              <w:top w:val="nil"/>
              <w:left w:val="nil"/>
              <w:bottom w:val="nil"/>
              <w:right w:val="nil"/>
            </w:tcBorders>
            <w:shd w:val="clear" w:color="auto" w:fill="auto"/>
            <w:noWrap/>
            <w:vAlign w:val="center"/>
            <w:hideMark/>
          </w:tcPr>
          <w:p w:rsidR="001E08F1" w:rsidRPr="00204886" w:rsidRDefault="001E08F1" w:rsidP="00D07A42">
            <w:pPr>
              <w:rPr>
                <w:rFonts w:cs="Arial"/>
                <w:color w:val="7F7F7F"/>
                <w:szCs w:val="18"/>
                <w:lang w:eastAsia="en-AU"/>
              </w:rPr>
            </w:pPr>
            <w:r w:rsidRPr="00204886">
              <w:rPr>
                <w:rFonts w:cs="Arial"/>
                <w:color w:val="7F7F7F"/>
                <w:szCs w:val="18"/>
                <w:lang w:eastAsia="en-AU"/>
              </w:rPr>
              <w:t>Other**</w:t>
            </w:r>
          </w:p>
        </w:tc>
        <w:tc>
          <w:tcPr>
            <w:tcW w:w="1134" w:type="dxa"/>
            <w:tcBorders>
              <w:top w:val="nil"/>
              <w:left w:val="nil"/>
              <w:bottom w:val="nil"/>
              <w:right w:val="nil"/>
            </w:tcBorders>
            <w:shd w:val="clear" w:color="auto" w:fill="auto"/>
            <w:noWrap/>
            <w:vAlign w:val="center"/>
            <w:hideMark/>
          </w:tcPr>
          <w:p w:rsidR="001E08F1" w:rsidRPr="00204886" w:rsidRDefault="001E08F1" w:rsidP="00D07A42">
            <w:pPr>
              <w:jc w:val="right"/>
              <w:rPr>
                <w:rFonts w:cs="Arial"/>
                <w:color w:val="7F7F7F"/>
                <w:szCs w:val="18"/>
                <w:lang w:eastAsia="en-AU"/>
              </w:rPr>
            </w:pPr>
            <w:r w:rsidRPr="00204886">
              <w:rPr>
                <w:rFonts w:cs="Arial"/>
                <w:color w:val="7F7F7F"/>
                <w:szCs w:val="18"/>
                <w:lang w:eastAsia="en-AU"/>
              </w:rPr>
              <w:t>-21%</w:t>
            </w:r>
          </w:p>
        </w:tc>
        <w:tc>
          <w:tcPr>
            <w:tcW w:w="1134" w:type="dxa"/>
            <w:tcBorders>
              <w:top w:val="nil"/>
              <w:left w:val="nil"/>
              <w:bottom w:val="nil"/>
              <w:right w:val="nil"/>
            </w:tcBorders>
            <w:shd w:val="clear" w:color="auto" w:fill="auto"/>
            <w:noWrap/>
            <w:vAlign w:val="center"/>
            <w:hideMark/>
          </w:tcPr>
          <w:p w:rsidR="001E08F1" w:rsidRPr="00204886" w:rsidRDefault="001E08F1" w:rsidP="00D07A42">
            <w:pPr>
              <w:jc w:val="right"/>
              <w:rPr>
                <w:rFonts w:cs="Arial"/>
                <w:color w:val="7F7F7F"/>
                <w:szCs w:val="18"/>
                <w:lang w:eastAsia="en-AU"/>
              </w:rPr>
            </w:pPr>
            <w:r w:rsidRPr="00204886">
              <w:rPr>
                <w:rFonts w:cs="Arial"/>
                <w:color w:val="7F7F7F"/>
                <w:szCs w:val="18"/>
                <w:lang w:eastAsia="en-AU"/>
              </w:rPr>
              <w:t>10%</w:t>
            </w:r>
          </w:p>
        </w:tc>
        <w:tc>
          <w:tcPr>
            <w:tcW w:w="1134" w:type="dxa"/>
            <w:tcBorders>
              <w:top w:val="nil"/>
              <w:left w:val="nil"/>
              <w:bottom w:val="nil"/>
              <w:right w:val="nil"/>
            </w:tcBorders>
            <w:shd w:val="clear" w:color="auto" w:fill="auto"/>
            <w:noWrap/>
            <w:vAlign w:val="center"/>
            <w:hideMark/>
          </w:tcPr>
          <w:p w:rsidR="001E08F1" w:rsidRPr="00204886" w:rsidRDefault="001E08F1" w:rsidP="00D07A42">
            <w:pPr>
              <w:jc w:val="right"/>
              <w:rPr>
                <w:rFonts w:cs="Arial"/>
                <w:color w:val="7F7F7F"/>
                <w:szCs w:val="18"/>
                <w:lang w:eastAsia="en-AU"/>
              </w:rPr>
            </w:pPr>
            <w:r w:rsidRPr="00204886">
              <w:rPr>
                <w:rFonts w:cs="Arial"/>
                <w:color w:val="7F7F7F"/>
                <w:szCs w:val="18"/>
                <w:lang w:eastAsia="en-AU"/>
              </w:rPr>
              <w:t>-9%</w:t>
            </w:r>
          </w:p>
        </w:tc>
        <w:tc>
          <w:tcPr>
            <w:tcW w:w="1134" w:type="dxa"/>
            <w:tcBorders>
              <w:top w:val="nil"/>
              <w:left w:val="nil"/>
              <w:bottom w:val="nil"/>
              <w:right w:val="nil"/>
            </w:tcBorders>
            <w:shd w:val="clear" w:color="auto" w:fill="auto"/>
            <w:noWrap/>
            <w:vAlign w:val="center"/>
            <w:hideMark/>
          </w:tcPr>
          <w:p w:rsidR="001E08F1" w:rsidRPr="00204886" w:rsidRDefault="001E08F1" w:rsidP="00D07A42">
            <w:pPr>
              <w:jc w:val="right"/>
              <w:rPr>
                <w:rFonts w:cs="Arial"/>
                <w:color w:val="7F7F7F"/>
                <w:szCs w:val="18"/>
                <w:lang w:eastAsia="en-AU"/>
              </w:rPr>
            </w:pPr>
            <w:r w:rsidRPr="00204886">
              <w:rPr>
                <w:rFonts w:cs="Arial"/>
                <w:color w:val="7F7F7F"/>
                <w:szCs w:val="18"/>
                <w:lang w:eastAsia="en-AU"/>
              </w:rPr>
              <w:t>7%</w:t>
            </w:r>
          </w:p>
        </w:tc>
        <w:tc>
          <w:tcPr>
            <w:tcW w:w="1134" w:type="dxa"/>
            <w:tcBorders>
              <w:top w:val="nil"/>
              <w:left w:val="nil"/>
              <w:bottom w:val="nil"/>
              <w:right w:val="nil"/>
            </w:tcBorders>
            <w:shd w:val="clear" w:color="auto" w:fill="auto"/>
            <w:noWrap/>
            <w:vAlign w:val="center"/>
            <w:hideMark/>
          </w:tcPr>
          <w:p w:rsidR="001E08F1" w:rsidRPr="00204886" w:rsidRDefault="001E08F1" w:rsidP="00D07A42">
            <w:pPr>
              <w:jc w:val="right"/>
              <w:rPr>
                <w:rFonts w:cs="Arial"/>
                <w:color w:val="7F7F7F"/>
                <w:szCs w:val="18"/>
                <w:lang w:eastAsia="en-AU"/>
              </w:rPr>
            </w:pPr>
            <w:r w:rsidRPr="00204886">
              <w:rPr>
                <w:rFonts w:cs="Arial"/>
                <w:color w:val="7F7F7F"/>
                <w:szCs w:val="18"/>
                <w:lang w:eastAsia="en-AU"/>
              </w:rPr>
              <w:t>-20%</w:t>
            </w:r>
          </w:p>
        </w:tc>
      </w:tr>
      <w:tr w:rsidR="001E08F1" w:rsidRPr="00204886" w:rsidTr="00D07A42">
        <w:trPr>
          <w:trHeight w:val="300"/>
        </w:trPr>
        <w:tc>
          <w:tcPr>
            <w:tcW w:w="2425" w:type="dxa"/>
            <w:tcBorders>
              <w:top w:val="nil"/>
              <w:left w:val="nil"/>
              <w:bottom w:val="nil"/>
              <w:right w:val="nil"/>
            </w:tcBorders>
            <w:shd w:val="clear" w:color="000000" w:fill="7F7F7F"/>
            <w:noWrap/>
            <w:vAlign w:val="center"/>
            <w:hideMark/>
          </w:tcPr>
          <w:p w:rsidR="001E08F1" w:rsidRPr="00204886" w:rsidRDefault="001E08F1" w:rsidP="00D07A42">
            <w:pPr>
              <w:rPr>
                <w:rFonts w:cs="Arial"/>
                <w:b/>
                <w:bCs/>
                <w:color w:val="FFFFFF"/>
                <w:szCs w:val="18"/>
                <w:lang w:eastAsia="en-AU"/>
              </w:rPr>
            </w:pPr>
            <w:r w:rsidRPr="00204886">
              <w:rPr>
                <w:rFonts w:cs="Arial"/>
                <w:b/>
                <w:bCs/>
                <w:color w:val="FFFFFF"/>
                <w:szCs w:val="18"/>
                <w:lang w:eastAsia="en-AU"/>
              </w:rPr>
              <w:t>Total</w:t>
            </w:r>
          </w:p>
        </w:tc>
        <w:tc>
          <w:tcPr>
            <w:tcW w:w="1134" w:type="dxa"/>
            <w:tcBorders>
              <w:top w:val="nil"/>
              <w:left w:val="nil"/>
              <w:bottom w:val="nil"/>
              <w:right w:val="nil"/>
            </w:tcBorders>
            <w:shd w:val="clear" w:color="000000" w:fill="7F7F7F"/>
            <w:noWrap/>
            <w:vAlign w:val="center"/>
            <w:hideMark/>
          </w:tcPr>
          <w:p w:rsidR="001E08F1" w:rsidRPr="00204886" w:rsidRDefault="001E08F1" w:rsidP="00D07A42">
            <w:pPr>
              <w:jc w:val="right"/>
              <w:rPr>
                <w:rFonts w:cs="Arial"/>
                <w:b/>
                <w:bCs/>
                <w:color w:val="FFFFFF"/>
                <w:szCs w:val="18"/>
                <w:lang w:eastAsia="en-AU"/>
              </w:rPr>
            </w:pPr>
            <w:r w:rsidRPr="00204886">
              <w:rPr>
                <w:rFonts w:cs="Arial"/>
                <w:b/>
                <w:bCs/>
                <w:color w:val="FFFFFF"/>
                <w:szCs w:val="18"/>
                <w:lang w:eastAsia="en-AU"/>
              </w:rPr>
              <w:t>30%</w:t>
            </w:r>
          </w:p>
        </w:tc>
        <w:tc>
          <w:tcPr>
            <w:tcW w:w="1134" w:type="dxa"/>
            <w:tcBorders>
              <w:top w:val="nil"/>
              <w:left w:val="nil"/>
              <w:bottom w:val="nil"/>
              <w:right w:val="nil"/>
            </w:tcBorders>
            <w:shd w:val="clear" w:color="000000" w:fill="7F7F7F"/>
            <w:noWrap/>
            <w:vAlign w:val="center"/>
            <w:hideMark/>
          </w:tcPr>
          <w:p w:rsidR="001E08F1" w:rsidRPr="00204886" w:rsidRDefault="001E08F1" w:rsidP="00D07A42">
            <w:pPr>
              <w:jc w:val="right"/>
              <w:rPr>
                <w:rFonts w:cs="Arial"/>
                <w:b/>
                <w:bCs/>
                <w:color w:val="FFFFFF"/>
                <w:szCs w:val="18"/>
                <w:lang w:eastAsia="en-AU"/>
              </w:rPr>
            </w:pPr>
            <w:r w:rsidRPr="00204886">
              <w:rPr>
                <w:rFonts w:cs="Arial"/>
                <w:b/>
                <w:bCs/>
                <w:color w:val="FFFFFF"/>
                <w:szCs w:val="18"/>
                <w:lang w:eastAsia="en-AU"/>
              </w:rPr>
              <w:t>7%</w:t>
            </w:r>
          </w:p>
        </w:tc>
        <w:tc>
          <w:tcPr>
            <w:tcW w:w="1134" w:type="dxa"/>
            <w:tcBorders>
              <w:top w:val="nil"/>
              <w:left w:val="nil"/>
              <w:bottom w:val="nil"/>
              <w:right w:val="nil"/>
            </w:tcBorders>
            <w:shd w:val="clear" w:color="000000" w:fill="7F7F7F"/>
            <w:noWrap/>
            <w:vAlign w:val="center"/>
            <w:hideMark/>
          </w:tcPr>
          <w:p w:rsidR="001E08F1" w:rsidRPr="00204886" w:rsidRDefault="001E08F1" w:rsidP="00D07A42">
            <w:pPr>
              <w:jc w:val="right"/>
              <w:rPr>
                <w:rFonts w:cs="Arial"/>
                <w:b/>
                <w:bCs/>
                <w:color w:val="FFFFFF"/>
                <w:szCs w:val="18"/>
                <w:lang w:eastAsia="en-AU"/>
              </w:rPr>
            </w:pPr>
            <w:r w:rsidRPr="00204886">
              <w:rPr>
                <w:rFonts w:cs="Arial"/>
                <w:b/>
                <w:bCs/>
                <w:color w:val="FFFFFF"/>
                <w:szCs w:val="18"/>
                <w:lang w:eastAsia="en-AU"/>
              </w:rPr>
              <w:t>-19%</w:t>
            </w:r>
          </w:p>
        </w:tc>
        <w:tc>
          <w:tcPr>
            <w:tcW w:w="1134" w:type="dxa"/>
            <w:tcBorders>
              <w:top w:val="nil"/>
              <w:left w:val="nil"/>
              <w:bottom w:val="nil"/>
              <w:right w:val="nil"/>
            </w:tcBorders>
            <w:shd w:val="clear" w:color="000000" w:fill="7F7F7F"/>
            <w:noWrap/>
            <w:vAlign w:val="center"/>
            <w:hideMark/>
          </w:tcPr>
          <w:p w:rsidR="001E08F1" w:rsidRPr="00204886" w:rsidRDefault="001E08F1" w:rsidP="00D07A42">
            <w:pPr>
              <w:jc w:val="right"/>
              <w:rPr>
                <w:rFonts w:cs="Arial"/>
                <w:b/>
                <w:bCs/>
                <w:color w:val="FFFFFF"/>
                <w:szCs w:val="18"/>
                <w:lang w:eastAsia="en-AU"/>
              </w:rPr>
            </w:pPr>
            <w:r w:rsidRPr="00204886">
              <w:rPr>
                <w:rFonts w:cs="Arial"/>
                <w:b/>
                <w:bCs/>
                <w:color w:val="FFFFFF"/>
                <w:szCs w:val="18"/>
                <w:lang w:eastAsia="en-AU"/>
              </w:rPr>
              <w:t>-14%</w:t>
            </w:r>
          </w:p>
        </w:tc>
        <w:tc>
          <w:tcPr>
            <w:tcW w:w="1134" w:type="dxa"/>
            <w:tcBorders>
              <w:top w:val="nil"/>
              <w:left w:val="nil"/>
              <w:bottom w:val="nil"/>
              <w:right w:val="nil"/>
            </w:tcBorders>
            <w:shd w:val="clear" w:color="000000" w:fill="7F7F7F"/>
            <w:noWrap/>
            <w:vAlign w:val="center"/>
            <w:hideMark/>
          </w:tcPr>
          <w:p w:rsidR="001E08F1" w:rsidRPr="00204886" w:rsidRDefault="001E08F1" w:rsidP="00D07A42">
            <w:pPr>
              <w:jc w:val="right"/>
              <w:rPr>
                <w:rFonts w:cs="Arial"/>
                <w:b/>
                <w:bCs/>
                <w:color w:val="FFFFFF"/>
                <w:szCs w:val="18"/>
                <w:lang w:eastAsia="en-AU"/>
              </w:rPr>
            </w:pPr>
            <w:r w:rsidRPr="00204886">
              <w:rPr>
                <w:rFonts w:cs="Arial"/>
                <w:b/>
                <w:bCs/>
                <w:color w:val="FFFFFF"/>
                <w:szCs w:val="18"/>
                <w:lang w:eastAsia="en-AU"/>
              </w:rPr>
              <w:t>-10%</w:t>
            </w:r>
          </w:p>
        </w:tc>
      </w:tr>
    </w:tbl>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4A0" w:firstRow="1" w:lastRow="0" w:firstColumn="1" w:lastColumn="0" w:noHBand="0" w:noVBand="1"/>
      </w:tblPr>
      <w:tblGrid>
        <w:gridCol w:w="431"/>
        <w:gridCol w:w="7649"/>
      </w:tblGrid>
      <w:tr w:rsidR="001E08F1" w:rsidRPr="00913551" w:rsidTr="00D07A42">
        <w:tc>
          <w:tcPr>
            <w:tcW w:w="431" w:type="dxa"/>
            <w:tcMar>
              <w:left w:w="0" w:type="dxa"/>
              <w:right w:w="28" w:type="dxa"/>
            </w:tcMar>
          </w:tcPr>
          <w:p w:rsidR="001E08F1" w:rsidRPr="00913551" w:rsidRDefault="001E08F1" w:rsidP="00D07A42">
            <w:pPr>
              <w:spacing w:after="0" w:line="240" w:lineRule="auto"/>
              <w:jc w:val="right"/>
              <w:rPr>
                <w:color w:val="7F7F7F" w:themeColor="text2"/>
                <w:sz w:val="16"/>
                <w:szCs w:val="16"/>
              </w:rPr>
            </w:pPr>
            <w:r w:rsidRPr="00913551">
              <w:rPr>
                <w:color w:val="7F7F7F" w:themeColor="text2"/>
                <w:sz w:val="16"/>
                <w:szCs w:val="16"/>
              </w:rPr>
              <w:t xml:space="preserve">* </w:t>
            </w:r>
          </w:p>
        </w:tc>
        <w:tc>
          <w:tcPr>
            <w:tcW w:w="7649" w:type="dxa"/>
            <w:tcMar>
              <w:left w:w="0" w:type="dxa"/>
              <w:right w:w="28" w:type="dxa"/>
            </w:tcMar>
          </w:tcPr>
          <w:p w:rsidR="001E08F1" w:rsidRPr="00913551" w:rsidRDefault="001E08F1" w:rsidP="00D07A42">
            <w:pPr>
              <w:spacing w:after="0" w:line="240" w:lineRule="auto"/>
              <w:rPr>
                <w:i/>
                <w:color w:val="7F7F7F" w:themeColor="text2"/>
                <w:sz w:val="16"/>
                <w:szCs w:val="16"/>
              </w:rPr>
            </w:pPr>
            <w:proofErr w:type="gramStart"/>
            <w:r w:rsidRPr="00913551">
              <w:rPr>
                <w:i/>
                <w:sz w:val="16"/>
                <w:szCs w:val="16"/>
              </w:rPr>
              <w:t>Includes VCE/VCAL courses of study.</w:t>
            </w:r>
            <w:proofErr w:type="gramEnd"/>
          </w:p>
        </w:tc>
      </w:tr>
      <w:tr w:rsidR="001E08F1" w:rsidRPr="00913551" w:rsidTr="00D07A42">
        <w:tc>
          <w:tcPr>
            <w:tcW w:w="431" w:type="dxa"/>
            <w:tcMar>
              <w:left w:w="0" w:type="dxa"/>
              <w:right w:w="28" w:type="dxa"/>
            </w:tcMar>
          </w:tcPr>
          <w:p w:rsidR="001E08F1" w:rsidRPr="00913551" w:rsidRDefault="001E08F1" w:rsidP="00D07A42">
            <w:pPr>
              <w:spacing w:after="0" w:line="240" w:lineRule="auto"/>
              <w:jc w:val="right"/>
              <w:rPr>
                <w:color w:val="7F7F7F" w:themeColor="text2"/>
                <w:sz w:val="16"/>
                <w:szCs w:val="16"/>
              </w:rPr>
            </w:pPr>
            <w:r w:rsidRPr="00913551">
              <w:rPr>
                <w:color w:val="7F7F7F" w:themeColor="text2"/>
                <w:sz w:val="16"/>
                <w:szCs w:val="16"/>
              </w:rPr>
              <w:t>**</w:t>
            </w:r>
          </w:p>
        </w:tc>
        <w:tc>
          <w:tcPr>
            <w:tcW w:w="7649" w:type="dxa"/>
            <w:tcMar>
              <w:left w:w="0" w:type="dxa"/>
              <w:right w:w="28" w:type="dxa"/>
            </w:tcMar>
          </w:tcPr>
          <w:p w:rsidR="001E08F1" w:rsidRPr="00913551" w:rsidRDefault="001E08F1" w:rsidP="00D07A42">
            <w:pPr>
              <w:spacing w:after="0" w:line="240" w:lineRule="auto"/>
              <w:rPr>
                <w:i/>
                <w:sz w:val="16"/>
                <w:szCs w:val="16"/>
              </w:rPr>
            </w:pPr>
            <w:r w:rsidRPr="00913551">
              <w:rPr>
                <w:i/>
                <w:sz w:val="16"/>
                <w:szCs w:val="16"/>
              </w:rPr>
              <w:t>'Other' includes statement of attainment, other non-award courses or not elsewhere classified.</w:t>
            </w:r>
          </w:p>
        </w:tc>
      </w:tr>
    </w:tbl>
    <w:p w:rsidR="001E08F1" w:rsidRDefault="001E08F1" w:rsidP="001E08F1"/>
    <w:p w:rsidR="001E08F1" w:rsidRDefault="001E08F1" w:rsidP="001E08F1"/>
    <w:p w:rsidR="001E08F1" w:rsidRDefault="001E08F1" w:rsidP="001E08F1">
      <w:r>
        <w:br w:type="page"/>
      </w:r>
    </w:p>
    <w:p w:rsidR="001E08F1" w:rsidRPr="009C3555" w:rsidRDefault="001E08F1" w:rsidP="001E08F1">
      <w:pPr>
        <w:pStyle w:val="Heading2"/>
        <w:rPr>
          <w:color w:val="B41F22" w:themeColor="accent1"/>
        </w:rPr>
      </w:pPr>
      <w:bookmarkStart w:id="23" w:name="_Toc432758331"/>
      <w:r w:rsidRPr="009C3555">
        <w:rPr>
          <w:color w:val="B41F22" w:themeColor="accent1"/>
        </w:rPr>
        <w:lastRenderedPageBreak/>
        <w:t>Students with a Culturally and Linguistically Diverse (CALD) Background</w:t>
      </w:r>
      <w:bookmarkEnd w:id="23"/>
    </w:p>
    <w:p w:rsidR="001E08F1" w:rsidRPr="00365EB2" w:rsidRDefault="001E08F1" w:rsidP="001E08F1"/>
    <w:p w:rsidR="001E08F1" w:rsidRPr="00DE7971" w:rsidRDefault="001E08F1" w:rsidP="001E08F1">
      <w:pPr>
        <w:pStyle w:val="Heading3"/>
        <w:rPr>
          <w:color w:val="7F7F7F" w:themeColor="text2"/>
        </w:rPr>
      </w:pPr>
      <w:r>
        <w:rPr>
          <w:color w:val="7F7F7F" w:themeColor="text2"/>
        </w:rPr>
        <w:t xml:space="preserve">Accredited </w:t>
      </w:r>
      <w:r w:rsidRPr="00DE7971">
        <w:rPr>
          <w:color w:val="7F7F7F" w:themeColor="text2"/>
        </w:rPr>
        <w:t>Course Enrolments</w:t>
      </w:r>
    </w:p>
    <w:p w:rsidR="001E08F1" w:rsidRPr="00365EB2" w:rsidRDefault="001E08F1" w:rsidP="001E08F1">
      <w:pPr>
        <w:pStyle w:val="Quote"/>
        <w:pBdr>
          <w:top w:val="single" w:sz="4" w:space="1" w:color="7F7F7F" w:themeColor="text2"/>
          <w:left w:val="single" w:sz="4" w:space="4" w:color="7F7F7F" w:themeColor="text2"/>
          <w:bottom w:val="single" w:sz="4" w:space="1" w:color="7F7F7F" w:themeColor="text2"/>
          <w:right w:val="single" w:sz="4" w:space="4" w:color="7F7F7F" w:themeColor="text2"/>
        </w:pBdr>
        <w:spacing w:after="120"/>
      </w:pPr>
      <w:r w:rsidRPr="00BB466D">
        <w:t>Key points</w:t>
      </w:r>
    </w:p>
    <w:p w:rsidR="001E08F1" w:rsidRPr="00365EB2" w:rsidRDefault="001E08F1" w:rsidP="001E08F1">
      <w:pPr>
        <w:pBdr>
          <w:top w:val="single" w:sz="4" w:space="1" w:color="7F7F7F" w:themeColor="text2"/>
          <w:left w:val="single" w:sz="4" w:space="4" w:color="7F7F7F" w:themeColor="text2"/>
          <w:bottom w:val="single" w:sz="4" w:space="1" w:color="7F7F7F" w:themeColor="text2"/>
          <w:right w:val="single" w:sz="4" w:space="4" w:color="7F7F7F" w:themeColor="text2"/>
        </w:pBdr>
        <w:spacing w:before="120" w:after="120"/>
      </w:pPr>
      <w:r w:rsidRPr="00365EB2">
        <w:t>The 201</w:t>
      </w:r>
      <w:r>
        <w:t>5 (half year)</w:t>
      </w:r>
      <w:r w:rsidRPr="00365EB2">
        <w:t xml:space="preserve"> data shows that:</w:t>
      </w:r>
    </w:p>
    <w:p w:rsidR="001E08F1" w:rsidRPr="00AE7775" w:rsidRDefault="001E08F1" w:rsidP="001E08F1">
      <w:pPr>
        <w:pStyle w:val="ListParagraph"/>
        <w:numPr>
          <w:ilvl w:val="0"/>
          <w:numId w:val="18"/>
        </w:numPr>
        <w:pBdr>
          <w:top w:val="single" w:sz="4" w:space="1" w:color="7F7F7F" w:themeColor="text2"/>
          <w:left w:val="single" w:sz="4" w:space="4" w:color="7F7F7F" w:themeColor="text2"/>
          <w:bottom w:val="single" w:sz="4" w:space="1" w:color="7F7F7F" w:themeColor="text2"/>
          <w:right w:val="single" w:sz="4" w:space="4" w:color="7F7F7F" w:themeColor="text2"/>
        </w:pBdr>
        <w:spacing w:before="120" w:after="120"/>
        <w:ind w:left="426" w:hanging="426"/>
        <w:contextualSpacing w:val="0"/>
        <w:rPr>
          <w:color w:val="7F7F7F" w:themeColor="text2"/>
        </w:rPr>
      </w:pPr>
      <w:r w:rsidRPr="00AE7775">
        <w:rPr>
          <w:color w:val="7F7F7F" w:themeColor="text2"/>
        </w:rPr>
        <w:t>There were 84,3</w:t>
      </w:r>
      <w:r>
        <w:rPr>
          <w:color w:val="7F7F7F" w:themeColor="text2"/>
        </w:rPr>
        <w:t>46</w:t>
      </w:r>
      <w:r w:rsidRPr="00AE7775">
        <w:rPr>
          <w:color w:val="7F7F7F" w:themeColor="text2"/>
        </w:rPr>
        <w:t xml:space="preserve"> students from a CALD background enrolled in 97,983 government subsidised accredited training courses. This is down by 7 per cent of students and 9 per cent of enrolments from the same period in 2014.</w:t>
      </w:r>
    </w:p>
    <w:p w:rsidR="001E08F1" w:rsidRPr="00AE7775" w:rsidRDefault="001E08F1" w:rsidP="001E08F1">
      <w:pPr>
        <w:pStyle w:val="ListParagraph"/>
        <w:numPr>
          <w:ilvl w:val="0"/>
          <w:numId w:val="18"/>
        </w:numPr>
        <w:pBdr>
          <w:top w:val="single" w:sz="4" w:space="1" w:color="7F7F7F" w:themeColor="text2"/>
          <w:left w:val="single" w:sz="4" w:space="4" w:color="7F7F7F" w:themeColor="text2"/>
          <w:bottom w:val="single" w:sz="4" w:space="1" w:color="7F7F7F" w:themeColor="text2"/>
          <w:right w:val="single" w:sz="4" w:space="4" w:color="7F7F7F" w:themeColor="text2"/>
        </w:pBdr>
        <w:spacing w:before="120" w:after="120"/>
        <w:ind w:left="426" w:hanging="426"/>
        <w:contextualSpacing w:val="0"/>
        <w:rPr>
          <w:color w:val="7F7F7F" w:themeColor="text2"/>
        </w:rPr>
      </w:pPr>
      <w:r w:rsidRPr="00AE7775">
        <w:rPr>
          <w:color w:val="7F7F7F" w:themeColor="text2"/>
        </w:rPr>
        <w:t>There was an increase in the number of government subsidised accredited course enrolments by students from a CALD background in Diploma and above, Module Only and Other qualifications levels compared to the same period in 2014. There was a decrease in enrolments in Certificate I to IV and Secondary Education qualification levels in the same period.</w:t>
      </w:r>
    </w:p>
    <w:p w:rsidR="001E08F1" w:rsidRPr="00AE7775" w:rsidRDefault="001E08F1" w:rsidP="001E08F1">
      <w:pPr>
        <w:pStyle w:val="ListParagraph"/>
        <w:numPr>
          <w:ilvl w:val="0"/>
          <w:numId w:val="18"/>
        </w:numPr>
        <w:pBdr>
          <w:top w:val="single" w:sz="4" w:space="1" w:color="7F7F7F" w:themeColor="text2"/>
          <w:left w:val="single" w:sz="4" w:space="4" w:color="7F7F7F" w:themeColor="text2"/>
          <w:bottom w:val="single" w:sz="4" w:space="1" w:color="7F7F7F" w:themeColor="text2"/>
          <w:right w:val="single" w:sz="4" w:space="4" w:color="7F7F7F" w:themeColor="text2"/>
        </w:pBdr>
        <w:spacing w:before="120"/>
        <w:ind w:left="425" w:hanging="425"/>
        <w:contextualSpacing w:val="0"/>
        <w:rPr>
          <w:color w:val="7F7F7F" w:themeColor="text2"/>
        </w:rPr>
      </w:pPr>
      <w:r w:rsidRPr="00AE7775">
        <w:rPr>
          <w:color w:val="7F7F7F" w:themeColor="text2"/>
        </w:rPr>
        <w:t>Seventy nine per cent of enrolments by students from a CALD background were in Certificate III and above levels.</w:t>
      </w:r>
    </w:p>
    <w:p w:rsidR="001E08F1" w:rsidRPr="00365EB2" w:rsidRDefault="001E08F1" w:rsidP="001E08F1">
      <w:pPr>
        <w:pBdr>
          <w:top w:val="single" w:sz="4" w:space="1" w:color="7F7F7F" w:themeColor="text2"/>
          <w:left w:val="single" w:sz="4" w:space="4" w:color="7F7F7F" w:themeColor="text2"/>
          <w:bottom w:val="single" w:sz="4" w:space="1" w:color="7F7F7F" w:themeColor="text2"/>
          <w:right w:val="single" w:sz="4" w:space="4" w:color="7F7F7F" w:themeColor="text2"/>
        </w:pBdr>
      </w:pPr>
    </w:p>
    <w:p w:rsidR="001E08F1" w:rsidRDefault="001E08F1" w:rsidP="001E08F1"/>
    <w:p w:rsidR="001E08F1" w:rsidRDefault="001E08F1" w:rsidP="001E08F1"/>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1E08F1" w:rsidTr="00D07A42">
        <w:tc>
          <w:tcPr>
            <w:tcW w:w="1134" w:type="dxa"/>
            <w:tcMar>
              <w:left w:w="0" w:type="dxa"/>
              <w:right w:w="0" w:type="dxa"/>
            </w:tcMar>
          </w:tcPr>
          <w:p w:rsidR="001E08F1" w:rsidRDefault="00AF3E67" w:rsidP="00D07A42">
            <w:pPr>
              <w:pStyle w:val="Quote"/>
              <w:tabs>
                <w:tab w:val="left" w:pos="1134"/>
              </w:tabs>
              <w:rPr>
                <w:b w:val="0"/>
                <w:color w:val="B41F22" w:themeColor="accent1"/>
              </w:rPr>
            </w:pPr>
            <w:r>
              <w:rPr>
                <w:b w:val="0"/>
                <w:color w:val="B41F22" w:themeColor="accent1"/>
              </w:rPr>
              <w:t>Table 2</w:t>
            </w:r>
            <w:r w:rsidR="001E08F1">
              <w:rPr>
                <w:b w:val="0"/>
                <w:color w:val="B41F22" w:themeColor="accent1"/>
              </w:rPr>
              <w:t>.5.1:</w:t>
            </w:r>
          </w:p>
        </w:tc>
        <w:tc>
          <w:tcPr>
            <w:tcW w:w="6946" w:type="dxa"/>
            <w:tcMar>
              <w:left w:w="0" w:type="dxa"/>
              <w:right w:w="0" w:type="dxa"/>
            </w:tcMar>
          </w:tcPr>
          <w:p w:rsidR="001E08F1" w:rsidRDefault="001E08F1" w:rsidP="00D07A42">
            <w:pPr>
              <w:pStyle w:val="Quote"/>
              <w:tabs>
                <w:tab w:val="left" w:pos="1134"/>
              </w:tabs>
              <w:rPr>
                <w:b w:val="0"/>
                <w:color w:val="B41F22" w:themeColor="accent1"/>
              </w:rPr>
            </w:pPr>
            <w:r w:rsidRPr="005E3F01">
              <w:rPr>
                <w:b w:val="0"/>
                <w:color w:val="B41F22" w:themeColor="accent1"/>
              </w:rPr>
              <w:t>Enrolments in government subsidised accredited training by students from a CALD background by qualification level, 2010 to 2015 (half year)</w:t>
            </w:r>
          </w:p>
        </w:tc>
      </w:tr>
    </w:tbl>
    <w:tbl>
      <w:tblPr>
        <w:tblW w:w="8095" w:type="dxa"/>
        <w:tblInd w:w="93" w:type="dxa"/>
        <w:tblLayout w:type="fixed"/>
        <w:tblLook w:val="04A0" w:firstRow="1" w:lastRow="0" w:firstColumn="1" w:lastColumn="0" w:noHBand="0" w:noVBand="1"/>
      </w:tblPr>
      <w:tblGrid>
        <w:gridCol w:w="2142"/>
        <w:gridCol w:w="992"/>
        <w:gridCol w:w="992"/>
        <w:gridCol w:w="992"/>
        <w:gridCol w:w="992"/>
        <w:gridCol w:w="992"/>
        <w:gridCol w:w="993"/>
      </w:tblGrid>
      <w:tr w:rsidR="001E08F1" w:rsidRPr="005E3F01" w:rsidTr="00D07A42">
        <w:trPr>
          <w:trHeight w:val="300"/>
        </w:trPr>
        <w:tc>
          <w:tcPr>
            <w:tcW w:w="2142" w:type="dxa"/>
            <w:tcBorders>
              <w:top w:val="nil"/>
              <w:left w:val="nil"/>
              <w:bottom w:val="nil"/>
              <w:right w:val="nil"/>
            </w:tcBorders>
            <w:shd w:val="clear" w:color="000000" w:fill="7F7F7F"/>
            <w:noWrap/>
            <w:vAlign w:val="center"/>
            <w:hideMark/>
          </w:tcPr>
          <w:p w:rsidR="001E08F1" w:rsidRPr="005E3F01" w:rsidRDefault="001E08F1" w:rsidP="00D07A42">
            <w:pPr>
              <w:rPr>
                <w:rFonts w:cs="Arial"/>
                <w:color w:val="FFFFFF"/>
                <w:szCs w:val="18"/>
                <w:lang w:eastAsia="en-AU"/>
              </w:rPr>
            </w:pPr>
            <w:r w:rsidRPr="005E3F01">
              <w:rPr>
                <w:rFonts w:cs="Arial"/>
                <w:color w:val="FFFFFF"/>
                <w:szCs w:val="18"/>
                <w:lang w:eastAsia="en-AU"/>
              </w:rPr>
              <w:t> </w:t>
            </w:r>
          </w:p>
        </w:tc>
        <w:tc>
          <w:tcPr>
            <w:tcW w:w="992" w:type="dxa"/>
            <w:tcBorders>
              <w:top w:val="nil"/>
              <w:left w:val="nil"/>
              <w:bottom w:val="nil"/>
              <w:right w:val="nil"/>
            </w:tcBorders>
            <w:shd w:val="clear" w:color="000000" w:fill="7F7F7F"/>
            <w:noWrap/>
            <w:vAlign w:val="center"/>
            <w:hideMark/>
          </w:tcPr>
          <w:p w:rsidR="001E08F1" w:rsidRPr="005E3F01" w:rsidRDefault="001E08F1" w:rsidP="00D07A42">
            <w:pPr>
              <w:jc w:val="right"/>
              <w:rPr>
                <w:rFonts w:cs="Arial"/>
                <w:b/>
                <w:bCs/>
                <w:color w:val="FFFFFF"/>
                <w:szCs w:val="18"/>
                <w:lang w:eastAsia="en-AU"/>
              </w:rPr>
            </w:pPr>
            <w:r w:rsidRPr="005E3F01">
              <w:rPr>
                <w:rFonts w:cs="Arial"/>
                <w:b/>
                <w:bCs/>
                <w:color w:val="FFFFFF"/>
                <w:szCs w:val="18"/>
                <w:lang w:eastAsia="en-AU"/>
              </w:rPr>
              <w:t>2010</w:t>
            </w:r>
          </w:p>
        </w:tc>
        <w:tc>
          <w:tcPr>
            <w:tcW w:w="992" w:type="dxa"/>
            <w:tcBorders>
              <w:top w:val="nil"/>
              <w:left w:val="nil"/>
              <w:bottom w:val="nil"/>
              <w:right w:val="nil"/>
            </w:tcBorders>
            <w:shd w:val="clear" w:color="000000" w:fill="7F7F7F"/>
            <w:noWrap/>
            <w:vAlign w:val="center"/>
            <w:hideMark/>
          </w:tcPr>
          <w:p w:rsidR="001E08F1" w:rsidRPr="005E3F01" w:rsidRDefault="001E08F1" w:rsidP="00D07A42">
            <w:pPr>
              <w:jc w:val="right"/>
              <w:rPr>
                <w:rFonts w:cs="Arial"/>
                <w:b/>
                <w:bCs/>
                <w:color w:val="FFFFFF"/>
                <w:szCs w:val="18"/>
                <w:lang w:eastAsia="en-AU"/>
              </w:rPr>
            </w:pPr>
            <w:r w:rsidRPr="005E3F01">
              <w:rPr>
                <w:rFonts w:cs="Arial"/>
                <w:b/>
                <w:bCs/>
                <w:color w:val="FFFFFF"/>
                <w:szCs w:val="18"/>
                <w:lang w:eastAsia="en-AU"/>
              </w:rPr>
              <w:t>2011</w:t>
            </w:r>
          </w:p>
        </w:tc>
        <w:tc>
          <w:tcPr>
            <w:tcW w:w="992" w:type="dxa"/>
            <w:tcBorders>
              <w:top w:val="nil"/>
              <w:left w:val="nil"/>
              <w:bottom w:val="nil"/>
              <w:right w:val="nil"/>
            </w:tcBorders>
            <w:shd w:val="clear" w:color="000000" w:fill="7F7F7F"/>
            <w:noWrap/>
            <w:vAlign w:val="center"/>
            <w:hideMark/>
          </w:tcPr>
          <w:p w:rsidR="001E08F1" w:rsidRPr="005E3F01" w:rsidRDefault="001E08F1" w:rsidP="00D07A42">
            <w:pPr>
              <w:jc w:val="right"/>
              <w:rPr>
                <w:rFonts w:cs="Arial"/>
                <w:b/>
                <w:bCs/>
                <w:color w:val="FFFFFF"/>
                <w:szCs w:val="18"/>
                <w:lang w:eastAsia="en-AU"/>
              </w:rPr>
            </w:pPr>
            <w:r w:rsidRPr="005E3F01">
              <w:rPr>
                <w:rFonts w:cs="Arial"/>
                <w:b/>
                <w:bCs/>
                <w:color w:val="FFFFFF"/>
                <w:szCs w:val="18"/>
                <w:lang w:eastAsia="en-AU"/>
              </w:rPr>
              <w:t>2012</w:t>
            </w:r>
          </w:p>
        </w:tc>
        <w:tc>
          <w:tcPr>
            <w:tcW w:w="992" w:type="dxa"/>
            <w:tcBorders>
              <w:top w:val="nil"/>
              <w:left w:val="nil"/>
              <w:bottom w:val="nil"/>
              <w:right w:val="nil"/>
            </w:tcBorders>
            <w:shd w:val="clear" w:color="000000" w:fill="7F7F7F"/>
            <w:noWrap/>
            <w:vAlign w:val="center"/>
            <w:hideMark/>
          </w:tcPr>
          <w:p w:rsidR="001E08F1" w:rsidRPr="005E3F01" w:rsidRDefault="001E08F1" w:rsidP="00D07A42">
            <w:pPr>
              <w:jc w:val="right"/>
              <w:rPr>
                <w:rFonts w:cs="Arial"/>
                <w:b/>
                <w:bCs/>
                <w:color w:val="FFFFFF"/>
                <w:szCs w:val="18"/>
                <w:lang w:eastAsia="en-AU"/>
              </w:rPr>
            </w:pPr>
            <w:r w:rsidRPr="005E3F01">
              <w:rPr>
                <w:rFonts w:cs="Arial"/>
                <w:b/>
                <w:bCs/>
                <w:color w:val="FFFFFF"/>
                <w:szCs w:val="18"/>
                <w:lang w:eastAsia="en-AU"/>
              </w:rPr>
              <w:t>2013</w:t>
            </w:r>
          </w:p>
        </w:tc>
        <w:tc>
          <w:tcPr>
            <w:tcW w:w="992" w:type="dxa"/>
            <w:tcBorders>
              <w:top w:val="nil"/>
              <w:left w:val="nil"/>
              <w:bottom w:val="nil"/>
              <w:right w:val="nil"/>
            </w:tcBorders>
            <w:shd w:val="clear" w:color="000000" w:fill="7F7F7F"/>
            <w:noWrap/>
            <w:vAlign w:val="center"/>
            <w:hideMark/>
          </w:tcPr>
          <w:p w:rsidR="001E08F1" w:rsidRPr="005E3F01" w:rsidRDefault="001E08F1" w:rsidP="00D07A42">
            <w:pPr>
              <w:jc w:val="right"/>
              <w:rPr>
                <w:rFonts w:cs="Arial"/>
                <w:b/>
                <w:bCs/>
                <w:color w:val="FFFFFF"/>
                <w:szCs w:val="18"/>
                <w:lang w:eastAsia="en-AU"/>
              </w:rPr>
            </w:pPr>
            <w:r w:rsidRPr="005E3F01">
              <w:rPr>
                <w:rFonts w:cs="Arial"/>
                <w:b/>
                <w:bCs/>
                <w:color w:val="FFFFFF"/>
                <w:szCs w:val="18"/>
                <w:lang w:eastAsia="en-AU"/>
              </w:rPr>
              <w:t>2014</w:t>
            </w:r>
          </w:p>
        </w:tc>
        <w:tc>
          <w:tcPr>
            <w:tcW w:w="993" w:type="dxa"/>
            <w:tcBorders>
              <w:top w:val="nil"/>
              <w:left w:val="nil"/>
              <w:bottom w:val="nil"/>
              <w:right w:val="nil"/>
            </w:tcBorders>
            <w:shd w:val="clear" w:color="000000" w:fill="7F7F7F"/>
            <w:noWrap/>
            <w:vAlign w:val="center"/>
            <w:hideMark/>
          </w:tcPr>
          <w:p w:rsidR="001E08F1" w:rsidRPr="005E3F01" w:rsidRDefault="001E08F1" w:rsidP="00D07A42">
            <w:pPr>
              <w:jc w:val="right"/>
              <w:rPr>
                <w:rFonts w:cs="Arial"/>
                <w:b/>
                <w:bCs/>
                <w:color w:val="FFFFFF"/>
                <w:szCs w:val="18"/>
                <w:lang w:eastAsia="en-AU"/>
              </w:rPr>
            </w:pPr>
            <w:r w:rsidRPr="005E3F01">
              <w:rPr>
                <w:rFonts w:cs="Arial"/>
                <w:b/>
                <w:bCs/>
                <w:color w:val="FFFFFF"/>
                <w:szCs w:val="18"/>
                <w:lang w:eastAsia="en-AU"/>
              </w:rPr>
              <w:t>2015</w:t>
            </w:r>
          </w:p>
        </w:tc>
      </w:tr>
      <w:tr w:rsidR="001E08F1" w:rsidRPr="005E3F01" w:rsidTr="00D07A42">
        <w:trPr>
          <w:trHeight w:val="300"/>
        </w:trPr>
        <w:tc>
          <w:tcPr>
            <w:tcW w:w="2142" w:type="dxa"/>
            <w:tcBorders>
              <w:top w:val="nil"/>
              <w:left w:val="nil"/>
              <w:bottom w:val="nil"/>
              <w:right w:val="nil"/>
            </w:tcBorders>
            <w:shd w:val="clear" w:color="auto" w:fill="auto"/>
            <w:noWrap/>
            <w:vAlign w:val="center"/>
            <w:hideMark/>
          </w:tcPr>
          <w:p w:rsidR="001E08F1" w:rsidRPr="005E3F01" w:rsidRDefault="001E08F1" w:rsidP="00D07A42">
            <w:pPr>
              <w:rPr>
                <w:rFonts w:cs="Arial"/>
                <w:color w:val="7F7F7F"/>
                <w:szCs w:val="18"/>
                <w:lang w:eastAsia="en-AU"/>
              </w:rPr>
            </w:pPr>
            <w:r w:rsidRPr="005E3F01">
              <w:rPr>
                <w:rFonts w:cs="Arial"/>
                <w:color w:val="7F7F7F"/>
                <w:szCs w:val="18"/>
                <w:lang w:eastAsia="en-AU"/>
              </w:rPr>
              <w:t>Cert I/II</w:t>
            </w:r>
          </w:p>
        </w:tc>
        <w:tc>
          <w:tcPr>
            <w:tcW w:w="992" w:type="dxa"/>
            <w:tcBorders>
              <w:top w:val="nil"/>
              <w:left w:val="nil"/>
              <w:bottom w:val="nil"/>
              <w:right w:val="nil"/>
            </w:tcBorders>
            <w:shd w:val="clear" w:color="auto" w:fill="auto"/>
            <w:noWrap/>
            <w:vAlign w:val="center"/>
            <w:hideMark/>
          </w:tcPr>
          <w:p w:rsidR="001E08F1" w:rsidRPr="005E3F01" w:rsidRDefault="001E08F1" w:rsidP="00D07A42">
            <w:pPr>
              <w:jc w:val="right"/>
              <w:rPr>
                <w:rFonts w:cs="Arial"/>
                <w:color w:val="7F7F7F"/>
                <w:szCs w:val="18"/>
                <w:lang w:eastAsia="en-AU"/>
              </w:rPr>
            </w:pPr>
            <w:r w:rsidRPr="005E3F01">
              <w:rPr>
                <w:rFonts w:cs="Arial"/>
                <w:color w:val="7F7F7F"/>
                <w:szCs w:val="18"/>
                <w:lang w:eastAsia="en-AU"/>
              </w:rPr>
              <w:t>11,678</w:t>
            </w:r>
          </w:p>
        </w:tc>
        <w:tc>
          <w:tcPr>
            <w:tcW w:w="992" w:type="dxa"/>
            <w:tcBorders>
              <w:top w:val="nil"/>
              <w:left w:val="nil"/>
              <w:bottom w:val="nil"/>
              <w:right w:val="nil"/>
            </w:tcBorders>
            <w:shd w:val="clear" w:color="auto" w:fill="auto"/>
            <w:noWrap/>
            <w:vAlign w:val="center"/>
            <w:hideMark/>
          </w:tcPr>
          <w:p w:rsidR="001E08F1" w:rsidRPr="005E3F01" w:rsidRDefault="001E08F1" w:rsidP="00D07A42">
            <w:pPr>
              <w:jc w:val="right"/>
              <w:rPr>
                <w:rFonts w:cs="Arial"/>
                <w:color w:val="7F7F7F"/>
                <w:szCs w:val="18"/>
                <w:lang w:eastAsia="en-AU"/>
              </w:rPr>
            </w:pPr>
            <w:r w:rsidRPr="005E3F01">
              <w:rPr>
                <w:rFonts w:cs="Arial"/>
                <w:color w:val="7F7F7F"/>
                <w:szCs w:val="18"/>
                <w:lang w:eastAsia="en-AU"/>
              </w:rPr>
              <w:t>15,592</w:t>
            </w:r>
          </w:p>
        </w:tc>
        <w:tc>
          <w:tcPr>
            <w:tcW w:w="992" w:type="dxa"/>
            <w:tcBorders>
              <w:top w:val="nil"/>
              <w:left w:val="nil"/>
              <w:bottom w:val="nil"/>
              <w:right w:val="nil"/>
            </w:tcBorders>
            <w:shd w:val="clear" w:color="auto" w:fill="auto"/>
            <w:noWrap/>
            <w:vAlign w:val="center"/>
            <w:hideMark/>
          </w:tcPr>
          <w:p w:rsidR="001E08F1" w:rsidRPr="005E3F01" w:rsidRDefault="001E08F1" w:rsidP="00D07A42">
            <w:pPr>
              <w:jc w:val="right"/>
              <w:rPr>
                <w:rFonts w:cs="Arial"/>
                <w:color w:val="7F7F7F"/>
                <w:szCs w:val="18"/>
                <w:lang w:eastAsia="en-AU"/>
              </w:rPr>
            </w:pPr>
            <w:r w:rsidRPr="005E3F01">
              <w:rPr>
                <w:rFonts w:cs="Arial"/>
                <w:color w:val="7F7F7F"/>
                <w:szCs w:val="18"/>
                <w:lang w:eastAsia="en-AU"/>
              </w:rPr>
              <w:t>26,300</w:t>
            </w:r>
          </w:p>
        </w:tc>
        <w:tc>
          <w:tcPr>
            <w:tcW w:w="992" w:type="dxa"/>
            <w:tcBorders>
              <w:top w:val="nil"/>
              <w:left w:val="nil"/>
              <w:bottom w:val="nil"/>
              <w:right w:val="nil"/>
            </w:tcBorders>
            <w:shd w:val="clear" w:color="auto" w:fill="auto"/>
            <w:noWrap/>
            <w:vAlign w:val="center"/>
            <w:hideMark/>
          </w:tcPr>
          <w:p w:rsidR="001E08F1" w:rsidRPr="005E3F01" w:rsidRDefault="001E08F1" w:rsidP="00D07A42">
            <w:pPr>
              <w:jc w:val="right"/>
              <w:rPr>
                <w:rFonts w:cs="Arial"/>
                <w:color w:val="7F7F7F"/>
                <w:szCs w:val="18"/>
                <w:lang w:eastAsia="en-AU"/>
              </w:rPr>
            </w:pPr>
            <w:r w:rsidRPr="005E3F01">
              <w:rPr>
                <w:rFonts w:cs="Arial"/>
                <w:color w:val="7F7F7F"/>
                <w:szCs w:val="18"/>
                <w:lang w:eastAsia="en-AU"/>
              </w:rPr>
              <w:t>29,040</w:t>
            </w:r>
          </w:p>
        </w:tc>
        <w:tc>
          <w:tcPr>
            <w:tcW w:w="992" w:type="dxa"/>
            <w:tcBorders>
              <w:top w:val="nil"/>
              <w:left w:val="nil"/>
              <w:bottom w:val="nil"/>
              <w:right w:val="nil"/>
            </w:tcBorders>
            <w:shd w:val="clear" w:color="auto" w:fill="auto"/>
            <w:noWrap/>
            <w:vAlign w:val="center"/>
            <w:hideMark/>
          </w:tcPr>
          <w:p w:rsidR="001E08F1" w:rsidRPr="005E3F01" w:rsidRDefault="001E08F1" w:rsidP="00D07A42">
            <w:pPr>
              <w:jc w:val="right"/>
              <w:rPr>
                <w:rFonts w:cs="Arial"/>
                <w:color w:val="7F7F7F"/>
                <w:szCs w:val="18"/>
                <w:lang w:eastAsia="en-AU"/>
              </w:rPr>
            </w:pPr>
            <w:r w:rsidRPr="005E3F01">
              <w:rPr>
                <w:rFonts w:cs="Arial"/>
                <w:color w:val="7F7F7F"/>
                <w:szCs w:val="18"/>
                <w:lang w:eastAsia="en-AU"/>
              </w:rPr>
              <w:t>21,797</w:t>
            </w:r>
          </w:p>
        </w:tc>
        <w:tc>
          <w:tcPr>
            <w:tcW w:w="993" w:type="dxa"/>
            <w:tcBorders>
              <w:top w:val="nil"/>
              <w:left w:val="nil"/>
              <w:bottom w:val="nil"/>
              <w:right w:val="nil"/>
            </w:tcBorders>
            <w:shd w:val="clear" w:color="auto" w:fill="auto"/>
            <w:noWrap/>
            <w:vAlign w:val="center"/>
            <w:hideMark/>
          </w:tcPr>
          <w:p w:rsidR="001E08F1" w:rsidRPr="005E3F01" w:rsidRDefault="001E08F1" w:rsidP="00D07A42">
            <w:pPr>
              <w:jc w:val="right"/>
              <w:rPr>
                <w:rFonts w:cs="Arial"/>
                <w:color w:val="7F7F7F"/>
                <w:szCs w:val="18"/>
                <w:lang w:eastAsia="en-AU"/>
              </w:rPr>
            </w:pPr>
            <w:r w:rsidRPr="005E3F01">
              <w:rPr>
                <w:rFonts w:cs="Arial"/>
                <w:color w:val="7F7F7F"/>
                <w:szCs w:val="18"/>
                <w:lang w:eastAsia="en-AU"/>
              </w:rPr>
              <w:t>16,325</w:t>
            </w:r>
          </w:p>
        </w:tc>
      </w:tr>
      <w:tr w:rsidR="001E08F1" w:rsidRPr="005E3F01" w:rsidTr="00D07A42">
        <w:trPr>
          <w:trHeight w:val="300"/>
        </w:trPr>
        <w:tc>
          <w:tcPr>
            <w:tcW w:w="2142" w:type="dxa"/>
            <w:tcBorders>
              <w:top w:val="nil"/>
              <w:left w:val="nil"/>
              <w:bottom w:val="nil"/>
              <w:right w:val="nil"/>
            </w:tcBorders>
            <w:shd w:val="clear" w:color="auto" w:fill="auto"/>
            <w:noWrap/>
            <w:vAlign w:val="center"/>
            <w:hideMark/>
          </w:tcPr>
          <w:p w:rsidR="001E08F1" w:rsidRPr="005E3F01" w:rsidRDefault="001E08F1" w:rsidP="00D07A42">
            <w:pPr>
              <w:rPr>
                <w:rFonts w:cs="Arial"/>
                <w:color w:val="7F7F7F"/>
                <w:szCs w:val="18"/>
                <w:lang w:eastAsia="en-AU"/>
              </w:rPr>
            </w:pPr>
            <w:r w:rsidRPr="005E3F01">
              <w:rPr>
                <w:rFonts w:cs="Arial"/>
                <w:color w:val="7F7F7F"/>
                <w:szCs w:val="18"/>
                <w:lang w:eastAsia="en-AU"/>
              </w:rPr>
              <w:t>Cert III/IV</w:t>
            </w:r>
          </w:p>
        </w:tc>
        <w:tc>
          <w:tcPr>
            <w:tcW w:w="992" w:type="dxa"/>
            <w:tcBorders>
              <w:top w:val="nil"/>
              <w:left w:val="nil"/>
              <w:bottom w:val="nil"/>
              <w:right w:val="nil"/>
            </w:tcBorders>
            <w:shd w:val="clear" w:color="auto" w:fill="auto"/>
            <w:noWrap/>
            <w:vAlign w:val="center"/>
            <w:hideMark/>
          </w:tcPr>
          <w:p w:rsidR="001E08F1" w:rsidRPr="005E3F01" w:rsidRDefault="001E08F1" w:rsidP="00D07A42">
            <w:pPr>
              <w:jc w:val="right"/>
              <w:rPr>
                <w:rFonts w:cs="Arial"/>
                <w:color w:val="7F7F7F"/>
                <w:szCs w:val="18"/>
                <w:lang w:eastAsia="en-AU"/>
              </w:rPr>
            </w:pPr>
            <w:r w:rsidRPr="005E3F01">
              <w:rPr>
                <w:rFonts w:cs="Arial"/>
                <w:color w:val="7F7F7F"/>
                <w:szCs w:val="18"/>
                <w:lang w:eastAsia="en-AU"/>
              </w:rPr>
              <w:t>22,872</w:t>
            </w:r>
          </w:p>
        </w:tc>
        <w:tc>
          <w:tcPr>
            <w:tcW w:w="992" w:type="dxa"/>
            <w:tcBorders>
              <w:top w:val="nil"/>
              <w:left w:val="nil"/>
              <w:bottom w:val="nil"/>
              <w:right w:val="nil"/>
            </w:tcBorders>
            <w:shd w:val="clear" w:color="auto" w:fill="auto"/>
            <w:noWrap/>
            <w:vAlign w:val="center"/>
            <w:hideMark/>
          </w:tcPr>
          <w:p w:rsidR="001E08F1" w:rsidRPr="005E3F01" w:rsidRDefault="001E08F1" w:rsidP="00D07A42">
            <w:pPr>
              <w:jc w:val="right"/>
              <w:rPr>
                <w:rFonts w:cs="Arial"/>
                <w:color w:val="7F7F7F"/>
                <w:szCs w:val="18"/>
                <w:lang w:eastAsia="en-AU"/>
              </w:rPr>
            </w:pPr>
            <w:r w:rsidRPr="005E3F01">
              <w:rPr>
                <w:rFonts w:cs="Arial"/>
                <w:color w:val="7F7F7F"/>
                <w:szCs w:val="18"/>
                <w:lang w:eastAsia="en-AU"/>
              </w:rPr>
              <w:t>33,511</w:t>
            </w:r>
          </w:p>
        </w:tc>
        <w:tc>
          <w:tcPr>
            <w:tcW w:w="992" w:type="dxa"/>
            <w:tcBorders>
              <w:top w:val="nil"/>
              <w:left w:val="nil"/>
              <w:bottom w:val="nil"/>
              <w:right w:val="nil"/>
            </w:tcBorders>
            <w:shd w:val="clear" w:color="auto" w:fill="auto"/>
            <w:noWrap/>
            <w:vAlign w:val="center"/>
            <w:hideMark/>
          </w:tcPr>
          <w:p w:rsidR="001E08F1" w:rsidRPr="005E3F01" w:rsidRDefault="001E08F1" w:rsidP="00D07A42">
            <w:pPr>
              <w:jc w:val="right"/>
              <w:rPr>
                <w:rFonts w:cs="Arial"/>
                <w:color w:val="7F7F7F"/>
                <w:szCs w:val="18"/>
                <w:lang w:eastAsia="en-AU"/>
              </w:rPr>
            </w:pPr>
            <w:r w:rsidRPr="005E3F01">
              <w:rPr>
                <w:rFonts w:cs="Arial"/>
                <w:color w:val="7F7F7F"/>
                <w:szCs w:val="18"/>
                <w:lang w:eastAsia="en-AU"/>
              </w:rPr>
              <w:t>57,370</w:t>
            </w:r>
          </w:p>
        </w:tc>
        <w:tc>
          <w:tcPr>
            <w:tcW w:w="992" w:type="dxa"/>
            <w:tcBorders>
              <w:top w:val="nil"/>
              <w:left w:val="nil"/>
              <w:bottom w:val="nil"/>
              <w:right w:val="nil"/>
            </w:tcBorders>
            <w:shd w:val="clear" w:color="auto" w:fill="auto"/>
            <w:noWrap/>
            <w:vAlign w:val="center"/>
            <w:hideMark/>
          </w:tcPr>
          <w:p w:rsidR="001E08F1" w:rsidRPr="005E3F01" w:rsidRDefault="001E08F1" w:rsidP="00D07A42">
            <w:pPr>
              <w:jc w:val="right"/>
              <w:rPr>
                <w:rFonts w:cs="Arial"/>
                <w:color w:val="7F7F7F"/>
                <w:szCs w:val="18"/>
                <w:lang w:eastAsia="en-AU"/>
              </w:rPr>
            </w:pPr>
            <w:r w:rsidRPr="005E3F01">
              <w:rPr>
                <w:rFonts w:cs="Arial"/>
                <w:color w:val="7F7F7F"/>
                <w:szCs w:val="18"/>
                <w:lang w:eastAsia="en-AU"/>
              </w:rPr>
              <w:t>54,805</w:t>
            </w:r>
          </w:p>
        </w:tc>
        <w:tc>
          <w:tcPr>
            <w:tcW w:w="992" w:type="dxa"/>
            <w:tcBorders>
              <w:top w:val="nil"/>
              <w:left w:val="nil"/>
              <w:bottom w:val="nil"/>
              <w:right w:val="nil"/>
            </w:tcBorders>
            <w:shd w:val="clear" w:color="auto" w:fill="auto"/>
            <w:noWrap/>
            <w:vAlign w:val="center"/>
            <w:hideMark/>
          </w:tcPr>
          <w:p w:rsidR="001E08F1" w:rsidRPr="005E3F01" w:rsidRDefault="001E08F1" w:rsidP="00D07A42">
            <w:pPr>
              <w:jc w:val="right"/>
              <w:rPr>
                <w:rFonts w:cs="Arial"/>
                <w:color w:val="7F7F7F"/>
                <w:szCs w:val="18"/>
                <w:lang w:eastAsia="en-AU"/>
              </w:rPr>
            </w:pPr>
            <w:r w:rsidRPr="005E3F01">
              <w:rPr>
                <w:rFonts w:cs="Arial"/>
                <w:color w:val="7F7F7F"/>
                <w:szCs w:val="18"/>
                <w:lang w:eastAsia="en-AU"/>
              </w:rPr>
              <w:t>68,800</w:t>
            </w:r>
          </w:p>
        </w:tc>
        <w:tc>
          <w:tcPr>
            <w:tcW w:w="993" w:type="dxa"/>
            <w:tcBorders>
              <w:top w:val="nil"/>
              <w:left w:val="nil"/>
              <w:bottom w:val="nil"/>
              <w:right w:val="nil"/>
            </w:tcBorders>
            <w:shd w:val="clear" w:color="auto" w:fill="auto"/>
            <w:noWrap/>
            <w:vAlign w:val="center"/>
            <w:hideMark/>
          </w:tcPr>
          <w:p w:rsidR="001E08F1" w:rsidRPr="005E3F01" w:rsidRDefault="001E08F1" w:rsidP="00D07A42">
            <w:pPr>
              <w:jc w:val="right"/>
              <w:rPr>
                <w:rFonts w:cs="Arial"/>
                <w:color w:val="7F7F7F"/>
                <w:szCs w:val="18"/>
                <w:lang w:eastAsia="en-AU"/>
              </w:rPr>
            </w:pPr>
            <w:r w:rsidRPr="005E3F01">
              <w:rPr>
                <w:rFonts w:cs="Arial"/>
                <w:color w:val="7F7F7F"/>
                <w:szCs w:val="18"/>
                <w:lang w:eastAsia="en-AU"/>
              </w:rPr>
              <w:t>59,640</w:t>
            </w:r>
          </w:p>
        </w:tc>
      </w:tr>
      <w:tr w:rsidR="001E08F1" w:rsidRPr="005E3F01" w:rsidTr="00D07A42">
        <w:trPr>
          <w:trHeight w:val="300"/>
        </w:trPr>
        <w:tc>
          <w:tcPr>
            <w:tcW w:w="2142" w:type="dxa"/>
            <w:tcBorders>
              <w:top w:val="nil"/>
              <w:left w:val="nil"/>
              <w:bottom w:val="nil"/>
              <w:right w:val="nil"/>
            </w:tcBorders>
            <w:shd w:val="clear" w:color="auto" w:fill="auto"/>
            <w:noWrap/>
            <w:vAlign w:val="center"/>
            <w:hideMark/>
          </w:tcPr>
          <w:p w:rsidR="001E08F1" w:rsidRPr="005E3F01" w:rsidRDefault="001E08F1" w:rsidP="00D07A42">
            <w:pPr>
              <w:rPr>
                <w:rFonts w:cs="Arial"/>
                <w:color w:val="7F7F7F"/>
                <w:szCs w:val="18"/>
                <w:lang w:eastAsia="en-AU"/>
              </w:rPr>
            </w:pPr>
            <w:r w:rsidRPr="005E3F01">
              <w:rPr>
                <w:rFonts w:cs="Arial"/>
                <w:color w:val="7F7F7F"/>
                <w:szCs w:val="18"/>
                <w:lang w:eastAsia="en-AU"/>
              </w:rPr>
              <w:t>Diploma &amp; Above</w:t>
            </w:r>
          </w:p>
        </w:tc>
        <w:tc>
          <w:tcPr>
            <w:tcW w:w="992" w:type="dxa"/>
            <w:tcBorders>
              <w:top w:val="nil"/>
              <w:left w:val="nil"/>
              <w:bottom w:val="nil"/>
              <w:right w:val="nil"/>
            </w:tcBorders>
            <w:shd w:val="clear" w:color="auto" w:fill="auto"/>
            <w:noWrap/>
            <w:vAlign w:val="center"/>
            <w:hideMark/>
          </w:tcPr>
          <w:p w:rsidR="001E08F1" w:rsidRPr="005E3F01" w:rsidRDefault="001E08F1" w:rsidP="00D07A42">
            <w:pPr>
              <w:jc w:val="right"/>
              <w:rPr>
                <w:rFonts w:cs="Arial"/>
                <w:color w:val="7F7F7F"/>
                <w:szCs w:val="18"/>
                <w:lang w:eastAsia="en-AU"/>
              </w:rPr>
            </w:pPr>
            <w:r w:rsidRPr="005E3F01">
              <w:rPr>
                <w:rFonts w:cs="Arial"/>
                <w:color w:val="7F7F7F"/>
                <w:szCs w:val="18"/>
                <w:lang w:eastAsia="en-AU"/>
              </w:rPr>
              <w:t>12,082</w:t>
            </w:r>
          </w:p>
        </w:tc>
        <w:tc>
          <w:tcPr>
            <w:tcW w:w="992" w:type="dxa"/>
            <w:tcBorders>
              <w:top w:val="nil"/>
              <w:left w:val="nil"/>
              <w:bottom w:val="nil"/>
              <w:right w:val="nil"/>
            </w:tcBorders>
            <w:shd w:val="clear" w:color="auto" w:fill="auto"/>
            <w:noWrap/>
            <w:vAlign w:val="center"/>
            <w:hideMark/>
          </w:tcPr>
          <w:p w:rsidR="001E08F1" w:rsidRPr="005E3F01" w:rsidRDefault="001E08F1" w:rsidP="00D07A42">
            <w:pPr>
              <w:jc w:val="right"/>
              <w:rPr>
                <w:rFonts w:cs="Arial"/>
                <w:color w:val="7F7F7F"/>
                <w:szCs w:val="18"/>
                <w:lang w:eastAsia="en-AU"/>
              </w:rPr>
            </w:pPr>
            <w:r w:rsidRPr="005E3F01">
              <w:rPr>
                <w:rFonts w:cs="Arial"/>
                <w:color w:val="7F7F7F"/>
                <w:szCs w:val="18"/>
                <w:lang w:eastAsia="en-AU"/>
              </w:rPr>
              <w:t>15,351</w:t>
            </w:r>
          </w:p>
        </w:tc>
        <w:tc>
          <w:tcPr>
            <w:tcW w:w="992" w:type="dxa"/>
            <w:tcBorders>
              <w:top w:val="nil"/>
              <w:left w:val="nil"/>
              <w:bottom w:val="nil"/>
              <w:right w:val="nil"/>
            </w:tcBorders>
            <w:shd w:val="clear" w:color="auto" w:fill="auto"/>
            <w:noWrap/>
            <w:vAlign w:val="center"/>
            <w:hideMark/>
          </w:tcPr>
          <w:p w:rsidR="001E08F1" w:rsidRPr="005E3F01" w:rsidRDefault="001E08F1" w:rsidP="00D07A42">
            <w:pPr>
              <w:jc w:val="right"/>
              <w:rPr>
                <w:rFonts w:cs="Arial"/>
                <w:color w:val="7F7F7F"/>
                <w:szCs w:val="18"/>
                <w:lang w:eastAsia="en-AU"/>
              </w:rPr>
            </w:pPr>
            <w:r w:rsidRPr="005E3F01">
              <w:rPr>
                <w:rFonts w:cs="Arial"/>
                <w:color w:val="7F7F7F"/>
                <w:szCs w:val="18"/>
                <w:lang w:eastAsia="en-AU"/>
              </w:rPr>
              <w:t>18,319</w:t>
            </w:r>
          </w:p>
        </w:tc>
        <w:tc>
          <w:tcPr>
            <w:tcW w:w="992" w:type="dxa"/>
            <w:tcBorders>
              <w:top w:val="nil"/>
              <w:left w:val="nil"/>
              <w:bottom w:val="nil"/>
              <w:right w:val="nil"/>
            </w:tcBorders>
            <w:shd w:val="clear" w:color="auto" w:fill="auto"/>
            <w:noWrap/>
            <w:vAlign w:val="center"/>
            <w:hideMark/>
          </w:tcPr>
          <w:p w:rsidR="001E08F1" w:rsidRPr="005E3F01" w:rsidRDefault="001E08F1" w:rsidP="00D07A42">
            <w:pPr>
              <w:jc w:val="right"/>
              <w:rPr>
                <w:rFonts w:cs="Arial"/>
                <w:color w:val="7F7F7F"/>
                <w:szCs w:val="18"/>
                <w:lang w:eastAsia="en-AU"/>
              </w:rPr>
            </w:pPr>
            <w:r w:rsidRPr="005E3F01">
              <w:rPr>
                <w:rFonts w:cs="Arial"/>
                <w:color w:val="7F7F7F"/>
                <w:szCs w:val="18"/>
                <w:lang w:eastAsia="en-AU"/>
              </w:rPr>
              <w:t>14,036</w:t>
            </w:r>
          </w:p>
        </w:tc>
        <w:tc>
          <w:tcPr>
            <w:tcW w:w="992" w:type="dxa"/>
            <w:tcBorders>
              <w:top w:val="nil"/>
              <w:left w:val="nil"/>
              <w:bottom w:val="nil"/>
              <w:right w:val="nil"/>
            </w:tcBorders>
            <w:shd w:val="clear" w:color="auto" w:fill="auto"/>
            <w:noWrap/>
            <w:vAlign w:val="center"/>
            <w:hideMark/>
          </w:tcPr>
          <w:p w:rsidR="001E08F1" w:rsidRPr="005E3F01" w:rsidRDefault="001E08F1" w:rsidP="00D07A42">
            <w:pPr>
              <w:jc w:val="right"/>
              <w:rPr>
                <w:rFonts w:cs="Arial"/>
                <w:color w:val="7F7F7F"/>
                <w:szCs w:val="18"/>
                <w:lang w:eastAsia="en-AU"/>
              </w:rPr>
            </w:pPr>
            <w:r w:rsidRPr="005E3F01">
              <w:rPr>
                <w:rFonts w:cs="Arial"/>
                <w:color w:val="7F7F7F"/>
                <w:szCs w:val="18"/>
                <w:lang w:eastAsia="en-AU"/>
              </w:rPr>
              <w:t>14,641</w:t>
            </w:r>
          </w:p>
        </w:tc>
        <w:tc>
          <w:tcPr>
            <w:tcW w:w="993" w:type="dxa"/>
            <w:tcBorders>
              <w:top w:val="nil"/>
              <w:left w:val="nil"/>
              <w:bottom w:val="nil"/>
              <w:right w:val="nil"/>
            </w:tcBorders>
            <w:shd w:val="clear" w:color="auto" w:fill="auto"/>
            <w:noWrap/>
            <w:vAlign w:val="center"/>
            <w:hideMark/>
          </w:tcPr>
          <w:p w:rsidR="001E08F1" w:rsidRPr="005E3F01" w:rsidRDefault="001E08F1" w:rsidP="00D07A42">
            <w:pPr>
              <w:jc w:val="right"/>
              <w:rPr>
                <w:rFonts w:cs="Arial"/>
                <w:color w:val="7F7F7F"/>
                <w:szCs w:val="18"/>
                <w:lang w:eastAsia="en-AU"/>
              </w:rPr>
            </w:pPr>
            <w:r w:rsidRPr="005E3F01">
              <w:rPr>
                <w:rFonts w:cs="Arial"/>
                <w:color w:val="7F7F7F"/>
                <w:szCs w:val="18"/>
                <w:lang w:eastAsia="en-AU"/>
              </w:rPr>
              <w:t>18,129</w:t>
            </w:r>
          </w:p>
        </w:tc>
      </w:tr>
      <w:tr w:rsidR="001E08F1" w:rsidRPr="005E3F01" w:rsidTr="00D07A42">
        <w:trPr>
          <w:trHeight w:val="300"/>
        </w:trPr>
        <w:tc>
          <w:tcPr>
            <w:tcW w:w="2142" w:type="dxa"/>
            <w:tcBorders>
              <w:top w:val="nil"/>
              <w:left w:val="nil"/>
              <w:bottom w:val="nil"/>
              <w:right w:val="nil"/>
            </w:tcBorders>
            <w:shd w:val="clear" w:color="auto" w:fill="auto"/>
            <w:noWrap/>
            <w:vAlign w:val="center"/>
            <w:hideMark/>
          </w:tcPr>
          <w:p w:rsidR="001E08F1" w:rsidRPr="005E3F01" w:rsidRDefault="001E08F1" w:rsidP="00D07A42">
            <w:pPr>
              <w:rPr>
                <w:rFonts w:cs="Arial"/>
                <w:color w:val="7F7F7F"/>
                <w:szCs w:val="18"/>
                <w:lang w:eastAsia="en-AU"/>
              </w:rPr>
            </w:pPr>
            <w:r w:rsidRPr="005E3F01">
              <w:rPr>
                <w:rFonts w:cs="Arial"/>
                <w:color w:val="7F7F7F"/>
                <w:szCs w:val="18"/>
                <w:lang w:eastAsia="en-AU"/>
              </w:rPr>
              <w:t>Module Only</w:t>
            </w:r>
          </w:p>
        </w:tc>
        <w:tc>
          <w:tcPr>
            <w:tcW w:w="992" w:type="dxa"/>
            <w:tcBorders>
              <w:top w:val="nil"/>
              <w:left w:val="nil"/>
              <w:bottom w:val="nil"/>
              <w:right w:val="nil"/>
            </w:tcBorders>
            <w:shd w:val="clear" w:color="auto" w:fill="auto"/>
            <w:noWrap/>
            <w:vAlign w:val="center"/>
            <w:hideMark/>
          </w:tcPr>
          <w:p w:rsidR="001E08F1" w:rsidRPr="005E3F01" w:rsidRDefault="001E08F1" w:rsidP="00D07A42">
            <w:pPr>
              <w:jc w:val="right"/>
              <w:rPr>
                <w:rFonts w:cs="Arial"/>
                <w:color w:val="7F7F7F"/>
                <w:szCs w:val="18"/>
                <w:lang w:eastAsia="en-AU"/>
              </w:rPr>
            </w:pPr>
            <w:r w:rsidRPr="005E3F01">
              <w:rPr>
                <w:rFonts w:cs="Arial"/>
                <w:color w:val="7F7F7F"/>
                <w:szCs w:val="18"/>
                <w:lang w:eastAsia="en-AU"/>
              </w:rPr>
              <w:t>3,060</w:t>
            </w:r>
          </w:p>
        </w:tc>
        <w:tc>
          <w:tcPr>
            <w:tcW w:w="992" w:type="dxa"/>
            <w:tcBorders>
              <w:top w:val="nil"/>
              <w:left w:val="nil"/>
              <w:bottom w:val="nil"/>
              <w:right w:val="nil"/>
            </w:tcBorders>
            <w:shd w:val="clear" w:color="auto" w:fill="auto"/>
            <w:noWrap/>
            <w:vAlign w:val="center"/>
            <w:hideMark/>
          </w:tcPr>
          <w:p w:rsidR="001E08F1" w:rsidRPr="005E3F01" w:rsidRDefault="001E08F1" w:rsidP="00D07A42">
            <w:pPr>
              <w:jc w:val="right"/>
              <w:rPr>
                <w:rFonts w:cs="Arial"/>
                <w:color w:val="7F7F7F"/>
                <w:szCs w:val="18"/>
                <w:lang w:eastAsia="en-AU"/>
              </w:rPr>
            </w:pPr>
            <w:r w:rsidRPr="005E3F01">
              <w:rPr>
                <w:rFonts w:cs="Arial"/>
                <w:color w:val="7F7F7F"/>
                <w:szCs w:val="18"/>
                <w:lang w:eastAsia="en-AU"/>
              </w:rPr>
              <w:t>882</w:t>
            </w:r>
          </w:p>
        </w:tc>
        <w:tc>
          <w:tcPr>
            <w:tcW w:w="992" w:type="dxa"/>
            <w:tcBorders>
              <w:top w:val="nil"/>
              <w:left w:val="nil"/>
              <w:bottom w:val="nil"/>
              <w:right w:val="nil"/>
            </w:tcBorders>
            <w:shd w:val="clear" w:color="auto" w:fill="auto"/>
            <w:noWrap/>
            <w:vAlign w:val="center"/>
            <w:hideMark/>
          </w:tcPr>
          <w:p w:rsidR="001E08F1" w:rsidRPr="005E3F01" w:rsidRDefault="001E08F1" w:rsidP="00D07A42">
            <w:pPr>
              <w:jc w:val="right"/>
              <w:rPr>
                <w:rFonts w:cs="Arial"/>
                <w:color w:val="7F7F7F"/>
                <w:szCs w:val="18"/>
                <w:lang w:eastAsia="en-AU"/>
              </w:rPr>
            </w:pPr>
            <w:r w:rsidRPr="005E3F01">
              <w:rPr>
                <w:rFonts w:cs="Arial"/>
                <w:color w:val="7F7F7F"/>
                <w:szCs w:val="18"/>
                <w:lang w:eastAsia="en-AU"/>
              </w:rPr>
              <w:t>333</w:t>
            </w:r>
          </w:p>
        </w:tc>
        <w:tc>
          <w:tcPr>
            <w:tcW w:w="992" w:type="dxa"/>
            <w:tcBorders>
              <w:top w:val="nil"/>
              <w:left w:val="nil"/>
              <w:bottom w:val="nil"/>
              <w:right w:val="nil"/>
            </w:tcBorders>
            <w:shd w:val="clear" w:color="auto" w:fill="auto"/>
            <w:noWrap/>
            <w:vAlign w:val="center"/>
            <w:hideMark/>
          </w:tcPr>
          <w:p w:rsidR="001E08F1" w:rsidRPr="005E3F01" w:rsidRDefault="001E08F1" w:rsidP="00D07A42">
            <w:pPr>
              <w:jc w:val="right"/>
              <w:rPr>
                <w:rFonts w:cs="Arial"/>
                <w:color w:val="7F7F7F"/>
                <w:szCs w:val="18"/>
                <w:lang w:eastAsia="en-AU"/>
              </w:rPr>
            </w:pPr>
            <w:r w:rsidRPr="005E3F01">
              <w:rPr>
                <w:rFonts w:cs="Arial"/>
                <w:color w:val="7F7F7F"/>
                <w:szCs w:val="18"/>
                <w:lang w:eastAsia="en-AU"/>
              </w:rPr>
              <w:t>198</w:t>
            </w:r>
          </w:p>
        </w:tc>
        <w:tc>
          <w:tcPr>
            <w:tcW w:w="992" w:type="dxa"/>
            <w:tcBorders>
              <w:top w:val="nil"/>
              <w:left w:val="nil"/>
              <w:bottom w:val="nil"/>
              <w:right w:val="nil"/>
            </w:tcBorders>
            <w:shd w:val="clear" w:color="auto" w:fill="auto"/>
            <w:noWrap/>
            <w:vAlign w:val="center"/>
            <w:hideMark/>
          </w:tcPr>
          <w:p w:rsidR="001E08F1" w:rsidRPr="005E3F01" w:rsidRDefault="001E08F1" w:rsidP="00D07A42">
            <w:pPr>
              <w:jc w:val="right"/>
              <w:rPr>
                <w:rFonts w:cs="Arial"/>
                <w:color w:val="7F7F7F"/>
                <w:szCs w:val="18"/>
                <w:lang w:eastAsia="en-AU"/>
              </w:rPr>
            </w:pPr>
            <w:r w:rsidRPr="005E3F01">
              <w:rPr>
                <w:rFonts w:cs="Arial"/>
                <w:color w:val="7F7F7F"/>
                <w:szCs w:val="18"/>
                <w:lang w:eastAsia="en-AU"/>
              </w:rPr>
              <w:t>313</w:t>
            </w:r>
          </w:p>
        </w:tc>
        <w:tc>
          <w:tcPr>
            <w:tcW w:w="993" w:type="dxa"/>
            <w:tcBorders>
              <w:top w:val="nil"/>
              <w:left w:val="nil"/>
              <w:bottom w:val="nil"/>
              <w:right w:val="nil"/>
            </w:tcBorders>
            <w:shd w:val="clear" w:color="auto" w:fill="auto"/>
            <w:noWrap/>
            <w:vAlign w:val="center"/>
            <w:hideMark/>
          </w:tcPr>
          <w:p w:rsidR="001E08F1" w:rsidRPr="005E3F01" w:rsidRDefault="001E08F1" w:rsidP="00D07A42">
            <w:pPr>
              <w:jc w:val="right"/>
              <w:rPr>
                <w:rFonts w:cs="Arial"/>
                <w:color w:val="7F7F7F"/>
                <w:szCs w:val="18"/>
                <w:lang w:eastAsia="en-AU"/>
              </w:rPr>
            </w:pPr>
            <w:r w:rsidRPr="005E3F01">
              <w:rPr>
                <w:rFonts w:cs="Arial"/>
                <w:color w:val="7F7F7F"/>
                <w:szCs w:val="18"/>
                <w:lang w:eastAsia="en-AU"/>
              </w:rPr>
              <w:t>633</w:t>
            </w:r>
          </w:p>
        </w:tc>
      </w:tr>
      <w:tr w:rsidR="001E08F1" w:rsidRPr="005E3F01" w:rsidTr="00D07A42">
        <w:trPr>
          <w:trHeight w:val="300"/>
        </w:trPr>
        <w:tc>
          <w:tcPr>
            <w:tcW w:w="2142" w:type="dxa"/>
            <w:tcBorders>
              <w:top w:val="nil"/>
              <w:left w:val="nil"/>
              <w:bottom w:val="nil"/>
              <w:right w:val="nil"/>
            </w:tcBorders>
            <w:shd w:val="clear" w:color="auto" w:fill="auto"/>
            <w:noWrap/>
            <w:vAlign w:val="center"/>
            <w:hideMark/>
          </w:tcPr>
          <w:p w:rsidR="001E08F1" w:rsidRPr="005E3F01" w:rsidRDefault="001E08F1" w:rsidP="00D07A42">
            <w:pPr>
              <w:rPr>
                <w:rFonts w:cs="Arial"/>
                <w:color w:val="7F7F7F"/>
                <w:szCs w:val="18"/>
                <w:lang w:eastAsia="en-AU"/>
              </w:rPr>
            </w:pPr>
            <w:r w:rsidRPr="005E3F01">
              <w:rPr>
                <w:rFonts w:cs="Arial"/>
                <w:color w:val="7F7F7F"/>
                <w:szCs w:val="18"/>
                <w:lang w:eastAsia="en-AU"/>
              </w:rPr>
              <w:t>Secondary Education*</w:t>
            </w:r>
          </w:p>
        </w:tc>
        <w:tc>
          <w:tcPr>
            <w:tcW w:w="992" w:type="dxa"/>
            <w:tcBorders>
              <w:top w:val="nil"/>
              <w:left w:val="nil"/>
              <w:bottom w:val="nil"/>
              <w:right w:val="nil"/>
            </w:tcBorders>
            <w:shd w:val="clear" w:color="auto" w:fill="auto"/>
            <w:noWrap/>
            <w:vAlign w:val="center"/>
            <w:hideMark/>
          </w:tcPr>
          <w:p w:rsidR="001E08F1" w:rsidRPr="005E3F01" w:rsidRDefault="001E08F1" w:rsidP="00D07A42">
            <w:pPr>
              <w:jc w:val="right"/>
              <w:rPr>
                <w:rFonts w:cs="Arial"/>
                <w:color w:val="7F7F7F"/>
                <w:szCs w:val="18"/>
                <w:lang w:eastAsia="en-AU"/>
              </w:rPr>
            </w:pPr>
            <w:r w:rsidRPr="005E3F01">
              <w:rPr>
                <w:rFonts w:cs="Arial"/>
                <w:color w:val="7F7F7F"/>
                <w:szCs w:val="18"/>
                <w:lang w:eastAsia="en-AU"/>
              </w:rPr>
              <w:t>1,016</w:t>
            </w:r>
          </w:p>
        </w:tc>
        <w:tc>
          <w:tcPr>
            <w:tcW w:w="992" w:type="dxa"/>
            <w:tcBorders>
              <w:top w:val="nil"/>
              <w:left w:val="nil"/>
              <w:bottom w:val="nil"/>
              <w:right w:val="nil"/>
            </w:tcBorders>
            <w:shd w:val="clear" w:color="auto" w:fill="auto"/>
            <w:noWrap/>
            <w:vAlign w:val="center"/>
            <w:hideMark/>
          </w:tcPr>
          <w:p w:rsidR="001E08F1" w:rsidRPr="005E3F01" w:rsidRDefault="001E08F1" w:rsidP="00D07A42">
            <w:pPr>
              <w:jc w:val="right"/>
              <w:rPr>
                <w:rFonts w:cs="Arial"/>
                <w:color w:val="7F7F7F"/>
                <w:szCs w:val="18"/>
                <w:lang w:eastAsia="en-AU"/>
              </w:rPr>
            </w:pPr>
            <w:r w:rsidRPr="005E3F01">
              <w:rPr>
                <w:rFonts w:cs="Arial"/>
                <w:color w:val="7F7F7F"/>
                <w:szCs w:val="18"/>
                <w:lang w:eastAsia="en-AU"/>
              </w:rPr>
              <w:t>1,045</w:t>
            </w:r>
          </w:p>
        </w:tc>
        <w:tc>
          <w:tcPr>
            <w:tcW w:w="992" w:type="dxa"/>
            <w:tcBorders>
              <w:top w:val="nil"/>
              <w:left w:val="nil"/>
              <w:bottom w:val="nil"/>
              <w:right w:val="nil"/>
            </w:tcBorders>
            <w:shd w:val="clear" w:color="auto" w:fill="auto"/>
            <w:noWrap/>
            <w:vAlign w:val="center"/>
            <w:hideMark/>
          </w:tcPr>
          <w:p w:rsidR="001E08F1" w:rsidRPr="005E3F01" w:rsidRDefault="001E08F1" w:rsidP="00D07A42">
            <w:pPr>
              <w:jc w:val="right"/>
              <w:rPr>
                <w:rFonts w:cs="Arial"/>
                <w:color w:val="7F7F7F"/>
                <w:szCs w:val="18"/>
                <w:lang w:eastAsia="en-AU"/>
              </w:rPr>
            </w:pPr>
            <w:r w:rsidRPr="005E3F01">
              <w:rPr>
                <w:rFonts w:cs="Arial"/>
                <w:color w:val="7F7F7F"/>
                <w:szCs w:val="18"/>
                <w:lang w:eastAsia="en-AU"/>
              </w:rPr>
              <w:t>909</w:t>
            </w:r>
          </w:p>
        </w:tc>
        <w:tc>
          <w:tcPr>
            <w:tcW w:w="992" w:type="dxa"/>
            <w:tcBorders>
              <w:top w:val="nil"/>
              <w:left w:val="nil"/>
              <w:bottom w:val="nil"/>
              <w:right w:val="nil"/>
            </w:tcBorders>
            <w:shd w:val="clear" w:color="auto" w:fill="auto"/>
            <w:noWrap/>
            <w:vAlign w:val="center"/>
            <w:hideMark/>
          </w:tcPr>
          <w:p w:rsidR="001E08F1" w:rsidRPr="005E3F01" w:rsidRDefault="001E08F1" w:rsidP="00D07A42">
            <w:pPr>
              <w:jc w:val="right"/>
              <w:rPr>
                <w:rFonts w:cs="Arial"/>
                <w:color w:val="7F7F7F"/>
                <w:szCs w:val="18"/>
                <w:lang w:eastAsia="en-AU"/>
              </w:rPr>
            </w:pPr>
            <w:r w:rsidRPr="005E3F01">
              <w:rPr>
                <w:rFonts w:cs="Arial"/>
                <w:color w:val="7F7F7F"/>
                <w:szCs w:val="18"/>
                <w:lang w:eastAsia="en-AU"/>
              </w:rPr>
              <w:t>973</w:t>
            </w:r>
          </w:p>
        </w:tc>
        <w:tc>
          <w:tcPr>
            <w:tcW w:w="992" w:type="dxa"/>
            <w:tcBorders>
              <w:top w:val="nil"/>
              <w:left w:val="nil"/>
              <w:bottom w:val="nil"/>
              <w:right w:val="nil"/>
            </w:tcBorders>
            <w:shd w:val="clear" w:color="auto" w:fill="auto"/>
            <w:noWrap/>
            <w:vAlign w:val="center"/>
            <w:hideMark/>
          </w:tcPr>
          <w:p w:rsidR="001E08F1" w:rsidRPr="005E3F01" w:rsidRDefault="001E08F1" w:rsidP="00D07A42">
            <w:pPr>
              <w:jc w:val="right"/>
              <w:rPr>
                <w:rFonts w:cs="Arial"/>
                <w:color w:val="7F7F7F"/>
                <w:szCs w:val="18"/>
                <w:lang w:eastAsia="en-AU"/>
              </w:rPr>
            </w:pPr>
            <w:r w:rsidRPr="005E3F01">
              <w:rPr>
                <w:rFonts w:cs="Arial"/>
                <w:color w:val="7F7F7F"/>
                <w:szCs w:val="18"/>
                <w:lang w:eastAsia="en-AU"/>
              </w:rPr>
              <w:t>1,024</w:t>
            </w:r>
          </w:p>
        </w:tc>
        <w:tc>
          <w:tcPr>
            <w:tcW w:w="993" w:type="dxa"/>
            <w:tcBorders>
              <w:top w:val="nil"/>
              <w:left w:val="nil"/>
              <w:bottom w:val="nil"/>
              <w:right w:val="nil"/>
            </w:tcBorders>
            <w:shd w:val="clear" w:color="auto" w:fill="auto"/>
            <w:noWrap/>
            <w:vAlign w:val="center"/>
            <w:hideMark/>
          </w:tcPr>
          <w:p w:rsidR="001E08F1" w:rsidRPr="005E3F01" w:rsidRDefault="001E08F1" w:rsidP="00D07A42">
            <w:pPr>
              <w:jc w:val="right"/>
              <w:rPr>
                <w:rFonts w:cs="Arial"/>
                <w:color w:val="7F7F7F"/>
                <w:szCs w:val="18"/>
                <w:lang w:eastAsia="en-AU"/>
              </w:rPr>
            </w:pPr>
            <w:r w:rsidRPr="005E3F01">
              <w:rPr>
                <w:rFonts w:cs="Arial"/>
                <w:color w:val="7F7F7F"/>
                <w:szCs w:val="18"/>
                <w:lang w:eastAsia="en-AU"/>
              </w:rPr>
              <w:t>789</w:t>
            </w:r>
          </w:p>
        </w:tc>
      </w:tr>
      <w:tr w:rsidR="001E08F1" w:rsidRPr="005E3F01" w:rsidTr="00D07A42">
        <w:trPr>
          <w:trHeight w:val="300"/>
        </w:trPr>
        <w:tc>
          <w:tcPr>
            <w:tcW w:w="2142" w:type="dxa"/>
            <w:tcBorders>
              <w:top w:val="nil"/>
              <w:left w:val="nil"/>
              <w:bottom w:val="nil"/>
              <w:right w:val="nil"/>
            </w:tcBorders>
            <w:shd w:val="clear" w:color="auto" w:fill="auto"/>
            <w:noWrap/>
            <w:vAlign w:val="center"/>
            <w:hideMark/>
          </w:tcPr>
          <w:p w:rsidR="001E08F1" w:rsidRPr="005E3F01" w:rsidRDefault="001E08F1" w:rsidP="00D07A42">
            <w:pPr>
              <w:rPr>
                <w:rFonts w:cs="Arial"/>
                <w:color w:val="7F7F7F"/>
                <w:szCs w:val="18"/>
                <w:lang w:eastAsia="en-AU"/>
              </w:rPr>
            </w:pPr>
            <w:r w:rsidRPr="005E3F01">
              <w:rPr>
                <w:rFonts w:cs="Arial"/>
                <w:color w:val="7F7F7F"/>
                <w:szCs w:val="18"/>
                <w:lang w:eastAsia="en-AU"/>
              </w:rPr>
              <w:t>Other**</w:t>
            </w:r>
          </w:p>
        </w:tc>
        <w:tc>
          <w:tcPr>
            <w:tcW w:w="992" w:type="dxa"/>
            <w:tcBorders>
              <w:top w:val="nil"/>
              <w:left w:val="nil"/>
              <w:bottom w:val="nil"/>
              <w:right w:val="nil"/>
            </w:tcBorders>
            <w:shd w:val="clear" w:color="auto" w:fill="auto"/>
            <w:noWrap/>
            <w:vAlign w:val="center"/>
            <w:hideMark/>
          </w:tcPr>
          <w:p w:rsidR="001E08F1" w:rsidRPr="005E3F01" w:rsidRDefault="001E08F1" w:rsidP="00D07A42">
            <w:pPr>
              <w:jc w:val="right"/>
              <w:rPr>
                <w:rFonts w:cs="Arial"/>
                <w:color w:val="7F7F7F"/>
                <w:szCs w:val="18"/>
                <w:lang w:eastAsia="en-AU"/>
              </w:rPr>
            </w:pPr>
            <w:r w:rsidRPr="005E3F01">
              <w:rPr>
                <w:rFonts w:cs="Arial"/>
                <w:color w:val="7F7F7F"/>
                <w:szCs w:val="18"/>
                <w:lang w:eastAsia="en-AU"/>
              </w:rPr>
              <w:t>2,239</w:t>
            </w:r>
          </w:p>
        </w:tc>
        <w:tc>
          <w:tcPr>
            <w:tcW w:w="992" w:type="dxa"/>
            <w:tcBorders>
              <w:top w:val="nil"/>
              <w:left w:val="nil"/>
              <w:bottom w:val="nil"/>
              <w:right w:val="nil"/>
            </w:tcBorders>
            <w:shd w:val="clear" w:color="auto" w:fill="auto"/>
            <w:noWrap/>
            <w:vAlign w:val="center"/>
            <w:hideMark/>
          </w:tcPr>
          <w:p w:rsidR="001E08F1" w:rsidRPr="005E3F01" w:rsidRDefault="001E08F1" w:rsidP="00D07A42">
            <w:pPr>
              <w:jc w:val="right"/>
              <w:rPr>
                <w:rFonts w:cs="Arial"/>
                <w:color w:val="7F7F7F"/>
                <w:szCs w:val="18"/>
                <w:lang w:eastAsia="en-AU"/>
              </w:rPr>
            </w:pPr>
            <w:r w:rsidRPr="005E3F01">
              <w:rPr>
                <w:rFonts w:cs="Arial"/>
                <w:color w:val="7F7F7F"/>
                <w:szCs w:val="18"/>
                <w:lang w:eastAsia="en-AU"/>
              </w:rPr>
              <w:t>2,034</w:t>
            </w:r>
          </w:p>
        </w:tc>
        <w:tc>
          <w:tcPr>
            <w:tcW w:w="992" w:type="dxa"/>
            <w:tcBorders>
              <w:top w:val="nil"/>
              <w:left w:val="nil"/>
              <w:bottom w:val="nil"/>
              <w:right w:val="nil"/>
            </w:tcBorders>
            <w:shd w:val="clear" w:color="auto" w:fill="auto"/>
            <w:noWrap/>
            <w:vAlign w:val="center"/>
            <w:hideMark/>
          </w:tcPr>
          <w:p w:rsidR="001E08F1" w:rsidRPr="005E3F01" w:rsidRDefault="001E08F1" w:rsidP="00D07A42">
            <w:pPr>
              <w:jc w:val="right"/>
              <w:rPr>
                <w:rFonts w:cs="Arial"/>
                <w:color w:val="7F7F7F"/>
                <w:szCs w:val="18"/>
                <w:lang w:eastAsia="en-AU"/>
              </w:rPr>
            </w:pPr>
            <w:r w:rsidRPr="005E3F01">
              <w:rPr>
                <w:rFonts w:cs="Arial"/>
                <w:color w:val="7F7F7F"/>
                <w:szCs w:val="18"/>
                <w:lang w:eastAsia="en-AU"/>
              </w:rPr>
              <w:t>3,533</w:t>
            </w:r>
          </w:p>
        </w:tc>
        <w:tc>
          <w:tcPr>
            <w:tcW w:w="992" w:type="dxa"/>
            <w:tcBorders>
              <w:top w:val="nil"/>
              <w:left w:val="nil"/>
              <w:bottom w:val="nil"/>
              <w:right w:val="nil"/>
            </w:tcBorders>
            <w:shd w:val="clear" w:color="auto" w:fill="auto"/>
            <w:noWrap/>
            <w:vAlign w:val="center"/>
            <w:hideMark/>
          </w:tcPr>
          <w:p w:rsidR="001E08F1" w:rsidRPr="005E3F01" w:rsidRDefault="001E08F1" w:rsidP="00D07A42">
            <w:pPr>
              <w:jc w:val="right"/>
              <w:rPr>
                <w:rFonts w:cs="Arial"/>
                <w:color w:val="7F7F7F"/>
                <w:szCs w:val="18"/>
                <w:lang w:eastAsia="en-AU"/>
              </w:rPr>
            </w:pPr>
            <w:r w:rsidRPr="005E3F01">
              <w:rPr>
                <w:rFonts w:cs="Arial"/>
                <w:color w:val="7F7F7F"/>
                <w:szCs w:val="18"/>
                <w:lang w:eastAsia="en-AU"/>
              </w:rPr>
              <w:t>1,725</w:t>
            </w:r>
          </w:p>
        </w:tc>
        <w:tc>
          <w:tcPr>
            <w:tcW w:w="992" w:type="dxa"/>
            <w:tcBorders>
              <w:top w:val="nil"/>
              <w:left w:val="nil"/>
              <w:bottom w:val="nil"/>
              <w:right w:val="nil"/>
            </w:tcBorders>
            <w:shd w:val="clear" w:color="auto" w:fill="auto"/>
            <w:noWrap/>
            <w:vAlign w:val="center"/>
            <w:hideMark/>
          </w:tcPr>
          <w:p w:rsidR="001E08F1" w:rsidRPr="005E3F01" w:rsidRDefault="001E08F1" w:rsidP="00D07A42">
            <w:pPr>
              <w:jc w:val="right"/>
              <w:rPr>
                <w:rFonts w:cs="Arial"/>
                <w:color w:val="7F7F7F"/>
                <w:szCs w:val="18"/>
                <w:lang w:eastAsia="en-AU"/>
              </w:rPr>
            </w:pPr>
            <w:r w:rsidRPr="005E3F01">
              <w:rPr>
                <w:rFonts w:cs="Arial"/>
                <w:color w:val="7F7F7F"/>
                <w:szCs w:val="18"/>
                <w:lang w:eastAsia="en-AU"/>
              </w:rPr>
              <w:t>1,483</w:t>
            </w:r>
          </w:p>
        </w:tc>
        <w:tc>
          <w:tcPr>
            <w:tcW w:w="993" w:type="dxa"/>
            <w:tcBorders>
              <w:top w:val="nil"/>
              <w:left w:val="nil"/>
              <w:bottom w:val="nil"/>
              <w:right w:val="nil"/>
            </w:tcBorders>
            <w:shd w:val="clear" w:color="auto" w:fill="auto"/>
            <w:noWrap/>
            <w:vAlign w:val="center"/>
            <w:hideMark/>
          </w:tcPr>
          <w:p w:rsidR="001E08F1" w:rsidRPr="005E3F01" w:rsidRDefault="001E08F1" w:rsidP="00D07A42">
            <w:pPr>
              <w:jc w:val="right"/>
              <w:rPr>
                <w:rFonts w:cs="Arial"/>
                <w:color w:val="7F7F7F"/>
                <w:szCs w:val="18"/>
                <w:lang w:eastAsia="en-AU"/>
              </w:rPr>
            </w:pPr>
            <w:r w:rsidRPr="005E3F01">
              <w:rPr>
                <w:rFonts w:cs="Arial"/>
                <w:color w:val="7F7F7F"/>
                <w:szCs w:val="18"/>
                <w:lang w:eastAsia="en-AU"/>
              </w:rPr>
              <w:t>2,467</w:t>
            </w:r>
          </w:p>
        </w:tc>
      </w:tr>
      <w:tr w:rsidR="001E08F1" w:rsidRPr="005E3F01" w:rsidTr="00D07A42">
        <w:trPr>
          <w:trHeight w:val="300"/>
        </w:trPr>
        <w:tc>
          <w:tcPr>
            <w:tcW w:w="2142" w:type="dxa"/>
            <w:tcBorders>
              <w:top w:val="nil"/>
              <w:left w:val="nil"/>
              <w:bottom w:val="nil"/>
              <w:right w:val="nil"/>
            </w:tcBorders>
            <w:shd w:val="clear" w:color="000000" w:fill="7F7F7F"/>
            <w:noWrap/>
            <w:vAlign w:val="center"/>
            <w:hideMark/>
          </w:tcPr>
          <w:p w:rsidR="001E08F1" w:rsidRPr="005E3F01" w:rsidRDefault="001E08F1" w:rsidP="00D07A42">
            <w:pPr>
              <w:rPr>
                <w:rFonts w:cs="Arial"/>
                <w:b/>
                <w:bCs/>
                <w:color w:val="FFFFFF"/>
                <w:szCs w:val="18"/>
                <w:lang w:eastAsia="en-AU"/>
              </w:rPr>
            </w:pPr>
            <w:r w:rsidRPr="005E3F01">
              <w:rPr>
                <w:rFonts w:cs="Arial"/>
                <w:b/>
                <w:bCs/>
                <w:color w:val="FFFFFF"/>
                <w:szCs w:val="18"/>
                <w:lang w:eastAsia="en-AU"/>
              </w:rPr>
              <w:t>Total</w:t>
            </w:r>
          </w:p>
        </w:tc>
        <w:tc>
          <w:tcPr>
            <w:tcW w:w="992" w:type="dxa"/>
            <w:tcBorders>
              <w:top w:val="nil"/>
              <w:left w:val="nil"/>
              <w:bottom w:val="nil"/>
              <w:right w:val="nil"/>
            </w:tcBorders>
            <w:shd w:val="clear" w:color="000000" w:fill="7F7F7F"/>
            <w:noWrap/>
            <w:vAlign w:val="center"/>
            <w:hideMark/>
          </w:tcPr>
          <w:p w:rsidR="001E08F1" w:rsidRPr="005E3F01" w:rsidRDefault="001E08F1" w:rsidP="00D07A42">
            <w:pPr>
              <w:jc w:val="right"/>
              <w:rPr>
                <w:rFonts w:cs="Arial"/>
                <w:b/>
                <w:bCs/>
                <w:color w:val="FFFFFF"/>
                <w:szCs w:val="18"/>
                <w:lang w:eastAsia="en-AU"/>
              </w:rPr>
            </w:pPr>
            <w:r w:rsidRPr="005E3F01">
              <w:rPr>
                <w:rFonts w:cs="Arial"/>
                <w:b/>
                <w:bCs/>
                <w:color w:val="FFFFFF"/>
                <w:szCs w:val="18"/>
                <w:lang w:eastAsia="en-AU"/>
              </w:rPr>
              <w:t>52,947</w:t>
            </w:r>
          </w:p>
        </w:tc>
        <w:tc>
          <w:tcPr>
            <w:tcW w:w="992" w:type="dxa"/>
            <w:tcBorders>
              <w:top w:val="nil"/>
              <w:left w:val="nil"/>
              <w:bottom w:val="nil"/>
              <w:right w:val="nil"/>
            </w:tcBorders>
            <w:shd w:val="clear" w:color="000000" w:fill="7F7F7F"/>
            <w:noWrap/>
            <w:vAlign w:val="center"/>
            <w:hideMark/>
          </w:tcPr>
          <w:p w:rsidR="001E08F1" w:rsidRPr="005E3F01" w:rsidRDefault="001E08F1" w:rsidP="00D07A42">
            <w:pPr>
              <w:jc w:val="right"/>
              <w:rPr>
                <w:rFonts w:cs="Arial"/>
                <w:b/>
                <w:bCs/>
                <w:color w:val="FFFFFF"/>
                <w:szCs w:val="18"/>
                <w:lang w:eastAsia="en-AU"/>
              </w:rPr>
            </w:pPr>
            <w:r w:rsidRPr="005E3F01">
              <w:rPr>
                <w:rFonts w:cs="Arial"/>
                <w:b/>
                <w:bCs/>
                <w:color w:val="FFFFFF"/>
                <w:szCs w:val="18"/>
                <w:lang w:eastAsia="en-AU"/>
              </w:rPr>
              <w:t>68,415</w:t>
            </w:r>
          </w:p>
        </w:tc>
        <w:tc>
          <w:tcPr>
            <w:tcW w:w="992" w:type="dxa"/>
            <w:tcBorders>
              <w:top w:val="nil"/>
              <w:left w:val="nil"/>
              <w:bottom w:val="nil"/>
              <w:right w:val="nil"/>
            </w:tcBorders>
            <w:shd w:val="clear" w:color="000000" w:fill="7F7F7F"/>
            <w:noWrap/>
            <w:vAlign w:val="center"/>
            <w:hideMark/>
          </w:tcPr>
          <w:p w:rsidR="001E08F1" w:rsidRPr="005E3F01" w:rsidRDefault="001E08F1" w:rsidP="00D07A42">
            <w:pPr>
              <w:jc w:val="right"/>
              <w:rPr>
                <w:rFonts w:cs="Arial"/>
                <w:b/>
                <w:bCs/>
                <w:color w:val="FFFFFF"/>
                <w:szCs w:val="18"/>
                <w:lang w:eastAsia="en-AU"/>
              </w:rPr>
            </w:pPr>
            <w:r w:rsidRPr="005E3F01">
              <w:rPr>
                <w:rFonts w:cs="Arial"/>
                <w:b/>
                <w:bCs/>
                <w:color w:val="FFFFFF"/>
                <w:szCs w:val="18"/>
                <w:lang w:eastAsia="en-AU"/>
              </w:rPr>
              <w:t>106,764</w:t>
            </w:r>
          </w:p>
        </w:tc>
        <w:tc>
          <w:tcPr>
            <w:tcW w:w="992" w:type="dxa"/>
            <w:tcBorders>
              <w:top w:val="nil"/>
              <w:left w:val="nil"/>
              <w:bottom w:val="nil"/>
              <w:right w:val="nil"/>
            </w:tcBorders>
            <w:shd w:val="clear" w:color="000000" w:fill="7F7F7F"/>
            <w:noWrap/>
            <w:vAlign w:val="center"/>
            <w:hideMark/>
          </w:tcPr>
          <w:p w:rsidR="001E08F1" w:rsidRPr="005E3F01" w:rsidRDefault="001E08F1" w:rsidP="00D07A42">
            <w:pPr>
              <w:jc w:val="right"/>
              <w:rPr>
                <w:rFonts w:cs="Arial"/>
                <w:b/>
                <w:bCs/>
                <w:color w:val="FFFFFF"/>
                <w:szCs w:val="18"/>
                <w:lang w:eastAsia="en-AU"/>
              </w:rPr>
            </w:pPr>
            <w:r w:rsidRPr="005E3F01">
              <w:rPr>
                <w:rFonts w:cs="Arial"/>
                <w:b/>
                <w:bCs/>
                <w:color w:val="FFFFFF"/>
                <w:szCs w:val="18"/>
                <w:lang w:eastAsia="en-AU"/>
              </w:rPr>
              <w:t>100,777</w:t>
            </w:r>
          </w:p>
        </w:tc>
        <w:tc>
          <w:tcPr>
            <w:tcW w:w="992" w:type="dxa"/>
            <w:tcBorders>
              <w:top w:val="nil"/>
              <w:left w:val="nil"/>
              <w:bottom w:val="nil"/>
              <w:right w:val="nil"/>
            </w:tcBorders>
            <w:shd w:val="clear" w:color="000000" w:fill="7F7F7F"/>
            <w:noWrap/>
            <w:vAlign w:val="center"/>
            <w:hideMark/>
          </w:tcPr>
          <w:p w:rsidR="001E08F1" w:rsidRPr="005E3F01" w:rsidRDefault="001E08F1" w:rsidP="00D07A42">
            <w:pPr>
              <w:jc w:val="right"/>
              <w:rPr>
                <w:rFonts w:cs="Arial"/>
                <w:b/>
                <w:bCs/>
                <w:color w:val="FFFFFF"/>
                <w:szCs w:val="18"/>
                <w:lang w:eastAsia="en-AU"/>
              </w:rPr>
            </w:pPr>
            <w:r w:rsidRPr="005E3F01">
              <w:rPr>
                <w:rFonts w:cs="Arial"/>
                <w:b/>
                <w:bCs/>
                <w:color w:val="FFFFFF"/>
                <w:szCs w:val="18"/>
                <w:lang w:eastAsia="en-AU"/>
              </w:rPr>
              <w:t>108,058</w:t>
            </w:r>
          </w:p>
        </w:tc>
        <w:tc>
          <w:tcPr>
            <w:tcW w:w="993" w:type="dxa"/>
            <w:tcBorders>
              <w:top w:val="nil"/>
              <w:left w:val="nil"/>
              <w:bottom w:val="nil"/>
              <w:right w:val="nil"/>
            </w:tcBorders>
            <w:shd w:val="clear" w:color="000000" w:fill="7F7F7F"/>
            <w:noWrap/>
            <w:vAlign w:val="center"/>
            <w:hideMark/>
          </w:tcPr>
          <w:p w:rsidR="001E08F1" w:rsidRPr="005E3F01" w:rsidRDefault="001E08F1" w:rsidP="00D07A42">
            <w:pPr>
              <w:jc w:val="right"/>
              <w:rPr>
                <w:rFonts w:cs="Arial"/>
                <w:b/>
                <w:bCs/>
                <w:color w:val="FFFFFF"/>
                <w:szCs w:val="18"/>
                <w:lang w:eastAsia="en-AU"/>
              </w:rPr>
            </w:pPr>
            <w:r w:rsidRPr="005E3F01">
              <w:rPr>
                <w:rFonts w:cs="Arial"/>
                <w:b/>
                <w:bCs/>
                <w:color w:val="FFFFFF"/>
                <w:szCs w:val="18"/>
                <w:lang w:eastAsia="en-AU"/>
              </w:rPr>
              <w:t>97,983</w:t>
            </w:r>
          </w:p>
        </w:tc>
      </w:tr>
    </w:tbl>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4A0" w:firstRow="1" w:lastRow="0" w:firstColumn="1" w:lastColumn="0" w:noHBand="0" w:noVBand="1"/>
      </w:tblPr>
      <w:tblGrid>
        <w:gridCol w:w="431"/>
        <w:gridCol w:w="7649"/>
      </w:tblGrid>
      <w:tr w:rsidR="001E08F1" w:rsidRPr="00913551" w:rsidTr="00D07A42">
        <w:tc>
          <w:tcPr>
            <w:tcW w:w="431" w:type="dxa"/>
            <w:tcMar>
              <w:left w:w="0" w:type="dxa"/>
              <w:right w:w="28" w:type="dxa"/>
            </w:tcMar>
          </w:tcPr>
          <w:p w:rsidR="001E08F1" w:rsidRPr="00913551" w:rsidRDefault="001E08F1" w:rsidP="00D07A42">
            <w:pPr>
              <w:spacing w:after="0" w:line="240" w:lineRule="auto"/>
              <w:jc w:val="right"/>
              <w:rPr>
                <w:color w:val="7F7F7F" w:themeColor="text2"/>
                <w:sz w:val="16"/>
                <w:szCs w:val="16"/>
              </w:rPr>
            </w:pPr>
            <w:r w:rsidRPr="00913551">
              <w:rPr>
                <w:color w:val="7F7F7F" w:themeColor="text2"/>
                <w:sz w:val="16"/>
                <w:szCs w:val="16"/>
              </w:rPr>
              <w:t xml:space="preserve">* </w:t>
            </w:r>
          </w:p>
        </w:tc>
        <w:tc>
          <w:tcPr>
            <w:tcW w:w="7649" w:type="dxa"/>
            <w:tcMar>
              <w:left w:w="0" w:type="dxa"/>
              <w:right w:w="28" w:type="dxa"/>
            </w:tcMar>
          </w:tcPr>
          <w:p w:rsidR="001E08F1" w:rsidRPr="00913551" w:rsidRDefault="001E08F1" w:rsidP="00D07A42">
            <w:pPr>
              <w:spacing w:after="0" w:line="240" w:lineRule="auto"/>
              <w:rPr>
                <w:i/>
                <w:color w:val="7F7F7F" w:themeColor="text2"/>
                <w:sz w:val="16"/>
                <w:szCs w:val="16"/>
              </w:rPr>
            </w:pPr>
            <w:proofErr w:type="gramStart"/>
            <w:r w:rsidRPr="00913551">
              <w:rPr>
                <w:i/>
                <w:sz w:val="16"/>
                <w:szCs w:val="16"/>
              </w:rPr>
              <w:t>Includes VCE/VCAL courses of study.</w:t>
            </w:r>
            <w:proofErr w:type="gramEnd"/>
          </w:p>
        </w:tc>
      </w:tr>
      <w:tr w:rsidR="001E08F1" w:rsidRPr="00913551" w:rsidTr="00D07A42">
        <w:tc>
          <w:tcPr>
            <w:tcW w:w="431" w:type="dxa"/>
            <w:tcMar>
              <w:left w:w="0" w:type="dxa"/>
              <w:right w:w="28" w:type="dxa"/>
            </w:tcMar>
          </w:tcPr>
          <w:p w:rsidR="001E08F1" w:rsidRPr="00913551" w:rsidRDefault="001E08F1" w:rsidP="00D07A42">
            <w:pPr>
              <w:spacing w:after="0" w:line="240" w:lineRule="auto"/>
              <w:jc w:val="right"/>
              <w:rPr>
                <w:color w:val="7F7F7F" w:themeColor="text2"/>
                <w:sz w:val="16"/>
                <w:szCs w:val="16"/>
              </w:rPr>
            </w:pPr>
            <w:r w:rsidRPr="00913551">
              <w:rPr>
                <w:color w:val="7F7F7F" w:themeColor="text2"/>
                <w:sz w:val="16"/>
                <w:szCs w:val="16"/>
              </w:rPr>
              <w:t>**</w:t>
            </w:r>
          </w:p>
        </w:tc>
        <w:tc>
          <w:tcPr>
            <w:tcW w:w="7649" w:type="dxa"/>
            <w:tcMar>
              <w:left w:w="0" w:type="dxa"/>
              <w:right w:w="28" w:type="dxa"/>
            </w:tcMar>
          </w:tcPr>
          <w:p w:rsidR="001E08F1" w:rsidRPr="00913551" w:rsidRDefault="001E08F1" w:rsidP="00D07A42">
            <w:pPr>
              <w:spacing w:after="0" w:line="240" w:lineRule="auto"/>
              <w:rPr>
                <w:i/>
                <w:sz w:val="16"/>
                <w:szCs w:val="16"/>
              </w:rPr>
            </w:pPr>
            <w:r w:rsidRPr="00913551">
              <w:rPr>
                <w:i/>
                <w:sz w:val="16"/>
                <w:szCs w:val="16"/>
              </w:rPr>
              <w:t>'Other' includes statement of attainment, other non-award courses or not elsewhere classified.</w:t>
            </w:r>
          </w:p>
        </w:tc>
      </w:tr>
    </w:tbl>
    <w:p w:rsidR="001E08F1" w:rsidRDefault="001E08F1" w:rsidP="001E08F1"/>
    <w:p w:rsidR="001E08F1" w:rsidRDefault="001E08F1" w:rsidP="001E08F1"/>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1E08F1" w:rsidTr="00D07A42">
        <w:tc>
          <w:tcPr>
            <w:tcW w:w="1134" w:type="dxa"/>
            <w:tcMar>
              <w:left w:w="0" w:type="dxa"/>
              <w:right w:w="0" w:type="dxa"/>
            </w:tcMar>
          </w:tcPr>
          <w:p w:rsidR="001E08F1" w:rsidRDefault="00AF3E67" w:rsidP="00D07A42">
            <w:pPr>
              <w:pStyle w:val="Quote"/>
              <w:tabs>
                <w:tab w:val="left" w:pos="1134"/>
              </w:tabs>
              <w:rPr>
                <w:b w:val="0"/>
                <w:color w:val="B41F22" w:themeColor="accent1"/>
              </w:rPr>
            </w:pPr>
            <w:r>
              <w:rPr>
                <w:b w:val="0"/>
                <w:color w:val="B41F22" w:themeColor="accent1"/>
              </w:rPr>
              <w:t>Table 2</w:t>
            </w:r>
            <w:r w:rsidR="001E08F1">
              <w:rPr>
                <w:b w:val="0"/>
                <w:color w:val="B41F22" w:themeColor="accent1"/>
              </w:rPr>
              <w:t>.5.2:</w:t>
            </w:r>
          </w:p>
        </w:tc>
        <w:tc>
          <w:tcPr>
            <w:tcW w:w="6946" w:type="dxa"/>
            <w:tcMar>
              <w:left w:w="0" w:type="dxa"/>
              <w:right w:w="0" w:type="dxa"/>
            </w:tcMar>
          </w:tcPr>
          <w:p w:rsidR="001E08F1" w:rsidRDefault="001E08F1" w:rsidP="00D07A42">
            <w:pPr>
              <w:pStyle w:val="Quote"/>
              <w:tabs>
                <w:tab w:val="left" w:pos="1134"/>
              </w:tabs>
              <w:rPr>
                <w:b w:val="0"/>
                <w:color w:val="B41F22" w:themeColor="accent1"/>
              </w:rPr>
            </w:pPr>
            <w:r w:rsidRPr="005E3F01">
              <w:rPr>
                <w:b w:val="0"/>
                <w:color w:val="B41F22" w:themeColor="accent1"/>
              </w:rPr>
              <w:t>Change in number of enrolments in government subsidised accredited training by students from a CALD background by qualification level (half year)</w:t>
            </w:r>
          </w:p>
        </w:tc>
      </w:tr>
    </w:tbl>
    <w:tbl>
      <w:tblPr>
        <w:tblW w:w="8095" w:type="dxa"/>
        <w:tblInd w:w="93" w:type="dxa"/>
        <w:tblLayout w:type="fixed"/>
        <w:tblLook w:val="04A0" w:firstRow="1" w:lastRow="0" w:firstColumn="1" w:lastColumn="0" w:noHBand="0" w:noVBand="1"/>
      </w:tblPr>
      <w:tblGrid>
        <w:gridCol w:w="2142"/>
        <w:gridCol w:w="1190"/>
        <w:gridCol w:w="1191"/>
        <w:gridCol w:w="1190"/>
        <w:gridCol w:w="1191"/>
        <w:gridCol w:w="1191"/>
      </w:tblGrid>
      <w:tr w:rsidR="001E08F1" w:rsidRPr="005E3F01" w:rsidTr="00D07A42">
        <w:trPr>
          <w:trHeight w:val="720"/>
        </w:trPr>
        <w:tc>
          <w:tcPr>
            <w:tcW w:w="2142" w:type="dxa"/>
            <w:tcBorders>
              <w:top w:val="nil"/>
              <w:left w:val="nil"/>
              <w:bottom w:val="nil"/>
              <w:right w:val="nil"/>
            </w:tcBorders>
            <w:shd w:val="clear" w:color="000000" w:fill="7F7F7F"/>
            <w:noWrap/>
            <w:vAlign w:val="center"/>
            <w:hideMark/>
          </w:tcPr>
          <w:p w:rsidR="001E08F1" w:rsidRPr="005E3F01" w:rsidRDefault="001E08F1" w:rsidP="00D07A42">
            <w:pPr>
              <w:rPr>
                <w:rFonts w:cs="Arial"/>
                <w:color w:val="FFFFFF"/>
                <w:szCs w:val="18"/>
                <w:lang w:eastAsia="en-AU"/>
              </w:rPr>
            </w:pPr>
            <w:r w:rsidRPr="005E3F01">
              <w:rPr>
                <w:rFonts w:cs="Arial"/>
                <w:color w:val="FFFFFF"/>
                <w:szCs w:val="18"/>
                <w:lang w:eastAsia="en-AU"/>
              </w:rPr>
              <w:t> </w:t>
            </w:r>
          </w:p>
        </w:tc>
        <w:tc>
          <w:tcPr>
            <w:tcW w:w="1190" w:type="dxa"/>
            <w:tcBorders>
              <w:top w:val="nil"/>
              <w:left w:val="nil"/>
              <w:bottom w:val="nil"/>
              <w:right w:val="nil"/>
            </w:tcBorders>
            <w:shd w:val="clear" w:color="000000" w:fill="7F7F7F"/>
            <w:vAlign w:val="center"/>
            <w:hideMark/>
          </w:tcPr>
          <w:p w:rsidR="001E08F1" w:rsidRPr="005E3F01" w:rsidRDefault="001E08F1" w:rsidP="00D07A42">
            <w:pPr>
              <w:jc w:val="right"/>
              <w:rPr>
                <w:rFonts w:cs="Arial"/>
                <w:b/>
                <w:bCs/>
                <w:color w:val="FFFFFF"/>
                <w:szCs w:val="18"/>
                <w:lang w:eastAsia="en-AU"/>
              </w:rPr>
            </w:pPr>
            <w:r w:rsidRPr="005E3F01">
              <w:rPr>
                <w:rFonts w:cs="Arial"/>
                <w:b/>
                <w:bCs/>
                <w:color w:val="FFFFFF"/>
                <w:szCs w:val="18"/>
                <w:lang w:eastAsia="en-AU"/>
              </w:rPr>
              <w:t>% change 2010 to 2015</w:t>
            </w:r>
          </w:p>
        </w:tc>
        <w:tc>
          <w:tcPr>
            <w:tcW w:w="1191" w:type="dxa"/>
            <w:tcBorders>
              <w:top w:val="nil"/>
              <w:left w:val="nil"/>
              <w:bottom w:val="nil"/>
              <w:right w:val="nil"/>
            </w:tcBorders>
            <w:shd w:val="clear" w:color="000000" w:fill="7F7F7F"/>
            <w:vAlign w:val="center"/>
            <w:hideMark/>
          </w:tcPr>
          <w:p w:rsidR="001E08F1" w:rsidRPr="005E3F01" w:rsidRDefault="001E08F1" w:rsidP="00D07A42">
            <w:pPr>
              <w:jc w:val="right"/>
              <w:rPr>
                <w:rFonts w:cs="Arial"/>
                <w:b/>
                <w:bCs/>
                <w:color w:val="FFFFFF"/>
                <w:szCs w:val="18"/>
                <w:lang w:eastAsia="en-AU"/>
              </w:rPr>
            </w:pPr>
            <w:r w:rsidRPr="005E3F01">
              <w:rPr>
                <w:rFonts w:cs="Arial"/>
                <w:b/>
                <w:bCs/>
                <w:color w:val="FFFFFF"/>
                <w:szCs w:val="18"/>
                <w:lang w:eastAsia="en-AU"/>
              </w:rPr>
              <w:t>% change 2011 to 2015</w:t>
            </w:r>
          </w:p>
        </w:tc>
        <w:tc>
          <w:tcPr>
            <w:tcW w:w="1190" w:type="dxa"/>
            <w:tcBorders>
              <w:top w:val="nil"/>
              <w:left w:val="nil"/>
              <w:bottom w:val="nil"/>
              <w:right w:val="nil"/>
            </w:tcBorders>
            <w:shd w:val="clear" w:color="000000" w:fill="7F7F7F"/>
            <w:vAlign w:val="center"/>
            <w:hideMark/>
          </w:tcPr>
          <w:p w:rsidR="001E08F1" w:rsidRPr="005E3F01" w:rsidRDefault="001E08F1" w:rsidP="00D07A42">
            <w:pPr>
              <w:jc w:val="right"/>
              <w:rPr>
                <w:rFonts w:cs="Arial"/>
                <w:b/>
                <w:bCs/>
                <w:color w:val="FFFFFF"/>
                <w:szCs w:val="18"/>
                <w:lang w:eastAsia="en-AU"/>
              </w:rPr>
            </w:pPr>
            <w:r w:rsidRPr="005E3F01">
              <w:rPr>
                <w:rFonts w:cs="Arial"/>
                <w:b/>
                <w:bCs/>
                <w:color w:val="FFFFFF"/>
                <w:szCs w:val="18"/>
                <w:lang w:eastAsia="en-AU"/>
              </w:rPr>
              <w:t>% change 2012 to 2015</w:t>
            </w:r>
          </w:p>
        </w:tc>
        <w:tc>
          <w:tcPr>
            <w:tcW w:w="1191" w:type="dxa"/>
            <w:tcBorders>
              <w:top w:val="nil"/>
              <w:left w:val="nil"/>
              <w:bottom w:val="nil"/>
              <w:right w:val="nil"/>
            </w:tcBorders>
            <w:shd w:val="clear" w:color="000000" w:fill="7F7F7F"/>
            <w:vAlign w:val="center"/>
            <w:hideMark/>
          </w:tcPr>
          <w:p w:rsidR="001E08F1" w:rsidRPr="005E3F01" w:rsidRDefault="001E08F1" w:rsidP="00D07A42">
            <w:pPr>
              <w:jc w:val="right"/>
              <w:rPr>
                <w:rFonts w:cs="Arial"/>
                <w:b/>
                <w:bCs/>
                <w:color w:val="FFFFFF"/>
                <w:szCs w:val="18"/>
                <w:lang w:eastAsia="en-AU"/>
              </w:rPr>
            </w:pPr>
            <w:r w:rsidRPr="005E3F01">
              <w:rPr>
                <w:rFonts w:cs="Arial"/>
                <w:b/>
                <w:bCs/>
                <w:color w:val="FFFFFF"/>
                <w:szCs w:val="18"/>
                <w:lang w:eastAsia="en-AU"/>
              </w:rPr>
              <w:t>% change 2013 to 2015</w:t>
            </w:r>
          </w:p>
        </w:tc>
        <w:tc>
          <w:tcPr>
            <w:tcW w:w="1191" w:type="dxa"/>
            <w:tcBorders>
              <w:top w:val="nil"/>
              <w:left w:val="nil"/>
              <w:bottom w:val="nil"/>
              <w:right w:val="nil"/>
            </w:tcBorders>
            <w:shd w:val="clear" w:color="000000" w:fill="7F7F7F"/>
            <w:vAlign w:val="center"/>
            <w:hideMark/>
          </w:tcPr>
          <w:p w:rsidR="001E08F1" w:rsidRPr="005E3F01" w:rsidRDefault="001E08F1" w:rsidP="00D07A42">
            <w:pPr>
              <w:jc w:val="right"/>
              <w:rPr>
                <w:rFonts w:cs="Arial"/>
                <w:b/>
                <w:bCs/>
                <w:color w:val="FFFFFF"/>
                <w:szCs w:val="18"/>
                <w:lang w:eastAsia="en-AU"/>
              </w:rPr>
            </w:pPr>
            <w:r w:rsidRPr="005E3F01">
              <w:rPr>
                <w:rFonts w:cs="Arial"/>
                <w:b/>
                <w:bCs/>
                <w:color w:val="FFFFFF"/>
                <w:szCs w:val="18"/>
                <w:lang w:eastAsia="en-AU"/>
              </w:rPr>
              <w:t>% change 2014 to 2015</w:t>
            </w:r>
          </w:p>
        </w:tc>
      </w:tr>
      <w:tr w:rsidR="001E08F1" w:rsidRPr="005E3F01" w:rsidTr="00D07A42">
        <w:trPr>
          <w:trHeight w:val="300"/>
        </w:trPr>
        <w:tc>
          <w:tcPr>
            <w:tcW w:w="2142" w:type="dxa"/>
            <w:tcBorders>
              <w:top w:val="nil"/>
              <w:left w:val="nil"/>
              <w:bottom w:val="nil"/>
              <w:right w:val="nil"/>
            </w:tcBorders>
            <w:shd w:val="clear" w:color="auto" w:fill="auto"/>
            <w:noWrap/>
            <w:vAlign w:val="center"/>
            <w:hideMark/>
          </w:tcPr>
          <w:p w:rsidR="001E08F1" w:rsidRPr="005E3F01" w:rsidRDefault="001E08F1" w:rsidP="00D07A42">
            <w:pPr>
              <w:rPr>
                <w:rFonts w:cs="Arial"/>
                <w:color w:val="7F7F7F"/>
                <w:szCs w:val="18"/>
                <w:lang w:eastAsia="en-AU"/>
              </w:rPr>
            </w:pPr>
            <w:r w:rsidRPr="005E3F01">
              <w:rPr>
                <w:rFonts w:cs="Arial"/>
                <w:color w:val="7F7F7F"/>
                <w:szCs w:val="18"/>
                <w:lang w:eastAsia="en-AU"/>
              </w:rPr>
              <w:t>Cert I/II</w:t>
            </w:r>
          </w:p>
        </w:tc>
        <w:tc>
          <w:tcPr>
            <w:tcW w:w="1190" w:type="dxa"/>
            <w:tcBorders>
              <w:top w:val="nil"/>
              <w:left w:val="nil"/>
              <w:bottom w:val="nil"/>
              <w:right w:val="nil"/>
            </w:tcBorders>
            <w:shd w:val="clear" w:color="auto" w:fill="auto"/>
            <w:noWrap/>
            <w:vAlign w:val="center"/>
            <w:hideMark/>
          </w:tcPr>
          <w:p w:rsidR="001E08F1" w:rsidRPr="005E3F01" w:rsidRDefault="001E08F1" w:rsidP="00D07A42">
            <w:pPr>
              <w:jc w:val="right"/>
              <w:rPr>
                <w:rFonts w:cs="Arial"/>
                <w:color w:val="7F7F7F"/>
                <w:szCs w:val="18"/>
                <w:lang w:eastAsia="en-AU"/>
              </w:rPr>
            </w:pPr>
            <w:r w:rsidRPr="005E3F01">
              <w:rPr>
                <w:rFonts w:cs="Arial"/>
                <w:color w:val="7F7F7F"/>
                <w:szCs w:val="18"/>
                <w:lang w:eastAsia="en-AU"/>
              </w:rPr>
              <w:t>40%</w:t>
            </w:r>
          </w:p>
        </w:tc>
        <w:tc>
          <w:tcPr>
            <w:tcW w:w="1191" w:type="dxa"/>
            <w:tcBorders>
              <w:top w:val="nil"/>
              <w:left w:val="nil"/>
              <w:bottom w:val="nil"/>
              <w:right w:val="nil"/>
            </w:tcBorders>
            <w:shd w:val="clear" w:color="auto" w:fill="auto"/>
            <w:noWrap/>
            <w:vAlign w:val="center"/>
            <w:hideMark/>
          </w:tcPr>
          <w:p w:rsidR="001E08F1" w:rsidRPr="005E3F01" w:rsidRDefault="001E08F1" w:rsidP="00D07A42">
            <w:pPr>
              <w:jc w:val="right"/>
              <w:rPr>
                <w:rFonts w:cs="Arial"/>
                <w:color w:val="7F7F7F"/>
                <w:szCs w:val="18"/>
                <w:lang w:eastAsia="en-AU"/>
              </w:rPr>
            </w:pPr>
            <w:r w:rsidRPr="005E3F01">
              <w:rPr>
                <w:rFonts w:cs="Arial"/>
                <w:color w:val="7F7F7F"/>
                <w:szCs w:val="18"/>
                <w:lang w:eastAsia="en-AU"/>
              </w:rPr>
              <w:t>5%</w:t>
            </w:r>
          </w:p>
        </w:tc>
        <w:tc>
          <w:tcPr>
            <w:tcW w:w="1190" w:type="dxa"/>
            <w:tcBorders>
              <w:top w:val="nil"/>
              <w:left w:val="nil"/>
              <w:bottom w:val="nil"/>
              <w:right w:val="nil"/>
            </w:tcBorders>
            <w:shd w:val="clear" w:color="auto" w:fill="auto"/>
            <w:noWrap/>
            <w:vAlign w:val="center"/>
            <w:hideMark/>
          </w:tcPr>
          <w:p w:rsidR="001E08F1" w:rsidRPr="005E3F01" w:rsidRDefault="001E08F1" w:rsidP="00D07A42">
            <w:pPr>
              <w:jc w:val="right"/>
              <w:rPr>
                <w:rFonts w:cs="Arial"/>
                <w:color w:val="7F7F7F"/>
                <w:szCs w:val="18"/>
                <w:lang w:eastAsia="en-AU"/>
              </w:rPr>
            </w:pPr>
            <w:r w:rsidRPr="005E3F01">
              <w:rPr>
                <w:rFonts w:cs="Arial"/>
                <w:color w:val="7F7F7F"/>
                <w:szCs w:val="18"/>
                <w:lang w:eastAsia="en-AU"/>
              </w:rPr>
              <w:t>-38%</w:t>
            </w:r>
          </w:p>
        </w:tc>
        <w:tc>
          <w:tcPr>
            <w:tcW w:w="1191" w:type="dxa"/>
            <w:tcBorders>
              <w:top w:val="nil"/>
              <w:left w:val="nil"/>
              <w:bottom w:val="nil"/>
              <w:right w:val="nil"/>
            </w:tcBorders>
            <w:shd w:val="clear" w:color="auto" w:fill="auto"/>
            <w:noWrap/>
            <w:vAlign w:val="center"/>
            <w:hideMark/>
          </w:tcPr>
          <w:p w:rsidR="001E08F1" w:rsidRPr="005E3F01" w:rsidRDefault="001E08F1" w:rsidP="00D07A42">
            <w:pPr>
              <w:jc w:val="right"/>
              <w:rPr>
                <w:rFonts w:cs="Arial"/>
                <w:color w:val="7F7F7F"/>
                <w:szCs w:val="18"/>
                <w:lang w:eastAsia="en-AU"/>
              </w:rPr>
            </w:pPr>
            <w:r w:rsidRPr="005E3F01">
              <w:rPr>
                <w:rFonts w:cs="Arial"/>
                <w:color w:val="7F7F7F"/>
                <w:szCs w:val="18"/>
                <w:lang w:eastAsia="en-AU"/>
              </w:rPr>
              <w:t>-44%</w:t>
            </w:r>
          </w:p>
        </w:tc>
        <w:tc>
          <w:tcPr>
            <w:tcW w:w="1191" w:type="dxa"/>
            <w:tcBorders>
              <w:top w:val="nil"/>
              <w:left w:val="nil"/>
              <w:bottom w:val="nil"/>
              <w:right w:val="nil"/>
            </w:tcBorders>
            <w:shd w:val="clear" w:color="auto" w:fill="auto"/>
            <w:noWrap/>
            <w:vAlign w:val="center"/>
            <w:hideMark/>
          </w:tcPr>
          <w:p w:rsidR="001E08F1" w:rsidRPr="005E3F01" w:rsidRDefault="001E08F1" w:rsidP="00D07A42">
            <w:pPr>
              <w:jc w:val="right"/>
              <w:rPr>
                <w:rFonts w:cs="Arial"/>
                <w:color w:val="7F7F7F"/>
                <w:szCs w:val="18"/>
                <w:lang w:eastAsia="en-AU"/>
              </w:rPr>
            </w:pPr>
            <w:r w:rsidRPr="005E3F01">
              <w:rPr>
                <w:rFonts w:cs="Arial"/>
                <w:color w:val="7F7F7F"/>
                <w:szCs w:val="18"/>
                <w:lang w:eastAsia="en-AU"/>
              </w:rPr>
              <w:t>-25%</w:t>
            </w:r>
          </w:p>
        </w:tc>
      </w:tr>
      <w:tr w:rsidR="001E08F1" w:rsidRPr="005E3F01" w:rsidTr="00D07A42">
        <w:trPr>
          <w:trHeight w:val="300"/>
        </w:trPr>
        <w:tc>
          <w:tcPr>
            <w:tcW w:w="2142" w:type="dxa"/>
            <w:tcBorders>
              <w:top w:val="nil"/>
              <w:left w:val="nil"/>
              <w:bottom w:val="nil"/>
              <w:right w:val="nil"/>
            </w:tcBorders>
            <w:shd w:val="clear" w:color="auto" w:fill="auto"/>
            <w:noWrap/>
            <w:vAlign w:val="center"/>
            <w:hideMark/>
          </w:tcPr>
          <w:p w:rsidR="001E08F1" w:rsidRPr="005E3F01" w:rsidRDefault="001E08F1" w:rsidP="00D07A42">
            <w:pPr>
              <w:rPr>
                <w:rFonts w:cs="Arial"/>
                <w:color w:val="7F7F7F"/>
                <w:szCs w:val="18"/>
                <w:lang w:eastAsia="en-AU"/>
              </w:rPr>
            </w:pPr>
            <w:r w:rsidRPr="005E3F01">
              <w:rPr>
                <w:rFonts w:cs="Arial"/>
                <w:color w:val="7F7F7F"/>
                <w:szCs w:val="18"/>
                <w:lang w:eastAsia="en-AU"/>
              </w:rPr>
              <w:t>Cert III/IV</w:t>
            </w:r>
          </w:p>
        </w:tc>
        <w:tc>
          <w:tcPr>
            <w:tcW w:w="1190" w:type="dxa"/>
            <w:tcBorders>
              <w:top w:val="nil"/>
              <w:left w:val="nil"/>
              <w:bottom w:val="nil"/>
              <w:right w:val="nil"/>
            </w:tcBorders>
            <w:shd w:val="clear" w:color="auto" w:fill="auto"/>
            <w:noWrap/>
            <w:vAlign w:val="center"/>
            <w:hideMark/>
          </w:tcPr>
          <w:p w:rsidR="001E08F1" w:rsidRPr="005E3F01" w:rsidRDefault="001E08F1" w:rsidP="00D07A42">
            <w:pPr>
              <w:jc w:val="right"/>
              <w:rPr>
                <w:rFonts w:cs="Arial"/>
                <w:color w:val="7F7F7F"/>
                <w:szCs w:val="18"/>
                <w:lang w:eastAsia="en-AU"/>
              </w:rPr>
            </w:pPr>
            <w:r w:rsidRPr="005E3F01">
              <w:rPr>
                <w:rFonts w:cs="Arial"/>
                <w:color w:val="7F7F7F"/>
                <w:szCs w:val="18"/>
                <w:lang w:eastAsia="en-AU"/>
              </w:rPr>
              <w:t>161%</w:t>
            </w:r>
          </w:p>
        </w:tc>
        <w:tc>
          <w:tcPr>
            <w:tcW w:w="1191" w:type="dxa"/>
            <w:tcBorders>
              <w:top w:val="nil"/>
              <w:left w:val="nil"/>
              <w:bottom w:val="nil"/>
              <w:right w:val="nil"/>
            </w:tcBorders>
            <w:shd w:val="clear" w:color="auto" w:fill="auto"/>
            <w:noWrap/>
            <w:vAlign w:val="center"/>
            <w:hideMark/>
          </w:tcPr>
          <w:p w:rsidR="001E08F1" w:rsidRPr="005E3F01" w:rsidRDefault="001E08F1" w:rsidP="00D07A42">
            <w:pPr>
              <w:jc w:val="right"/>
              <w:rPr>
                <w:rFonts w:cs="Arial"/>
                <w:color w:val="7F7F7F"/>
                <w:szCs w:val="18"/>
                <w:lang w:eastAsia="en-AU"/>
              </w:rPr>
            </w:pPr>
            <w:r w:rsidRPr="005E3F01">
              <w:rPr>
                <w:rFonts w:cs="Arial"/>
                <w:color w:val="7F7F7F"/>
                <w:szCs w:val="18"/>
                <w:lang w:eastAsia="en-AU"/>
              </w:rPr>
              <w:t>78%</w:t>
            </w:r>
          </w:p>
        </w:tc>
        <w:tc>
          <w:tcPr>
            <w:tcW w:w="1190" w:type="dxa"/>
            <w:tcBorders>
              <w:top w:val="nil"/>
              <w:left w:val="nil"/>
              <w:bottom w:val="nil"/>
              <w:right w:val="nil"/>
            </w:tcBorders>
            <w:shd w:val="clear" w:color="auto" w:fill="auto"/>
            <w:noWrap/>
            <w:vAlign w:val="center"/>
            <w:hideMark/>
          </w:tcPr>
          <w:p w:rsidR="001E08F1" w:rsidRPr="005E3F01" w:rsidRDefault="001E08F1" w:rsidP="00D07A42">
            <w:pPr>
              <w:jc w:val="right"/>
              <w:rPr>
                <w:rFonts w:cs="Arial"/>
                <w:color w:val="7F7F7F"/>
                <w:szCs w:val="18"/>
                <w:lang w:eastAsia="en-AU"/>
              </w:rPr>
            </w:pPr>
            <w:r w:rsidRPr="005E3F01">
              <w:rPr>
                <w:rFonts w:cs="Arial"/>
                <w:color w:val="7F7F7F"/>
                <w:szCs w:val="18"/>
                <w:lang w:eastAsia="en-AU"/>
              </w:rPr>
              <w:t>4%</w:t>
            </w:r>
          </w:p>
        </w:tc>
        <w:tc>
          <w:tcPr>
            <w:tcW w:w="1191" w:type="dxa"/>
            <w:tcBorders>
              <w:top w:val="nil"/>
              <w:left w:val="nil"/>
              <w:bottom w:val="nil"/>
              <w:right w:val="nil"/>
            </w:tcBorders>
            <w:shd w:val="clear" w:color="auto" w:fill="auto"/>
            <w:noWrap/>
            <w:vAlign w:val="center"/>
            <w:hideMark/>
          </w:tcPr>
          <w:p w:rsidR="001E08F1" w:rsidRPr="005E3F01" w:rsidRDefault="001E08F1" w:rsidP="00D07A42">
            <w:pPr>
              <w:jc w:val="right"/>
              <w:rPr>
                <w:rFonts w:cs="Arial"/>
                <w:color w:val="7F7F7F"/>
                <w:szCs w:val="18"/>
                <w:lang w:eastAsia="en-AU"/>
              </w:rPr>
            </w:pPr>
            <w:r w:rsidRPr="005E3F01">
              <w:rPr>
                <w:rFonts w:cs="Arial"/>
                <w:color w:val="7F7F7F"/>
                <w:szCs w:val="18"/>
                <w:lang w:eastAsia="en-AU"/>
              </w:rPr>
              <w:t>9%</w:t>
            </w:r>
          </w:p>
        </w:tc>
        <w:tc>
          <w:tcPr>
            <w:tcW w:w="1191" w:type="dxa"/>
            <w:tcBorders>
              <w:top w:val="nil"/>
              <w:left w:val="nil"/>
              <w:bottom w:val="nil"/>
              <w:right w:val="nil"/>
            </w:tcBorders>
            <w:shd w:val="clear" w:color="auto" w:fill="auto"/>
            <w:noWrap/>
            <w:vAlign w:val="center"/>
            <w:hideMark/>
          </w:tcPr>
          <w:p w:rsidR="001E08F1" w:rsidRPr="005E3F01" w:rsidRDefault="001E08F1" w:rsidP="00D07A42">
            <w:pPr>
              <w:jc w:val="right"/>
              <w:rPr>
                <w:rFonts w:cs="Arial"/>
                <w:color w:val="7F7F7F"/>
                <w:szCs w:val="18"/>
                <w:lang w:eastAsia="en-AU"/>
              </w:rPr>
            </w:pPr>
            <w:r w:rsidRPr="005E3F01">
              <w:rPr>
                <w:rFonts w:cs="Arial"/>
                <w:color w:val="7F7F7F"/>
                <w:szCs w:val="18"/>
                <w:lang w:eastAsia="en-AU"/>
              </w:rPr>
              <w:t>-13%</w:t>
            </w:r>
          </w:p>
        </w:tc>
      </w:tr>
      <w:tr w:rsidR="001E08F1" w:rsidRPr="005E3F01" w:rsidTr="00D07A42">
        <w:trPr>
          <w:trHeight w:val="300"/>
        </w:trPr>
        <w:tc>
          <w:tcPr>
            <w:tcW w:w="2142" w:type="dxa"/>
            <w:tcBorders>
              <w:top w:val="nil"/>
              <w:left w:val="nil"/>
              <w:bottom w:val="nil"/>
              <w:right w:val="nil"/>
            </w:tcBorders>
            <w:shd w:val="clear" w:color="auto" w:fill="auto"/>
            <w:noWrap/>
            <w:vAlign w:val="center"/>
            <w:hideMark/>
          </w:tcPr>
          <w:p w:rsidR="001E08F1" w:rsidRPr="005E3F01" w:rsidRDefault="001E08F1" w:rsidP="00D07A42">
            <w:pPr>
              <w:rPr>
                <w:rFonts w:cs="Arial"/>
                <w:color w:val="7F7F7F"/>
                <w:szCs w:val="18"/>
                <w:lang w:eastAsia="en-AU"/>
              </w:rPr>
            </w:pPr>
            <w:r w:rsidRPr="005E3F01">
              <w:rPr>
                <w:rFonts w:cs="Arial"/>
                <w:color w:val="7F7F7F"/>
                <w:szCs w:val="18"/>
                <w:lang w:eastAsia="en-AU"/>
              </w:rPr>
              <w:t>Diploma &amp; Above</w:t>
            </w:r>
          </w:p>
        </w:tc>
        <w:tc>
          <w:tcPr>
            <w:tcW w:w="1190" w:type="dxa"/>
            <w:tcBorders>
              <w:top w:val="nil"/>
              <w:left w:val="nil"/>
              <w:bottom w:val="nil"/>
              <w:right w:val="nil"/>
            </w:tcBorders>
            <w:shd w:val="clear" w:color="auto" w:fill="auto"/>
            <w:noWrap/>
            <w:vAlign w:val="center"/>
            <w:hideMark/>
          </w:tcPr>
          <w:p w:rsidR="001E08F1" w:rsidRPr="005E3F01" w:rsidRDefault="001E08F1" w:rsidP="00D07A42">
            <w:pPr>
              <w:jc w:val="right"/>
              <w:rPr>
                <w:rFonts w:cs="Arial"/>
                <w:color w:val="7F7F7F"/>
                <w:szCs w:val="18"/>
                <w:lang w:eastAsia="en-AU"/>
              </w:rPr>
            </w:pPr>
            <w:r w:rsidRPr="005E3F01">
              <w:rPr>
                <w:rFonts w:cs="Arial"/>
                <w:color w:val="7F7F7F"/>
                <w:szCs w:val="18"/>
                <w:lang w:eastAsia="en-AU"/>
              </w:rPr>
              <w:t>50%</w:t>
            </w:r>
          </w:p>
        </w:tc>
        <w:tc>
          <w:tcPr>
            <w:tcW w:w="1191" w:type="dxa"/>
            <w:tcBorders>
              <w:top w:val="nil"/>
              <w:left w:val="nil"/>
              <w:bottom w:val="nil"/>
              <w:right w:val="nil"/>
            </w:tcBorders>
            <w:shd w:val="clear" w:color="auto" w:fill="auto"/>
            <w:noWrap/>
            <w:vAlign w:val="center"/>
            <w:hideMark/>
          </w:tcPr>
          <w:p w:rsidR="001E08F1" w:rsidRPr="005E3F01" w:rsidRDefault="001E08F1" w:rsidP="00D07A42">
            <w:pPr>
              <w:jc w:val="right"/>
              <w:rPr>
                <w:rFonts w:cs="Arial"/>
                <w:color w:val="7F7F7F"/>
                <w:szCs w:val="18"/>
                <w:lang w:eastAsia="en-AU"/>
              </w:rPr>
            </w:pPr>
            <w:r w:rsidRPr="005E3F01">
              <w:rPr>
                <w:rFonts w:cs="Arial"/>
                <w:color w:val="7F7F7F"/>
                <w:szCs w:val="18"/>
                <w:lang w:eastAsia="en-AU"/>
              </w:rPr>
              <w:t>18%</w:t>
            </w:r>
          </w:p>
        </w:tc>
        <w:tc>
          <w:tcPr>
            <w:tcW w:w="1190" w:type="dxa"/>
            <w:tcBorders>
              <w:top w:val="nil"/>
              <w:left w:val="nil"/>
              <w:bottom w:val="nil"/>
              <w:right w:val="nil"/>
            </w:tcBorders>
            <w:shd w:val="clear" w:color="auto" w:fill="auto"/>
            <w:noWrap/>
            <w:vAlign w:val="center"/>
            <w:hideMark/>
          </w:tcPr>
          <w:p w:rsidR="001E08F1" w:rsidRPr="005E3F01" w:rsidRDefault="001E08F1" w:rsidP="00D07A42">
            <w:pPr>
              <w:jc w:val="right"/>
              <w:rPr>
                <w:rFonts w:cs="Arial"/>
                <w:color w:val="7F7F7F"/>
                <w:szCs w:val="18"/>
                <w:lang w:eastAsia="en-AU"/>
              </w:rPr>
            </w:pPr>
            <w:r w:rsidRPr="005E3F01">
              <w:rPr>
                <w:rFonts w:cs="Arial"/>
                <w:color w:val="7F7F7F"/>
                <w:szCs w:val="18"/>
                <w:lang w:eastAsia="en-AU"/>
              </w:rPr>
              <w:t>-1%</w:t>
            </w:r>
          </w:p>
        </w:tc>
        <w:tc>
          <w:tcPr>
            <w:tcW w:w="1191" w:type="dxa"/>
            <w:tcBorders>
              <w:top w:val="nil"/>
              <w:left w:val="nil"/>
              <w:bottom w:val="nil"/>
              <w:right w:val="nil"/>
            </w:tcBorders>
            <w:shd w:val="clear" w:color="auto" w:fill="auto"/>
            <w:noWrap/>
            <w:vAlign w:val="center"/>
            <w:hideMark/>
          </w:tcPr>
          <w:p w:rsidR="001E08F1" w:rsidRPr="005E3F01" w:rsidRDefault="001E08F1" w:rsidP="00D07A42">
            <w:pPr>
              <w:jc w:val="right"/>
              <w:rPr>
                <w:rFonts w:cs="Arial"/>
                <w:color w:val="7F7F7F"/>
                <w:szCs w:val="18"/>
                <w:lang w:eastAsia="en-AU"/>
              </w:rPr>
            </w:pPr>
            <w:r w:rsidRPr="005E3F01">
              <w:rPr>
                <w:rFonts w:cs="Arial"/>
                <w:color w:val="7F7F7F"/>
                <w:szCs w:val="18"/>
                <w:lang w:eastAsia="en-AU"/>
              </w:rPr>
              <w:t>29%</w:t>
            </w:r>
          </w:p>
        </w:tc>
        <w:tc>
          <w:tcPr>
            <w:tcW w:w="1191" w:type="dxa"/>
            <w:tcBorders>
              <w:top w:val="nil"/>
              <w:left w:val="nil"/>
              <w:bottom w:val="nil"/>
              <w:right w:val="nil"/>
            </w:tcBorders>
            <w:shd w:val="clear" w:color="auto" w:fill="auto"/>
            <w:noWrap/>
            <w:vAlign w:val="center"/>
            <w:hideMark/>
          </w:tcPr>
          <w:p w:rsidR="001E08F1" w:rsidRPr="005E3F01" w:rsidRDefault="001E08F1" w:rsidP="00D07A42">
            <w:pPr>
              <w:jc w:val="right"/>
              <w:rPr>
                <w:rFonts w:cs="Arial"/>
                <w:color w:val="7F7F7F"/>
                <w:szCs w:val="18"/>
                <w:lang w:eastAsia="en-AU"/>
              </w:rPr>
            </w:pPr>
            <w:r w:rsidRPr="005E3F01">
              <w:rPr>
                <w:rFonts w:cs="Arial"/>
                <w:color w:val="7F7F7F"/>
                <w:szCs w:val="18"/>
                <w:lang w:eastAsia="en-AU"/>
              </w:rPr>
              <w:t>24%</w:t>
            </w:r>
          </w:p>
        </w:tc>
      </w:tr>
      <w:tr w:rsidR="001E08F1" w:rsidRPr="005E3F01" w:rsidTr="00D07A42">
        <w:trPr>
          <w:trHeight w:val="300"/>
        </w:trPr>
        <w:tc>
          <w:tcPr>
            <w:tcW w:w="2142" w:type="dxa"/>
            <w:tcBorders>
              <w:top w:val="nil"/>
              <w:left w:val="nil"/>
              <w:bottom w:val="nil"/>
              <w:right w:val="nil"/>
            </w:tcBorders>
            <w:shd w:val="clear" w:color="auto" w:fill="auto"/>
            <w:noWrap/>
            <w:vAlign w:val="center"/>
            <w:hideMark/>
          </w:tcPr>
          <w:p w:rsidR="001E08F1" w:rsidRPr="005E3F01" w:rsidRDefault="001E08F1" w:rsidP="00D07A42">
            <w:pPr>
              <w:rPr>
                <w:rFonts w:cs="Arial"/>
                <w:color w:val="7F7F7F"/>
                <w:szCs w:val="18"/>
                <w:lang w:eastAsia="en-AU"/>
              </w:rPr>
            </w:pPr>
            <w:r w:rsidRPr="005E3F01">
              <w:rPr>
                <w:rFonts w:cs="Arial"/>
                <w:color w:val="7F7F7F"/>
                <w:szCs w:val="18"/>
                <w:lang w:eastAsia="en-AU"/>
              </w:rPr>
              <w:t>Module Only</w:t>
            </w:r>
          </w:p>
        </w:tc>
        <w:tc>
          <w:tcPr>
            <w:tcW w:w="1190" w:type="dxa"/>
            <w:tcBorders>
              <w:top w:val="nil"/>
              <w:left w:val="nil"/>
              <w:bottom w:val="nil"/>
              <w:right w:val="nil"/>
            </w:tcBorders>
            <w:shd w:val="clear" w:color="auto" w:fill="auto"/>
            <w:noWrap/>
            <w:vAlign w:val="center"/>
            <w:hideMark/>
          </w:tcPr>
          <w:p w:rsidR="001E08F1" w:rsidRPr="005E3F01" w:rsidRDefault="001E08F1" w:rsidP="00D07A42">
            <w:pPr>
              <w:jc w:val="right"/>
              <w:rPr>
                <w:rFonts w:cs="Arial"/>
                <w:color w:val="7F7F7F"/>
                <w:szCs w:val="18"/>
                <w:lang w:eastAsia="en-AU"/>
              </w:rPr>
            </w:pPr>
            <w:r w:rsidRPr="005E3F01">
              <w:rPr>
                <w:rFonts w:cs="Arial"/>
                <w:color w:val="7F7F7F"/>
                <w:szCs w:val="18"/>
                <w:lang w:eastAsia="en-AU"/>
              </w:rPr>
              <w:t>-79%</w:t>
            </w:r>
          </w:p>
        </w:tc>
        <w:tc>
          <w:tcPr>
            <w:tcW w:w="1191" w:type="dxa"/>
            <w:tcBorders>
              <w:top w:val="nil"/>
              <w:left w:val="nil"/>
              <w:bottom w:val="nil"/>
              <w:right w:val="nil"/>
            </w:tcBorders>
            <w:shd w:val="clear" w:color="auto" w:fill="auto"/>
            <w:noWrap/>
            <w:vAlign w:val="center"/>
            <w:hideMark/>
          </w:tcPr>
          <w:p w:rsidR="001E08F1" w:rsidRPr="005E3F01" w:rsidRDefault="001E08F1" w:rsidP="00D07A42">
            <w:pPr>
              <w:jc w:val="right"/>
              <w:rPr>
                <w:rFonts w:cs="Arial"/>
                <w:color w:val="7F7F7F"/>
                <w:szCs w:val="18"/>
                <w:lang w:eastAsia="en-AU"/>
              </w:rPr>
            </w:pPr>
            <w:r w:rsidRPr="005E3F01">
              <w:rPr>
                <w:rFonts w:cs="Arial"/>
                <w:color w:val="7F7F7F"/>
                <w:szCs w:val="18"/>
                <w:lang w:eastAsia="en-AU"/>
              </w:rPr>
              <w:t>-28%</w:t>
            </w:r>
          </w:p>
        </w:tc>
        <w:tc>
          <w:tcPr>
            <w:tcW w:w="1190" w:type="dxa"/>
            <w:tcBorders>
              <w:top w:val="nil"/>
              <w:left w:val="nil"/>
              <w:bottom w:val="nil"/>
              <w:right w:val="nil"/>
            </w:tcBorders>
            <w:shd w:val="clear" w:color="auto" w:fill="auto"/>
            <w:noWrap/>
            <w:vAlign w:val="center"/>
            <w:hideMark/>
          </w:tcPr>
          <w:p w:rsidR="001E08F1" w:rsidRPr="005E3F01" w:rsidRDefault="001E08F1" w:rsidP="00D07A42">
            <w:pPr>
              <w:jc w:val="right"/>
              <w:rPr>
                <w:rFonts w:cs="Arial"/>
                <w:color w:val="7F7F7F"/>
                <w:szCs w:val="18"/>
                <w:lang w:eastAsia="en-AU"/>
              </w:rPr>
            </w:pPr>
            <w:r w:rsidRPr="005E3F01">
              <w:rPr>
                <w:rFonts w:cs="Arial"/>
                <w:color w:val="7F7F7F"/>
                <w:szCs w:val="18"/>
                <w:lang w:eastAsia="en-AU"/>
              </w:rPr>
              <w:t>90%</w:t>
            </w:r>
          </w:p>
        </w:tc>
        <w:tc>
          <w:tcPr>
            <w:tcW w:w="1191" w:type="dxa"/>
            <w:tcBorders>
              <w:top w:val="nil"/>
              <w:left w:val="nil"/>
              <w:bottom w:val="nil"/>
              <w:right w:val="nil"/>
            </w:tcBorders>
            <w:shd w:val="clear" w:color="auto" w:fill="auto"/>
            <w:noWrap/>
            <w:vAlign w:val="center"/>
            <w:hideMark/>
          </w:tcPr>
          <w:p w:rsidR="001E08F1" w:rsidRPr="005E3F01" w:rsidRDefault="001E08F1" w:rsidP="00D07A42">
            <w:pPr>
              <w:jc w:val="right"/>
              <w:rPr>
                <w:rFonts w:cs="Arial"/>
                <w:color w:val="7F7F7F"/>
                <w:szCs w:val="18"/>
                <w:lang w:eastAsia="en-AU"/>
              </w:rPr>
            </w:pPr>
            <w:r w:rsidRPr="005E3F01">
              <w:rPr>
                <w:rFonts w:cs="Arial"/>
                <w:color w:val="7F7F7F"/>
                <w:szCs w:val="18"/>
                <w:lang w:eastAsia="en-AU"/>
              </w:rPr>
              <w:t>220%</w:t>
            </w:r>
          </w:p>
        </w:tc>
        <w:tc>
          <w:tcPr>
            <w:tcW w:w="1191" w:type="dxa"/>
            <w:tcBorders>
              <w:top w:val="nil"/>
              <w:left w:val="nil"/>
              <w:bottom w:val="nil"/>
              <w:right w:val="nil"/>
            </w:tcBorders>
            <w:shd w:val="clear" w:color="auto" w:fill="auto"/>
            <w:noWrap/>
            <w:vAlign w:val="center"/>
            <w:hideMark/>
          </w:tcPr>
          <w:p w:rsidR="001E08F1" w:rsidRPr="005E3F01" w:rsidRDefault="001E08F1" w:rsidP="00D07A42">
            <w:pPr>
              <w:jc w:val="right"/>
              <w:rPr>
                <w:rFonts w:cs="Arial"/>
                <w:color w:val="7F7F7F"/>
                <w:szCs w:val="18"/>
                <w:lang w:eastAsia="en-AU"/>
              </w:rPr>
            </w:pPr>
            <w:r w:rsidRPr="005E3F01">
              <w:rPr>
                <w:rFonts w:cs="Arial"/>
                <w:color w:val="7F7F7F"/>
                <w:szCs w:val="18"/>
                <w:lang w:eastAsia="en-AU"/>
              </w:rPr>
              <w:t>102%</w:t>
            </w:r>
          </w:p>
        </w:tc>
      </w:tr>
      <w:tr w:rsidR="001E08F1" w:rsidRPr="005E3F01" w:rsidTr="00D07A42">
        <w:trPr>
          <w:trHeight w:val="300"/>
        </w:trPr>
        <w:tc>
          <w:tcPr>
            <w:tcW w:w="2142" w:type="dxa"/>
            <w:tcBorders>
              <w:top w:val="nil"/>
              <w:left w:val="nil"/>
              <w:bottom w:val="nil"/>
              <w:right w:val="nil"/>
            </w:tcBorders>
            <w:shd w:val="clear" w:color="auto" w:fill="auto"/>
            <w:noWrap/>
            <w:vAlign w:val="center"/>
            <w:hideMark/>
          </w:tcPr>
          <w:p w:rsidR="001E08F1" w:rsidRPr="005E3F01" w:rsidRDefault="001E08F1" w:rsidP="00D07A42">
            <w:pPr>
              <w:rPr>
                <w:rFonts w:cs="Arial"/>
                <w:color w:val="7F7F7F"/>
                <w:szCs w:val="18"/>
                <w:lang w:eastAsia="en-AU"/>
              </w:rPr>
            </w:pPr>
            <w:r w:rsidRPr="005E3F01">
              <w:rPr>
                <w:rFonts w:cs="Arial"/>
                <w:color w:val="7F7F7F"/>
                <w:szCs w:val="18"/>
                <w:lang w:eastAsia="en-AU"/>
              </w:rPr>
              <w:t>Secondary Education*</w:t>
            </w:r>
          </w:p>
        </w:tc>
        <w:tc>
          <w:tcPr>
            <w:tcW w:w="1190" w:type="dxa"/>
            <w:tcBorders>
              <w:top w:val="nil"/>
              <w:left w:val="nil"/>
              <w:bottom w:val="nil"/>
              <w:right w:val="nil"/>
            </w:tcBorders>
            <w:shd w:val="clear" w:color="auto" w:fill="auto"/>
            <w:noWrap/>
            <w:vAlign w:val="center"/>
            <w:hideMark/>
          </w:tcPr>
          <w:p w:rsidR="001E08F1" w:rsidRPr="005E3F01" w:rsidRDefault="001E08F1" w:rsidP="00D07A42">
            <w:pPr>
              <w:jc w:val="right"/>
              <w:rPr>
                <w:rFonts w:cs="Arial"/>
                <w:color w:val="7F7F7F"/>
                <w:szCs w:val="18"/>
                <w:lang w:eastAsia="en-AU"/>
              </w:rPr>
            </w:pPr>
            <w:r w:rsidRPr="005E3F01">
              <w:rPr>
                <w:rFonts w:cs="Arial"/>
                <w:color w:val="7F7F7F"/>
                <w:szCs w:val="18"/>
                <w:lang w:eastAsia="en-AU"/>
              </w:rPr>
              <w:t>-22%</w:t>
            </w:r>
          </w:p>
        </w:tc>
        <w:tc>
          <w:tcPr>
            <w:tcW w:w="1191" w:type="dxa"/>
            <w:tcBorders>
              <w:top w:val="nil"/>
              <w:left w:val="nil"/>
              <w:bottom w:val="nil"/>
              <w:right w:val="nil"/>
            </w:tcBorders>
            <w:shd w:val="clear" w:color="auto" w:fill="auto"/>
            <w:noWrap/>
            <w:vAlign w:val="center"/>
            <w:hideMark/>
          </w:tcPr>
          <w:p w:rsidR="001E08F1" w:rsidRPr="005E3F01" w:rsidRDefault="001E08F1" w:rsidP="00D07A42">
            <w:pPr>
              <w:jc w:val="right"/>
              <w:rPr>
                <w:rFonts w:cs="Arial"/>
                <w:color w:val="7F7F7F"/>
                <w:szCs w:val="18"/>
                <w:lang w:eastAsia="en-AU"/>
              </w:rPr>
            </w:pPr>
            <w:r w:rsidRPr="005E3F01">
              <w:rPr>
                <w:rFonts w:cs="Arial"/>
                <w:color w:val="7F7F7F"/>
                <w:szCs w:val="18"/>
                <w:lang w:eastAsia="en-AU"/>
              </w:rPr>
              <w:t>-24%</w:t>
            </w:r>
          </w:p>
        </w:tc>
        <w:tc>
          <w:tcPr>
            <w:tcW w:w="1190" w:type="dxa"/>
            <w:tcBorders>
              <w:top w:val="nil"/>
              <w:left w:val="nil"/>
              <w:bottom w:val="nil"/>
              <w:right w:val="nil"/>
            </w:tcBorders>
            <w:shd w:val="clear" w:color="auto" w:fill="auto"/>
            <w:noWrap/>
            <w:vAlign w:val="center"/>
            <w:hideMark/>
          </w:tcPr>
          <w:p w:rsidR="001E08F1" w:rsidRPr="005E3F01" w:rsidRDefault="001E08F1" w:rsidP="00D07A42">
            <w:pPr>
              <w:jc w:val="right"/>
              <w:rPr>
                <w:rFonts w:cs="Arial"/>
                <w:color w:val="7F7F7F"/>
                <w:szCs w:val="18"/>
                <w:lang w:eastAsia="en-AU"/>
              </w:rPr>
            </w:pPr>
            <w:r w:rsidRPr="005E3F01">
              <w:rPr>
                <w:rFonts w:cs="Arial"/>
                <w:color w:val="7F7F7F"/>
                <w:szCs w:val="18"/>
                <w:lang w:eastAsia="en-AU"/>
              </w:rPr>
              <w:t>-13%</w:t>
            </w:r>
          </w:p>
        </w:tc>
        <w:tc>
          <w:tcPr>
            <w:tcW w:w="1191" w:type="dxa"/>
            <w:tcBorders>
              <w:top w:val="nil"/>
              <w:left w:val="nil"/>
              <w:bottom w:val="nil"/>
              <w:right w:val="nil"/>
            </w:tcBorders>
            <w:shd w:val="clear" w:color="auto" w:fill="auto"/>
            <w:noWrap/>
            <w:vAlign w:val="center"/>
            <w:hideMark/>
          </w:tcPr>
          <w:p w:rsidR="001E08F1" w:rsidRPr="005E3F01" w:rsidRDefault="001E08F1" w:rsidP="00D07A42">
            <w:pPr>
              <w:jc w:val="right"/>
              <w:rPr>
                <w:rFonts w:cs="Arial"/>
                <w:color w:val="7F7F7F"/>
                <w:szCs w:val="18"/>
                <w:lang w:eastAsia="en-AU"/>
              </w:rPr>
            </w:pPr>
            <w:r w:rsidRPr="005E3F01">
              <w:rPr>
                <w:rFonts w:cs="Arial"/>
                <w:color w:val="7F7F7F"/>
                <w:szCs w:val="18"/>
                <w:lang w:eastAsia="en-AU"/>
              </w:rPr>
              <w:t>-19%</w:t>
            </w:r>
          </w:p>
        </w:tc>
        <w:tc>
          <w:tcPr>
            <w:tcW w:w="1191" w:type="dxa"/>
            <w:tcBorders>
              <w:top w:val="nil"/>
              <w:left w:val="nil"/>
              <w:bottom w:val="nil"/>
              <w:right w:val="nil"/>
            </w:tcBorders>
            <w:shd w:val="clear" w:color="auto" w:fill="auto"/>
            <w:noWrap/>
            <w:vAlign w:val="center"/>
            <w:hideMark/>
          </w:tcPr>
          <w:p w:rsidR="001E08F1" w:rsidRPr="005E3F01" w:rsidRDefault="001E08F1" w:rsidP="00D07A42">
            <w:pPr>
              <w:jc w:val="right"/>
              <w:rPr>
                <w:rFonts w:cs="Arial"/>
                <w:color w:val="7F7F7F"/>
                <w:szCs w:val="18"/>
                <w:lang w:eastAsia="en-AU"/>
              </w:rPr>
            </w:pPr>
            <w:r w:rsidRPr="005E3F01">
              <w:rPr>
                <w:rFonts w:cs="Arial"/>
                <w:color w:val="7F7F7F"/>
                <w:szCs w:val="18"/>
                <w:lang w:eastAsia="en-AU"/>
              </w:rPr>
              <w:t>-23%</w:t>
            </w:r>
          </w:p>
        </w:tc>
      </w:tr>
      <w:tr w:rsidR="001E08F1" w:rsidRPr="005E3F01" w:rsidTr="00D07A42">
        <w:trPr>
          <w:trHeight w:val="300"/>
        </w:trPr>
        <w:tc>
          <w:tcPr>
            <w:tcW w:w="2142" w:type="dxa"/>
            <w:tcBorders>
              <w:top w:val="nil"/>
              <w:left w:val="nil"/>
              <w:bottom w:val="nil"/>
              <w:right w:val="nil"/>
            </w:tcBorders>
            <w:shd w:val="clear" w:color="auto" w:fill="auto"/>
            <w:noWrap/>
            <w:vAlign w:val="center"/>
            <w:hideMark/>
          </w:tcPr>
          <w:p w:rsidR="001E08F1" w:rsidRPr="005E3F01" w:rsidRDefault="001E08F1" w:rsidP="00D07A42">
            <w:pPr>
              <w:rPr>
                <w:rFonts w:cs="Arial"/>
                <w:color w:val="7F7F7F"/>
                <w:szCs w:val="18"/>
                <w:lang w:eastAsia="en-AU"/>
              </w:rPr>
            </w:pPr>
            <w:r w:rsidRPr="005E3F01">
              <w:rPr>
                <w:rFonts w:cs="Arial"/>
                <w:color w:val="7F7F7F"/>
                <w:szCs w:val="18"/>
                <w:lang w:eastAsia="en-AU"/>
              </w:rPr>
              <w:t>Other**</w:t>
            </w:r>
          </w:p>
        </w:tc>
        <w:tc>
          <w:tcPr>
            <w:tcW w:w="1190" w:type="dxa"/>
            <w:tcBorders>
              <w:top w:val="nil"/>
              <w:left w:val="nil"/>
              <w:bottom w:val="nil"/>
              <w:right w:val="nil"/>
            </w:tcBorders>
            <w:shd w:val="clear" w:color="auto" w:fill="auto"/>
            <w:noWrap/>
            <w:vAlign w:val="center"/>
            <w:hideMark/>
          </w:tcPr>
          <w:p w:rsidR="001E08F1" w:rsidRPr="005E3F01" w:rsidRDefault="001E08F1" w:rsidP="00D07A42">
            <w:pPr>
              <w:jc w:val="right"/>
              <w:rPr>
                <w:rFonts w:cs="Arial"/>
                <w:color w:val="7F7F7F"/>
                <w:szCs w:val="18"/>
                <w:lang w:eastAsia="en-AU"/>
              </w:rPr>
            </w:pPr>
            <w:r w:rsidRPr="005E3F01">
              <w:rPr>
                <w:rFonts w:cs="Arial"/>
                <w:color w:val="7F7F7F"/>
                <w:szCs w:val="18"/>
                <w:lang w:eastAsia="en-AU"/>
              </w:rPr>
              <w:t>10%</w:t>
            </w:r>
          </w:p>
        </w:tc>
        <w:tc>
          <w:tcPr>
            <w:tcW w:w="1191" w:type="dxa"/>
            <w:tcBorders>
              <w:top w:val="nil"/>
              <w:left w:val="nil"/>
              <w:bottom w:val="nil"/>
              <w:right w:val="nil"/>
            </w:tcBorders>
            <w:shd w:val="clear" w:color="auto" w:fill="auto"/>
            <w:noWrap/>
            <w:vAlign w:val="center"/>
            <w:hideMark/>
          </w:tcPr>
          <w:p w:rsidR="001E08F1" w:rsidRPr="005E3F01" w:rsidRDefault="001E08F1" w:rsidP="00D07A42">
            <w:pPr>
              <w:jc w:val="right"/>
              <w:rPr>
                <w:rFonts w:cs="Arial"/>
                <w:color w:val="7F7F7F"/>
                <w:szCs w:val="18"/>
                <w:lang w:eastAsia="en-AU"/>
              </w:rPr>
            </w:pPr>
            <w:r w:rsidRPr="005E3F01">
              <w:rPr>
                <w:rFonts w:cs="Arial"/>
                <w:color w:val="7F7F7F"/>
                <w:szCs w:val="18"/>
                <w:lang w:eastAsia="en-AU"/>
              </w:rPr>
              <w:t>21%</w:t>
            </w:r>
          </w:p>
        </w:tc>
        <w:tc>
          <w:tcPr>
            <w:tcW w:w="1190" w:type="dxa"/>
            <w:tcBorders>
              <w:top w:val="nil"/>
              <w:left w:val="nil"/>
              <w:bottom w:val="nil"/>
              <w:right w:val="nil"/>
            </w:tcBorders>
            <w:shd w:val="clear" w:color="auto" w:fill="auto"/>
            <w:noWrap/>
            <w:vAlign w:val="center"/>
            <w:hideMark/>
          </w:tcPr>
          <w:p w:rsidR="001E08F1" w:rsidRPr="005E3F01" w:rsidRDefault="001E08F1" w:rsidP="00D07A42">
            <w:pPr>
              <w:jc w:val="right"/>
              <w:rPr>
                <w:rFonts w:cs="Arial"/>
                <w:color w:val="7F7F7F"/>
                <w:szCs w:val="18"/>
                <w:lang w:eastAsia="en-AU"/>
              </w:rPr>
            </w:pPr>
            <w:r w:rsidRPr="005E3F01">
              <w:rPr>
                <w:rFonts w:cs="Arial"/>
                <w:color w:val="7F7F7F"/>
                <w:szCs w:val="18"/>
                <w:lang w:eastAsia="en-AU"/>
              </w:rPr>
              <w:t>-30%</w:t>
            </w:r>
          </w:p>
        </w:tc>
        <w:tc>
          <w:tcPr>
            <w:tcW w:w="1191" w:type="dxa"/>
            <w:tcBorders>
              <w:top w:val="nil"/>
              <w:left w:val="nil"/>
              <w:bottom w:val="nil"/>
              <w:right w:val="nil"/>
            </w:tcBorders>
            <w:shd w:val="clear" w:color="auto" w:fill="auto"/>
            <w:noWrap/>
            <w:vAlign w:val="center"/>
            <w:hideMark/>
          </w:tcPr>
          <w:p w:rsidR="001E08F1" w:rsidRPr="005E3F01" w:rsidRDefault="001E08F1" w:rsidP="00D07A42">
            <w:pPr>
              <w:jc w:val="right"/>
              <w:rPr>
                <w:rFonts w:cs="Arial"/>
                <w:color w:val="7F7F7F"/>
                <w:szCs w:val="18"/>
                <w:lang w:eastAsia="en-AU"/>
              </w:rPr>
            </w:pPr>
            <w:r w:rsidRPr="005E3F01">
              <w:rPr>
                <w:rFonts w:cs="Arial"/>
                <w:color w:val="7F7F7F"/>
                <w:szCs w:val="18"/>
                <w:lang w:eastAsia="en-AU"/>
              </w:rPr>
              <w:t>43%</w:t>
            </w:r>
          </w:p>
        </w:tc>
        <w:tc>
          <w:tcPr>
            <w:tcW w:w="1191" w:type="dxa"/>
            <w:tcBorders>
              <w:top w:val="nil"/>
              <w:left w:val="nil"/>
              <w:bottom w:val="nil"/>
              <w:right w:val="nil"/>
            </w:tcBorders>
            <w:shd w:val="clear" w:color="auto" w:fill="auto"/>
            <w:noWrap/>
            <w:vAlign w:val="center"/>
            <w:hideMark/>
          </w:tcPr>
          <w:p w:rsidR="001E08F1" w:rsidRPr="005E3F01" w:rsidRDefault="001E08F1" w:rsidP="00D07A42">
            <w:pPr>
              <w:jc w:val="right"/>
              <w:rPr>
                <w:rFonts w:cs="Arial"/>
                <w:color w:val="7F7F7F"/>
                <w:szCs w:val="18"/>
                <w:lang w:eastAsia="en-AU"/>
              </w:rPr>
            </w:pPr>
            <w:r w:rsidRPr="005E3F01">
              <w:rPr>
                <w:rFonts w:cs="Arial"/>
                <w:color w:val="7F7F7F"/>
                <w:szCs w:val="18"/>
                <w:lang w:eastAsia="en-AU"/>
              </w:rPr>
              <w:t>66%</w:t>
            </w:r>
          </w:p>
        </w:tc>
      </w:tr>
      <w:tr w:rsidR="001E08F1" w:rsidRPr="005E3F01" w:rsidTr="00D07A42">
        <w:trPr>
          <w:trHeight w:val="300"/>
        </w:trPr>
        <w:tc>
          <w:tcPr>
            <w:tcW w:w="2142" w:type="dxa"/>
            <w:tcBorders>
              <w:top w:val="nil"/>
              <w:left w:val="nil"/>
              <w:bottom w:val="nil"/>
              <w:right w:val="nil"/>
            </w:tcBorders>
            <w:shd w:val="clear" w:color="000000" w:fill="7F7F7F"/>
            <w:noWrap/>
            <w:vAlign w:val="center"/>
            <w:hideMark/>
          </w:tcPr>
          <w:p w:rsidR="001E08F1" w:rsidRPr="005E3F01" w:rsidRDefault="001E08F1" w:rsidP="00D07A42">
            <w:pPr>
              <w:rPr>
                <w:rFonts w:cs="Arial"/>
                <w:b/>
                <w:bCs/>
                <w:color w:val="FFFFFF"/>
                <w:szCs w:val="18"/>
                <w:lang w:eastAsia="en-AU"/>
              </w:rPr>
            </w:pPr>
            <w:r w:rsidRPr="005E3F01">
              <w:rPr>
                <w:rFonts w:cs="Arial"/>
                <w:b/>
                <w:bCs/>
                <w:color w:val="FFFFFF"/>
                <w:szCs w:val="18"/>
                <w:lang w:eastAsia="en-AU"/>
              </w:rPr>
              <w:t>Total</w:t>
            </w:r>
          </w:p>
        </w:tc>
        <w:tc>
          <w:tcPr>
            <w:tcW w:w="1190" w:type="dxa"/>
            <w:tcBorders>
              <w:top w:val="nil"/>
              <w:left w:val="nil"/>
              <w:bottom w:val="nil"/>
              <w:right w:val="nil"/>
            </w:tcBorders>
            <w:shd w:val="clear" w:color="000000" w:fill="7F7F7F"/>
            <w:noWrap/>
            <w:vAlign w:val="center"/>
            <w:hideMark/>
          </w:tcPr>
          <w:p w:rsidR="001E08F1" w:rsidRPr="005E3F01" w:rsidRDefault="001E08F1" w:rsidP="00D07A42">
            <w:pPr>
              <w:jc w:val="right"/>
              <w:rPr>
                <w:rFonts w:cs="Arial"/>
                <w:b/>
                <w:bCs/>
                <w:color w:val="FFFFFF"/>
                <w:szCs w:val="18"/>
                <w:lang w:eastAsia="en-AU"/>
              </w:rPr>
            </w:pPr>
            <w:r w:rsidRPr="005E3F01">
              <w:rPr>
                <w:rFonts w:cs="Arial"/>
                <w:b/>
                <w:bCs/>
                <w:color w:val="FFFFFF"/>
                <w:szCs w:val="18"/>
                <w:lang w:eastAsia="en-AU"/>
              </w:rPr>
              <w:t>85%</w:t>
            </w:r>
          </w:p>
        </w:tc>
        <w:tc>
          <w:tcPr>
            <w:tcW w:w="1191" w:type="dxa"/>
            <w:tcBorders>
              <w:top w:val="nil"/>
              <w:left w:val="nil"/>
              <w:bottom w:val="nil"/>
              <w:right w:val="nil"/>
            </w:tcBorders>
            <w:shd w:val="clear" w:color="000000" w:fill="7F7F7F"/>
            <w:noWrap/>
            <w:vAlign w:val="center"/>
            <w:hideMark/>
          </w:tcPr>
          <w:p w:rsidR="001E08F1" w:rsidRPr="005E3F01" w:rsidRDefault="001E08F1" w:rsidP="00D07A42">
            <w:pPr>
              <w:jc w:val="right"/>
              <w:rPr>
                <w:rFonts w:cs="Arial"/>
                <w:b/>
                <w:bCs/>
                <w:color w:val="FFFFFF"/>
                <w:szCs w:val="18"/>
                <w:lang w:eastAsia="en-AU"/>
              </w:rPr>
            </w:pPr>
            <w:r w:rsidRPr="005E3F01">
              <w:rPr>
                <w:rFonts w:cs="Arial"/>
                <w:b/>
                <w:bCs/>
                <w:color w:val="FFFFFF"/>
                <w:szCs w:val="18"/>
                <w:lang w:eastAsia="en-AU"/>
              </w:rPr>
              <w:t>43%</w:t>
            </w:r>
          </w:p>
        </w:tc>
        <w:tc>
          <w:tcPr>
            <w:tcW w:w="1190" w:type="dxa"/>
            <w:tcBorders>
              <w:top w:val="nil"/>
              <w:left w:val="nil"/>
              <w:bottom w:val="nil"/>
              <w:right w:val="nil"/>
            </w:tcBorders>
            <w:shd w:val="clear" w:color="000000" w:fill="7F7F7F"/>
            <w:noWrap/>
            <w:vAlign w:val="center"/>
            <w:hideMark/>
          </w:tcPr>
          <w:p w:rsidR="001E08F1" w:rsidRPr="005E3F01" w:rsidRDefault="001E08F1" w:rsidP="00D07A42">
            <w:pPr>
              <w:jc w:val="right"/>
              <w:rPr>
                <w:rFonts w:cs="Arial"/>
                <w:b/>
                <w:bCs/>
                <w:color w:val="FFFFFF"/>
                <w:szCs w:val="18"/>
                <w:lang w:eastAsia="en-AU"/>
              </w:rPr>
            </w:pPr>
            <w:r w:rsidRPr="005E3F01">
              <w:rPr>
                <w:rFonts w:cs="Arial"/>
                <w:b/>
                <w:bCs/>
                <w:color w:val="FFFFFF"/>
                <w:szCs w:val="18"/>
                <w:lang w:eastAsia="en-AU"/>
              </w:rPr>
              <w:t>-8%</w:t>
            </w:r>
          </w:p>
        </w:tc>
        <w:tc>
          <w:tcPr>
            <w:tcW w:w="1191" w:type="dxa"/>
            <w:tcBorders>
              <w:top w:val="nil"/>
              <w:left w:val="nil"/>
              <w:bottom w:val="nil"/>
              <w:right w:val="nil"/>
            </w:tcBorders>
            <w:shd w:val="clear" w:color="000000" w:fill="7F7F7F"/>
            <w:noWrap/>
            <w:vAlign w:val="center"/>
            <w:hideMark/>
          </w:tcPr>
          <w:p w:rsidR="001E08F1" w:rsidRPr="005E3F01" w:rsidRDefault="001E08F1" w:rsidP="00D07A42">
            <w:pPr>
              <w:jc w:val="right"/>
              <w:rPr>
                <w:rFonts w:cs="Arial"/>
                <w:b/>
                <w:bCs/>
                <w:color w:val="FFFFFF"/>
                <w:szCs w:val="18"/>
                <w:lang w:eastAsia="en-AU"/>
              </w:rPr>
            </w:pPr>
            <w:r w:rsidRPr="005E3F01">
              <w:rPr>
                <w:rFonts w:cs="Arial"/>
                <w:b/>
                <w:bCs/>
                <w:color w:val="FFFFFF"/>
                <w:szCs w:val="18"/>
                <w:lang w:eastAsia="en-AU"/>
              </w:rPr>
              <w:t>-3%</w:t>
            </w:r>
          </w:p>
        </w:tc>
        <w:tc>
          <w:tcPr>
            <w:tcW w:w="1191" w:type="dxa"/>
            <w:tcBorders>
              <w:top w:val="nil"/>
              <w:left w:val="nil"/>
              <w:bottom w:val="nil"/>
              <w:right w:val="nil"/>
            </w:tcBorders>
            <w:shd w:val="clear" w:color="000000" w:fill="7F7F7F"/>
            <w:noWrap/>
            <w:vAlign w:val="center"/>
            <w:hideMark/>
          </w:tcPr>
          <w:p w:rsidR="001E08F1" w:rsidRPr="005E3F01" w:rsidRDefault="001E08F1" w:rsidP="00D07A42">
            <w:pPr>
              <w:jc w:val="right"/>
              <w:rPr>
                <w:rFonts w:cs="Arial"/>
                <w:b/>
                <w:bCs/>
                <w:color w:val="FFFFFF"/>
                <w:szCs w:val="18"/>
                <w:lang w:eastAsia="en-AU"/>
              </w:rPr>
            </w:pPr>
            <w:r w:rsidRPr="005E3F01">
              <w:rPr>
                <w:rFonts w:cs="Arial"/>
                <w:b/>
                <w:bCs/>
                <w:color w:val="FFFFFF"/>
                <w:szCs w:val="18"/>
                <w:lang w:eastAsia="en-AU"/>
              </w:rPr>
              <w:t>-9%</w:t>
            </w:r>
          </w:p>
        </w:tc>
      </w:tr>
    </w:tbl>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4A0" w:firstRow="1" w:lastRow="0" w:firstColumn="1" w:lastColumn="0" w:noHBand="0" w:noVBand="1"/>
      </w:tblPr>
      <w:tblGrid>
        <w:gridCol w:w="431"/>
        <w:gridCol w:w="7649"/>
      </w:tblGrid>
      <w:tr w:rsidR="001E08F1" w:rsidRPr="00913551" w:rsidTr="00D07A42">
        <w:tc>
          <w:tcPr>
            <w:tcW w:w="431" w:type="dxa"/>
            <w:tcMar>
              <w:left w:w="0" w:type="dxa"/>
              <w:right w:w="28" w:type="dxa"/>
            </w:tcMar>
          </w:tcPr>
          <w:p w:rsidR="001E08F1" w:rsidRPr="00913551" w:rsidRDefault="001E08F1" w:rsidP="00D07A42">
            <w:pPr>
              <w:spacing w:after="0" w:line="240" w:lineRule="auto"/>
              <w:jc w:val="right"/>
              <w:rPr>
                <w:color w:val="7F7F7F" w:themeColor="text2"/>
                <w:sz w:val="16"/>
                <w:szCs w:val="16"/>
              </w:rPr>
            </w:pPr>
            <w:r w:rsidRPr="00913551">
              <w:rPr>
                <w:color w:val="7F7F7F" w:themeColor="text2"/>
                <w:sz w:val="16"/>
                <w:szCs w:val="16"/>
              </w:rPr>
              <w:t xml:space="preserve">* </w:t>
            </w:r>
          </w:p>
        </w:tc>
        <w:tc>
          <w:tcPr>
            <w:tcW w:w="7649" w:type="dxa"/>
            <w:tcMar>
              <w:left w:w="0" w:type="dxa"/>
              <w:right w:w="28" w:type="dxa"/>
            </w:tcMar>
          </w:tcPr>
          <w:p w:rsidR="001E08F1" w:rsidRPr="00913551" w:rsidRDefault="001E08F1" w:rsidP="00D07A42">
            <w:pPr>
              <w:spacing w:after="0" w:line="240" w:lineRule="auto"/>
              <w:rPr>
                <w:i/>
                <w:color w:val="7F7F7F" w:themeColor="text2"/>
                <w:sz w:val="16"/>
                <w:szCs w:val="16"/>
              </w:rPr>
            </w:pPr>
            <w:proofErr w:type="gramStart"/>
            <w:r w:rsidRPr="00913551">
              <w:rPr>
                <w:i/>
                <w:sz w:val="16"/>
                <w:szCs w:val="16"/>
              </w:rPr>
              <w:t>Includes VCE/VCAL courses of study.</w:t>
            </w:r>
            <w:proofErr w:type="gramEnd"/>
          </w:p>
        </w:tc>
      </w:tr>
      <w:tr w:rsidR="001E08F1" w:rsidRPr="00913551" w:rsidTr="00D07A42">
        <w:tc>
          <w:tcPr>
            <w:tcW w:w="431" w:type="dxa"/>
            <w:tcMar>
              <w:left w:w="0" w:type="dxa"/>
              <w:right w:w="28" w:type="dxa"/>
            </w:tcMar>
          </w:tcPr>
          <w:p w:rsidR="001E08F1" w:rsidRPr="00913551" w:rsidRDefault="001E08F1" w:rsidP="00D07A42">
            <w:pPr>
              <w:spacing w:after="0" w:line="240" w:lineRule="auto"/>
              <w:jc w:val="right"/>
              <w:rPr>
                <w:color w:val="7F7F7F" w:themeColor="text2"/>
                <w:sz w:val="16"/>
                <w:szCs w:val="16"/>
              </w:rPr>
            </w:pPr>
            <w:r w:rsidRPr="00913551">
              <w:rPr>
                <w:color w:val="7F7F7F" w:themeColor="text2"/>
                <w:sz w:val="16"/>
                <w:szCs w:val="16"/>
              </w:rPr>
              <w:t>**</w:t>
            </w:r>
          </w:p>
        </w:tc>
        <w:tc>
          <w:tcPr>
            <w:tcW w:w="7649" w:type="dxa"/>
            <w:tcMar>
              <w:left w:w="0" w:type="dxa"/>
              <w:right w:w="28" w:type="dxa"/>
            </w:tcMar>
          </w:tcPr>
          <w:p w:rsidR="001E08F1" w:rsidRPr="00913551" w:rsidRDefault="001E08F1" w:rsidP="00D07A42">
            <w:pPr>
              <w:spacing w:after="0" w:line="240" w:lineRule="auto"/>
              <w:rPr>
                <w:i/>
                <w:sz w:val="16"/>
                <w:szCs w:val="16"/>
              </w:rPr>
            </w:pPr>
            <w:r w:rsidRPr="00913551">
              <w:rPr>
                <w:i/>
                <w:sz w:val="16"/>
                <w:szCs w:val="16"/>
              </w:rPr>
              <w:t>'Other' includes statement of attainment, other non-award courses or not elsewhere classified.</w:t>
            </w:r>
          </w:p>
        </w:tc>
      </w:tr>
    </w:tbl>
    <w:p w:rsidR="001E08F1" w:rsidRDefault="001E08F1" w:rsidP="001E08F1">
      <w:r>
        <w:br w:type="page"/>
      </w:r>
    </w:p>
    <w:p w:rsidR="001E08F1" w:rsidRPr="00E52149" w:rsidRDefault="001E08F1" w:rsidP="001E08F1">
      <w:pPr>
        <w:pStyle w:val="Heading2"/>
        <w:rPr>
          <w:color w:val="B41F22" w:themeColor="accent1"/>
        </w:rPr>
      </w:pPr>
      <w:bookmarkStart w:id="24" w:name="_Toc432758332"/>
      <w:r w:rsidRPr="00E52149">
        <w:rPr>
          <w:color w:val="B41F22" w:themeColor="accent1"/>
        </w:rPr>
        <w:lastRenderedPageBreak/>
        <w:t>Unemployed Students</w:t>
      </w:r>
      <w:bookmarkEnd w:id="24"/>
    </w:p>
    <w:p w:rsidR="001E08F1" w:rsidRPr="00365EB2" w:rsidRDefault="001E08F1" w:rsidP="001E08F1"/>
    <w:p w:rsidR="001E08F1" w:rsidRPr="00DE7971" w:rsidRDefault="001E08F1" w:rsidP="001E08F1">
      <w:pPr>
        <w:pStyle w:val="Heading3"/>
        <w:rPr>
          <w:color w:val="7F7F7F" w:themeColor="text2"/>
        </w:rPr>
      </w:pPr>
      <w:r>
        <w:rPr>
          <w:color w:val="7F7F7F" w:themeColor="text2"/>
        </w:rPr>
        <w:t xml:space="preserve">Accredited </w:t>
      </w:r>
      <w:r w:rsidRPr="00DE7971">
        <w:rPr>
          <w:color w:val="7F7F7F" w:themeColor="text2"/>
        </w:rPr>
        <w:t>Course Enrolments</w:t>
      </w:r>
    </w:p>
    <w:p w:rsidR="001E08F1" w:rsidRPr="00365EB2" w:rsidRDefault="001E08F1" w:rsidP="001E08F1">
      <w:pPr>
        <w:pStyle w:val="Quote"/>
        <w:pBdr>
          <w:top w:val="single" w:sz="4" w:space="1" w:color="7F7F7F" w:themeColor="text2"/>
          <w:left w:val="single" w:sz="4" w:space="4" w:color="7F7F7F" w:themeColor="text2"/>
          <w:bottom w:val="single" w:sz="4" w:space="1" w:color="7F7F7F" w:themeColor="text2"/>
          <w:right w:val="single" w:sz="4" w:space="4" w:color="7F7F7F" w:themeColor="text2"/>
        </w:pBdr>
        <w:spacing w:after="120"/>
      </w:pPr>
      <w:r w:rsidRPr="00BB466D">
        <w:t>Key points</w:t>
      </w:r>
    </w:p>
    <w:p w:rsidR="001E08F1" w:rsidRPr="00365EB2" w:rsidRDefault="001E08F1" w:rsidP="001E08F1">
      <w:pPr>
        <w:pBdr>
          <w:top w:val="single" w:sz="4" w:space="1" w:color="7F7F7F" w:themeColor="text2"/>
          <w:left w:val="single" w:sz="4" w:space="4" w:color="7F7F7F" w:themeColor="text2"/>
          <w:bottom w:val="single" w:sz="4" w:space="1" w:color="7F7F7F" w:themeColor="text2"/>
          <w:right w:val="single" w:sz="4" w:space="4" w:color="7F7F7F" w:themeColor="text2"/>
        </w:pBdr>
        <w:spacing w:before="120" w:after="120"/>
      </w:pPr>
      <w:r w:rsidRPr="00365EB2">
        <w:t>The 201</w:t>
      </w:r>
      <w:r>
        <w:t>5 (half year)</w:t>
      </w:r>
      <w:r w:rsidRPr="00365EB2">
        <w:t xml:space="preserve"> data shows that:</w:t>
      </w:r>
    </w:p>
    <w:p w:rsidR="001E08F1" w:rsidRPr="00AE7775" w:rsidRDefault="001E08F1" w:rsidP="001E08F1">
      <w:pPr>
        <w:pStyle w:val="ListParagraph"/>
        <w:numPr>
          <w:ilvl w:val="0"/>
          <w:numId w:val="18"/>
        </w:numPr>
        <w:pBdr>
          <w:top w:val="single" w:sz="4" w:space="1" w:color="7F7F7F" w:themeColor="text2"/>
          <w:left w:val="single" w:sz="4" w:space="4" w:color="7F7F7F" w:themeColor="text2"/>
          <w:bottom w:val="single" w:sz="4" w:space="1" w:color="7F7F7F" w:themeColor="text2"/>
          <w:right w:val="single" w:sz="4" w:space="4" w:color="7F7F7F" w:themeColor="text2"/>
        </w:pBdr>
        <w:spacing w:before="120" w:after="120"/>
        <w:ind w:left="426" w:hanging="426"/>
        <w:contextualSpacing w:val="0"/>
        <w:rPr>
          <w:color w:val="7F7F7F" w:themeColor="text2"/>
        </w:rPr>
      </w:pPr>
      <w:r w:rsidRPr="00AE7775">
        <w:rPr>
          <w:color w:val="7F7F7F" w:themeColor="text2"/>
        </w:rPr>
        <w:t>There were 76,4</w:t>
      </w:r>
      <w:r>
        <w:rPr>
          <w:color w:val="7F7F7F" w:themeColor="text2"/>
        </w:rPr>
        <w:t>33</w:t>
      </w:r>
      <w:r w:rsidRPr="00AE7775">
        <w:rPr>
          <w:color w:val="7F7F7F" w:themeColor="text2"/>
        </w:rPr>
        <w:t xml:space="preserve"> unemployed students who were enrolled in 91,071 government subsidised accredited training courses. This is down by 13 per cent of students and 15 per cent of enrolments from the same period in 2014.</w:t>
      </w:r>
    </w:p>
    <w:p w:rsidR="001E08F1" w:rsidRPr="00AE7775" w:rsidRDefault="001E08F1" w:rsidP="001E08F1">
      <w:pPr>
        <w:pStyle w:val="ListParagraph"/>
        <w:numPr>
          <w:ilvl w:val="0"/>
          <w:numId w:val="18"/>
        </w:numPr>
        <w:pBdr>
          <w:top w:val="single" w:sz="4" w:space="1" w:color="7F7F7F" w:themeColor="text2"/>
          <w:left w:val="single" w:sz="4" w:space="4" w:color="7F7F7F" w:themeColor="text2"/>
          <w:bottom w:val="single" w:sz="4" w:space="1" w:color="7F7F7F" w:themeColor="text2"/>
          <w:right w:val="single" w:sz="4" w:space="4" w:color="7F7F7F" w:themeColor="text2"/>
        </w:pBdr>
        <w:spacing w:before="120" w:after="120"/>
        <w:ind w:left="426" w:hanging="426"/>
        <w:contextualSpacing w:val="0"/>
        <w:rPr>
          <w:color w:val="7F7F7F" w:themeColor="text2"/>
        </w:rPr>
      </w:pPr>
      <w:r w:rsidRPr="00AE7775">
        <w:rPr>
          <w:color w:val="7F7F7F" w:themeColor="text2"/>
        </w:rPr>
        <w:t>There was an increase in the number of government subsidised accredited course enrolments by unemployed students in Diploma and above and Module Only qualifications levels compared to the same period in 2014. There was a decrease in enrolments in Certificate I to IV, Secondary Education and Other qualification levels in the same period.</w:t>
      </w:r>
    </w:p>
    <w:p w:rsidR="001E08F1" w:rsidRPr="00AE7775" w:rsidRDefault="001E08F1" w:rsidP="001E08F1">
      <w:pPr>
        <w:pStyle w:val="ListParagraph"/>
        <w:numPr>
          <w:ilvl w:val="0"/>
          <w:numId w:val="18"/>
        </w:numPr>
        <w:pBdr>
          <w:top w:val="single" w:sz="4" w:space="1" w:color="7F7F7F" w:themeColor="text2"/>
          <w:left w:val="single" w:sz="4" w:space="4" w:color="7F7F7F" w:themeColor="text2"/>
          <w:bottom w:val="single" w:sz="4" w:space="1" w:color="7F7F7F" w:themeColor="text2"/>
          <w:right w:val="single" w:sz="4" w:space="4" w:color="7F7F7F" w:themeColor="text2"/>
        </w:pBdr>
        <w:spacing w:before="120"/>
        <w:ind w:left="425" w:hanging="425"/>
        <w:contextualSpacing w:val="0"/>
        <w:rPr>
          <w:color w:val="7F7F7F" w:themeColor="text2"/>
        </w:rPr>
      </w:pPr>
      <w:proofErr w:type="gramStart"/>
      <w:r w:rsidRPr="00AE7775">
        <w:rPr>
          <w:color w:val="7F7F7F" w:themeColor="text2"/>
        </w:rPr>
        <w:t>Seventy five</w:t>
      </w:r>
      <w:proofErr w:type="gramEnd"/>
      <w:r w:rsidRPr="00AE7775">
        <w:rPr>
          <w:color w:val="7F7F7F" w:themeColor="text2"/>
        </w:rPr>
        <w:t xml:space="preserve"> per cent of course enrolments by unemployed students were in Certificate III and above levels.</w:t>
      </w:r>
    </w:p>
    <w:p w:rsidR="001E08F1" w:rsidRPr="00365EB2" w:rsidRDefault="001E08F1" w:rsidP="001E08F1">
      <w:pPr>
        <w:pBdr>
          <w:top w:val="single" w:sz="4" w:space="1" w:color="7F7F7F" w:themeColor="text2"/>
          <w:left w:val="single" w:sz="4" w:space="4" w:color="7F7F7F" w:themeColor="text2"/>
          <w:bottom w:val="single" w:sz="4" w:space="1" w:color="7F7F7F" w:themeColor="text2"/>
          <w:right w:val="single" w:sz="4" w:space="4" w:color="7F7F7F" w:themeColor="text2"/>
        </w:pBdr>
      </w:pPr>
    </w:p>
    <w:p w:rsidR="001E08F1" w:rsidRDefault="001E08F1" w:rsidP="001E08F1"/>
    <w:p w:rsidR="001E08F1" w:rsidRDefault="001E08F1" w:rsidP="001E08F1"/>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1E08F1" w:rsidTr="00D07A42">
        <w:tc>
          <w:tcPr>
            <w:tcW w:w="1134" w:type="dxa"/>
            <w:tcMar>
              <w:left w:w="0" w:type="dxa"/>
              <w:right w:w="0" w:type="dxa"/>
            </w:tcMar>
          </w:tcPr>
          <w:p w:rsidR="001E08F1" w:rsidRDefault="0005261F" w:rsidP="00D07A42">
            <w:pPr>
              <w:pStyle w:val="Quote"/>
              <w:tabs>
                <w:tab w:val="left" w:pos="1134"/>
              </w:tabs>
              <w:rPr>
                <w:b w:val="0"/>
                <w:color w:val="B41F22" w:themeColor="accent1"/>
              </w:rPr>
            </w:pPr>
            <w:r>
              <w:rPr>
                <w:b w:val="0"/>
                <w:color w:val="B41F22" w:themeColor="accent1"/>
              </w:rPr>
              <w:t>Table 2</w:t>
            </w:r>
            <w:r w:rsidR="001E08F1">
              <w:rPr>
                <w:b w:val="0"/>
                <w:color w:val="B41F22" w:themeColor="accent1"/>
              </w:rPr>
              <w:t>.6.1:</w:t>
            </w:r>
          </w:p>
        </w:tc>
        <w:tc>
          <w:tcPr>
            <w:tcW w:w="6946" w:type="dxa"/>
            <w:tcMar>
              <w:left w:w="0" w:type="dxa"/>
              <w:right w:w="0" w:type="dxa"/>
            </w:tcMar>
          </w:tcPr>
          <w:p w:rsidR="001E08F1" w:rsidRDefault="001E08F1" w:rsidP="00D07A42">
            <w:pPr>
              <w:pStyle w:val="Quote"/>
              <w:tabs>
                <w:tab w:val="left" w:pos="1134"/>
              </w:tabs>
              <w:rPr>
                <w:b w:val="0"/>
                <w:color w:val="B41F22" w:themeColor="accent1"/>
              </w:rPr>
            </w:pPr>
            <w:r w:rsidRPr="00E52149">
              <w:rPr>
                <w:b w:val="0"/>
                <w:color w:val="B41F22" w:themeColor="accent1"/>
              </w:rPr>
              <w:t>Enrolments in government subsidised accredited training by unemployed students by qualification level, 2010 to 2015 (half year)</w:t>
            </w:r>
          </w:p>
        </w:tc>
      </w:tr>
    </w:tbl>
    <w:tbl>
      <w:tblPr>
        <w:tblW w:w="8095" w:type="dxa"/>
        <w:tblInd w:w="93" w:type="dxa"/>
        <w:tblLayout w:type="fixed"/>
        <w:tblLook w:val="04A0" w:firstRow="1" w:lastRow="0" w:firstColumn="1" w:lastColumn="0" w:noHBand="0" w:noVBand="1"/>
      </w:tblPr>
      <w:tblGrid>
        <w:gridCol w:w="2142"/>
        <w:gridCol w:w="992"/>
        <w:gridCol w:w="992"/>
        <w:gridCol w:w="992"/>
        <w:gridCol w:w="992"/>
        <w:gridCol w:w="992"/>
        <w:gridCol w:w="993"/>
      </w:tblGrid>
      <w:tr w:rsidR="001E08F1" w:rsidRPr="00E52149" w:rsidTr="00D07A42">
        <w:trPr>
          <w:trHeight w:val="300"/>
        </w:trPr>
        <w:tc>
          <w:tcPr>
            <w:tcW w:w="2142" w:type="dxa"/>
            <w:tcBorders>
              <w:top w:val="nil"/>
              <w:left w:val="nil"/>
              <w:bottom w:val="nil"/>
              <w:right w:val="nil"/>
            </w:tcBorders>
            <w:shd w:val="clear" w:color="000000" w:fill="7F7F7F"/>
            <w:noWrap/>
            <w:vAlign w:val="center"/>
            <w:hideMark/>
          </w:tcPr>
          <w:p w:rsidR="001E08F1" w:rsidRPr="00E52149" w:rsidRDefault="001E08F1" w:rsidP="00D07A42">
            <w:pPr>
              <w:rPr>
                <w:rFonts w:cs="Arial"/>
                <w:color w:val="FFFFFF"/>
                <w:szCs w:val="18"/>
                <w:lang w:eastAsia="en-AU"/>
              </w:rPr>
            </w:pPr>
            <w:r w:rsidRPr="00E52149">
              <w:rPr>
                <w:rFonts w:cs="Arial"/>
                <w:color w:val="FFFFFF"/>
                <w:szCs w:val="18"/>
                <w:lang w:eastAsia="en-AU"/>
              </w:rPr>
              <w:t> </w:t>
            </w:r>
          </w:p>
        </w:tc>
        <w:tc>
          <w:tcPr>
            <w:tcW w:w="992" w:type="dxa"/>
            <w:tcBorders>
              <w:top w:val="nil"/>
              <w:left w:val="nil"/>
              <w:bottom w:val="nil"/>
              <w:right w:val="nil"/>
            </w:tcBorders>
            <w:shd w:val="clear" w:color="000000" w:fill="7F7F7F"/>
            <w:noWrap/>
            <w:vAlign w:val="center"/>
            <w:hideMark/>
          </w:tcPr>
          <w:p w:rsidR="001E08F1" w:rsidRPr="00E52149" w:rsidRDefault="001E08F1" w:rsidP="00D07A42">
            <w:pPr>
              <w:jc w:val="right"/>
              <w:rPr>
                <w:rFonts w:cs="Arial"/>
                <w:b/>
                <w:bCs/>
                <w:color w:val="FFFFFF"/>
                <w:szCs w:val="18"/>
                <w:lang w:eastAsia="en-AU"/>
              </w:rPr>
            </w:pPr>
            <w:r w:rsidRPr="00E52149">
              <w:rPr>
                <w:rFonts w:cs="Arial"/>
                <w:b/>
                <w:bCs/>
                <w:color w:val="FFFFFF"/>
                <w:szCs w:val="18"/>
                <w:lang w:eastAsia="en-AU"/>
              </w:rPr>
              <w:t>2010</w:t>
            </w:r>
          </w:p>
        </w:tc>
        <w:tc>
          <w:tcPr>
            <w:tcW w:w="992" w:type="dxa"/>
            <w:tcBorders>
              <w:top w:val="nil"/>
              <w:left w:val="nil"/>
              <w:bottom w:val="nil"/>
              <w:right w:val="nil"/>
            </w:tcBorders>
            <w:shd w:val="clear" w:color="000000" w:fill="7F7F7F"/>
            <w:noWrap/>
            <w:vAlign w:val="center"/>
            <w:hideMark/>
          </w:tcPr>
          <w:p w:rsidR="001E08F1" w:rsidRPr="00E52149" w:rsidRDefault="001E08F1" w:rsidP="00D07A42">
            <w:pPr>
              <w:jc w:val="right"/>
              <w:rPr>
                <w:rFonts w:cs="Arial"/>
                <w:b/>
                <w:bCs/>
                <w:color w:val="FFFFFF"/>
                <w:szCs w:val="18"/>
                <w:lang w:eastAsia="en-AU"/>
              </w:rPr>
            </w:pPr>
            <w:r w:rsidRPr="00E52149">
              <w:rPr>
                <w:rFonts w:cs="Arial"/>
                <w:b/>
                <w:bCs/>
                <w:color w:val="FFFFFF"/>
                <w:szCs w:val="18"/>
                <w:lang w:eastAsia="en-AU"/>
              </w:rPr>
              <w:t>2011</w:t>
            </w:r>
          </w:p>
        </w:tc>
        <w:tc>
          <w:tcPr>
            <w:tcW w:w="992" w:type="dxa"/>
            <w:tcBorders>
              <w:top w:val="nil"/>
              <w:left w:val="nil"/>
              <w:bottom w:val="nil"/>
              <w:right w:val="nil"/>
            </w:tcBorders>
            <w:shd w:val="clear" w:color="000000" w:fill="7F7F7F"/>
            <w:noWrap/>
            <w:vAlign w:val="center"/>
            <w:hideMark/>
          </w:tcPr>
          <w:p w:rsidR="001E08F1" w:rsidRPr="00E52149" w:rsidRDefault="001E08F1" w:rsidP="00D07A42">
            <w:pPr>
              <w:jc w:val="right"/>
              <w:rPr>
                <w:rFonts w:cs="Arial"/>
                <w:b/>
                <w:bCs/>
                <w:color w:val="FFFFFF"/>
                <w:szCs w:val="18"/>
                <w:lang w:eastAsia="en-AU"/>
              </w:rPr>
            </w:pPr>
            <w:r w:rsidRPr="00E52149">
              <w:rPr>
                <w:rFonts w:cs="Arial"/>
                <w:b/>
                <w:bCs/>
                <w:color w:val="FFFFFF"/>
                <w:szCs w:val="18"/>
                <w:lang w:eastAsia="en-AU"/>
              </w:rPr>
              <w:t>2012</w:t>
            </w:r>
          </w:p>
        </w:tc>
        <w:tc>
          <w:tcPr>
            <w:tcW w:w="992" w:type="dxa"/>
            <w:tcBorders>
              <w:top w:val="nil"/>
              <w:left w:val="nil"/>
              <w:bottom w:val="nil"/>
              <w:right w:val="nil"/>
            </w:tcBorders>
            <w:shd w:val="clear" w:color="000000" w:fill="7F7F7F"/>
            <w:noWrap/>
            <w:vAlign w:val="center"/>
            <w:hideMark/>
          </w:tcPr>
          <w:p w:rsidR="001E08F1" w:rsidRPr="00E52149" w:rsidRDefault="001E08F1" w:rsidP="00D07A42">
            <w:pPr>
              <w:jc w:val="right"/>
              <w:rPr>
                <w:rFonts w:cs="Arial"/>
                <w:b/>
                <w:bCs/>
                <w:color w:val="FFFFFF"/>
                <w:szCs w:val="18"/>
                <w:lang w:eastAsia="en-AU"/>
              </w:rPr>
            </w:pPr>
            <w:r w:rsidRPr="00E52149">
              <w:rPr>
                <w:rFonts w:cs="Arial"/>
                <w:b/>
                <w:bCs/>
                <w:color w:val="FFFFFF"/>
                <w:szCs w:val="18"/>
                <w:lang w:eastAsia="en-AU"/>
              </w:rPr>
              <w:t>2013</w:t>
            </w:r>
          </w:p>
        </w:tc>
        <w:tc>
          <w:tcPr>
            <w:tcW w:w="992" w:type="dxa"/>
            <w:tcBorders>
              <w:top w:val="nil"/>
              <w:left w:val="nil"/>
              <w:bottom w:val="nil"/>
              <w:right w:val="nil"/>
            </w:tcBorders>
            <w:shd w:val="clear" w:color="000000" w:fill="7F7F7F"/>
            <w:noWrap/>
            <w:vAlign w:val="center"/>
            <w:hideMark/>
          </w:tcPr>
          <w:p w:rsidR="001E08F1" w:rsidRPr="00E52149" w:rsidRDefault="001E08F1" w:rsidP="00D07A42">
            <w:pPr>
              <w:jc w:val="right"/>
              <w:rPr>
                <w:rFonts w:cs="Arial"/>
                <w:b/>
                <w:bCs/>
                <w:color w:val="FFFFFF"/>
                <w:szCs w:val="18"/>
                <w:lang w:eastAsia="en-AU"/>
              </w:rPr>
            </w:pPr>
            <w:r w:rsidRPr="00E52149">
              <w:rPr>
                <w:rFonts w:cs="Arial"/>
                <w:b/>
                <w:bCs/>
                <w:color w:val="FFFFFF"/>
                <w:szCs w:val="18"/>
                <w:lang w:eastAsia="en-AU"/>
              </w:rPr>
              <w:t>2014</w:t>
            </w:r>
          </w:p>
        </w:tc>
        <w:tc>
          <w:tcPr>
            <w:tcW w:w="993" w:type="dxa"/>
            <w:tcBorders>
              <w:top w:val="nil"/>
              <w:left w:val="nil"/>
              <w:bottom w:val="nil"/>
              <w:right w:val="nil"/>
            </w:tcBorders>
            <w:shd w:val="clear" w:color="000000" w:fill="7F7F7F"/>
            <w:noWrap/>
            <w:vAlign w:val="center"/>
            <w:hideMark/>
          </w:tcPr>
          <w:p w:rsidR="001E08F1" w:rsidRPr="00E52149" w:rsidRDefault="001E08F1" w:rsidP="00D07A42">
            <w:pPr>
              <w:jc w:val="right"/>
              <w:rPr>
                <w:rFonts w:cs="Arial"/>
                <w:b/>
                <w:bCs/>
                <w:color w:val="FFFFFF"/>
                <w:szCs w:val="18"/>
                <w:lang w:eastAsia="en-AU"/>
              </w:rPr>
            </w:pPr>
            <w:r w:rsidRPr="00E52149">
              <w:rPr>
                <w:rFonts w:cs="Arial"/>
                <w:b/>
                <w:bCs/>
                <w:color w:val="FFFFFF"/>
                <w:szCs w:val="18"/>
                <w:lang w:eastAsia="en-AU"/>
              </w:rPr>
              <w:t>2015</w:t>
            </w:r>
          </w:p>
        </w:tc>
      </w:tr>
      <w:tr w:rsidR="001E08F1" w:rsidRPr="00E52149" w:rsidTr="00D07A42">
        <w:trPr>
          <w:trHeight w:val="300"/>
        </w:trPr>
        <w:tc>
          <w:tcPr>
            <w:tcW w:w="2142" w:type="dxa"/>
            <w:tcBorders>
              <w:top w:val="nil"/>
              <w:left w:val="nil"/>
              <w:bottom w:val="nil"/>
              <w:right w:val="nil"/>
            </w:tcBorders>
            <w:shd w:val="clear" w:color="auto" w:fill="auto"/>
            <w:noWrap/>
            <w:vAlign w:val="center"/>
            <w:hideMark/>
          </w:tcPr>
          <w:p w:rsidR="001E08F1" w:rsidRPr="00E52149" w:rsidRDefault="001E08F1" w:rsidP="00D07A42">
            <w:pPr>
              <w:rPr>
                <w:rFonts w:cs="Arial"/>
                <w:color w:val="7F7F7F"/>
                <w:szCs w:val="18"/>
                <w:lang w:eastAsia="en-AU"/>
              </w:rPr>
            </w:pPr>
            <w:r w:rsidRPr="00E52149">
              <w:rPr>
                <w:rFonts w:cs="Arial"/>
                <w:color w:val="7F7F7F"/>
                <w:szCs w:val="18"/>
                <w:lang w:eastAsia="en-AU"/>
              </w:rPr>
              <w:t>Cert I/II</w:t>
            </w:r>
          </w:p>
        </w:tc>
        <w:tc>
          <w:tcPr>
            <w:tcW w:w="992" w:type="dxa"/>
            <w:tcBorders>
              <w:top w:val="nil"/>
              <w:left w:val="nil"/>
              <w:bottom w:val="nil"/>
              <w:right w:val="nil"/>
            </w:tcBorders>
            <w:shd w:val="clear" w:color="auto" w:fill="auto"/>
            <w:noWrap/>
            <w:vAlign w:val="center"/>
            <w:hideMark/>
          </w:tcPr>
          <w:p w:rsidR="001E08F1" w:rsidRPr="00E52149" w:rsidRDefault="001E08F1" w:rsidP="00D07A42">
            <w:pPr>
              <w:jc w:val="right"/>
              <w:rPr>
                <w:rFonts w:cs="Arial"/>
                <w:color w:val="7F7F7F"/>
                <w:szCs w:val="18"/>
                <w:lang w:eastAsia="en-AU"/>
              </w:rPr>
            </w:pPr>
            <w:r w:rsidRPr="00E52149">
              <w:rPr>
                <w:rFonts w:cs="Arial"/>
                <w:color w:val="7F7F7F"/>
                <w:szCs w:val="18"/>
                <w:lang w:eastAsia="en-AU"/>
              </w:rPr>
              <w:t>13,119</w:t>
            </w:r>
          </w:p>
        </w:tc>
        <w:tc>
          <w:tcPr>
            <w:tcW w:w="992" w:type="dxa"/>
            <w:tcBorders>
              <w:top w:val="nil"/>
              <w:left w:val="nil"/>
              <w:bottom w:val="nil"/>
              <w:right w:val="nil"/>
            </w:tcBorders>
            <w:shd w:val="clear" w:color="auto" w:fill="auto"/>
            <w:noWrap/>
            <w:vAlign w:val="center"/>
            <w:hideMark/>
          </w:tcPr>
          <w:p w:rsidR="001E08F1" w:rsidRPr="00E52149" w:rsidRDefault="001E08F1" w:rsidP="00D07A42">
            <w:pPr>
              <w:jc w:val="right"/>
              <w:rPr>
                <w:rFonts w:cs="Arial"/>
                <w:color w:val="7F7F7F"/>
                <w:szCs w:val="18"/>
                <w:lang w:eastAsia="en-AU"/>
              </w:rPr>
            </w:pPr>
            <w:r w:rsidRPr="00E52149">
              <w:rPr>
                <w:rFonts w:cs="Arial"/>
                <w:color w:val="7F7F7F"/>
                <w:szCs w:val="18"/>
                <w:lang w:eastAsia="en-AU"/>
              </w:rPr>
              <w:t>19,843</w:t>
            </w:r>
          </w:p>
        </w:tc>
        <w:tc>
          <w:tcPr>
            <w:tcW w:w="992" w:type="dxa"/>
            <w:tcBorders>
              <w:top w:val="nil"/>
              <w:left w:val="nil"/>
              <w:bottom w:val="nil"/>
              <w:right w:val="nil"/>
            </w:tcBorders>
            <w:shd w:val="clear" w:color="auto" w:fill="auto"/>
            <w:noWrap/>
            <w:vAlign w:val="center"/>
            <w:hideMark/>
          </w:tcPr>
          <w:p w:rsidR="001E08F1" w:rsidRPr="00E52149" w:rsidRDefault="001E08F1" w:rsidP="00D07A42">
            <w:pPr>
              <w:jc w:val="right"/>
              <w:rPr>
                <w:rFonts w:cs="Arial"/>
                <w:color w:val="7F7F7F"/>
                <w:szCs w:val="18"/>
                <w:lang w:eastAsia="en-AU"/>
              </w:rPr>
            </w:pPr>
            <w:r w:rsidRPr="00E52149">
              <w:rPr>
                <w:rFonts w:cs="Arial"/>
                <w:color w:val="7F7F7F"/>
                <w:szCs w:val="18"/>
                <w:lang w:eastAsia="en-AU"/>
              </w:rPr>
              <w:t>31,886</w:t>
            </w:r>
          </w:p>
        </w:tc>
        <w:tc>
          <w:tcPr>
            <w:tcW w:w="992" w:type="dxa"/>
            <w:tcBorders>
              <w:top w:val="nil"/>
              <w:left w:val="nil"/>
              <w:bottom w:val="nil"/>
              <w:right w:val="nil"/>
            </w:tcBorders>
            <w:shd w:val="clear" w:color="auto" w:fill="auto"/>
            <w:noWrap/>
            <w:vAlign w:val="center"/>
            <w:hideMark/>
          </w:tcPr>
          <w:p w:rsidR="001E08F1" w:rsidRPr="00E52149" w:rsidRDefault="001E08F1" w:rsidP="00D07A42">
            <w:pPr>
              <w:jc w:val="right"/>
              <w:rPr>
                <w:rFonts w:cs="Arial"/>
                <w:color w:val="7F7F7F"/>
                <w:szCs w:val="18"/>
                <w:lang w:eastAsia="en-AU"/>
              </w:rPr>
            </w:pPr>
            <w:r w:rsidRPr="00E52149">
              <w:rPr>
                <w:rFonts w:cs="Arial"/>
                <w:color w:val="7F7F7F"/>
                <w:szCs w:val="18"/>
                <w:lang w:eastAsia="en-AU"/>
              </w:rPr>
              <w:t>38,465</w:t>
            </w:r>
          </w:p>
        </w:tc>
        <w:tc>
          <w:tcPr>
            <w:tcW w:w="992" w:type="dxa"/>
            <w:tcBorders>
              <w:top w:val="nil"/>
              <w:left w:val="nil"/>
              <w:bottom w:val="nil"/>
              <w:right w:val="nil"/>
            </w:tcBorders>
            <w:shd w:val="clear" w:color="auto" w:fill="auto"/>
            <w:noWrap/>
            <w:vAlign w:val="center"/>
            <w:hideMark/>
          </w:tcPr>
          <w:p w:rsidR="001E08F1" w:rsidRPr="00E52149" w:rsidRDefault="001E08F1" w:rsidP="00D07A42">
            <w:pPr>
              <w:jc w:val="right"/>
              <w:rPr>
                <w:rFonts w:cs="Arial"/>
                <w:color w:val="7F7F7F"/>
                <w:szCs w:val="18"/>
                <w:lang w:eastAsia="en-AU"/>
              </w:rPr>
            </w:pPr>
            <w:r w:rsidRPr="00E52149">
              <w:rPr>
                <w:rFonts w:cs="Arial"/>
                <w:color w:val="7F7F7F"/>
                <w:szCs w:val="18"/>
                <w:lang w:eastAsia="en-AU"/>
              </w:rPr>
              <w:t>24,294</w:t>
            </w:r>
          </w:p>
        </w:tc>
        <w:tc>
          <w:tcPr>
            <w:tcW w:w="993" w:type="dxa"/>
            <w:tcBorders>
              <w:top w:val="nil"/>
              <w:left w:val="nil"/>
              <w:bottom w:val="nil"/>
              <w:right w:val="nil"/>
            </w:tcBorders>
            <w:shd w:val="clear" w:color="auto" w:fill="auto"/>
            <w:noWrap/>
            <w:vAlign w:val="center"/>
            <w:hideMark/>
          </w:tcPr>
          <w:p w:rsidR="001E08F1" w:rsidRPr="00E52149" w:rsidRDefault="001E08F1" w:rsidP="00D07A42">
            <w:pPr>
              <w:jc w:val="right"/>
              <w:rPr>
                <w:rFonts w:cs="Arial"/>
                <w:color w:val="7F7F7F"/>
                <w:szCs w:val="18"/>
                <w:lang w:eastAsia="en-AU"/>
              </w:rPr>
            </w:pPr>
            <w:r w:rsidRPr="00E52149">
              <w:rPr>
                <w:rFonts w:cs="Arial"/>
                <w:color w:val="7F7F7F"/>
                <w:szCs w:val="18"/>
                <w:lang w:eastAsia="en-AU"/>
              </w:rPr>
              <w:t>17,902</w:t>
            </w:r>
          </w:p>
        </w:tc>
      </w:tr>
      <w:tr w:rsidR="001E08F1" w:rsidRPr="00E52149" w:rsidTr="00D07A42">
        <w:trPr>
          <w:trHeight w:val="300"/>
        </w:trPr>
        <w:tc>
          <w:tcPr>
            <w:tcW w:w="2142" w:type="dxa"/>
            <w:tcBorders>
              <w:top w:val="nil"/>
              <w:left w:val="nil"/>
              <w:bottom w:val="nil"/>
              <w:right w:val="nil"/>
            </w:tcBorders>
            <w:shd w:val="clear" w:color="auto" w:fill="auto"/>
            <w:noWrap/>
            <w:vAlign w:val="center"/>
            <w:hideMark/>
          </w:tcPr>
          <w:p w:rsidR="001E08F1" w:rsidRPr="00E52149" w:rsidRDefault="001E08F1" w:rsidP="00D07A42">
            <w:pPr>
              <w:rPr>
                <w:rFonts w:cs="Arial"/>
                <w:color w:val="7F7F7F"/>
                <w:szCs w:val="18"/>
                <w:lang w:eastAsia="en-AU"/>
              </w:rPr>
            </w:pPr>
            <w:r w:rsidRPr="00E52149">
              <w:rPr>
                <w:rFonts w:cs="Arial"/>
                <w:color w:val="7F7F7F"/>
                <w:szCs w:val="18"/>
                <w:lang w:eastAsia="en-AU"/>
              </w:rPr>
              <w:t>Cert III/IV</w:t>
            </w:r>
          </w:p>
        </w:tc>
        <w:tc>
          <w:tcPr>
            <w:tcW w:w="992" w:type="dxa"/>
            <w:tcBorders>
              <w:top w:val="nil"/>
              <w:left w:val="nil"/>
              <w:bottom w:val="nil"/>
              <w:right w:val="nil"/>
            </w:tcBorders>
            <w:shd w:val="clear" w:color="auto" w:fill="auto"/>
            <w:noWrap/>
            <w:vAlign w:val="center"/>
            <w:hideMark/>
          </w:tcPr>
          <w:p w:rsidR="001E08F1" w:rsidRPr="00E52149" w:rsidRDefault="001E08F1" w:rsidP="00D07A42">
            <w:pPr>
              <w:jc w:val="right"/>
              <w:rPr>
                <w:rFonts w:cs="Arial"/>
                <w:color w:val="7F7F7F"/>
                <w:szCs w:val="18"/>
                <w:lang w:eastAsia="en-AU"/>
              </w:rPr>
            </w:pPr>
            <w:r w:rsidRPr="00E52149">
              <w:rPr>
                <w:rFonts w:cs="Arial"/>
                <w:color w:val="7F7F7F"/>
                <w:szCs w:val="18"/>
                <w:lang w:eastAsia="en-AU"/>
              </w:rPr>
              <w:t>18,713</w:t>
            </w:r>
          </w:p>
        </w:tc>
        <w:tc>
          <w:tcPr>
            <w:tcW w:w="992" w:type="dxa"/>
            <w:tcBorders>
              <w:top w:val="nil"/>
              <w:left w:val="nil"/>
              <w:bottom w:val="nil"/>
              <w:right w:val="nil"/>
            </w:tcBorders>
            <w:shd w:val="clear" w:color="auto" w:fill="auto"/>
            <w:noWrap/>
            <w:vAlign w:val="center"/>
            <w:hideMark/>
          </w:tcPr>
          <w:p w:rsidR="001E08F1" w:rsidRPr="00E52149" w:rsidRDefault="001E08F1" w:rsidP="00D07A42">
            <w:pPr>
              <w:jc w:val="right"/>
              <w:rPr>
                <w:rFonts w:cs="Arial"/>
                <w:color w:val="7F7F7F"/>
                <w:szCs w:val="18"/>
                <w:lang w:eastAsia="en-AU"/>
              </w:rPr>
            </w:pPr>
            <w:r w:rsidRPr="00E52149">
              <w:rPr>
                <w:rFonts w:cs="Arial"/>
                <w:color w:val="7F7F7F"/>
                <w:szCs w:val="18"/>
                <w:lang w:eastAsia="en-AU"/>
              </w:rPr>
              <w:t>29,450</w:t>
            </w:r>
          </w:p>
        </w:tc>
        <w:tc>
          <w:tcPr>
            <w:tcW w:w="992" w:type="dxa"/>
            <w:tcBorders>
              <w:top w:val="nil"/>
              <w:left w:val="nil"/>
              <w:bottom w:val="nil"/>
              <w:right w:val="nil"/>
            </w:tcBorders>
            <w:shd w:val="clear" w:color="auto" w:fill="auto"/>
            <w:noWrap/>
            <w:vAlign w:val="center"/>
            <w:hideMark/>
          </w:tcPr>
          <w:p w:rsidR="001E08F1" w:rsidRPr="00E52149" w:rsidRDefault="001E08F1" w:rsidP="00D07A42">
            <w:pPr>
              <w:jc w:val="right"/>
              <w:rPr>
                <w:rFonts w:cs="Arial"/>
                <w:color w:val="7F7F7F"/>
                <w:szCs w:val="18"/>
                <w:lang w:eastAsia="en-AU"/>
              </w:rPr>
            </w:pPr>
            <w:r w:rsidRPr="00E52149">
              <w:rPr>
                <w:rFonts w:cs="Arial"/>
                <w:color w:val="7F7F7F"/>
                <w:szCs w:val="18"/>
                <w:lang w:eastAsia="en-AU"/>
              </w:rPr>
              <w:t>51,264</w:t>
            </w:r>
          </w:p>
        </w:tc>
        <w:tc>
          <w:tcPr>
            <w:tcW w:w="992" w:type="dxa"/>
            <w:tcBorders>
              <w:top w:val="nil"/>
              <w:left w:val="nil"/>
              <w:bottom w:val="nil"/>
              <w:right w:val="nil"/>
            </w:tcBorders>
            <w:shd w:val="clear" w:color="auto" w:fill="auto"/>
            <w:noWrap/>
            <w:vAlign w:val="center"/>
            <w:hideMark/>
          </w:tcPr>
          <w:p w:rsidR="001E08F1" w:rsidRPr="00E52149" w:rsidRDefault="001E08F1" w:rsidP="00D07A42">
            <w:pPr>
              <w:jc w:val="right"/>
              <w:rPr>
                <w:rFonts w:cs="Arial"/>
                <w:color w:val="7F7F7F"/>
                <w:szCs w:val="18"/>
                <w:lang w:eastAsia="en-AU"/>
              </w:rPr>
            </w:pPr>
            <w:r w:rsidRPr="00E52149">
              <w:rPr>
                <w:rFonts w:cs="Arial"/>
                <w:color w:val="7F7F7F"/>
                <w:szCs w:val="18"/>
                <w:lang w:eastAsia="en-AU"/>
              </w:rPr>
              <w:t>49,146</w:t>
            </w:r>
          </w:p>
        </w:tc>
        <w:tc>
          <w:tcPr>
            <w:tcW w:w="992" w:type="dxa"/>
            <w:tcBorders>
              <w:top w:val="nil"/>
              <w:left w:val="nil"/>
              <w:bottom w:val="nil"/>
              <w:right w:val="nil"/>
            </w:tcBorders>
            <w:shd w:val="clear" w:color="auto" w:fill="auto"/>
            <w:noWrap/>
            <w:vAlign w:val="center"/>
            <w:hideMark/>
          </w:tcPr>
          <w:p w:rsidR="001E08F1" w:rsidRPr="00E52149" w:rsidRDefault="001E08F1" w:rsidP="00D07A42">
            <w:pPr>
              <w:jc w:val="right"/>
              <w:rPr>
                <w:rFonts w:cs="Arial"/>
                <w:color w:val="7F7F7F"/>
                <w:szCs w:val="18"/>
                <w:lang w:eastAsia="en-AU"/>
              </w:rPr>
            </w:pPr>
            <w:r w:rsidRPr="00E52149">
              <w:rPr>
                <w:rFonts w:cs="Arial"/>
                <w:color w:val="7F7F7F"/>
                <w:szCs w:val="18"/>
                <w:lang w:eastAsia="en-AU"/>
              </w:rPr>
              <w:t>67,793</w:t>
            </w:r>
          </w:p>
        </w:tc>
        <w:tc>
          <w:tcPr>
            <w:tcW w:w="993" w:type="dxa"/>
            <w:tcBorders>
              <w:top w:val="nil"/>
              <w:left w:val="nil"/>
              <w:bottom w:val="nil"/>
              <w:right w:val="nil"/>
            </w:tcBorders>
            <w:shd w:val="clear" w:color="auto" w:fill="auto"/>
            <w:noWrap/>
            <w:vAlign w:val="center"/>
            <w:hideMark/>
          </w:tcPr>
          <w:p w:rsidR="001E08F1" w:rsidRPr="00E52149" w:rsidRDefault="001E08F1" w:rsidP="00D07A42">
            <w:pPr>
              <w:jc w:val="right"/>
              <w:rPr>
                <w:rFonts w:cs="Arial"/>
                <w:color w:val="7F7F7F"/>
                <w:szCs w:val="18"/>
                <w:lang w:eastAsia="en-AU"/>
              </w:rPr>
            </w:pPr>
            <w:r w:rsidRPr="00E52149">
              <w:rPr>
                <w:rFonts w:cs="Arial"/>
                <w:color w:val="7F7F7F"/>
                <w:szCs w:val="18"/>
                <w:lang w:eastAsia="en-AU"/>
              </w:rPr>
              <w:t>56,176</w:t>
            </w:r>
          </w:p>
        </w:tc>
      </w:tr>
      <w:tr w:rsidR="001E08F1" w:rsidRPr="00E52149" w:rsidTr="00D07A42">
        <w:trPr>
          <w:trHeight w:val="300"/>
        </w:trPr>
        <w:tc>
          <w:tcPr>
            <w:tcW w:w="2142" w:type="dxa"/>
            <w:tcBorders>
              <w:top w:val="nil"/>
              <w:left w:val="nil"/>
              <w:bottom w:val="nil"/>
              <w:right w:val="nil"/>
            </w:tcBorders>
            <w:shd w:val="clear" w:color="auto" w:fill="auto"/>
            <w:noWrap/>
            <w:vAlign w:val="center"/>
            <w:hideMark/>
          </w:tcPr>
          <w:p w:rsidR="001E08F1" w:rsidRPr="00E52149" w:rsidRDefault="001E08F1" w:rsidP="00D07A42">
            <w:pPr>
              <w:rPr>
                <w:rFonts w:cs="Arial"/>
                <w:color w:val="7F7F7F"/>
                <w:szCs w:val="18"/>
                <w:lang w:eastAsia="en-AU"/>
              </w:rPr>
            </w:pPr>
            <w:r w:rsidRPr="00E52149">
              <w:rPr>
                <w:rFonts w:cs="Arial"/>
                <w:color w:val="7F7F7F"/>
                <w:szCs w:val="18"/>
                <w:lang w:eastAsia="en-AU"/>
              </w:rPr>
              <w:t>Diploma &amp; Above</w:t>
            </w:r>
          </w:p>
        </w:tc>
        <w:tc>
          <w:tcPr>
            <w:tcW w:w="992" w:type="dxa"/>
            <w:tcBorders>
              <w:top w:val="nil"/>
              <w:left w:val="nil"/>
              <w:bottom w:val="nil"/>
              <w:right w:val="nil"/>
            </w:tcBorders>
            <w:shd w:val="clear" w:color="auto" w:fill="auto"/>
            <w:noWrap/>
            <w:vAlign w:val="center"/>
            <w:hideMark/>
          </w:tcPr>
          <w:p w:rsidR="001E08F1" w:rsidRPr="00E52149" w:rsidRDefault="001E08F1" w:rsidP="00D07A42">
            <w:pPr>
              <w:jc w:val="right"/>
              <w:rPr>
                <w:rFonts w:cs="Arial"/>
                <w:color w:val="7F7F7F"/>
                <w:szCs w:val="18"/>
                <w:lang w:eastAsia="en-AU"/>
              </w:rPr>
            </w:pPr>
            <w:r w:rsidRPr="00E52149">
              <w:rPr>
                <w:rFonts w:cs="Arial"/>
                <w:color w:val="7F7F7F"/>
                <w:szCs w:val="18"/>
                <w:lang w:eastAsia="en-AU"/>
              </w:rPr>
              <w:t>9,747</w:t>
            </w:r>
          </w:p>
        </w:tc>
        <w:tc>
          <w:tcPr>
            <w:tcW w:w="992" w:type="dxa"/>
            <w:tcBorders>
              <w:top w:val="nil"/>
              <w:left w:val="nil"/>
              <w:bottom w:val="nil"/>
              <w:right w:val="nil"/>
            </w:tcBorders>
            <w:shd w:val="clear" w:color="auto" w:fill="auto"/>
            <w:noWrap/>
            <w:vAlign w:val="center"/>
            <w:hideMark/>
          </w:tcPr>
          <w:p w:rsidR="001E08F1" w:rsidRPr="00E52149" w:rsidRDefault="001E08F1" w:rsidP="00D07A42">
            <w:pPr>
              <w:jc w:val="right"/>
              <w:rPr>
                <w:rFonts w:cs="Arial"/>
                <w:color w:val="7F7F7F"/>
                <w:szCs w:val="18"/>
                <w:lang w:eastAsia="en-AU"/>
              </w:rPr>
            </w:pPr>
            <w:r w:rsidRPr="00E52149">
              <w:rPr>
                <w:rFonts w:cs="Arial"/>
                <w:color w:val="7F7F7F"/>
                <w:szCs w:val="18"/>
                <w:lang w:eastAsia="en-AU"/>
              </w:rPr>
              <w:t>12,678</w:t>
            </w:r>
          </w:p>
        </w:tc>
        <w:tc>
          <w:tcPr>
            <w:tcW w:w="992" w:type="dxa"/>
            <w:tcBorders>
              <w:top w:val="nil"/>
              <w:left w:val="nil"/>
              <w:bottom w:val="nil"/>
              <w:right w:val="nil"/>
            </w:tcBorders>
            <w:shd w:val="clear" w:color="auto" w:fill="auto"/>
            <w:noWrap/>
            <w:vAlign w:val="center"/>
            <w:hideMark/>
          </w:tcPr>
          <w:p w:rsidR="001E08F1" w:rsidRPr="00E52149" w:rsidRDefault="001E08F1" w:rsidP="00D07A42">
            <w:pPr>
              <w:jc w:val="right"/>
              <w:rPr>
                <w:rFonts w:cs="Arial"/>
                <w:color w:val="7F7F7F"/>
                <w:szCs w:val="18"/>
                <w:lang w:eastAsia="en-AU"/>
              </w:rPr>
            </w:pPr>
            <w:r w:rsidRPr="00E52149">
              <w:rPr>
                <w:rFonts w:cs="Arial"/>
                <w:color w:val="7F7F7F"/>
                <w:szCs w:val="18"/>
                <w:lang w:eastAsia="en-AU"/>
              </w:rPr>
              <w:t>13,415</w:t>
            </w:r>
          </w:p>
        </w:tc>
        <w:tc>
          <w:tcPr>
            <w:tcW w:w="992" w:type="dxa"/>
            <w:tcBorders>
              <w:top w:val="nil"/>
              <w:left w:val="nil"/>
              <w:bottom w:val="nil"/>
              <w:right w:val="nil"/>
            </w:tcBorders>
            <w:shd w:val="clear" w:color="auto" w:fill="auto"/>
            <w:noWrap/>
            <w:vAlign w:val="center"/>
            <w:hideMark/>
          </w:tcPr>
          <w:p w:rsidR="001E08F1" w:rsidRPr="00E52149" w:rsidRDefault="001E08F1" w:rsidP="00D07A42">
            <w:pPr>
              <w:jc w:val="right"/>
              <w:rPr>
                <w:rFonts w:cs="Arial"/>
                <w:color w:val="7F7F7F"/>
                <w:szCs w:val="18"/>
                <w:lang w:eastAsia="en-AU"/>
              </w:rPr>
            </w:pPr>
            <w:r w:rsidRPr="00E52149">
              <w:rPr>
                <w:rFonts w:cs="Arial"/>
                <w:color w:val="7F7F7F"/>
                <w:szCs w:val="18"/>
                <w:lang w:eastAsia="en-AU"/>
              </w:rPr>
              <w:t>10,190</w:t>
            </w:r>
          </w:p>
        </w:tc>
        <w:tc>
          <w:tcPr>
            <w:tcW w:w="992" w:type="dxa"/>
            <w:tcBorders>
              <w:top w:val="nil"/>
              <w:left w:val="nil"/>
              <w:bottom w:val="nil"/>
              <w:right w:val="nil"/>
            </w:tcBorders>
            <w:shd w:val="clear" w:color="auto" w:fill="auto"/>
            <w:noWrap/>
            <w:vAlign w:val="center"/>
            <w:hideMark/>
          </w:tcPr>
          <w:p w:rsidR="001E08F1" w:rsidRPr="00E52149" w:rsidRDefault="001E08F1" w:rsidP="00D07A42">
            <w:pPr>
              <w:jc w:val="right"/>
              <w:rPr>
                <w:rFonts w:cs="Arial"/>
                <w:color w:val="7F7F7F"/>
                <w:szCs w:val="18"/>
                <w:lang w:eastAsia="en-AU"/>
              </w:rPr>
            </w:pPr>
            <w:r w:rsidRPr="00E52149">
              <w:rPr>
                <w:rFonts w:cs="Arial"/>
                <w:color w:val="7F7F7F"/>
                <w:szCs w:val="18"/>
                <w:lang w:eastAsia="en-AU"/>
              </w:rPr>
              <w:t>10,271</w:t>
            </w:r>
          </w:p>
        </w:tc>
        <w:tc>
          <w:tcPr>
            <w:tcW w:w="993" w:type="dxa"/>
            <w:tcBorders>
              <w:top w:val="nil"/>
              <w:left w:val="nil"/>
              <w:bottom w:val="nil"/>
              <w:right w:val="nil"/>
            </w:tcBorders>
            <w:shd w:val="clear" w:color="auto" w:fill="auto"/>
            <w:noWrap/>
            <w:vAlign w:val="center"/>
            <w:hideMark/>
          </w:tcPr>
          <w:p w:rsidR="001E08F1" w:rsidRPr="00E52149" w:rsidRDefault="001E08F1" w:rsidP="00D07A42">
            <w:pPr>
              <w:jc w:val="right"/>
              <w:rPr>
                <w:rFonts w:cs="Arial"/>
                <w:color w:val="7F7F7F"/>
                <w:szCs w:val="18"/>
                <w:lang w:eastAsia="en-AU"/>
              </w:rPr>
            </w:pPr>
            <w:r w:rsidRPr="00E52149">
              <w:rPr>
                <w:rFonts w:cs="Arial"/>
                <w:color w:val="7F7F7F"/>
                <w:szCs w:val="18"/>
                <w:lang w:eastAsia="en-AU"/>
              </w:rPr>
              <w:t>12,358</w:t>
            </w:r>
          </w:p>
        </w:tc>
      </w:tr>
      <w:tr w:rsidR="001E08F1" w:rsidRPr="00E52149" w:rsidTr="00D07A42">
        <w:trPr>
          <w:trHeight w:val="300"/>
        </w:trPr>
        <w:tc>
          <w:tcPr>
            <w:tcW w:w="2142" w:type="dxa"/>
            <w:tcBorders>
              <w:top w:val="nil"/>
              <w:left w:val="nil"/>
              <w:bottom w:val="nil"/>
              <w:right w:val="nil"/>
            </w:tcBorders>
            <w:shd w:val="clear" w:color="auto" w:fill="auto"/>
            <w:noWrap/>
            <w:vAlign w:val="center"/>
            <w:hideMark/>
          </w:tcPr>
          <w:p w:rsidR="001E08F1" w:rsidRPr="00E52149" w:rsidRDefault="001E08F1" w:rsidP="00D07A42">
            <w:pPr>
              <w:rPr>
                <w:rFonts w:cs="Arial"/>
                <w:color w:val="7F7F7F"/>
                <w:szCs w:val="18"/>
                <w:lang w:eastAsia="en-AU"/>
              </w:rPr>
            </w:pPr>
            <w:r w:rsidRPr="00E52149">
              <w:rPr>
                <w:rFonts w:cs="Arial"/>
                <w:color w:val="7F7F7F"/>
                <w:szCs w:val="18"/>
                <w:lang w:eastAsia="en-AU"/>
              </w:rPr>
              <w:t>Module Only</w:t>
            </w:r>
          </w:p>
        </w:tc>
        <w:tc>
          <w:tcPr>
            <w:tcW w:w="992" w:type="dxa"/>
            <w:tcBorders>
              <w:top w:val="nil"/>
              <w:left w:val="nil"/>
              <w:bottom w:val="nil"/>
              <w:right w:val="nil"/>
            </w:tcBorders>
            <w:shd w:val="clear" w:color="auto" w:fill="auto"/>
            <w:noWrap/>
            <w:vAlign w:val="center"/>
            <w:hideMark/>
          </w:tcPr>
          <w:p w:rsidR="001E08F1" w:rsidRPr="00E52149" w:rsidRDefault="001E08F1" w:rsidP="00D07A42">
            <w:pPr>
              <w:jc w:val="right"/>
              <w:rPr>
                <w:rFonts w:cs="Arial"/>
                <w:color w:val="7F7F7F"/>
                <w:szCs w:val="18"/>
                <w:lang w:eastAsia="en-AU"/>
              </w:rPr>
            </w:pPr>
            <w:r w:rsidRPr="00E52149">
              <w:rPr>
                <w:rFonts w:cs="Arial"/>
                <w:color w:val="7F7F7F"/>
                <w:szCs w:val="18"/>
                <w:lang w:eastAsia="en-AU"/>
              </w:rPr>
              <w:t>2,940</w:t>
            </w:r>
          </w:p>
        </w:tc>
        <w:tc>
          <w:tcPr>
            <w:tcW w:w="992" w:type="dxa"/>
            <w:tcBorders>
              <w:top w:val="nil"/>
              <w:left w:val="nil"/>
              <w:bottom w:val="nil"/>
              <w:right w:val="nil"/>
            </w:tcBorders>
            <w:shd w:val="clear" w:color="auto" w:fill="auto"/>
            <w:noWrap/>
            <w:vAlign w:val="center"/>
            <w:hideMark/>
          </w:tcPr>
          <w:p w:rsidR="001E08F1" w:rsidRPr="00E52149" w:rsidRDefault="001E08F1" w:rsidP="00D07A42">
            <w:pPr>
              <w:jc w:val="right"/>
              <w:rPr>
                <w:rFonts w:cs="Arial"/>
                <w:color w:val="7F7F7F"/>
                <w:szCs w:val="18"/>
                <w:lang w:eastAsia="en-AU"/>
              </w:rPr>
            </w:pPr>
            <w:r w:rsidRPr="00E52149">
              <w:rPr>
                <w:rFonts w:cs="Arial"/>
                <w:color w:val="7F7F7F"/>
                <w:szCs w:val="18"/>
                <w:lang w:eastAsia="en-AU"/>
              </w:rPr>
              <w:t>888</w:t>
            </w:r>
          </w:p>
        </w:tc>
        <w:tc>
          <w:tcPr>
            <w:tcW w:w="992" w:type="dxa"/>
            <w:tcBorders>
              <w:top w:val="nil"/>
              <w:left w:val="nil"/>
              <w:bottom w:val="nil"/>
              <w:right w:val="nil"/>
            </w:tcBorders>
            <w:shd w:val="clear" w:color="auto" w:fill="auto"/>
            <w:noWrap/>
            <w:vAlign w:val="center"/>
            <w:hideMark/>
          </w:tcPr>
          <w:p w:rsidR="001E08F1" w:rsidRPr="00E52149" w:rsidRDefault="001E08F1" w:rsidP="00D07A42">
            <w:pPr>
              <w:jc w:val="right"/>
              <w:rPr>
                <w:rFonts w:cs="Arial"/>
                <w:color w:val="7F7F7F"/>
                <w:szCs w:val="18"/>
                <w:lang w:eastAsia="en-AU"/>
              </w:rPr>
            </w:pPr>
            <w:r w:rsidRPr="00E52149">
              <w:rPr>
                <w:rFonts w:cs="Arial"/>
                <w:color w:val="7F7F7F"/>
                <w:szCs w:val="18"/>
                <w:lang w:eastAsia="en-AU"/>
              </w:rPr>
              <w:t>384</w:t>
            </w:r>
          </w:p>
        </w:tc>
        <w:tc>
          <w:tcPr>
            <w:tcW w:w="992" w:type="dxa"/>
            <w:tcBorders>
              <w:top w:val="nil"/>
              <w:left w:val="nil"/>
              <w:bottom w:val="nil"/>
              <w:right w:val="nil"/>
            </w:tcBorders>
            <w:shd w:val="clear" w:color="auto" w:fill="auto"/>
            <w:noWrap/>
            <w:vAlign w:val="center"/>
            <w:hideMark/>
          </w:tcPr>
          <w:p w:rsidR="001E08F1" w:rsidRPr="00E52149" w:rsidRDefault="001E08F1" w:rsidP="00D07A42">
            <w:pPr>
              <w:jc w:val="right"/>
              <w:rPr>
                <w:rFonts w:cs="Arial"/>
                <w:color w:val="7F7F7F"/>
                <w:szCs w:val="18"/>
                <w:lang w:eastAsia="en-AU"/>
              </w:rPr>
            </w:pPr>
            <w:r w:rsidRPr="00E52149">
              <w:rPr>
                <w:rFonts w:cs="Arial"/>
                <w:color w:val="7F7F7F"/>
                <w:szCs w:val="18"/>
                <w:lang w:eastAsia="en-AU"/>
              </w:rPr>
              <w:t>244</w:t>
            </w:r>
          </w:p>
        </w:tc>
        <w:tc>
          <w:tcPr>
            <w:tcW w:w="992" w:type="dxa"/>
            <w:tcBorders>
              <w:top w:val="nil"/>
              <w:left w:val="nil"/>
              <w:bottom w:val="nil"/>
              <w:right w:val="nil"/>
            </w:tcBorders>
            <w:shd w:val="clear" w:color="auto" w:fill="auto"/>
            <w:noWrap/>
            <w:vAlign w:val="center"/>
            <w:hideMark/>
          </w:tcPr>
          <w:p w:rsidR="001E08F1" w:rsidRPr="00E52149" w:rsidRDefault="001E08F1" w:rsidP="00D07A42">
            <w:pPr>
              <w:jc w:val="right"/>
              <w:rPr>
                <w:rFonts w:cs="Arial"/>
                <w:color w:val="7F7F7F"/>
                <w:szCs w:val="18"/>
                <w:lang w:eastAsia="en-AU"/>
              </w:rPr>
            </w:pPr>
            <w:r w:rsidRPr="00E52149">
              <w:rPr>
                <w:rFonts w:cs="Arial"/>
                <w:color w:val="7F7F7F"/>
                <w:szCs w:val="18"/>
                <w:lang w:eastAsia="en-AU"/>
              </w:rPr>
              <w:t>678</w:t>
            </w:r>
          </w:p>
        </w:tc>
        <w:tc>
          <w:tcPr>
            <w:tcW w:w="993" w:type="dxa"/>
            <w:tcBorders>
              <w:top w:val="nil"/>
              <w:left w:val="nil"/>
              <w:bottom w:val="nil"/>
              <w:right w:val="nil"/>
            </w:tcBorders>
            <w:shd w:val="clear" w:color="auto" w:fill="auto"/>
            <w:noWrap/>
            <w:vAlign w:val="center"/>
            <w:hideMark/>
          </w:tcPr>
          <w:p w:rsidR="001E08F1" w:rsidRPr="00E52149" w:rsidRDefault="001E08F1" w:rsidP="00D07A42">
            <w:pPr>
              <w:jc w:val="right"/>
              <w:rPr>
                <w:rFonts w:cs="Arial"/>
                <w:color w:val="7F7F7F"/>
                <w:szCs w:val="18"/>
                <w:lang w:eastAsia="en-AU"/>
              </w:rPr>
            </w:pPr>
            <w:r w:rsidRPr="00E52149">
              <w:rPr>
                <w:rFonts w:cs="Arial"/>
                <w:color w:val="7F7F7F"/>
                <w:szCs w:val="18"/>
                <w:lang w:eastAsia="en-AU"/>
              </w:rPr>
              <w:t>1,222</w:t>
            </w:r>
          </w:p>
        </w:tc>
      </w:tr>
      <w:tr w:rsidR="001E08F1" w:rsidRPr="00E52149" w:rsidTr="00D07A42">
        <w:trPr>
          <w:trHeight w:val="300"/>
        </w:trPr>
        <w:tc>
          <w:tcPr>
            <w:tcW w:w="2142" w:type="dxa"/>
            <w:tcBorders>
              <w:top w:val="nil"/>
              <w:left w:val="nil"/>
              <w:bottom w:val="nil"/>
              <w:right w:val="nil"/>
            </w:tcBorders>
            <w:shd w:val="clear" w:color="auto" w:fill="auto"/>
            <w:noWrap/>
            <w:vAlign w:val="center"/>
            <w:hideMark/>
          </w:tcPr>
          <w:p w:rsidR="001E08F1" w:rsidRPr="00E52149" w:rsidRDefault="001E08F1" w:rsidP="00D07A42">
            <w:pPr>
              <w:rPr>
                <w:rFonts w:cs="Arial"/>
                <w:color w:val="7F7F7F"/>
                <w:szCs w:val="18"/>
                <w:lang w:eastAsia="en-AU"/>
              </w:rPr>
            </w:pPr>
            <w:r w:rsidRPr="00E52149">
              <w:rPr>
                <w:rFonts w:cs="Arial"/>
                <w:color w:val="7F7F7F"/>
                <w:szCs w:val="18"/>
                <w:lang w:eastAsia="en-AU"/>
              </w:rPr>
              <w:t>Secondary Education*</w:t>
            </w:r>
          </w:p>
        </w:tc>
        <w:tc>
          <w:tcPr>
            <w:tcW w:w="992" w:type="dxa"/>
            <w:tcBorders>
              <w:top w:val="nil"/>
              <w:left w:val="nil"/>
              <w:bottom w:val="nil"/>
              <w:right w:val="nil"/>
            </w:tcBorders>
            <w:shd w:val="clear" w:color="auto" w:fill="auto"/>
            <w:noWrap/>
            <w:vAlign w:val="center"/>
            <w:hideMark/>
          </w:tcPr>
          <w:p w:rsidR="001E08F1" w:rsidRPr="00E52149" w:rsidRDefault="001E08F1" w:rsidP="00D07A42">
            <w:pPr>
              <w:jc w:val="right"/>
              <w:rPr>
                <w:rFonts w:cs="Arial"/>
                <w:color w:val="7F7F7F"/>
                <w:szCs w:val="18"/>
                <w:lang w:eastAsia="en-AU"/>
              </w:rPr>
            </w:pPr>
            <w:r w:rsidRPr="00E52149">
              <w:rPr>
                <w:rFonts w:cs="Arial"/>
                <w:color w:val="7F7F7F"/>
                <w:szCs w:val="18"/>
                <w:lang w:eastAsia="en-AU"/>
              </w:rPr>
              <w:t>2,182</w:t>
            </w:r>
          </w:p>
        </w:tc>
        <w:tc>
          <w:tcPr>
            <w:tcW w:w="992" w:type="dxa"/>
            <w:tcBorders>
              <w:top w:val="nil"/>
              <w:left w:val="nil"/>
              <w:bottom w:val="nil"/>
              <w:right w:val="nil"/>
            </w:tcBorders>
            <w:shd w:val="clear" w:color="auto" w:fill="auto"/>
            <w:noWrap/>
            <w:vAlign w:val="center"/>
            <w:hideMark/>
          </w:tcPr>
          <w:p w:rsidR="001E08F1" w:rsidRPr="00E52149" w:rsidRDefault="001E08F1" w:rsidP="00D07A42">
            <w:pPr>
              <w:jc w:val="right"/>
              <w:rPr>
                <w:rFonts w:cs="Arial"/>
                <w:color w:val="7F7F7F"/>
                <w:szCs w:val="18"/>
                <w:lang w:eastAsia="en-AU"/>
              </w:rPr>
            </w:pPr>
            <w:r w:rsidRPr="00E52149">
              <w:rPr>
                <w:rFonts w:cs="Arial"/>
                <w:color w:val="7F7F7F"/>
                <w:szCs w:val="18"/>
                <w:lang w:eastAsia="en-AU"/>
              </w:rPr>
              <w:t>2,294</w:t>
            </w:r>
          </w:p>
        </w:tc>
        <w:tc>
          <w:tcPr>
            <w:tcW w:w="992" w:type="dxa"/>
            <w:tcBorders>
              <w:top w:val="nil"/>
              <w:left w:val="nil"/>
              <w:bottom w:val="nil"/>
              <w:right w:val="nil"/>
            </w:tcBorders>
            <w:shd w:val="clear" w:color="auto" w:fill="auto"/>
            <w:noWrap/>
            <w:vAlign w:val="center"/>
            <w:hideMark/>
          </w:tcPr>
          <w:p w:rsidR="001E08F1" w:rsidRPr="00E52149" w:rsidRDefault="001E08F1" w:rsidP="00D07A42">
            <w:pPr>
              <w:jc w:val="right"/>
              <w:rPr>
                <w:rFonts w:cs="Arial"/>
                <w:color w:val="7F7F7F"/>
                <w:szCs w:val="18"/>
                <w:lang w:eastAsia="en-AU"/>
              </w:rPr>
            </w:pPr>
            <w:r w:rsidRPr="00E52149">
              <w:rPr>
                <w:rFonts w:cs="Arial"/>
                <w:color w:val="7F7F7F"/>
                <w:szCs w:val="18"/>
                <w:lang w:eastAsia="en-AU"/>
              </w:rPr>
              <w:t>2,534</w:t>
            </w:r>
          </w:p>
        </w:tc>
        <w:tc>
          <w:tcPr>
            <w:tcW w:w="992" w:type="dxa"/>
            <w:tcBorders>
              <w:top w:val="nil"/>
              <w:left w:val="nil"/>
              <w:bottom w:val="nil"/>
              <w:right w:val="nil"/>
            </w:tcBorders>
            <w:shd w:val="clear" w:color="auto" w:fill="auto"/>
            <w:noWrap/>
            <w:vAlign w:val="center"/>
            <w:hideMark/>
          </w:tcPr>
          <w:p w:rsidR="001E08F1" w:rsidRPr="00E52149" w:rsidRDefault="001E08F1" w:rsidP="00D07A42">
            <w:pPr>
              <w:jc w:val="right"/>
              <w:rPr>
                <w:rFonts w:cs="Arial"/>
                <w:color w:val="7F7F7F"/>
                <w:szCs w:val="18"/>
                <w:lang w:eastAsia="en-AU"/>
              </w:rPr>
            </w:pPr>
            <w:r w:rsidRPr="00E52149">
              <w:rPr>
                <w:rFonts w:cs="Arial"/>
                <w:color w:val="7F7F7F"/>
                <w:szCs w:val="18"/>
                <w:lang w:eastAsia="en-AU"/>
              </w:rPr>
              <w:t>2,552</w:t>
            </w:r>
          </w:p>
        </w:tc>
        <w:tc>
          <w:tcPr>
            <w:tcW w:w="992" w:type="dxa"/>
            <w:tcBorders>
              <w:top w:val="nil"/>
              <w:left w:val="nil"/>
              <w:bottom w:val="nil"/>
              <w:right w:val="nil"/>
            </w:tcBorders>
            <w:shd w:val="clear" w:color="auto" w:fill="auto"/>
            <w:noWrap/>
            <w:vAlign w:val="center"/>
            <w:hideMark/>
          </w:tcPr>
          <w:p w:rsidR="001E08F1" w:rsidRPr="00E52149" w:rsidRDefault="001E08F1" w:rsidP="00D07A42">
            <w:pPr>
              <w:jc w:val="right"/>
              <w:rPr>
                <w:rFonts w:cs="Arial"/>
                <w:color w:val="7F7F7F"/>
                <w:szCs w:val="18"/>
                <w:lang w:eastAsia="en-AU"/>
              </w:rPr>
            </w:pPr>
            <w:r w:rsidRPr="00E52149">
              <w:rPr>
                <w:rFonts w:cs="Arial"/>
                <w:color w:val="7F7F7F"/>
                <w:szCs w:val="18"/>
                <w:lang w:eastAsia="en-AU"/>
              </w:rPr>
              <w:t>3,011</w:t>
            </w:r>
          </w:p>
        </w:tc>
        <w:tc>
          <w:tcPr>
            <w:tcW w:w="993" w:type="dxa"/>
            <w:tcBorders>
              <w:top w:val="nil"/>
              <w:left w:val="nil"/>
              <w:bottom w:val="nil"/>
              <w:right w:val="nil"/>
            </w:tcBorders>
            <w:shd w:val="clear" w:color="auto" w:fill="auto"/>
            <w:noWrap/>
            <w:vAlign w:val="center"/>
            <w:hideMark/>
          </w:tcPr>
          <w:p w:rsidR="001E08F1" w:rsidRPr="00E52149" w:rsidRDefault="001E08F1" w:rsidP="00D07A42">
            <w:pPr>
              <w:jc w:val="right"/>
              <w:rPr>
                <w:rFonts w:cs="Arial"/>
                <w:color w:val="7F7F7F"/>
                <w:szCs w:val="18"/>
                <w:lang w:eastAsia="en-AU"/>
              </w:rPr>
            </w:pPr>
            <w:r w:rsidRPr="00E52149">
              <w:rPr>
                <w:rFonts w:cs="Arial"/>
                <w:color w:val="7F7F7F"/>
                <w:szCs w:val="18"/>
                <w:lang w:eastAsia="en-AU"/>
              </w:rPr>
              <w:t>2,174</w:t>
            </w:r>
          </w:p>
        </w:tc>
      </w:tr>
      <w:tr w:rsidR="001E08F1" w:rsidRPr="00E52149" w:rsidTr="00D07A42">
        <w:trPr>
          <w:trHeight w:val="300"/>
        </w:trPr>
        <w:tc>
          <w:tcPr>
            <w:tcW w:w="2142" w:type="dxa"/>
            <w:tcBorders>
              <w:top w:val="nil"/>
              <w:left w:val="nil"/>
              <w:bottom w:val="nil"/>
              <w:right w:val="nil"/>
            </w:tcBorders>
            <w:shd w:val="clear" w:color="auto" w:fill="auto"/>
            <w:noWrap/>
            <w:vAlign w:val="center"/>
            <w:hideMark/>
          </w:tcPr>
          <w:p w:rsidR="001E08F1" w:rsidRPr="00E52149" w:rsidRDefault="001E08F1" w:rsidP="00D07A42">
            <w:pPr>
              <w:rPr>
                <w:rFonts w:cs="Arial"/>
                <w:color w:val="7F7F7F"/>
                <w:szCs w:val="18"/>
                <w:lang w:eastAsia="en-AU"/>
              </w:rPr>
            </w:pPr>
            <w:r w:rsidRPr="00E52149">
              <w:rPr>
                <w:rFonts w:cs="Arial"/>
                <w:color w:val="7F7F7F"/>
                <w:szCs w:val="18"/>
                <w:lang w:eastAsia="en-AU"/>
              </w:rPr>
              <w:t>Other**</w:t>
            </w:r>
          </w:p>
        </w:tc>
        <w:tc>
          <w:tcPr>
            <w:tcW w:w="992" w:type="dxa"/>
            <w:tcBorders>
              <w:top w:val="nil"/>
              <w:left w:val="nil"/>
              <w:bottom w:val="nil"/>
              <w:right w:val="nil"/>
            </w:tcBorders>
            <w:shd w:val="clear" w:color="auto" w:fill="auto"/>
            <w:noWrap/>
            <w:vAlign w:val="center"/>
            <w:hideMark/>
          </w:tcPr>
          <w:p w:rsidR="001E08F1" w:rsidRPr="00E52149" w:rsidRDefault="001E08F1" w:rsidP="00D07A42">
            <w:pPr>
              <w:jc w:val="right"/>
              <w:rPr>
                <w:rFonts w:cs="Arial"/>
                <w:color w:val="7F7F7F"/>
                <w:szCs w:val="18"/>
                <w:lang w:eastAsia="en-AU"/>
              </w:rPr>
            </w:pPr>
            <w:r w:rsidRPr="00E52149">
              <w:rPr>
                <w:rFonts w:cs="Arial"/>
                <w:color w:val="7F7F7F"/>
                <w:szCs w:val="18"/>
                <w:lang w:eastAsia="en-AU"/>
              </w:rPr>
              <w:t>1,720</w:t>
            </w:r>
          </w:p>
        </w:tc>
        <w:tc>
          <w:tcPr>
            <w:tcW w:w="992" w:type="dxa"/>
            <w:tcBorders>
              <w:top w:val="nil"/>
              <w:left w:val="nil"/>
              <w:bottom w:val="nil"/>
              <w:right w:val="nil"/>
            </w:tcBorders>
            <w:shd w:val="clear" w:color="auto" w:fill="auto"/>
            <w:noWrap/>
            <w:vAlign w:val="center"/>
            <w:hideMark/>
          </w:tcPr>
          <w:p w:rsidR="001E08F1" w:rsidRPr="00E52149" w:rsidRDefault="001E08F1" w:rsidP="00D07A42">
            <w:pPr>
              <w:jc w:val="right"/>
              <w:rPr>
                <w:rFonts w:cs="Arial"/>
                <w:color w:val="7F7F7F"/>
                <w:szCs w:val="18"/>
                <w:lang w:eastAsia="en-AU"/>
              </w:rPr>
            </w:pPr>
            <w:r w:rsidRPr="00E52149">
              <w:rPr>
                <w:rFonts w:cs="Arial"/>
                <w:color w:val="7F7F7F"/>
                <w:szCs w:val="18"/>
                <w:lang w:eastAsia="en-AU"/>
              </w:rPr>
              <w:t>1,059</w:t>
            </w:r>
          </w:p>
        </w:tc>
        <w:tc>
          <w:tcPr>
            <w:tcW w:w="992" w:type="dxa"/>
            <w:tcBorders>
              <w:top w:val="nil"/>
              <w:left w:val="nil"/>
              <w:bottom w:val="nil"/>
              <w:right w:val="nil"/>
            </w:tcBorders>
            <w:shd w:val="clear" w:color="auto" w:fill="auto"/>
            <w:noWrap/>
            <w:vAlign w:val="center"/>
            <w:hideMark/>
          </w:tcPr>
          <w:p w:rsidR="001E08F1" w:rsidRPr="00E52149" w:rsidRDefault="001E08F1" w:rsidP="00D07A42">
            <w:pPr>
              <w:jc w:val="right"/>
              <w:rPr>
                <w:rFonts w:cs="Arial"/>
                <w:color w:val="7F7F7F"/>
                <w:szCs w:val="18"/>
                <w:lang w:eastAsia="en-AU"/>
              </w:rPr>
            </w:pPr>
            <w:r w:rsidRPr="00E52149">
              <w:rPr>
                <w:rFonts w:cs="Arial"/>
                <w:color w:val="7F7F7F"/>
                <w:szCs w:val="18"/>
                <w:lang w:eastAsia="en-AU"/>
              </w:rPr>
              <w:t>1,835</w:t>
            </w:r>
          </w:p>
        </w:tc>
        <w:tc>
          <w:tcPr>
            <w:tcW w:w="992" w:type="dxa"/>
            <w:tcBorders>
              <w:top w:val="nil"/>
              <w:left w:val="nil"/>
              <w:bottom w:val="nil"/>
              <w:right w:val="nil"/>
            </w:tcBorders>
            <w:shd w:val="clear" w:color="auto" w:fill="auto"/>
            <w:noWrap/>
            <w:vAlign w:val="center"/>
            <w:hideMark/>
          </w:tcPr>
          <w:p w:rsidR="001E08F1" w:rsidRPr="00E52149" w:rsidRDefault="001E08F1" w:rsidP="00D07A42">
            <w:pPr>
              <w:jc w:val="right"/>
              <w:rPr>
                <w:rFonts w:cs="Arial"/>
                <w:color w:val="7F7F7F"/>
                <w:szCs w:val="18"/>
                <w:lang w:eastAsia="en-AU"/>
              </w:rPr>
            </w:pPr>
            <w:r w:rsidRPr="00E52149">
              <w:rPr>
                <w:rFonts w:cs="Arial"/>
                <w:color w:val="7F7F7F"/>
                <w:szCs w:val="18"/>
                <w:lang w:eastAsia="en-AU"/>
              </w:rPr>
              <w:t>1,086</w:t>
            </w:r>
          </w:p>
        </w:tc>
        <w:tc>
          <w:tcPr>
            <w:tcW w:w="992" w:type="dxa"/>
            <w:tcBorders>
              <w:top w:val="nil"/>
              <w:left w:val="nil"/>
              <w:bottom w:val="nil"/>
              <w:right w:val="nil"/>
            </w:tcBorders>
            <w:shd w:val="clear" w:color="auto" w:fill="auto"/>
            <w:noWrap/>
            <w:vAlign w:val="center"/>
            <w:hideMark/>
          </w:tcPr>
          <w:p w:rsidR="001E08F1" w:rsidRPr="00E52149" w:rsidRDefault="001E08F1" w:rsidP="00D07A42">
            <w:pPr>
              <w:jc w:val="right"/>
              <w:rPr>
                <w:rFonts w:cs="Arial"/>
                <w:color w:val="7F7F7F"/>
                <w:szCs w:val="18"/>
                <w:lang w:eastAsia="en-AU"/>
              </w:rPr>
            </w:pPr>
            <w:r w:rsidRPr="00E52149">
              <w:rPr>
                <w:rFonts w:cs="Arial"/>
                <w:color w:val="7F7F7F"/>
                <w:szCs w:val="18"/>
                <w:lang w:eastAsia="en-AU"/>
              </w:rPr>
              <w:t>1,353</w:t>
            </w:r>
          </w:p>
        </w:tc>
        <w:tc>
          <w:tcPr>
            <w:tcW w:w="993" w:type="dxa"/>
            <w:tcBorders>
              <w:top w:val="nil"/>
              <w:left w:val="nil"/>
              <w:bottom w:val="nil"/>
              <w:right w:val="nil"/>
            </w:tcBorders>
            <w:shd w:val="clear" w:color="auto" w:fill="auto"/>
            <w:noWrap/>
            <w:vAlign w:val="center"/>
            <w:hideMark/>
          </w:tcPr>
          <w:p w:rsidR="001E08F1" w:rsidRPr="00E52149" w:rsidRDefault="001E08F1" w:rsidP="00D07A42">
            <w:pPr>
              <w:jc w:val="right"/>
              <w:rPr>
                <w:rFonts w:cs="Arial"/>
                <w:color w:val="7F7F7F"/>
                <w:szCs w:val="18"/>
                <w:lang w:eastAsia="en-AU"/>
              </w:rPr>
            </w:pPr>
            <w:r w:rsidRPr="00E52149">
              <w:rPr>
                <w:rFonts w:cs="Arial"/>
                <w:color w:val="7F7F7F"/>
                <w:szCs w:val="18"/>
                <w:lang w:eastAsia="en-AU"/>
              </w:rPr>
              <w:t>1,239</w:t>
            </w:r>
          </w:p>
        </w:tc>
      </w:tr>
      <w:tr w:rsidR="001E08F1" w:rsidRPr="00E52149" w:rsidTr="00D07A42">
        <w:trPr>
          <w:trHeight w:val="300"/>
        </w:trPr>
        <w:tc>
          <w:tcPr>
            <w:tcW w:w="2142" w:type="dxa"/>
            <w:tcBorders>
              <w:top w:val="nil"/>
              <w:left w:val="nil"/>
              <w:bottom w:val="nil"/>
              <w:right w:val="nil"/>
            </w:tcBorders>
            <w:shd w:val="clear" w:color="000000" w:fill="7F7F7F"/>
            <w:noWrap/>
            <w:vAlign w:val="center"/>
            <w:hideMark/>
          </w:tcPr>
          <w:p w:rsidR="001E08F1" w:rsidRPr="00E52149" w:rsidRDefault="001E08F1" w:rsidP="00D07A42">
            <w:pPr>
              <w:rPr>
                <w:rFonts w:cs="Arial"/>
                <w:b/>
                <w:bCs/>
                <w:color w:val="FFFFFF"/>
                <w:szCs w:val="18"/>
                <w:lang w:eastAsia="en-AU"/>
              </w:rPr>
            </w:pPr>
            <w:r w:rsidRPr="00E52149">
              <w:rPr>
                <w:rFonts w:cs="Arial"/>
                <w:b/>
                <w:bCs/>
                <w:color w:val="FFFFFF"/>
                <w:szCs w:val="18"/>
                <w:lang w:eastAsia="en-AU"/>
              </w:rPr>
              <w:t>Total</w:t>
            </w:r>
          </w:p>
        </w:tc>
        <w:tc>
          <w:tcPr>
            <w:tcW w:w="992" w:type="dxa"/>
            <w:tcBorders>
              <w:top w:val="nil"/>
              <w:left w:val="nil"/>
              <w:bottom w:val="nil"/>
              <w:right w:val="nil"/>
            </w:tcBorders>
            <w:shd w:val="clear" w:color="000000" w:fill="7F7F7F"/>
            <w:noWrap/>
            <w:vAlign w:val="center"/>
            <w:hideMark/>
          </w:tcPr>
          <w:p w:rsidR="001E08F1" w:rsidRPr="00E52149" w:rsidRDefault="001E08F1" w:rsidP="00D07A42">
            <w:pPr>
              <w:jc w:val="right"/>
              <w:rPr>
                <w:rFonts w:cs="Arial"/>
                <w:b/>
                <w:bCs/>
                <w:color w:val="FFFFFF"/>
                <w:szCs w:val="18"/>
                <w:lang w:eastAsia="en-AU"/>
              </w:rPr>
            </w:pPr>
            <w:r w:rsidRPr="00E52149">
              <w:rPr>
                <w:rFonts w:cs="Arial"/>
                <w:b/>
                <w:bCs/>
                <w:color w:val="FFFFFF"/>
                <w:szCs w:val="18"/>
                <w:lang w:eastAsia="en-AU"/>
              </w:rPr>
              <w:t>48,421</w:t>
            </w:r>
          </w:p>
        </w:tc>
        <w:tc>
          <w:tcPr>
            <w:tcW w:w="992" w:type="dxa"/>
            <w:tcBorders>
              <w:top w:val="nil"/>
              <w:left w:val="nil"/>
              <w:bottom w:val="nil"/>
              <w:right w:val="nil"/>
            </w:tcBorders>
            <w:shd w:val="clear" w:color="000000" w:fill="7F7F7F"/>
            <w:noWrap/>
            <w:vAlign w:val="center"/>
            <w:hideMark/>
          </w:tcPr>
          <w:p w:rsidR="001E08F1" w:rsidRPr="00E52149" w:rsidRDefault="001E08F1" w:rsidP="00D07A42">
            <w:pPr>
              <w:jc w:val="right"/>
              <w:rPr>
                <w:rFonts w:cs="Arial"/>
                <w:b/>
                <w:bCs/>
                <w:color w:val="FFFFFF"/>
                <w:szCs w:val="18"/>
                <w:lang w:eastAsia="en-AU"/>
              </w:rPr>
            </w:pPr>
            <w:r w:rsidRPr="00E52149">
              <w:rPr>
                <w:rFonts w:cs="Arial"/>
                <w:b/>
                <w:bCs/>
                <w:color w:val="FFFFFF"/>
                <w:szCs w:val="18"/>
                <w:lang w:eastAsia="en-AU"/>
              </w:rPr>
              <w:t>66,212</w:t>
            </w:r>
          </w:p>
        </w:tc>
        <w:tc>
          <w:tcPr>
            <w:tcW w:w="992" w:type="dxa"/>
            <w:tcBorders>
              <w:top w:val="nil"/>
              <w:left w:val="nil"/>
              <w:bottom w:val="nil"/>
              <w:right w:val="nil"/>
            </w:tcBorders>
            <w:shd w:val="clear" w:color="000000" w:fill="7F7F7F"/>
            <w:noWrap/>
            <w:vAlign w:val="center"/>
            <w:hideMark/>
          </w:tcPr>
          <w:p w:rsidR="001E08F1" w:rsidRPr="00E52149" w:rsidRDefault="001E08F1" w:rsidP="00D07A42">
            <w:pPr>
              <w:jc w:val="right"/>
              <w:rPr>
                <w:rFonts w:cs="Arial"/>
                <w:b/>
                <w:bCs/>
                <w:color w:val="FFFFFF"/>
                <w:szCs w:val="18"/>
                <w:lang w:eastAsia="en-AU"/>
              </w:rPr>
            </w:pPr>
            <w:r w:rsidRPr="00E52149">
              <w:rPr>
                <w:rFonts w:cs="Arial"/>
                <w:b/>
                <w:bCs/>
                <w:color w:val="FFFFFF"/>
                <w:szCs w:val="18"/>
                <w:lang w:eastAsia="en-AU"/>
              </w:rPr>
              <w:t>101,318</w:t>
            </w:r>
          </w:p>
        </w:tc>
        <w:tc>
          <w:tcPr>
            <w:tcW w:w="992" w:type="dxa"/>
            <w:tcBorders>
              <w:top w:val="nil"/>
              <w:left w:val="nil"/>
              <w:bottom w:val="nil"/>
              <w:right w:val="nil"/>
            </w:tcBorders>
            <w:shd w:val="clear" w:color="000000" w:fill="7F7F7F"/>
            <w:noWrap/>
            <w:vAlign w:val="center"/>
            <w:hideMark/>
          </w:tcPr>
          <w:p w:rsidR="001E08F1" w:rsidRPr="00E52149" w:rsidRDefault="001E08F1" w:rsidP="00D07A42">
            <w:pPr>
              <w:jc w:val="right"/>
              <w:rPr>
                <w:rFonts w:cs="Arial"/>
                <w:b/>
                <w:bCs/>
                <w:color w:val="FFFFFF"/>
                <w:szCs w:val="18"/>
                <w:lang w:eastAsia="en-AU"/>
              </w:rPr>
            </w:pPr>
            <w:r w:rsidRPr="00E52149">
              <w:rPr>
                <w:rFonts w:cs="Arial"/>
                <w:b/>
                <w:bCs/>
                <w:color w:val="FFFFFF"/>
                <w:szCs w:val="18"/>
                <w:lang w:eastAsia="en-AU"/>
              </w:rPr>
              <w:t>101,683</w:t>
            </w:r>
          </w:p>
        </w:tc>
        <w:tc>
          <w:tcPr>
            <w:tcW w:w="992" w:type="dxa"/>
            <w:tcBorders>
              <w:top w:val="nil"/>
              <w:left w:val="nil"/>
              <w:bottom w:val="nil"/>
              <w:right w:val="nil"/>
            </w:tcBorders>
            <w:shd w:val="clear" w:color="000000" w:fill="7F7F7F"/>
            <w:noWrap/>
            <w:vAlign w:val="center"/>
            <w:hideMark/>
          </w:tcPr>
          <w:p w:rsidR="001E08F1" w:rsidRPr="00E52149" w:rsidRDefault="001E08F1" w:rsidP="00D07A42">
            <w:pPr>
              <w:jc w:val="right"/>
              <w:rPr>
                <w:rFonts w:cs="Arial"/>
                <w:b/>
                <w:bCs/>
                <w:color w:val="FFFFFF"/>
                <w:szCs w:val="18"/>
                <w:lang w:eastAsia="en-AU"/>
              </w:rPr>
            </w:pPr>
            <w:r w:rsidRPr="00E52149">
              <w:rPr>
                <w:rFonts w:cs="Arial"/>
                <w:b/>
                <w:bCs/>
                <w:color w:val="FFFFFF"/>
                <w:szCs w:val="18"/>
                <w:lang w:eastAsia="en-AU"/>
              </w:rPr>
              <w:t>107,400</w:t>
            </w:r>
          </w:p>
        </w:tc>
        <w:tc>
          <w:tcPr>
            <w:tcW w:w="993" w:type="dxa"/>
            <w:tcBorders>
              <w:top w:val="nil"/>
              <w:left w:val="nil"/>
              <w:bottom w:val="nil"/>
              <w:right w:val="nil"/>
            </w:tcBorders>
            <w:shd w:val="clear" w:color="000000" w:fill="7F7F7F"/>
            <w:noWrap/>
            <w:vAlign w:val="center"/>
            <w:hideMark/>
          </w:tcPr>
          <w:p w:rsidR="001E08F1" w:rsidRPr="00E52149" w:rsidRDefault="001E08F1" w:rsidP="00D07A42">
            <w:pPr>
              <w:jc w:val="right"/>
              <w:rPr>
                <w:rFonts w:cs="Arial"/>
                <w:b/>
                <w:bCs/>
                <w:color w:val="FFFFFF"/>
                <w:szCs w:val="18"/>
                <w:lang w:eastAsia="en-AU"/>
              </w:rPr>
            </w:pPr>
            <w:r w:rsidRPr="00E52149">
              <w:rPr>
                <w:rFonts w:cs="Arial"/>
                <w:b/>
                <w:bCs/>
                <w:color w:val="FFFFFF"/>
                <w:szCs w:val="18"/>
                <w:lang w:eastAsia="en-AU"/>
              </w:rPr>
              <w:t>91,071</w:t>
            </w:r>
          </w:p>
        </w:tc>
      </w:tr>
    </w:tbl>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4A0" w:firstRow="1" w:lastRow="0" w:firstColumn="1" w:lastColumn="0" w:noHBand="0" w:noVBand="1"/>
      </w:tblPr>
      <w:tblGrid>
        <w:gridCol w:w="431"/>
        <w:gridCol w:w="7649"/>
      </w:tblGrid>
      <w:tr w:rsidR="001E08F1" w:rsidRPr="00913551" w:rsidTr="00D07A42">
        <w:tc>
          <w:tcPr>
            <w:tcW w:w="431" w:type="dxa"/>
            <w:tcMar>
              <w:left w:w="0" w:type="dxa"/>
              <w:right w:w="28" w:type="dxa"/>
            </w:tcMar>
          </w:tcPr>
          <w:p w:rsidR="001E08F1" w:rsidRPr="00913551" w:rsidRDefault="001E08F1" w:rsidP="00D07A42">
            <w:pPr>
              <w:spacing w:after="0" w:line="240" w:lineRule="auto"/>
              <w:jc w:val="right"/>
              <w:rPr>
                <w:color w:val="7F7F7F" w:themeColor="text2"/>
                <w:sz w:val="16"/>
                <w:szCs w:val="16"/>
              </w:rPr>
            </w:pPr>
            <w:r w:rsidRPr="00913551">
              <w:rPr>
                <w:color w:val="7F7F7F" w:themeColor="text2"/>
                <w:sz w:val="16"/>
                <w:szCs w:val="16"/>
              </w:rPr>
              <w:t xml:space="preserve">* </w:t>
            </w:r>
          </w:p>
        </w:tc>
        <w:tc>
          <w:tcPr>
            <w:tcW w:w="7649" w:type="dxa"/>
            <w:tcMar>
              <w:left w:w="0" w:type="dxa"/>
              <w:right w:w="28" w:type="dxa"/>
            </w:tcMar>
          </w:tcPr>
          <w:p w:rsidR="001E08F1" w:rsidRPr="00913551" w:rsidRDefault="001E08F1" w:rsidP="00D07A42">
            <w:pPr>
              <w:spacing w:after="0" w:line="240" w:lineRule="auto"/>
              <w:rPr>
                <w:i/>
                <w:color w:val="7F7F7F" w:themeColor="text2"/>
                <w:sz w:val="16"/>
                <w:szCs w:val="16"/>
              </w:rPr>
            </w:pPr>
            <w:proofErr w:type="gramStart"/>
            <w:r w:rsidRPr="00913551">
              <w:rPr>
                <w:i/>
                <w:sz w:val="16"/>
                <w:szCs w:val="16"/>
              </w:rPr>
              <w:t>Includes VCE/VCAL courses of study.</w:t>
            </w:r>
            <w:proofErr w:type="gramEnd"/>
          </w:p>
        </w:tc>
      </w:tr>
      <w:tr w:rsidR="001E08F1" w:rsidRPr="00913551" w:rsidTr="00D07A42">
        <w:tc>
          <w:tcPr>
            <w:tcW w:w="431" w:type="dxa"/>
            <w:tcMar>
              <w:left w:w="0" w:type="dxa"/>
              <w:right w:w="28" w:type="dxa"/>
            </w:tcMar>
          </w:tcPr>
          <w:p w:rsidR="001E08F1" w:rsidRPr="00913551" w:rsidRDefault="001E08F1" w:rsidP="00D07A42">
            <w:pPr>
              <w:spacing w:after="0" w:line="240" w:lineRule="auto"/>
              <w:jc w:val="right"/>
              <w:rPr>
                <w:color w:val="7F7F7F" w:themeColor="text2"/>
                <w:sz w:val="16"/>
                <w:szCs w:val="16"/>
              </w:rPr>
            </w:pPr>
            <w:r w:rsidRPr="00913551">
              <w:rPr>
                <w:color w:val="7F7F7F" w:themeColor="text2"/>
                <w:sz w:val="16"/>
                <w:szCs w:val="16"/>
              </w:rPr>
              <w:t>**</w:t>
            </w:r>
          </w:p>
        </w:tc>
        <w:tc>
          <w:tcPr>
            <w:tcW w:w="7649" w:type="dxa"/>
            <w:tcMar>
              <w:left w:w="0" w:type="dxa"/>
              <w:right w:w="28" w:type="dxa"/>
            </w:tcMar>
          </w:tcPr>
          <w:p w:rsidR="001E08F1" w:rsidRPr="00913551" w:rsidRDefault="001E08F1" w:rsidP="00D07A42">
            <w:pPr>
              <w:spacing w:after="0" w:line="240" w:lineRule="auto"/>
              <w:rPr>
                <w:i/>
                <w:sz w:val="16"/>
                <w:szCs w:val="16"/>
              </w:rPr>
            </w:pPr>
            <w:r w:rsidRPr="00913551">
              <w:rPr>
                <w:i/>
                <w:sz w:val="16"/>
                <w:szCs w:val="16"/>
              </w:rPr>
              <w:t>'Other' includes statement of attainment, other non-award courses or not elsewhere classified.</w:t>
            </w:r>
          </w:p>
        </w:tc>
      </w:tr>
    </w:tbl>
    <w:p w:rsidR="001E08F1" w:rsidRDefault="001E08F1" w:rsidP="001E08F1"/>
    <w:p w:rsidR="001E08F1" w:rsidRDefault="001E08F1" w:rsidP="001E08F1"/>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1E08F1" w:rsidTr="00D07A42">
        <w:tc>
          <w:tcPr>
            <w:tcW w:w="1134" w:type="dxa"/>
            <w:tcMar>
              <w:left w:w="0" w:type="dxa"/>
              <w:right w:w="0" w:type="dxa"/>
            </w:tcMar>
          </w:tcPr>
          <w:p w:rsidR="001E08F1" w:rsidRDefault="0005261F" w:rsidP="00D07A42">
            <w:pPr>
              <w:pStyle w:val="Quote"/>
              <w:tabs>
                <w:tab w:val="left" w:pos="1134"/>
              </w:tabs>
              <w:rPr>
                <w:b w:val="0"/>
                <w:color w:val="B41F22" w:themeColor="accent1"/>
              </w:rPr>
            </w:pPr>
            <w:r>
              <w:rPr>
                <w:b w:val="0"/>
                <w:color w:val="B41F22" w:themeColor="accent1"/>
              </w:rPr>
              <w:t>Table 2</w:t>
            </w:r>
            <w:r w:rsidR="001E08F1">
              <w:rPr>
                <w:b w:val="0"/>
                <w:color w:val="B41F22" w:themeColor="accent1"/>
              </w:rPr>
              <w:t>.6.2:</w:t>
            </w:r>
          </w:p>
        </w:tc>
        <w:tc>
          <w:tcPr>
            <w:tcW w:w="6946" w:type="dxa"/>
            <w:tcMar>
              <w:left w:w="0" w:type="dxa"/>
              <w:right w:w="0" w:type="dxa"/>
            </w:tcMar>
          </w:tcPr>
          <w:p w:rsidR="001E08F1" w:rsidRDefault="001E08F1" w:rsidP="00D07A42">
            <w:pPr>
              <w:pStyle w:val="Quote"/>
              <w:tabs>
                <w:tab w:val="left" w:pos="1134"/>
              </w:tabs>
              <w:rPr>
                <w:b w:val="0"/>
                <w:color w:val="B41F22" w:themeColor="accent1"/>
              </w:rPr>
            </w:pPr>
            <w:r w:rsidRPr="00E52149">
              <w:rPr>
                <w:b w:val="0"/>
                <w:color w:val="B41F22" w:themeColor="accent1"/>
              </w:rPr>
              <w:t>Change in number of enrolments in government subsidised accredited training by unemployed students by qualification level (half year)</w:t>
            </w:r>
          </w:p>
        </w:tc>
      </w:tr>
    </w:tbl>
    <w:tbl>
      <w:tblPr>
        <w:tblW w:w="8095" w:type="dxa"/>
        <w:tblInd w:w="93" w:type="dxa"/>
        <w:tblLayout w:type="fixed"/>
        <w:tblLook w:val="04A0" w:firstRow="1" w:lastRow="0" w:firstColumn="1" w:lastColumn="0" w:noHBand="0" w:noVBand="1"/>
      </w:tblPr>
      <w:tblGrid>
        <w:gridCol w:w="2142"/>
        <w:gridCol w:w="1190"/>
        <w:gridCol w:w="1191"/>
        <w:gridCol w:w="1190"/>
        <w:gridCol w:w="1191"/>
        <w:gridCol w:w="1191"/>
      </w:tblGrid>
      <w:tr w:rsidR="001E08F1" w:rsidRPr="00E52149" w:rsidTr="00D07A42">
        <w:trPr>
          <w:trHeight w:val="720"/>
        </w:trPr>
        <w:tc>
          <w:tcPr>
            <w:tcW w:w="2142" w:type="dxa"/>
            <w:tcBorders>
              <w:top w:val="nil"/>
              <w:left w:val="nil"/>
              <w:bottom w:val="nil"/>
              <w:right w:val="nil"/>
            </w:tcBorders>
            <w:shd w:val="clear" w:color="000000" w:fill="7F7F7F"/>
            <w:noWrap/>
            <w:vAlign w:val="center"/>
            <w:hideMark/>
          </w:tcPr>
          <w:p w:rsidR="001E08F1" w:rsidRPr="00E52149" w:rsidRDefault="001E08F1" w:rsidP="00D07A42">
            <w:pPr>
              <w:rPr>
                <w:rFonts w:cs="Arial"/>
                <w:color w:val="FFFFFF"/>
                <w:szCs w:val="18"/>
                <w:lang w:eastAsia="en-AU"/>
              </w:rPr>
            </w:pPr>
            <w:r w:rsidRPr="00E52149">
              <w:rPr>
                <w:rFonts w:cs="Arial"/>
                <w:color w:val="FFFFFF"/>
                <w:szCs w:val="18"/>
                <w:lang w:eastAsia="en-AU"/>
              </w:rPr>
              <w:t> </w:t>
            </w:r>
          </w:p>
        </w:tc>
        <w:tc>
          <w:tcPr>
            <w:tcW w:w="1190" w:type="dxa"/>
            <w:tcBorders>
              <w:top w:val="nil"/>
              <w:left w:val="nil"/>
              <w:bottom w:val="nil"/>
              <w:right w:val="nil"/>
            </w:tcBorders>
            <w:shd w:val="clear" w:color="000000" w:fill="7F7F7F"/>
            <w:vAlign w:val="center"/>
            <w:hideMark/>
          </w:tcPr>
          <w:p w:rsidR="001E08F1" w:rsidRPr="00E52149" w:rsidRDefault="001E08F1" w:rsidP="00D07A42">
            <w:pPr>
              <w:jc w:val="right"/>
              <w:rPr>
                <w:rFonts w:cs="Arial"/>
                <w:b/>
                <w:bCs/>
                <w:color w:val="FFFFFF"/>
                <w:szCs w:val="18"/>
                <w:lang w:eastAsia="en-AU"/>
              </w:rPr>
            </w:pPr>
            <w:r w:rsidRPr="00E52149">
              <w:rPr>
                <w:rFonts w:cs="Arial"/>
                <w:b/>
                <w:bCs/>
                <w:color w:val="FFFFFF"/>
                <w:szCs w:val="18"/>
                <w:lang w:eastAsia="en-AU"/>
              </w:rPr>
              <w:t>% change 2010 to 2015</w:t>
            </w:r>
          </w:p>
        </w:tc>
        <w:tc>
          <w:tcPr>
            <w:tcW w:w="1191" w:type="dxa"/>
            <w:tcBorders>
              <w:top w:val="nil"/>
              <w:left w:val="nil"/>
              <w:bottom w:val="nil"/>
              <w:right w:val="nil"/>
            </w:tcBorders>
            <w:shd w:val="clear" w:color="000000" w:fill="7F7F7F"/>
            <w:vAlign w:val="center"/>
            <w:hideMark/>
          </w:tcPr>
          <w:p w:rsidR="001E08F1" w:rsidRPr="00E52149" w:rsidRDefault="001E08F1" w:rsidP="00D07A42">
            <w:pPr>
              <w:jc w:val="right"/>
              <w:rPr>
                <w:rFonts w:cs="Arial"/>
                <w:b/>
                <w:bCs/>
                <w:color w:val="FFFFFF"/>
                <w:szCs w:val="18"/>
                <w:lang w:eastAsia="en-AU"/>
              </w:rPr>
            </w:pPr>
            <w:r w:rsidRPr="00E52149">
              <w:rPr>
                <w:rFonts w:cs="Arial"/>
                <w:b/>
                <w:bCs/>
                <w:color w:val="FFFFFF"/>
                <w:szCs w:val="18"/>
                <w:lang w:eastAsia="en-AU"/>
              </w:rPr>
              <w:t>% change 2011 to 2015</w:t>
            </w:r>
          </w:p>
        </w:tc>
        <w:tc>
          <w:tcPr>
            <w:tcW w:w="1190" w:type="dxa"/>
            <w:tcBorders>
              <w:top w:val="nil"/>
              <w:left w:val="nil"/>
              <w:bottom w:val="nil"/>
              <w:right w:val="nil"/>
            </w:tcBorders>
            <w:shd w:val="clear" w:color="000000" w:fill="7F7F7F"/>
            <w:vAlign w:val="center"/>
            <w:hideMark/>
          </w:tcPr>
          <w:p w:rsidR="001E08F1" w:rsidRPr="00E52149" w:rsidRDefault="001E08F1" w:rsidP="00D07A42">
            <w:pPr>
              <w:jc w:val="right"/>
              <w:rPr>
                <w:rFonts w:cs="Arial"/>
                <w:b/>
                <w:bCs/>
                <w:color w:val="FFFFFF"/>
                <w:szCs w:val="18"/>
                <w:lang w:eastAsia="en-AU"/>
              </w:rPr>
            </w:pPr>
            <w:r w:rsidRPr="00E52149">
              <w:rPr>
                <w:rFonts w:cs="Arial"/>
                <w:b/>
                <w:bCs/>
                <w:color w:val="FFFFFF"/>
                <w:szCs w:val="18"/>
                <w:lang w:eastAsia="en-AU"/>
              </w:rPr>
              <w:t>% change 2012 to 2015</w:t>
            </w:r>
          </w:p>
        </w:tc>
        <w:tc>
          <w:tcPr>
            <w:tcW w:w="1191" w:type="dxa"/>
            <w:tcBorders>
              <w:top w:val="nil"/>
              <w:left w:val="nil"/>
              <w:bottom w:val="nil"/>
              <w:right w:val="nil"/>
            </w:tcBorders>
            <w:shd w:val="clear" w:color="000000" w:fill="7F7F7F"/>
            <w:vAlign w:val="center"/>
            <w:hideMark/>
          </w:tcPr>
          <w:p w:rsidR="001E08F1" w:rsidRPr="00E52149" w:rsidRDefault="001E08F1" w:rsidP="00D07A42">
            <w:pPr>
              <w:jc w:val="right"/>
              <w:rPr>
                <w:rFonts w:cs="Arial"/>
                <w:b/>
                <w:bCs/>
                <w:color w:val="FFFFFF"/>
                <w:szCs w:val="18"/>
                <w:lang w:eastAsia="en-AU"/>
              </w:rPr>
            </w:pPr>
            <w:r w:rsidRPr="00E52149">
              <w:rPr>
                <w:rFonts w:cs="Arial"/>
                <w:b/>
                <w:bCs/>
                <w:color w:val="FFFFFF"/>
                <w:szCs w:val="18"/>
                <w:lang w:eastAsia="en-AU"/>
              </w:rPr>
              <w:t>% change 2013 to 2015</w:t>
            </w:r>
          </w:p>
        </w:tc>
        <w:tc>
          <w:tcPr>
            <w:tcW w:w="1191" w:type="dxa"/>
            <w:tcBorders>
              <w:top w:val="nil"/>
              <w:left w:val="nil"/>
              <w:bottom w:val="nil"/>
              <w:right w:val="nil"/>
            </w:tcBorders>
            <w:shd w:val="clear" w:color="000000" w:fill="7F7F7F"/>
            <w:vAlign w:val="center"/>
            <w:hideMark/>
          </w:tcPr>
          <w:p w:rsidR="001E08F1" w:rsidRPr="00E52149" w:rsidRDefault="001E08F1" w:rsidP="00D07A42">
            <w:pPr>
              <w:jc w:val="right"/>
              <w:rPr>
                <w:rFonts w:cs="Arial"/>
                <w:b/>
                <w:bCs/>
                <w:color w:val="FFFFFF"/>
                <w:szCs w:val="18"/>
                <w:lang w:eastAsia="en-AU"/>
              </w:rPr>
            </w:pPr>
            <w:r w:rsidRPr="00E52149">
              <w:rPr>
                <w:rFonts w:cs="Arial"/>
                <w:b/>
                <w:bCs/>
                <w:color w:val="FFFFFF"/>
                <w:szCs w:val="18"/>
                <w:lang w:eastAsia="en-AU"/>
              </w:rPr>
              <w:t>% change 2014 to 2015</w:t>
            </w:r>
          </w:p>
        </w:tc>
      </w:tr>
      <w:tr w:rsidR="001E08F1" w:rsidRPr="00E52149" w:rsidTr="00D07A42">
        <w:trPr>
          <w:trHeight w:val="300"/>
        </w:trPr>
        <w:tc>
          <w:tcPr>
            <w:tcW w:w="2142" w:type="dxa"/>
            <w:tcBorders>
              <w:top w:val="nil"/>
              <w:left w:val="nil"/>
              <w:bottom w:val="nil"/>
              <w:right w:val="nil"/>
            </w:tcBorders>
            <w:shd w:val="clear" w:color="auto" w:fill="auto"/>
            <w:noWrap/>
            <w:vAlign w:val="center"/>
            <w:hideMark/>
          </w:tcPr>
          <w:p w:rsidR="001E08F1" w:rsidRPr="00E52149" w:rsidRDefault="001E08F1" w:rsidP="00D07A42">
            <w:pPr>
              <w:rPr>
                <w:rFonts w:cs="Arial"/>
                <w:color w:val="7F7F7F"/>
                <w:szCs w:val="18"/>
                <w:lang w:eastAsia="en-AU"/>
              </w:rPr>
            </w:pPr>
            <w:r w:rsidRPr="00E52149">
              <w:rPr>
                <w:rFonts w:cs="Arial"/>
                <w:color w:val="7F7F7F"/>
                <w:szCs w:val="18"/>
                <w:lang w:eastAsia="en-AU"/>
              </w:rPr>
              <w:t>Cert I/II</w:t>
            </w:r>
          </w:p>
        </w:tc>
        <w:tc>
          <w:tcPr>
            <w:tcW w:w="1190" w:type="dxa"/>
            <w:tcBorders>
              <w:top w:val="nil"/>
              <w:left w:val="nil"/>
              <w:bottom w:val="nil"/>
              <w:right w:val="nil"/>
            </w:tcBorders>
            <w:shd w:val="clear" w:color="auto" w:fill="auto"/>
            <w:noWrap/>
            <w:vAlign w:val="center"/>
            <w:hideMark/>
          </w:tcPr>
          <w:p w:rsidR="001E08F1" w:rsidRPr="00E52149" w:rsidRDefault="001E08F1" w:rsidP="00D07A42">
            <w:pPr>
              <w:jc w:val="right"/>
              <w:rPr>
                <w:rFonts w:cs="Arial"/>
                <w:color w:val="7F7F7F"/>
                <w:szCs w:val="18"/>
                <w:lang w:eastAsia="en-AU"/>
              </w:rPr>
            </w:pPr>
            <w:r w:rsidRPr="00E52149">
              <w:rPr>
                <w:rFonts w:cs="Arial"/>
                <w:color w:val="7F7F7F"/>
                <w:szCs w:val="18"/>
                <w:lang w:eastAsia="en-AU"/>
              </w:rPr>
              <w:t>36%</w:t>
            </w:r>
          </w:p>
        </w:tc>
        <w:tc>
          <w:tcPr>
            <w:tcW w:w="1191" w:type="dxa"/>
            <w:tcBorders>
              <w:top w:val="nil"/>
              <w:left w:val="nil"/>
              <w:bottom w:val="nil"/>
              <w:right w:val="nil"/>
            </w:tcBorders>
            <w:shd w:val="clear" w:color="auto" w:fill="auto"/>
            <w:noWrap/>
            <w:vAlign w:val="center"/>
            <w:hideMark/>
          </w:tcPr>
          <w:p w:rsidR="001E08F1" w:rsidRPr="00E52149" w:rsidRDefault="001E08F1" w:rsidP="00D07A42">
            <w:pPr>
              <w:jc w:val="right"/>
              <w:rPr>
                <w:rFonts w:cs="Arial"/>
                <w:color w:val="7F7F7F"/>
                <w:szCs w:val="18"/>
                <w:lang w:eastAsia="en-AU"/>
              </w:rPr>
            </w:pPr>
            <w:r w:rsidRPr="00E52149">
              <w:rPr>
                <w:rFonts w:cs="Arial"/>
                <w:color w:val="7F7F7F"/>
                <w:szCs w:val="18"/>
                <w:lang w:eastAsia="en-AU"/>
              </w:rPr>
              <w:t>-10%</w:t>
            </w:r>
          </w:p>
        </w:tc>
        <w:tc>
          <w:tcPr>
            <w:tcW w:w="1190" w:type="dxa"/>
            <w:tcBorders>
              <w:top w:val="nil"/>
              <w:left w:val="nil"/>
              <w:bottom w:val="nil"/>
              <w:right w:val="nil"/>
            </w:tcBorders>
            <w:shd w:val="clear" w:color="auto" w:fill="auto"/>
            <w:noWrap/>
            <w:vAlign w:val="center"/>
            <w:hideMark/>
          </w:tcPr>
          <w:p w:rsidR="001E08F1" w:rsidRPr="00E52149" w:rsidRDefault="001E08F1" w:rsidP="00D07A42">
            <w:pPr>
              <w:jc w:val="right"/>
              <w:rPr>
                <w:rFonts w:cs="Arial"/>
                <w:color w:val="7F7F7F"/>
                <w:szCs w:val="18"/>
                <w:lang w:eastAsia="en-AU"/>
              </w:rPr>
            </w:pPr>
            <w:r w:rsidRPr="00E52149">
              <w:rPr>
                <w:rFonts w:cs="Arial"/>
                <w:color w:val="7F7F7F"/>
                <w:szCs w:val="18"/>
                <w:lang w:eastAsia="en-AU"/>
              </w:rPr>
              <w:t>-44%</w:t>
            </w:r>
          </w:p>
        </w:tc>
        <w:tc>
          <w:tcPr>
            <w:tcW w:w="1191" w:type="dxa"/>
            <w:tcBorders>
              <w:top w:val="nil"/>
              <w:left w:val="nil"/>
              <w:bottom w:val="nil"/>
              <w:right w:val="nil"/>
            </w:tcBorders>
            <w:shd w:val="clear" w:color="auto" w:fill="auto"/>
            <w:noWrap/>
            <w:vAlign w:val="center"/>
            <w:hideMark/>
          </w:tcPr>
          <w:p w:rsidR="001E08F1" w:rsidRPr="00E52149" w:rsidRDefault="001E08F1" w:rsidP="00D07A42">
            <w:pPr>
              <w:jc w:val="right"/>
              <w:rPr>
                <w:rFonts w:cs="Arial"/>
                <w:color w:val="7F7F7F"/>
                <w:szCs w:val="18"/>
                <w:lang w:eastAsia="en-AU"/>
              </w:rPr>
            </w:pPr>
            <w:r w:rsidRPr="00E52149">
              <w:rPr>
                <w:rFonts w:cs="Arial"/>
                <w:color w:val="7F7F7F"/>
                <w:szCs w:val="18"/>
                <w:lang w:eastAsia="en-AU"/>
              </w:rPr>
              <w:t>-53%</w:t>
            </w:r>
          </w:p>
        </w:tc>
        <w:tc>
          <w:tcPr>
            <w:tcW w:w="1191" w:type="dxa"/>
            <w:tcBorders>
              <w:top w:val="nil"/>
              <w:left w:val="nil"/>
              <w:bottom w:val="nil"/>
              <w:right w:val="nil"/>
            </w:tcBorders>
            <w:shd w:val="clear" w:color="auto" w:fill="auto"/>
            <w:noWrap/>
            <w:vAlign w:val="center"/>
            <w:hideMark/>
          </w:tcPr>
          <w:p w:rsidR="001E08F1" w:rsidRPr="00E52149" w:rsidRDefault="001E08F1" w:rsidP="00D07A42">
            <w:pPr>
              <w:jc w:val="right"/>
              <w:rPr>
                <w:rFonts w:cs="Arial"/>
                <w:color w:val="7F7F7F"/>
                <w:szCs w:val="18"/>
                <w:lang w:eastAsia="en-AU"/>
              </w:rPr>
            </w:pPr>
            <w:r w:rsidRPr="00E52149">
              <w:rPr>
                <w:rFonts w:cs="Arial"/>
                <w:color w:val="7F7F7F"/>
                <w:szCs w:val="18"/>
                <w:lang w:eastAsia="en-AU"/>
              </w:rPr>
              <w:t>-26%</w:t>
            </w:r>
          </w:p>
        </w:tc>
      </w:tr>
      <w:tr w:rsidR="001E08F1" w:rsidRPr="00E52149" w:rsidTr="00D07A42">
        <w:trPr>
          <w:trHeight w:val="300"/>
        </w:trPr>
        <w:tc>
          <w:tcPr>
            <w:tcW w:w="2142" w:type="dxa"/>
            <w:tcBorders>
              <w:top w:val="nil"/>
              <w:left w:val="nil"/>
              <w:bottom w:val="nil"/>
              <w:right w:val="nil"/>
            </w:tcBorders>
            <w:shd w:val="clear" w:color="auto" w:fill="auto"/>
            <w:noWrap/>
            <w:vAlign w:val="center"/>
            <w:hideMark/>
          </w:tcPr>
          <w:p w:rsidR="001E08F1" w:rsidRPr="00E52149" w:rsidRDefault="001E08F1" w:rsidP="00D07A42">
            <w:pPr>
              <w:rPr>
                <w:rFonts w:cs="Arial"/>
                <w:color w:val="7F7F7F"/>
                <w:szCs w:val="18"/>
                <w:lang w:eastAsia="en-AU"/>
              </w:rPr>
            </w:pPr>
            <w:r w:rsidRPr="00E52149">
              <w:rPr>
                <w:rFonts w:cs="Arial"/>
                <w:color w:val="7F7F7F"/>
                <w:szCs w:val="18"/>
                <w:lang w:eastAsia="en-AU"/>
              </w:rPr>
              <w:t>Cert III/IV</w:t>
            </w:r>
          </w:p>
        </w:tc>
        <w:tc>
          <w:tcPr>
            <w:tcW w:w="1190" w:type="dxa"/>
            <w:tcBorders>
              <w:top w:val="nil"/>
              <w:left w:val="nil"/>
              <w:bottom w:val="nil"/>
              <w:right w:val="nil"/>
            </w:tcBorders>
            <w:shd w:val="clear" w:color="auto" w:fill="auto"/>
            <w:noWrap/>
            <w:vAlign w:val="center"/>
            <w:hideMark/>
          </w:tcPr>
          <w:p w:rsidR="001E08F1" w:rsidRPr="00E52149" w:rsidRDefault="001E08F1" w:rsidP="00D07A42">
            <w:pPr>
              <w:jc w:val="right"/>
              <w:rPr>
                <w:rFonts w:cs="Arial"/>
                <w:color w:val="7F7F7F"/>
                <w:szCs w:val="18"/>
                <w:lang w:eastAsia="en-AU"/>
              </w:rPr>
            </w:pPr>
            <w:r w:rsidRPr="00E52149">
              <w:rPr>
                <w:rFonts w:cs="Arial"/>
                <w:color w:val="7F7F7F"/>
                <w:szCs w:val="18"/>
                <w:lang w:eastAsia="en-AU"/>
              </w:rPr>
              <w:t>200%</w:t>
            </w:r>
          </w:p>
        </w:tc>
        <w:tc>
          <w:tcPr>
            <w:tcW w:w="1191" w:type="dxa"/>
            <w:tcBorders>
              <w:top w:val="nil"/>
              <w:left w:val="nil"/>
              <w:bottom w:val="nil"/>
              <w:right w:val="nil"/>
            </w:tcBorders>
            <w:shd w:val="clear" w:color="auto" w:fill="auto"/>
            <w:noWrap/>
            <w:vAlign w:val="center"/>
            <w:hideMark/>
          </w:tcPr>
          <w:p w:rsidR="001E08F1" w:rsidRPr="00E52149" w:rsidRDefault="001E08F1" w:rsidP="00D07A42">
            <w:pPr>
              <w:jc w:val="right"/>
              <w:rPr>
                <w:rFonts w:cs="Arial"/>
                <w:color w:val="7F7F7F"/>
                <w:szCs w:val="18"/>
                <w:lang w:eastAsia="en-AU"/>
              </w:rPr>
            </w:pPr>
            <w:r w:rsidRPr="00E52149">
              <w:rPr>
                <w:rFonts w:cs="Arial"/>
                <w:color w:val="7F7F7F"/>
                <w:szCs w:val="18"/>
                <w:lang w:eastAsia="en-AU"/>
              </w:rPr>
              <w:t>91%</w:t>
            </w:r>
          </w:p>
        </w:tc>
        <w:tc>
          <w:tcPr>
            <w:tcW w:w="1190" w:type="dxa"/>
            <w:tcBorders>
              <w:top w:val="nil"/>
              <w:left w:val="nil"/>
              <w:bottom w:val="nil"/>
              <w:right w:val="nil"/>
            </w:tcBorders>
            <w:shd w:val="clear" w:color="auto" w:fill="auto"/>
            <w:noWrap/>
            <w:vAlign w:val="center"/>
            <w:hideMark/>
          </w:tcPr>
          <w:p w:rsidR="001E08F1" w:rsidRPr="00E52149" w:rsidRDefault="001E08F1" w:rsidP="00D07A42">
            <w:pPr>
              <w:jc w:val="right"/>
              <w:rPr>
                <w:rFonts w:cs="Arial"/>
                <w:color w:val="7F7F7F"/>
                <w:szCs w:val="18"/>
                <w:lang w:eastAsia="en-AU"/>
              </w:rPr>
            </w:pPr>
            <w:r w:rsidRPr="00E52149">
              <w:rPr>
                <w:rFonts w:cs="Arial"/>
                <w:color w:val="7F7F7F"/>
                <w:szCs w:val="18"/>
                <w:lang w:eastAsia="en-AU"/>
              </w:rPr>
              <w:t>10%</w:t>
            </w:r>
          </w:p>
        </w:tc>
        <w:tc>
          <w:tcPr>
            <w:tcW w:w="1191" w:type="dxa"/>
            <w:tcBorders>
              <w:top w:val="nil"/>
              <w:left w:val="nil"/>
              <w:bottom w:val="nil"/>
              <w:right w:val="nil"/>
            </w:tcBorders>
            <w:shd w:val="clear" w:color="auto" w:fill="auto"/>
            <w:noWrap/>
            <w:vAlign w:val="center"/>
            <w:hideMark/>
          </w:tcPr>
          <w:p w:rsidR="001E08F1" w:rsidRPr="00E52149" w:rsidRDefault="001E08F1" w:rsidP="00D07A42">
            <w:pPr>
              <w:jc w:val="right"/>
              <w:rPr>
                <w:rFonts w:cs="Arial"/>
                <w:color w:val="7F7F7F"/>
                <w:szCs w:val="18"/>
                <w:lang w:eastAsia="en-AU"/>
              </w:rPr>
            </w:pPr>
            <w:r w:rsidRPr="00E52149">
              <w:rPr>
                <w:rFonts w:cs="Arial"/>
                <w:color w:val="7F7F7F"/>
                <w:szCs w:val="18"/>
                <w:lang w:eastAsia="en-AU"/>
              </w:rPr>
              <w:t>14%</w:t>
            </w:r>
          </w:p>
        </w:tc>
        <w:tc>
          <w:tcPr>
            <w:tcW w:w="1191" w:type="dxa"/>
            <w:tcBorders>
              <w:top w:val="nil"/>
              <w:left w:val="nil"/>
              <w:bottom w:val="nil"/>
              <w:right w:val="nil"/>
            </w:tcBorders>
            <w:shd w:val="clear" w:color="auto" w:fill="auto"/>
            <w:noWrap/>
            <w:vAlign w:val="center"/>
            <w:hideMark/>
          </w:tcPr>
          <w:p w:rsidR="001E08F1" w:rsidRPr="00E52149" w:rsidRDefault="001E08F1" w:rsidP="00D07A42">
            <w:pPr>
              <w:jc w:val="right"/>
              <w:rPr>
                <w:rFonts w:cs="Arial"/>
                <w:color w:val="7F7F7F"/>
                <w:szCs w:val="18"/>
                <w:lang w:eastAsia="en-AU"/>
              </w:rPr>
            </w:pPr>
            <w:r w:rsidRPr="00E52149">
              <w:rPr>
                <w:rFonts w:cs="Arial"/>
                <w:color w:val="7F7F7F"/>
                <w:szCs w:val="18"/>
                <w:lang w:eastAsia="en-AU"/>
              </w:rPr>
              <w:t>-17%</w:t>
            </w:r>
          </w:p>
        </w:tc>
      </w:tr>
      <w:tr w:rsidR="001E08F1" w:rsidRPr="00E52149" w:rsidTr="00D07A42">
        <w:trPr>
          <w:trHeight w:val="300"/>
        </w:trPr>
        <w:tc>
          <w:tcPr>
            <w:tcW w:w="2142" w:type="dxa"/>
            <w:tcBorders>
              <w:top w:val="nil"/>
              <w:left w:val="nil"/>
              <w:bottom w:val="nil"/>
              <w:right w:val="nil"/>
            </w:tcBorders>
            <w:shd w:val="clear" w:color="auto" w:fill="auto"/>
            <w:noWrap/>
            <w:vAlign w:val="center"/>
            <w:hideMark/>
          </w:tcPr>
          <w:p w:rsidR="001E08F1" w:rsidRPr="00E52149" w:rsidRDefault="001E08F1" w:rsidP="00D07A42">
            <w:pPr>
              <w:rPr>
                <w:rFonts w:cs="Arial"/>
                <w:color w:val="7F7F7F"/>
                <w:szCs w:val="18"/>
                <w:lang w:eastAsia="en-AU"/>
              </w:rPr>
            </w:pPr>
            <w:r w:rsidRPr="00E52149">
              <w:rPr>
                <w:rFonts w:cs="Arial"/>
                <w:color w:val="7F7F7F"/>
                <w:szCs w:val="18"/>
                <w:lang w:eastAsia="en-AU"/>
              </w:rPr>
              <w:t>Diploma &amp; Above</w:t>
            </w:r>
          </w:p>
        </w:tc>
        <w:tc>
          <w:tcPr>
            <w:tcW w:w="1190" w:type="dxa"/>
            <w:tcBorders>
              <w:top w:val="nil"/>
              <w:left w:val="nil"/>
              <w:bottom w:val="nil"/>
              <w:right w:val="nil"/>
            </w:tcBorders>
            <w:shd w:val="clear" w:color="auto" w:fill="auto"/>
            <w:noWrap/>
            <w:vAlign w:val="center"/>
            <w:hideMark/>
          </w:tcPr>
          <w:p w:rsidR="001E08F1" w:rsidRPr="00E52149" w:rsidRDefault="001E08F1" w:rsidP="00D07A42">
            <w:pPr>
              <w:jc w:val="right"/>
              <w:rPr>
                <w:rFonts w:cs="Arial"/>
                <w:color w:val="7F7F7F"/>
                <w:szCs w:val="18"/>
                <w:lang w:eastAsia="en-AU"/>
              </w:rPr>
            </w:pPr>
            <w:r w:rsidRPr="00E52149">
              <w:rPr>
                <w:rFonts w:cs="Arial"/>
                <w:color w:val="7F7F7F"/>
                <w:szCs w:val="18"/>
                <w:lang w:eastAsia="en-AU"/>
              </w:rPr>
              <w:t>27%</w:t>
            </w:r>
          </w:p>
        </w:tc>
        <w:tc>
          <w:tcPr>
            <w:tcW w:w="1191" w:type="dxa"/>
            <w:tcBorders>
              <w:top w:val="nil"/>
              <w:left w:val="nil"/>
              <w:bottom w:val="nil"/>
              <w:right w:val="nil"/>
            </w:tcBorders>
            <w:shd w:val="clear" w:color="auto" w:fill="auto"/>
            <w:noWrap/>
            <w:vAlign w:val="center"/>
            <w:hideMark/>
          </w:tcPr>
          <w:p w:rsidR="001E08F1" w:rsidRPr="00E52149" w:rsidRDefault="001E08F1" w:rsidP="00D07A42">
            <w:pPr>
              <w:jc w:val="right"/>
              <w:rPr>
                <w:rFonts w:cs="Arial"/>
                <w:color w:val="7F7F7F"/>
                <w:szCs w:val="18"/>
                <w:lang w:eastAsia="en-AU"/>
              </w:rPr>
            </w:pPr>
            <w:r w:rsidRPr="00E52149">
              <w:rPr>
                <w:rFonts w:cs="Arial"/>
                <w:color w:val="7F7F7F"/>
                <w:szCs w:val="18"/>
                <w:lang w:eastAsia="en-AU"/>
              </w:rPr>
              <w:t>-3%</w:t>
            </w:r>
          </w:p>
        </w:tc>
        <w:tc>
          <w:tcPr>
            <w:tcW w:w="1190" w:type="dxa"/>
            <w:tcBorders>
              <w:top w:val="nil"/>
              <w:left w:val="nil"/>
              <w:bottom w:val="nil"/>
              <w:right w:val="nil"/>
            </w:tcBorders>
            <w:shd w:val="clear" w:color="auto" w:fill="auto"/>
            <w:noWrap/>
            <w:vAlign w:val="center"/>
            <w:hideMark/>
          </w:tcPr>
          <w:p w:rsidR="001E08F1" w:rsidRPr="00E52149" w:rsidRDefault="001E08F1" w:rsidP="00D07A42">
            <w:pPr>
              <w:jc w:val="right"/>
              <w:rPr>
                <w:rFonts w:cs="Arial"/>
                <w:color w:val="7F7F7F"/>
                <w:szCs w:val="18"/>
                <w:lang w:eastAsia="en-AU"/>
              </w:rPr>
            </w:pPr>
            <w:r w:rsidRPr="00E52149">
              <w:rPr>
                <w:rFonts w:cs="Arial"/>
                <w:color w:val="7F7F7F"/>
                <w:szCs w:val="18"/>
                <w:lang w:eastAsia="en-AU"/>
              </w:rPr>
              <w:t>-8%</w:t>
            </w:r>
          </w:p>
        </w:tc>
        <w:tc>
          <w:tcPr>
            <w:tcW w:w="1191" w:type="dxa"/>
            <w:tcBorders>
              <w:top w:val="nil"/>
              <w:left w:val="nil"/>
              <w:bottom w:val="nil"/>
              <w:right w:val="nil"/>
            </w:tcBorders>
            <w:shd w:val="clear" w:color="auto" w:fill="auto"/>
            <w:noWrap/>
            <w:vAlign w:val="center"/>
            <w:hideMark/>
          </w:tcPr>
          <w:p w:rsidR="001E08F1" w:rsidRPr="00E52149" w:rsidRDefault="001E08F1" w:rsidP="00D07A42">
            <w:pPr>
              <w:jc w:val="right"/>
              <w:rPr>
                <w:rFonts w:cs="Arial"/>
                <w:color w:val="7F7F7F"/>
                <w:szCs w:val="18"/>
                <w:lang w:eastAsia="en-AU"/>
              </w:rPr>
            </w:pPr>
            <w:r w:rsidRPr="00E52149">
              <w:rPr>
                <w:rFonts w:cs="Arial"/>
                <w:color w:val="7F7F7F"/>
                <w:szCs w:val="18"/>
                <w:lang w:eastAsia="en-AU"/>
              </w:rPr>
              <w:t>21%</w:t>
            </w:r>
          </w:p>
        </w:tc>
        <w:tc>
          <w:tcPr>
            <w:tcW w:w="1191" w:type="dxa"/>
            <w:tcBorders>
              <w:top w:val="nil"/>
              <w:left w:val="nil"/>
              <w:bottom w:val="nil"/>
              <w:right w:val="nil"/>
            </w:tcBorders>
            <w:shd w:val="clear" w:color="auto" w:fill="auto"/>
            <w:noWrap/>
            <w:vAlign w:val="center"/>
            <w:hideMark/>
          </w:tcPr>
          <w:p w:rsidR="001E08F1" w:rsidRPr="00E52149" w:rsidRDefault="001E08F1" w:rsidP="00D07A42">
            <w:pPr>
              <w:jc w:val="right"/>
              <w:rPr>
                <w:rFonts w:cs="Arial"/>
                <w:color w:val="7F7F7F"/>
                <w:szCs w:val="18"/>
                <w:lang w:eastAsia="en-AU"/>
              </w:rPr>
            </w:pPr>
            <w:r w:rsidRPr="00E52149">
              <w:rPr>
                <w:rFonts w:cs="Arial"/>
                <w:color w:val="7F7F7F"/>
                <w:szCs w:val="18"/>
                <w:lang w:eastAsia="en-AU"/>
              </w:rPr>
              <w:t>20%</w:t>
            </w:r>
          </w:p>
        </w:tc>
      </w:tr>
      <w:tr w:rsidR="001E08F1" w:rsidRPr="00E52149" w:rsidTr="00D07A42">
        <w:trPr>
          <w:trHeight w:val="300"/>
        </w:trPr>
        <w:tc>
          <w:tcPr>
            <w:tcW w:w="2142" w:type="dxa"/>
            <w:tcBorders>
              <w:top w:val="nil"/>
              <w:left w:val="nil"/>
              <w:bottom w:val="nil"/>
              <w:right w:val="nil"/>
            </w:tcBorders>
            <w:shd w:val="clear" w:color="auto" w:fill="auto"/>
            <w:noWrap/>
            <w:vAlign w:val="center"/>
            <w:hideMark/>
          </w:tcPr>
          <w:p w:rsidR="001E08F1" w:rsidRPr="00E52149" w:rsidRDefault="001E08F1" w:rsidP="00D07A42">
            <w:pPr>
              <w:rPr>
                <w:rFonts w:cs="Arial"/>
                <w:color w:val="7F7F7F"/>
                <w:szCs w:val="18"/>
                <w:lang w:eastAsia="en-AU"/>
              </w:rPr>
            </w:pPr>
            <w:r w:rsidRPr="00E52149">
              <w:rPr>
                <w:rFonts w:cs="Arial"/>
                <w:color w:val="7F7F7F"/>
                <w:szCs w:val="18"/>
                <w:lang w:eastAsia="en-AU"/>
              </w:rPr>
              <w:t>Module Only</w:t>
            </w:r>
          </w:p>
        </w:tc>
        <w:tc>
          <w:tcPr>
            <w:tcW w:w="1190" w:type="dxa"/>
            <w:tcBorders>
              <w:top w:val="nil"/>
              <w:left w:val="nil"/>
              <w:bottom w:val="nil"/>
              <w:right w:val="nil"/>
            </w:tcBorders>
            <w:shd w:val="clear" w:color="auto" w:fill="auto"/>
            <w:noWrap/>
            <w:vAlign w:val="center"/>
            <w:hideMark/>
          </w:tcPr>
          <w:p w:rsidR="001E08F1" w:rsidRPr="00E52149" w:rsidRDefault="001E08F1" w:rsidP="00D07A42">
            <w:pPr>
              <w:jc w:val="right"/>
              <w:rPr>
                <w:rFonts w:cs="Arial"/>
                <w:color w:val="7F7F7F"/>
                <w:szCs w:val="18"/>
                <w:lang w:eastAsia="en-AU"/>
              </w:rPr>
            </w:pPr>
            <w:r w:rsidRPr="00E52149">
              <w:rPr>
                <w:rFonts w:cs="Arial"/>
                <w:color w:val="7F7F7F"/>
                <w:szCs w:val="18"/>
                <w:lang w:eastAsia="en-AU"/>
              </w:rPr>
              <w:t>-58%</w:t>
            </w:r>
          </w:p>
        </w:tc>
        <w:tc>
          <w:tcPr>
            <w:tcW w:w="1191" w:type="dxa"/>
            <w:tcBorders>
              <w:top w:val="nil"/>
              <w:left w:val="nil"/>
              <w:bottom w:val="nil"/>
              <w:right w:val="nil"/>
            </w:tcBorders>
            <w:shd w:val="clear" w:color="auto" w:fill="auto"/>
            <w:noWrap/>
            <w:vAlign w:val="center"/>
            <w:hideMark/>
          </w:tcPr>
          <w:p w:rsidR="001E08F1" w:rsidRPr="00E52149" w:rsidRDefault="001E08F1" w:rsidP="00D07A42">
            <w:pPr>
              <w:jc w:val="right"/>
              <w:rPr>
                <w:rFonts w:cs="Arial"/>
                <w:color w:val="7F7F7F"/>
                <w:szCs w:val="18"/>
                <w:lang w:eastAsia="en-AU"/>
              </w:rPr>
            </w:pPr>
            <w:r w:rsidRPr="00E52149">
              <w:rPr>
                <w:rFonts w:cs="Arial"/>
                <w:color w:val="7F7F7F"/>
                <w:szCs w:val="18"/>
                <w:lang w:eastAsia="en-AU"/>
              </w:rPr>
              <w:t>38%</w:t>
            </w:r>
          </w:p>
        </w:tc>
        <w:tc>
          <w:tcPr>
            <w:tcW w:w="1190" w:type="dxa"/>
            <w:tcBorders>
              <w:top w:val="nil"/>
              <w:left w:val="nil"/>
              <w:bottom w:val="nil"/>
              <w:right w:val="nil"/>
            </w:tcBorders>
            <w:shd w:val="clear" w:color="auto" w:fill="auto"/>
            <w:noWrap/>
            <w:vAlign w:val="center"/>
            <w:hideMark/>
          </w:tcPr>
          <w:p w:rsidR="001E08F1" w:rsidRPr="00E52149" w:rsidRDefault="001E08F1" w:rsidP="00D07A42">
            <w:pPr>
              <w:jc w:val="right"/>
              <w:rPr>
                <w:rFonts w:cs="Arial"/>
                <w:color w:val="7F7F7F"/>
                <w:szCs w:val="18"/>
                <w:lang w:eastAsia="en-AU"/>
              </w:rPr>
            </w:pPr>
            <w:r w:rsidRPr="00E52149">
              <w:rPr>
                <w:rFonts w:cs="Arial"/>
                <w:color w:val="7F7F7F"/>
                <w:szCs w:val="18"/>
                <w:lang w:eastAsia="en-AU"/>
              </w:rPr>
              <w:t>218%</w:t>
            </w:r>
          </w:p>
        </w:tc>
        <w:tc>
          <w:tcPr>
            <w:tcW w:w="1191" w:type="dxa"/>
            <w:tcBorders>
              <w:top w:val="nil"/>
              <w:left w:val="nil"/>
              <w:bottom w:val="nil"/>
              <w:right w:val="nil"/>
            </w:tcBorders>
            <w:shd w:val="clear" w:color="auto" w:fill="auto"/>
            <w:noWrap/>
            <w:vAlign w:val="center"/>
            <w:hideMark/>
          </w:tcPr>
          <w:p w:rsidR="001E08F1" w:rsidRPr="00E52149" w:rsidRDefault="001E08F1" w:rsidP="00D07A42">
            <w:pPr>
              <w:jc w:val="right"/>
              <w:rPr>
                <w:rFonts w:cs="Arial"/>
                <w:color w:val="7F7F7F"/>
                <w:szCs w:val="18"/>
                <w:lang w:eastAsia="en-AU"/>
              </w:rPr>
            </w:pPr>
            <w:r w:rsidRPr="00E52149">
              <w:rPr>
                <w:rFonts w:cs="Arial"/>
                <w:color w:val="7F7F7F"/>
                <w:szCs w:val="18"/>
                <w:lang w:eastAsia="en-AU"/>
              </w:rPr>
              <w:t>401%</w:t>
            </w:r>
          </w:p>
        </w:tc>
        <w:tc>
          <w:tcPr>
            <w:tcW w:w="1191" w:type="dxa"/>
            <w:tcBorders>
              <w:top w:val="nil"/>
              <w:left w:val="nil"/>
              <w:bottom w:val="nil"/>
              <w:right w:val="nil"/>
            </w:tcBorders>
            <w:shd w:val="clear" w:color="auto" w:fill="auto"/>
            <w:noWrap/>
            <w:vAlign w:val="center"/>
            <w:hideMark/>
          </w:tcPr>
          <w:p w:rsidR="001E08F1" w:rsidRPr="00E52149" w:rsidRDefault="001E08F1" w:rsidP="00D07A42">
            <w:pPr>
              <w:jc w:val="right"/>
              <w:rPr>
                <w:rFonts w:cs="Arial"/>
                <w:color w:val="7F7F7F"/>
                <w:szCs w:val="18"/>
                <w:lang w:eastAsia="en-AU"/>
              </w:rPr>
            </w:pPr>
            <w:r w:rsidRPr="00E52149">
              <w:rPr>
                <w:rFonts w:cs="Arial"/>
                <w:color w:val="7F7F7F"/>
                <w:szCs w:val="18"/>
                <w:lang w:eastAsia="en-AU"/>
              </w:rPr>
              <w:t>80%</w:t>
            </w:r>
          </w:p>
        </w:tc>
      </w:tr>
      <w:tr w:rsidR="001E08F1" w:rsidRPr="00E52149" w:rsidTr="00D07A42">
        <w:trPr>
          <w:trHeight w:val="300"/>
        </w:trPr>
        <w:tc>
          <w:tcPr>
            <w:tcW w:w="2142" w:type="dxa"/>
            <w:tcBorders>
              <w:top w:val="nil"/>
              <w:left w:val="nil"/>
              <w:bottom w:val="nil"/>
              <w:right w:val="nil"/>
            </w:tcBorders>
            <w:shd w:val="clear" w:color="auto" w:fill="auto"/>
            <w:noWrap/>
            <w:vAlign w:val="center"/>
            <w:hideMark/>
          </w:tcPr>
          <w:p w:rsidR="001E08F1" w:rsidRPr="00E52149" w:rsidRDefault="001E08F1" w:rsidP="00D07A42">
            <w:pPr>
              <w:rPr>
                <w:rFonts w:cs="Arial"/>
                <w:color w:val="7F7F7F"/>
                <w:szCs w:val="18"/>
                <w:lang w:eastAsia="en-AU"/>
              </w:rPr>
            </w:pPr>
            <w:r w:rsidRPr="00E52149">
              <w:rPr>
                <w:rFonts w:cs="Arial"/>
                <w:color w:val="7F7F7F"/>
                <w:szCs w:val="18"/>
                <w:lang w:eastAsia="en-AU"/>
              </w:rPr>
              <w:t>Secondary Education*</w:t>
            </w:r>
          </w:p>
        </w:tc>
        <w:tc>
          <w:tcPr>
            <w:tcW w:w="1190" w:type="dxa"/>
            <w:tcBorders>
              <w:top w:val="nil"/>
              <w:left w:val="nil"/>
              <w:bottom w:val="nil"/>
              <w:right w:val="nil"/>
            </w:tcBorders>
            <w:shd w:val="clear" w:color="auto" w:fill="auto"/>
            <w:noWrap/>
            <w:vAlign w:val="center"/>
            <w:hideMark/>
          </w:tcPr>
          <w:p w:rsidR="001E08F1" w:rsidRPr="00E52149" w:rsidRDefault="001E08F1" w:rsidP="00D07A42">
            <w:pPr>
              <w:jc w:val="right"/>
              <w:rPr>
                <w:rFonts w:cs="Arial"/>
                <w:color w:val="7F7F7F"/>
                <w:szCs w:val="18"/>
                <w:lang w:eastAsia="en-AU"/>
              </w:rPr>
            </w:pPr>
            <w:r w:rsidRPr="00E52149">
              <w:rPr>
                <w:rFonts w:cs="Arial"/>
                <w:color w:val="7F7F7F"/>
                <w:szCs w:val="18"/>
                <w:lang w:eastAsia="en-AU"/>
              </w:rPr>
              <w:t>0%</w:t>
            </w:r>
          </w:p>
        </w:tc>
        <w:tc>
          <w:tcPr>
            <w:tcW w:w="1191" w:type="dxa"/>
            <w:tcBorders>
              <w:top w:val="nil"/>
              <w:left w:val="nil"/>
              <w:bottom w:val="nil"/>
              <w:right w:val="nil"/>
            </w:tcBorders>
            <w:shd w:val="clear" w:color="auto" w:fill="auto"/>
            <w:noWrap/>
            <w:vAlign w:val="center"/>
            <w:hideMark/>
          </w:tcPr>
          <w:p w:rsidR="001E08F1" w:rsidRPr="00E52149" w:rsidRDefault="001E08F1" w:rsidP="00D07A42">
            <w:pPr>
              <w:jc w:val="right"/>
              <w:rPr>
                <w:rFonts w:cs="Arial"/>
                <w:color w:val="7F7F7F"/>
                <w:szCs w:val="18"/>
                <w:lang w:eastAsia="en-AU"/>
              </w:rPr>
            </w:pPr>
            <w:r w:rsidRPr="00E52149">
              <w:rPr>
                <w:rFonts w:cs="Arial"/>
                <w:color w:val="7F7F7F"/>
                <w:szCs w:val="18"/>
                <w:lang w:eastAsia="en-AU"/>
              </w:rPr>
              <w:t>-5%</w:t>
            </w:r>
          </w:p>
        </w:tc>
        <w:tc>
          <w:tcPr>
            <w:tcW w:w="1190" w:type="dxa"/>
            <w:tcBorders>
              <w:top w:val="nil"/>
              <w:left w:val="nil"/>
              <w:bottom w:val="nil"/>
              <w:right w:val="nil"/>
            </w:tcBorders>
            <w:shd w:val="clear" w:color="auto" w:fill="auto"/>
            <w:noWrap/>
            <w:vAlign w:val="center"/>
            <w:hideMark/>
          </w:tcPr>
          <w:p w:rsidR="001E08F1" w:rsidRPr="00E52149" w:rsidRDefault="001E08F1" w:rsidP="00D07A42">
            <w:pPr>
              <w:jc w:val="right"/>
              <w:rPr>
                <w:rFonts w:cs="Arial"/>
                <w:color w:val="7F7F7F"/>
                <w:szCs w:val="18"/>
                <w:lang w:eastAsia="en-AU"/>
              </w:rPr>
            </w:pPr>
            <w:r w:rsidRPr="00E52149">
              <w:rPr>
                <w:rFonts w:cs="Arial"/>
                <w:color w:val="7F7F7F"/>
                <w:szCs w:val="18"/>
                <w:lang w:eastAsia="en-AU"/>
              </w:rPr>
              <w:t>-14%</w:t>
            </w:r>
          </w:p>
        </w:tc>
        <w:tc>
          <w:tcPr>
            <w:tcW w:w="1191" w:type="dxa"/>
            <w:tcBorders>
              <w:top w:val="nil"/>
              <w:left w:val="nil"/>
              <w:bottom w:val="nil"/>
              <w:right w:val="nil"/>
            </w:tcBorders>
            <w:shd w:val="clear" w:color="auto" w:fill="auto"/>
            <w:noWrap/>
            <w:vAlign w:val="center"/>
            <w:hideMark/>
          </w:tcPr>
          <w:p w:rsidR="001E08F1" w:rsidRPr="00E52149" w:rsidRDefault="001E08F1" w:rsidP="00D07A42">
            <w:pPr>
              <w:jc w:val="right"/>
              <w:rPr>
                <w:rFonts w:cs="Arial"/>
                <w:color w:val="7F7F7F"/>
                <w:szCs w:val="18"/>
                <w:lang w:eastAsia="en-AU"/>
              </w:rPr>
            </w:pPr>
            <w:r w:rsidRPr="00E52149">
              <w:rPr>
                <w:rFonts w:cs="Arial"/>
                <w:color w:val="7F7F7F"/>
                <w:szCs w:val="18"/>
                <w:lang w:eastAsia="en-AU"/>
              </w:rPr>
              <w:t>-15%</w:t>
            </w:r>
          </w:p>
        </w:tc>
        <w:tc>
          <w:tcPr>
            <w:tcW w:w="1191" w:type="dxa"/>
            <w:tcBorders>
              <w:top w:val="nil"/>
              <w:left w:val="nil"/>
              <w:bottom w:val="nil"/>
              <w:right w:val="nil"/>
            </w:tcBorders>
            <w:shd w:val="clear" w:color="auto" w:fill="auto"/>
            <w:noWrap/>
            <w:vAlign w:val="center"/>
            <w:hideMark/>
          </w:tcPr>
          <w:p w:rsidR="001E08F1" w:rsidRPr="00E52149" w:rsidRDefault="001E08F1" w:rsidP="00D07A42">
            <w:pPr>
              <w:jc w:val="right"/>
              <w:rPr>
                <w:rFonts w:cs="Arial"/>
                <w:color w:val="7F7F7F"/>
                <w:szCs w:val="18"/>
                <w:lang w:eastAsia="en-AU"/>
              </w:rPr>
            </w:pPr>
            <w:r w:rsidRPr="00E52149">
              <w:rPr>
                <w:rFonts w:cs="Arial"/>
                <w:color w:val="7F7F7F"/>
                <w:szCs w:val="18"/>
                <w:lang w:eastAsia="en-AU"/>
              </w:rPr>
              <w:t>-28%</w:t>
            </w:r>
          </w:p>
        </w:tc>
      </w:tr>
      <w:tr w:rsidR="001E08F1" w:rsidRPr="00E52149" w:rsidTr="00D07A42">
        <w:trPr>
          <w:trHeight w:val="300"/>
        </w:trPr>
        <w:tc>
          <w:tcPr>
            <w:tcW w:w="2142" w:type="dxa"/>
            <w:tcBorders>
              <w:top w:val="nil"/>
              <w:left w:val="nil"/>
              <w:bottom w:val="nil"/>
              <w:right w:val="nil"/>
            </w:tcBorders>
            <w:shd w:val="clear" w:color="auto" w:fill="auto"/>
            <w:noWrap/>
            <w:vAlign w:val="center"/>
            <w:hideMark/>
          </w:tcPr>
          <w:p w:rsidR="001E08F1" w:rsidRPr="00E52149" w:rsidRDefault="001E08F1" w:rsidP="00D07A42">
            <w:pPr>
              <w:rPr>
                <w:rFonts w:cs="Arial"/>
                <w:color w:val="7F7F7F"/>
                <w:szCs w:val="18"/>
                <w:lang w:eastAsia="en-AU"/>
              </w:rPr>
            </w:pPr>
            <w:r w:rsidRPr="00E52149">
              <w:rPr>
                <w:rFonts w:cs="Arial"/>
                <w:color w:val="7F7F7F"/>
                <w:szCs w:val="18"/>
                <w:lang w:eastAsia="en-AU"/>
              </w:rPr>
              <w:t>Other**</w:t>
            </w:r>
          </w:p>
        </w:tc>
        <w:tc>
          <w:tcPr>
            <w:tcW w:w="1190" w:type="dxa"/>
            <w:tcBorders>
              <w:top w:val="nil"/>
              <w:left w:val="nil"/>
              <w:bottom w:val="nil"/>
              <w:right w:val="nil"/>
            </w:tcBorders>
            <w:shd w:val="clear" w:color="auto" w:fill="auto"/>
            <w:noWrap/>
            <w:vAlign w:val="center"/>
            <w:hideMark/>
          </w:tcPr>
          <w:p w:rsidR="001E08F1" w:rsidRPr="00E52149" w:rsidRDefault="001E08F1" w:rsidP="00D07A42">
            <w:pPr>
              <w:jc w:val="right"/>
              <w:rPr>
                <w:rFonts w:cs="Arial"/>
                <w:color w:val="7F7F7F"/>
                <w:szCs w:val="18"/>
                <w:lang w:eastAsia="en-AU"/>
              </w:rPr>
            </w:pPr>
            <w:r w:rsidRPr="00E52149">
              <w:rPr>
                <w:rFonts w:cs="Arial"/>
                <w:color w:val="7F7F7F"/>
                <w:szCs w:val="18"/>
                <w:lang w:eastAsia="en-AU"/>
              </w:rPr>
              <w:t>-28%</w:t>
            </w:r>
          </w:p>
        </w:tc>
        <w:tc>
          <w:tcPr>
            <w:tcW w:w="1191" w:type="dxa"/>
            <w:tcBorders>
              <w:top w:val="nil"/>
              <w:left w:val="nil"/>
              <w:bottom w:val="nil"/>
              <w:right w:val="nil"/>
            </w:tcBorders>
            <w:shd w:val="clear" w:color="auto" w:fill="auto"/>
            <w:noWrap/>
            <w:vAlign w:val="center"/>
            <w:hideMark/>
          </w:tcPr>
          <w:p w:rsidR="001E08F1" w:rsidRPr="00E52149" w:rsidRDefault="001E08F1" w:rsidP="00D07A42">
            <w:pPr>
              <w:jc w:val="right"/>
              <w:rPr>
                <w:rFonts w:cs="Arial"/>
                <w:color w:val="7F7F7F"/>
                <w:szCs w:val="18"/>
                <w:lang w:eastAsia="en-AU"/>
              </w:rPr>
            </w:pPr>
            <w:r w:rsidRPr="00E52149">
              <w:rPr>
                <w:rFonts w:cs="Arial"/>
                <w:color w:val="7F7F7F"/>
                <w:szCs w:val="18"/>
                <w:lang w:eastAsia="en-AU"/>
              </w:rPr>
              <w:t>17%</w:t>
            </w:r>
          </w:p>
        </w:tc>
        <w:tc>
          <w:tcPr>
            <w:tcW w:w="1190" w:type="dxa"/>
            <w:tcBorders>
              <w:top w:val="nil"/>
              <w:left w:val="nil"/>
              <w:bottom w:val="nil"/>
              <w:right w:val="nil"/>
            </w:tcBorders>
            <w:shd w:val="clear" w:color="auto" w:fill="auto"/>
            <w:noWrap/>
            <w:vAlign w:val="center"/>
            <w:hideMark/>
          </w:tcPr>
          <w:p w:rsidR="001E08F1" w:rsidRPr="00E52149" w:rsidRDefault="001E08F1" w:rsidP="00D07A42">
            <w:pPr>
              <w:jc w:val="right"/>
              <w:rPr>
                <w:rFonts w:cs="Arial"/>
                <w:color w:val="7F7F7F"/>
                <w:szCs w:val="18"/>
                <w:lang w:eastAsia="en-AU"/>
              </w:rPr>
            </w:pPr>
            <w:r w:rsidRPr="00E52149">
              <w:rPr>
                <w:rFonts w:cs="Arial"/>
                <w:color w:val="7F7F7F"/>
                <w:szCs w:val="18"/>
                <w:lang w:eastAsia="en-AU"/>
              </w:rPr>
              <w:t>-32%</w:t>
            </w:r>
          </w:p>
        </w:tc>
        <w:tc>
          <w:tcPr>
            <w:tcW w:w="1191" w:type="dxa"/>
            <w:tcBorders>
              <w:top w:val="nil"/>
              <w:left w:val="nil"/>
              <w:bottom w:val="nil"/>
              <w:right w:val="nil"/>
            </w:tcBorders>
            <w:shd w:val="clear" w:color="auto" w:fill="auto"/>
            <w:noWrap/>
            <w:vAlign w:val="center"/>
            <w:hideMark/>
          </w:tcPr>
          <w:p w:rsidR="001E08F1" w:rsidRPr="00E52149" w:rsidRDefault="001E08F1" w:rsidP="00D07A42">
            <w:pPr>
              <w:jc w:val="right"/>
              <w:rPr>
                <w:rFonts w:cs="Arial"/>
                <w:color w:val="7F7F7F"/>
                <w:szCs w:val="18"/>
                <w:lang w:eastAsia="en-AU"/>
              </w:rPr>
            </w:pPr>
            <w:r w:rsidRPr="00E52149">
              <w:rPr>
                <w:rFonts w:cs="Arial"/>
                <w:color w:val="7F7F7F"/>
                <w:szCs w:val="18"/>
                <w:lang w:eastAsia="en-AU"/>
              </w:rPr>
              <w:t>14%</w:t>
            </w:r>
          </w:p>
        </w:tc>
        <w:tc>
          <w:tcPr>
            <w:tcW w:w="1191" w:type="dxa"/>
            <w:tcBorders>
              <w:top w:val="nil"/>
              <w:left w:val="nil"/>
              <w:bottom w:val="nil"/>
              <w:right w:val="nil"/>
            </w:tcBorders>
            <w:shd w:val="clear" w:color="auto" w:fill="auto"/>
            <w:noWrap/>
            <w:vAlign w:val="center"/>
            <w:hideMark/>
          </w:tcPr>
          <w:p w:rsidR="001E08F1" w:rsidRPr="00E52149" w:rsidRDefault="001E08F1" w:rsidP="00D07A42">
            <w:pPr>
              <w:jc w:val="right"/>
              <w:rPr>
                <w:rFonts w:cs="Arial"/>
                <w:color w:val="7F7F7F"/>
                <w:szCs w:val="18"/>
                <w:lang w:eastAsia="en-AU"/>
              </w:rPr>
            </w:pPr>
            <w:r w:rsidRPr="00E52149">
              <w:rPr>
                <w:rFonts w:cs="Arial"/>
                <w:color w:val="7F7F7F"/>
                <w:szCs w:val="18"/>
                <w:lang w:eastAsia="en-AU"/>
              </w:rPr>
              <w:t>-8%</w:t>
            </w:r>
          </w:p>
        </w:tc>
      </w:tr>
      <w:tr w:rsidR="001E08F1" w:rsidRPr="00E52149" w:rsidTr="00D07A42">
        <w:trPr>
          <w:trHeight w:val="300"/>
        </w:trPr>
        <w:tc>
          <w:tcPr>
            <w:tcW w:w="2142" w:type="dxa"/>
            <w:tcBorders>
              <w:top w:val="nil"/>
              <w:left w:val="nil"/>
              <w:bottom w:val="nil"/>
              <w:right w:val="nil"/>
            </w:tcBorders>
            <w:shd w:val="clear" w:color="000000" w:fill="7F7F7F"/>
            <w:noWrap/>
            <w:vAlign w:val="center"/>
            <w:hideMark/>
          </w:tcPr>
          <w:p w:rsidR="001E08F1" w:rsidRPr="00E52149" w:rsidRDefault="001E08F1" w:rsidP="00D07A42">
            <w:pPr>
              <w:rPr>
                <w:rFonts w:cs="Arial"/>
                <w:b/>
                <w:bCs/>
                <w:color w:val="FFFFFF"/>
                <w:szCs w:val="18"/>
                <w:lang w:eastAsia="en-AU"/>
              </w:rPr>
            </w:pPr>
            <w:r w:rsidRPr="00E52149">
              <w:rPr>
                <w:rFonts w:cs="Arial"/>
                <w:b/>
                <w:bCs/>
                <w:color w:val="FFFFFF"/>
                <w:szCs w:val="18"/>
                <w:lang w:eastAsia="en-AU"/>
              </w:rPr>
              <w:t>Total</w:t>
            </w:r>
          </w:p>
        </w:tc>
        <w:tc>
          <w:tcPr>
            <w:tcW w:w="1190" w:type="dxa"/>
            <w:tcBorders>
              <w:top w:val="nil"/>
              <w:left w:val="nil"/>
              <w:bottom w:val="nil"/>
              <w:right w:val="nil"/>
            </w:tcBorders>
            <w:shd w:val="clear" w:color="000000" w:fill="7F7F7F"/>
            <w:noWrap/>
            <w:vAlign w:val="center"/>
            <w:hideMark/>
          </w:tcPr>
          <w:p w:rsidR="001E08F1" w:rsidRPr="00E52149" w:rsidRDefault="001E08F1" w:rsidP="00D07A42">
            <w:pPr>
              <w:jc w:val="right"/>
              <w:rPr>
                <w:rFonts w:cs="Arial"/>
                <w:b/>
                <w:bCs/>
                <w:color w:val="FFFFFF"/>
                <w:szCs w:val="18"/>
                <w:lang w:eastAsia="en-AU"/>
              </w:rPr>
            </w:pPr>
            <w:r w:rsidRPr="00E52149">
              <w:rPr>
                <w:rFonts w:cs="Arial"/>
                <w:b/>
                <w:bCs/>
                <w:color w:val="FFFFFF"/>
                <w:szCs w:val="18"/>
                <w:lang w:eastAsia="en-AU"/>
              </w:rPr>
              <w:t>88%</w:t>
            </w:r>
          </w:p>
        </w:tc>
        <w:tc>
          <w:tcPr>
            <w:tcW w:w="1191" w:type="dxa"/>
            <w:tcBorders>
              <w:top w:val="nil"/>
              <w:left w:val="nil"/>
              <w:bottom w:val="nil"/>
              <w:right w:val="nil"/>
            </w:tcBorders>
            <w:shd w:val="clear" w:color="000000" w:fill="7F7F7F"/>
            <w:noWrap/>
            <w:vAlign w:val="center"/>
            <w:hideMark/>
          </w:tcPr>
          <w:p w:rsidR="001E08F1" w:rsidRPr="00E52149" w:rsidRDefault="001E08F1" w:rsidP="00D07A42">
            <w:pPr>
              <w:jc w:val="right"/>
              <w:rPr>
                <w:rFonts w:cs="Arial"/>
                <w:b/>
                <w:bCs/>
                <w:color w:val="FFFFFF"/>
                <w:szCs w:val="18"/>
                <w:lang w:eastAsia="en-AU"/>
              </w:rPr>
            </w:pPr>
            <w:r w:rsidRPr="00E52149">
              <w:rPr>
                <w:rFonts w:cs="Arial"/>
                <w:b/>
                <w:bCs/>
                <w:color w:val="FFFFFF"/>
                <w:szCs w:val="18"/>
                <w:lang w:eastAsia="en-AU"/>
              </w:rPr>
              <w:t>38%</w:t>
            </w:r>
          </w:p>
        </w:tc>
        <w:tc>
          <w:tcPr>
            <w:tcW w:w="1190" w:type="dxa"/>
            <w:tcBorders>
              <w:top w:val="nil"/>
              <w:left w:val="nil"/>
              <w:bottom w:val="nil"/>
              <w:right w:val="nil"/>
            </w:tcBorders>
            <w:shd w:val="clear" w:color="000000" w:fill="7F7F7F"/>
            <w:noWrap/>
            <w:vAlign w:val="center"/>
            <w:hideMark/>
          </w:tcPr>
          <w:p w:rsidR="001E08F1" w:rsidRPr="00E52149" w:rsidRDefault="001E08F1" w:rsidP="00D07A42">
            <w:pPr>
              <w:jc w:val="right"/>
              <w:rPr>
                <w:rFonts w:cs="Arial"/>
                <w:b/>
                <w:bCs/>
                <w:color w:val="FFFFFF"/>
                <w:szCs w:val="18"/>
                <w:lang w:eastAsia="en-AU"/>
              </w:rPr>
            </w:pPr>
            <w:r w:rsidRPr="00E52149">
              <w:rPr>
                <w:rFonts w:cs="Arial"/>
                <w:b/>
                <w:bCs/>
                <w:color w:val="FFFFFF"/>
                <w:szCs w:val="18"/>
                <w:lang w:eastAsia="en-AU"/>
              </w:rPr>
              <w:t>-10%</w:t>
            </w:r>
          </w:p>
        </w:tc>
        <w:tc>
          <w:tcPr>
            <w:tcW w:w="1191" w:type="dxa"/>
            <w:tcBorders>
              <w:top w:val="nil"/>
              <w:left w:val="nil"/>
              <w:bottom w:val="nil"/>
              <w:right w:val="nil"/>
            </w:tcBorders>
            <w:shd w:val="clear" w:color="000000" w:fill="7F7F7F"/>
            <w:noWrap/>
            <w:vAlign w:val="center"/>
            <w:hideMark/>
          </w:tcPr>
          <w:p w:rsidR="001E08F1" w:rsidRPr="00E52149" w:rsidRDefault="001E08F1" w:rsidP="00D07A42">
            <w:pPr>
              <w:jc w:val="right"/>
              <w:rPr>
                <w:rFonts w:cs="Arial"/>
                <w:b/>
                <w:bCs/>
                <w:color w:val="FFFFFF"/>
                <w:szCs w:val="18"/>
                <w:lang w:eastAsia="en-AU"/>
              </w:rPr>
            </w:pPr>
            <w:r w:rsidRPr="00E52149">
              <w:rPr>
                <w:rFonts w:cs="Arial"/>
                <w:b/>
                <w:bCs/>
                <w:color w:val="FFFFFF"/>
                <w:szCs w:val="18"/>
                <w:lang w:eastAsia="en-AU"/>
              </w:rPr>
              <w:t>-10%</w:t>
            </w:r>
          </w:p>
        </w:tc>
        <w:tc>
          <w:tcPr>
            <w:tcW w:w="1191" w:type="dxa"/>
            <w:tcBorders>
              <w:top w:val="nil"/>
              <w:left w:val="nil"/>
              <w:bottom w:val="nil"/>
              <w:right w:val="nil"/>
            </w:tcBorders>
            <w:shd w:val="clear" w:color="000000" w:fill="7F7F7F"/>
            <w:noWrap/>
            <w:vAlign w:val="center"/>
            <w:hideMark/>
          </w:tcPr>
          <w:p w:rsidR="001E08F1" w:rsidRPr="00E52149" w:rsidRDefault="001E08F1" w:rsidP="00D07A42">
            <w:pPr>
              <w:jc w:val="right"/>
              <w:rPr>
                <w:rFonts w:cs="Arial"/>
                <w:b/>
                <w:bCs/>
                <w:color w:val="FFFFFF"/>
                <w:szCs w:val="18"/>
                <w:lang w:eastAsia="en-AU"/>
              </w:rPr>
            </w:pPr>
            <w:r w:rsidRPr="00E52149">
              <w:rPr>
                <w:rFonts w:cs="Arial"/>
                <w:b/>
                <w:bCs/>
                <w:color w:val="FFFFFF"/>
                <w:szCs w:val="18"/>
                <w:lang w:eastAsia="en-AU"/>
              </w:rPr>
              <w:t>-15%</w:t>
            </w:r>
          </w:p>
        </w:tc>
      </w:tr>
    </w:tbl>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4A0" w:firstRow="1" w:lastRow="0" w:firstColumn="1" w:lastColumn="0" w:noHBand="0" w:noVBand="1"/>
      </w:tblPr>
      <w:tblGrid>
        <w:gridCol w:w="431"/>
        <w:gridCol w:w="7649"/>
      </w:tblGrid>
      <w:tr w:rsidR="001E08F1" w:rsidRPr="00913551" w:rsidTr="00D07A42">
        <w:tc>
          <w:tcPr>
            <w:tcW w:w="431" w:type="dxa"/>
            <w:tcMar>
              <w:left w:w="0" w:type="dxa"/>
              <w:right w:w="28" w:type="dxa"/>
            </w:tcMar>
          </w:tcPr>
          <w:p w:rsidR="001E08F1" w:rsidRPr="00913551" w:rsidRDefault="001E08F1" w:rsidP="00D07A42">
            <w:pPr>
              <w:spacing w:after="0" w:line="240" w:lineRule="auto"/>
              <w:jc w:val="right"/>
              <w:rPr>
                <w:color w:val="7F7F7F" w:themeColor="text2"/>
                <w:sz w:val="16"/>
                <w:szCs w:val="16"/>
              </w:rPr>
            </w:pPr>
            <w:r w:rsidRPr="00913551">
              <w:rPr>
                <w:color w:val="7F7F7F" w:themeColor="text2"/>
                <w:sz w:val="16"/>
                <w:szCs w:val="16"/>
              </w:rPr>
              <w:t xml:space="preserve">* </w:t>
            </w:r>
          </w:p>
        </w:tc>
        <w:tc>
          <w:tcPr>
            <w:tcW w:w="7649" w:type="dxa"/>
            <w:tcMar>
              <w:left w:w="0" w:type="dxa"/>
              <w:right w:w="28" w:type="dxa"/>
            </w:tcMar>
          </w:tcPr>
          <w:p w:rsidR="001E08F1" w:rsidRPr="00913551" w:rsidRDefault="001E08F1" w:rsidP="00D07A42">
            <w:pPr>
              <w:spacing w:after="0" w:line="240" w:lineRule="auto"/>
              <w:rPr>
                <w:i/>
                <w:color w:val="7F7F7F" w:themeColor="text2"/>
                <w:sz w:val="16"/>
                <w:szCs w:val="16"/>
              </w:rPr>
            </w:pPr>
            <w:proofErr w:type="gramStart"/>
            <w:r w:rsidRPr="00913551">
              <w:rPr>
                <w:i/>
                <w:sz w:val="16"/>
                <w:szCs w:val="16"/>
              </w:rPr>
              <w:t>Includes VCE/VCAL courses of study.</w:t>
            </w:r>
            <w:proofErr w:type="gramEnd"/>
          </w:p>
        </w:tc>
      </w:tr>
      <w:tr w:rsidR="001E08F1" w:rsidRPr="00913551" w:rsidTr="00D07A42">
        <w:tc>
          <w:tcPr>
            <w:tcW w:w="431" w:type="dxa"/>
            <w:tcMar>
              <w:left w:w="0" w:type="dxa"/>
              <w:right w:w="28" w:type="dxa"/>
            </w:tcMar>
          </w:tcPr>
          <w:p w:rsidR="001E08F1" w:rsidRPr="00913551" w:rsidRDefault="001E08F1" w:rsidP="00D07A42">
            <w:pPr>
              <w:spacing w:after="0" w:line="240" w:lineRule="auto"/>
              <w:jc w:val="right"/>
              <w:rPr>
                <w:color w:val="7F7F7F" w:themeColor="text2"/>
                <w:sz w:val="16"/>
                <w:szCs w:val="16"/>
              </w:rPr>
            </w:pPr>
            <w:r w:rsidRPr="00913551">
              <w:rPr>
                <w:color w:val="7F7F7F" w:themeColor="text2"/>
                <w:sz w:val="16"/>
                <w:szCs w:val="16"/>
              </w:rPr>
              <w:t>**</w:t>
            </w:r>
          </w:p>
        </w:tc>
        <w:tc>
          <w:tcPr>
            <w:tcW w:w="7649" w:type="dxa"/>
            <w:tcMar>
              <w:left w:w="0" w:type="dxa"/>
              <w:right w:w="28" w:type="dxa"/>
            </w:tcMar>
          </w:tcPr>
          <w:p w:rsidR="001E08F1" w:rsidRPr="00913551" w:rsidRDefault="001E08F1" w:rsidP="00D07A42">
            <w:pPr>
              <w:spacing w:after="0" w:line="240" w:lineRule="auto"/>
              <w:rPr>
                <w:i/>
                <w:sz w:val="16"/>
                <w:szCs w:val="16"/>
              </w:rPr>
            </w:pPr>
            <w:r w:rsidRPr="00913551">
              <w:rPr>
                <w:i/>
                <w:sz w:val="16"/>
                <w:szCs w:val="16"/>
              </w:rPr>
              <w:t>'Other' includes statement of attainment, other non-award courses or not elsewhere classified.</w:t>
            </w:r>
          </w:p>
        </w:tc>
      </w:tr>
    </w:tbl>
    <w:p w:rsidR="001E08F1" w:rsidRDefault="001E08F1" w:rsidP="001E08F1"/>
    <w:p w:rsidR="001E08F1" w:rsidRDefault="001E08F1" w:rsidP="001E08F1"/>
    <w:p w:rsidR="001E08F1" w:rsidRDefault="001E08F1" w:rsidP="001E08F1">
      <w:r>
        <w:br w:type="page"/>
      </w:r>
    </w:p>
    <w:p w:rsidR="001E08F1" w:rsidRPr="00472F62" w:rsidRDefault="001E08F1" w:rsidP="001E08F1">
      <w:pPr>
        <w:pStyle w:val="Heading2"/>
        <w:rPr>
          <w:color w:val="B41F22" w:themeColor="accent1"/>
        </w:rPr>
      </w:pPr>
      <w:bookmarkStart w:id="25" w:name="_Toc432758333"/>
      <w:r w:rsidRPr="00472F62">
        <w:rPr>
          <w:color w:val="B41F22" w:themeColor="accent1"/>
        </w:rPr>
        <w:lastRenderedPageBreak/>
        <w:t>Young People (aged 15 to 19) Without Year 12 or Equivalent and Not at School</w:t>
      </w:r>
      <w:r w:rsidR="00B64B8A">
        <w:rPr>
          <w:color w:val="B41F22" w:themeColor="accent1"/>
        </w:rPr>
        <w:t xml:space="preserve"> enrolled in Certificate II or above</w:t>
      </w:r>
      <w:r w:rsidR="00B64B8A">
        <w:rPr>
          <w:rStyle w:val="FootnoteReference"/>
          <w:color w:val="B41F22" w:themeColor="accent1"/>
        </w:rPr>
        <w:footnoteReference w:id="4"/>
      </w:r>
      <w:bookmarkEnd w:id="25"/>
    </w:p>
    <w:p w:rsidR="001E08F1" w:rsidRPr="00365EB2" w:rsidRDefault="001E08F1" w:rsidP="001E08F1"/>
    <w:p w:rsidR="001E08F1" w:rsidRDefault="001E08F1" w:rsidP="001E08F1">
      <w:pPr>
        <w:pStyle w:val="Heading3"/>
        <w:rPr>
          <w:color w:val="7F7F7F" w:themeColor="text2"/>
        </w:rPr>
      </w:pPr>
      <w:r>
        <w:rPr>
          <w:color w:val="7F7F7F" w:themeColor="text2"/>
        </w:rPr>
        <w:t xml:space="preserve">Accredited </w:t>
      </w:r>
      <w:r w:rsidRPr="00DE7971">
        <w:rPr>
          <w:color w:val="7F7F7F" w:themeColor="text2"/>
        </w:rPr>
        <w:t>Course Enrolments</w:t>
      </w:r>
    </w:p>
    <w:p w:rsidR="001E08F1" w:rsidRPr="00365EB2" w:rsidRDefault="001E08F1" w:rsidP="001E08F1">
      <w:pPr>
        <w:pStyle w:val="Quote"/>
        <w:pBdr>
          <w:top w:val="single" w:sz="4" w:space="1" w:color="7F7F7F" w:themeColor="text2"/>
          <w:left w:val="single" w:sz="4" w:space="4" w:color="7F7F7F" w:themeColor="text2"/>
          <w:bottom w:val="single" w:sz="4" w:space="1" w:color="7F7F7F" w:themeColor="text2"/>
          <w:right w:val="single" w:sz="4" w:space="4" w:color="7F7F7F" w:themeColor="text2"/>
        </w:pBdr>
        <w:spacing w:after="120"/>
      </w:pPr>
      <w:r w:rsidRPr="00BB466D">
        <w:t>Key points</w:t>
      </w:r>
    </w:p>
    <w:p w:rsidR="001E08F1" w:rsidRDefault="001E08F1" w:rsidP="001E08F1">
      <w:pPr>
        <w:pBdr>
          <w:top w:val="single" w:sz="4" w:space="1" w:color="7F7F7F" w:themeColor="text2"/>
          <w:left w:val="single" w:sz="4" w:space="4" w:color="7F7F7F" w:themeColor="text2"/>
          <w:bottom w:val="single" w:sz="4" w:space="1" w:color="7F7F7F" w:themeColor="text2"/>
          <w:right w:val="single" w:sz="4" w:space="4" w:color="7F7F7F" w:themeColor="text2"/>
        </w:pBdr>
        <w:spacing w:before="120" w:after="120"/>
      </w:pPr>
      <w:r w:rsidRPr="00365EB2">
        <w:t>The 201</w:t>
      </w:r>
      <w:r>
        <w:t>5 (half year)</w:t>
      </w:r>
      <w:r w:rsidRPr="00365EB2">
        <w:t xml:space="preserve"> data shows that:</w:t>
      </w:r>
    </w:p>
    <w:p w:rsidR="001E08F1" w:rsidRPr="00AE7775" w:rsidRDefault="001E08F1" w:rsidP="001E08F1">
      <w:pPr>
        <w:pStyle w:val="ListParagraph"/>
        <w:numPr>
          <w:ilvl w:val="0"/>
          <w:numId w:val="18"/>
        </w:numPr>
        <w:pBdr>
          <w:top w:val="single" w:sz="4" w:space="1" w:color="7F7F7F" w:themeColor="text2"/>
          <w:left w:val="single" w:sz="4" w:space="4" w:color="7F7F7F" w:themeColor="text2"/>
          <w:bottom w:val="single" w:sz="4" w:space="1" w:color="7F7F7F" w:themeColor="text2"/>
          <w:right w:val="single" w:sz="4" w:space="4" w:color="7F7F7F" w:themeColor="text2"/>
        </w:pBdr>
        <w:spacing w:before="120"/>
        <w:ind w:left="425" w:hanging="425"/>
        <w:contextualSpacing w:val="0"/>
        <w:rPr>
          <w:color w:val="7F7F7F" w:themeColor="text2"/>
        </w:rPr>
      </w:pPr>
      <w:r w:rsidRPr="00AE7775">
        <w:rPr>
          <w:color w:val="7F7F7F" w:themeColor="text2"/>
        </w:rPr>
        <w:t>There were 13,3</w:t>
      </w:r>
      <w:r>
        <w:rPr>
          <w:color w:val="7F7F7F" w:themeColor="text2"/>
        </w:rPr>
        <w:t>13</w:t>
      </w:r>
      <w:r w:rsidRPr="00AE7775">
        <w:rPr>
          <w:color w:val="7F7F7F" w:themeColor="text2"/>
        </w:rPr>
        <w:t xml:space="preserve"> students who were aged 15 to 19 without at least Year 12 or a Certificate II and not at school, enrolled in 14,584 </w:t>
      </w:r>
      <w:proofErr w:type="gramStart"/>
      <w:r w:rsidRPr="00AE7775">
        <w:rPr>
          <w:color w:val="7F7F7F" w:themeColor="text2"/>
        </w:rPr>
        <w:t>government</w:t>
      </w:r>
      <w:proofErr w:type="gramEnd"/>
      <w:r w:rsidRPr="00AE7775">
        <w:rPr>
          <w:color w:val="7F7F7F" w:themeColor="text2"/>
        </w:rPr>
        <w:t xml:space="preserve"> subsidised accredited training courses at Certificate II and above levels. This is down 1</w:t>
      </w:r>
      <w:r>
        <w:rPr>
          <w:color w:val="7F7F7F" w:themeColor="text2"/>
        </w:rPr>
        <w:t>4</w:t>
      </w:r>
      <w:r w:rsidRPr="00AE7775">
        <w:rPr>
          <w:color w:val="7F7F7F" w:themeColor="text2"/>
        </w:rPr>
        <w:t xml:space="preserve"> per cent of students and 16 per cent of enrolments from the same period in 2014.</w:t>
      </w:r>
    </w:p>
    <w:p w:rsidR="001E08F1" w:rsidRPr="00365EB2" w:rsidRDefault="001E08F1" w:rsidP="001E08F1">
      <w:pPr>
        <w:pBdr>
          <w:top w:val="single" w:sz="4" w:space="1" w:color="7F7F7F" w:themeColor="text2"/>
          <w:left w:val="single" w:sz="4" w:space="4" w:color="7F7F7F" w:themeColor="text2"/>
          <w:bottom w:val="single" w:sz="4" w:space="1" w:color="7F7F7F" w:themeColor="text2"/>
          <w:right w:val="single" w:sz="4" w:space="4" w:color="7F7F7F" w:themeColor="text2"/>
        </w:pBdr>
      </w:pPr>
    </w:p>
    <w:p w:rsidR="001E08F1" w:rsidRPr="00365EB2" w:rsidRDefault="001E08F1" w:rsidP="001E08F1"/>
    <w:p w:rsidR="001E08F1" w:rsidRDefault="001E08F1" w:rsidP="001E08F1"/>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1E08F1" w:rsidTr="00D07A42">
        <w:tc>
          <w:tcPr>
            <w:tcW w:w="1134" w:type="dxa"/>
            <w:tcMar>
              <w:left w:w="0" w:type="dxa"/>
              <w:right w:w="0" w:type="dxa"/>
            </w:tcMar>
          </w:tcPr>
          <w:p w:rsidR="001E08F1" w:rsidRDefault="0005261F" w:rsidP="00D07A42">
            <w:pPr>
              <w:pStyle w:val="Quote"/>
              <w:tabs>
                <w:tab w:val="left" w:pos="1134"/>
              </w:tabs>
              <w:rPr>
                <w:b w:val="0"/>
                <w:color w:val="B41F22" w:themeColor="accent1"/>
              </w:rPr>
            </w:pPr>
            <w:r>
              <w:rPr>
                <w:b w:val="0"/>
                <w:color w:val="B41F22" w:themeColor="accent1"/>
              </w:rPr>
              <w:t>Table 2</w:t>
            </w:r>
            <w:r w:rsidR="001E08F1">
              <w:rPr>
                <w:b w:val="0"/>
                <w:color w:val="B41F22" w:themeColor="accent1"/>
              </w:rPr>
              <w:t>.7.1:</w:t>
            </w:r>
          </w:p>
        </w:tc>
        <w:tc>
          <w:tcPr>
            <w:tcW w:w="6946" w:type="dxa"/>
            <w:tcMar>
              <w:left w:w="0" w:type="dxa"/>
              <w:right w:w="0" w:type="dxa"/>
            </w:tcMar>
          </w:tcPr>
          <w:p w:rsidR="001E08F1" w:rsidRDefault="001E08F1" w:rsidP="00D07A42">
            <w:pPr>
              <w:pStyle w:val="Quote"/>
              <w:tabs>
                <w:tab w:val="left" w:pos="1134"/>
              </w:tabs>
              <w:rPr>
                <w:b w:val="0"/>
                <w:color w:val="B41F22" w:themeColor="accent1"/>
              </w:rPr>
            </w:pPr>
            <w:r w:rsidRPr="007F489B">
              <w:rPr>
                <w:b w:val="0"/>
                <w:color w:val="B41F22" w:themeColor="accent1"/>
              </w:rPr>
              <w:t>Enrolments in government subsidised accredited training at Certificate II and above by students aged 15 to 19 without at least Year 12 or a Certificate II and not at school, 2010 to 2015 (half year)</w:t>
            </w:r>
          </w:p>
        </w:tc>
      </w:tr>
    </w:tbl>
    <w:tbl>
      <w:tblPr>
        <w:tblW w:w="8095" w:type="dxa"/>
        <w:tblInd w:w="93" w:type="dxa"/>
        <w:tblLayout w:type="fixed"/>
        <w:tblLook w:val="04A0" w:firstRow="1" w:lastRow="0" w:firstColumn="1" w:lastColumn="0" w:noHBand="0" w:noVBand="1"/>
      </w:tblPr>
      <w:tblGrid>
        <w:gridCol w:w="1858"/>
        <w:gridCol w:w="1039"/>
        <w:gridCol w:w="1040"/>
        <w:gridCol w:w="1039"/>
        <w:gridCol w:w="1040"/>
        <w:gridCol w:w="1039"/>
        <w:gridCol w:w="1040"/>
      </w:tblGrid>
      <w:tr w:rsidR="001E08F1" w:rsidRPr="007F489B" w:rsidTr="00D07A42">
        <w:trPr>
          <w:trHeight w:val="300"/>
        </w:trPr>
        <w:tc>
          <w:tcPr>
            <w:tcW w:w="1858" w:type="dxa"/>
            <w:tcBorders>
              <w:top w:val="nil"/>
              <w:left w:val="nil"/>
              <w:bottom w:val="nil"/>
              <w:right w:val="nil"/>
            </w:tcBorders>
            <w:shd w:val="clear" w:color="000000" w:fill="7F7F7F"/>
            <w:noWrap/>
            <w:vAlign w:val="center"/>
            <w:hideMark/>
          </w:tcPr>
          <w:p w:rsidR="001E08F1" w:rsidRPr="007F489B" w:rsidRDefault="001E08F1" w:rsidP="00D07A42">
            <w:pPr>
              <w:rPr>
                <w:rFonts w:cs="Arial"/>
                <w:color w:val="FFFFFF"/>
                <w:szCs w:val="18"/>
                <w:lang w:eastAsia="en-AU"/>
              </w:rPr>
            </w:pPr>
            <w:r w:rsidRPr="007F489B">
              <w:rPr>
                <w:rFonts w:cs="Arial"/>
                <w:color w:val="FFFFFF"/>
                <w:szCs w:val="18"/>
                <w:lang w:eastAsia="en-AU"/>
              </w:rPr>
              <w:t> </w:t>
            </w:r>
          </w:p>
        </w:tc>
        <w:tc>
          <w:tcPr>
            <w:tcW w:w="1039" w:type="dxa"/>
            <w:tcBorders>
              <w:top w:val="nil"/>
              <w:left w:val="nil"/>
              <w:bottom w:val="nil"/>
              <w:right w:val="nil"/>
            </w:tcBorders>
            <w:shd w:val="clear" w:color="000000" w:fill="7F7F7F"/>
            <w:noWrap/>
            <w:vAlign w:val="center"/>
            <w:hideMark/>
          </w:tcPr>
          <w:p w:rsidR="001E08F1" w:rsidRPr="007F489B" w:rsidRDefault="001E08F1" w:rsidP="00D07A42">
            <w:pPr>
              <w:jc w:val="right"/>
              <w:rPr>
                <w:rFonts w:cs="Arial"/>
                <w:b/>
                <w:bCs/>
                <w:color w:val="FFFFFF"/>
                <w:szCs w:val="18"/>
                <w:lang w:eastAsia="en-AU"/>
              </w:rPr>
            </w:pPr>
            <w:r w:rsidRPr="007F489B">
              <w:rPr>
                <w:rFonts w:cs="Arial"/>
                <w:b/>
                <w:bCs/>
                <w:color w:val="FFFFFF"/>
                <w:szCs w:val="18"/>
                <w:lang w:eastAsia="en-AU"/>
              </w:rPr>
              <w:t>2010</w:t>
            </w:r>
          </w:p>
        </w:tc>
        <w:tc>
          <w:tcPr>
            <w:tcW w:w="1040" w:type="dxa"/>
            <w:tcBorders>
              <w:top w:val="nil"/>
              <w:left w:val="nil"/>
              <w:bottom w:val="nil"/>
              <w:right w:val="nil"/>
            </w:tcBorders>
            <w:shd w:val="clear" w:color="000000" w:fill="7F7F7F"/>
            <w:noWrap/>
            <w:vAlign w:val="center"/>
            <w:hideMark/>
          </w:tcPr>
          <w:p w:rsidR="001E08F1" w:rsidRPr="007F489B" w:rsidRDefault="001E08F1" w:rsidP="00D07A42">
            <w:pPr>
              <w:jc w:val="right"/>
              <w:rPr>
                <w:rFonts w:cs="Arial"/>
                <w:b/>
                <w:bCs/>
                <w:color w:val="FFFFFF"/>
                <w:szCs w:val="18"/>
                <w:lang w:eastAsia="en-AU"/>
              </w:rPr>
            </w:pPr>
            <w:r w:rsidRPr="007F489B">
              <w:rPr>
                <w:rFonts w:cs="Arial"/>
                <w:b/>
                <w:bCs/>
                <w:color w:val="FFFFFF"/>
                <w:szCs w:val="18"/>
                <w:lang w:eastAsia="en-AU"/>
              </w:rPr>
              <w:t>2011</w:t>
            </w:r>
          </w:p>
        </w:tc>
        <w:tc>
          <w:tcPr>
            <w:tcW w:w="1039" w:type="dxa"/>
            <w:tcBorders>
              <w:top w:val="nil"/>
              <w:left w:val="nil"/>
              <w:bottom w:val="nil"/>
              <w:right w:val="nil"/>
            </w:tcBorders>
            <w:shd w:val="clear" w:color="000000" w:fill="7F7F7F"/>
            <w:noWrap/>
            <w:vAlign w:val="center"/>
            <w:hideMark/>
          </w:tcPr>
          <w:p w:rsidR="001E08F1" w:rsidRPr="007F489B" w:rsidRDefault="001E08F1" w:rsidP="00D07A42">
            <w:pPr>
              <w:jc w:val="right"/>
              <w:rPr>
                <w:rFonts w:cs="Arial"/>
                <w:b/>
                <w:bCs/>
                <w:color w:val="FFFFFF"/>
                <w:szCs w:val="18"/>
                <w:lang w:eastAsia="en-AU"/>
              </w:rPr>
            </w:pPr>
            <w:r w:rsidRPr="007F489B">
              <w:rPr>
                <w:rFonts w:cs="Arial"/>
                <w:b/>
                <w:bCs/>
                <w:color w:val="FFFFFF"/>
                <w:szCs w:val="18"/>
                <w:lang w:eastAsia="en-AU"/>
              </w:rPr>
              <w:t>2012</w:t>
            </w:r>
          </w:p>
        </w:tc>
        <w:tc>
          <w:tcPr>
            <w:tcW w:w="1040" w:type="dxa"/>
            <w:tcBorders>
              <w:top w:val="nil"/>
              <w:left w:val="nil"/>
              <w:bottom w:val="nil"/>
              <w:right w:val="nil"/>
            </w:tcBorders>
            <w:shd w:val="clear" w:color="000000" w:fill="7F7F7F"/>
            <w:noWrap/>
            <w:vAlign w:val="center"/>
            <w:hideMark/>
          </w:tcPr>
          <w:p w:rsidR="001E08F1" w:rsidRPr="007F489B" w:rsidRDefault="001E08F1" w:rsidP="00D07A42">
            <w:pPr>
              <w:jc w:val="right"/>
              <w:rPr>
                <w:rFonts w:cs="Arial"/>
                <w:b/>
                <w:bCs/>
                <w:color w:val="FFFFFF"/>
                <w:szCs w:val="18"/>
                <w:lang w:eastAsia="en-AU"/>
              </w:rPr>
            </w:pPr>
            <w:r w:rsidRPr="007F489B">
              <w:rPr>
                <w:rFonts w:cs="Arial"/>
                <w:b/>
                <w:bCs/>
                <w:color w:val="FFFFFF"/>
                <w:szCs w:val="18"/>
                <w:lang w:eastAsia="en-AU"/>
              </w:rPr>
              <w:t>2013</w:t>
            </w:r>
          </w:p>
        </w:tc>
        <w:tc>
          <w:tcPr>
            <w:tcW w:w="1039" w:type="dxa"/>
            <w:tcBorders>
              <w:top w:val="nil"/>
              <w:left w:val="nil"/>
              <w:bottom w:val="nil"/>
              <w:right w:val="nil"/>
            </w:tcBorders>
            <w:shd w:val="clear" w:color="000000" w:fill="7F7F7F"/>
            <w:noWrap/>
            <w:vAlign w:val="center"/>
            <w:hideMark/>
          </w:tcPr>
          <w:p w:rsidR="001E08F1" w:rsidRPr="007F489B" w:rsidRDefault="001E08F1" w:rsidP="00D07A42">
            <w:pPr>
              <w:jc w:val="right"/>
              <w:rPr>
                <w:rFonts w:cs="Arial"/>
                <w:b/>
                <w:bCs/>
                <w:color w:val="FFFFFF"/>
                <w:szCs w:val="18"/>
                <w:lang w:eastAsia="en-AU"/>
              </w:rPr>
            </w:pPr>
            <w:r w:rsidRPr="007F489B">
              <w:rPr>
                <w:rFonts w:cs="Arial"/>
                <w:b/>
                <w:bCs/>
                <w:color w:val="FFFFFF"/>
                <w:szCs w:val="18"/>
                <w:lang w:eastAsia="en-AU"/>
              </w:rPr>
              <w:t>2014</w:t>
            </w:r>
          </w:p>
        </w:tc>
        <w:tc>
          <w:tcPr>
            <w:tcW w:w="1040" w:type="dxa"/>
            <w:tcBorders>
              <w:top w:val="nil"/>
              <w:left w:val="nil"/>
              <w:bottom w:val="nil"/>
              <w:right w:val="nil"/>
            </w:tcBorders>
            <w:shd w:val="clear" w:color="000000" w:fill="7F7F7F"/>
            <w:noWrap/>
            <w:vAlign w:val="center"/>
            <w:hideMark/>
          </w:tcPr>
          <w:p w:rsidR="001E08F1" w:rsidRPr="007F489B" w:rsidRDefault="001E08F1" w:rsidP="00D07A42">
            <w:pPr>
              <w:jc w:val="right"/>
              <w:rPr>
                <w:rFonts w:cs="Arial"/>
                <w:b/>
                <w:bCs/>
                <w:color w:val="FFFFFF"/>
                <w:szCs w:val="18"/>
                <w:lang w:eastAsia="en-AU"/>
              </w:rPr>
            </w:pPr>
            <w:r w:rsidRPr="007F489B">
              <w:rPr>
                <w:rFonts w:cs="Arial"/>
                <w:b/>
                <w:bCs/>
                <w:color w:val="FFFFFF"/>
                <w:szCs w:val="18"/>
                <w:lang w:eastAsia="en-AU"/>
              </w:rPr>
              <w:t>2015</w:t>
            </w:r>
          </w:p>
        </w:tc>
      </w:tr>
      <w:tr w:rsidR="001E08F1" w:rsidRPr="007F489B" w:rsidTr="00D07A42">
        <w:trPr>
          <w:trHeight w:val="300"/>
        </w:trPr>
        <w:tc>
          <w:tcPr>
            <w:tcW w:w="1858" w:type="dxa"/>
            <w:tcBorders>
              <w:top w:val="nil"/>
              <w:left w:val="nil"/>
              <w:bottom w:val="nil"/>
              <w:right w:val="nil"/>
            </w:tcBorders>
            <w:shd w:val="clear" w:color="auto" w:fill="auto"/>
            <w:noWrap/>
            <w:vAlign w:val="center"/>
            <w:hideMark/>
          </w:tcPr>
          <w:p w:rsidR="001E08F1" w:rsidRPr="007F489B" w:rsidRDefault="001E08F1" w:rsidP="00D07A42">
            <w:pPr>
              <w:rPr>
                <w:rFonts w:cs="Arial"/>
                <w:color w:val="7F7F7F"/>
                <w:szCs w:val="18"/>
                <w:lang w:eastAsia="en-AU"/>
              </w:rPr>
            </w:pPr>
            <w:r w:rsidRPr="007F489B">
              <w:rPr>
                <w:rFonts w:cs="Arial"/>
                <w:color w:val="7F7F7F"/>
                <w:szCs w:val="18"/>
                <w:lang w:eastAsia="en-AU"/>
              </w:rPr>
              <w:t>Cert II</w:t>
            </w:r>
          </w:p>
        </w:tc>
        <w:tc>
          <w:tcPr>
            <w:tcW w:w="1039" w:type="dxa"/>
            <w:tcBorders>
              <w:top w:val="nil"/>
              <w:left w:val="nil"/>
              <w:bottom w:val="nil"/>
              <w:right w:val="nil"/>
            </w:tcBorders>
            <w:shd w:val="clear" w:color="auto" w:fill="auto"/>
            <w:noWrap/>
            <w:vAlign w:val="center"/>
            <w:hideMark/>
          </w:tcPr>
          <w:p w:rsidR="001E08F1" w:rsidRPr="007F489B" w:rsidRDefault="001E08F1" w:rsidP="00D07A42">
            <w:pPr>
              <w:jc w:val="right"/>
              <w:rPr>
                <w:rFonts w:cs="Arial"/>
                <w:color w:val="7F7F7F"/>
                <w:szCs w:val="18"/>
                <w:lang w:eastAsia="en-AU"/>
              </w:rPr>
            </w:pPr>
            <w:r w:rsidRPr="007F489B">
              <w:rPr>
                <w:rFonts w:cs="Arial"/>
                <w:color w:val="7F7F7F"/>
                <w:szCs w:val="18"/>
                <w:lang w:eastAsia="en-AU"/>
              </w:rPr>
              <w:t>5,971</w:t>
            </w:r>
          </w:p>
        </w:tc>
        <w:tc>
          <w:tcPr>
            <w:tcW w:w="1040" w:type="dxa"/>
            <w:tcBorders>
              <w:top w:val="nil"/>
              <w:left w:val="nil"/>
              <w:bottom w:val="nil"/>
              <w:right w:val="nil"/>
            </w:tcBorders>
            <w:shd w:val="clear" w:color="auto" w:fill="auto"/>
            <w:noWrap/>
            <w:vAlign w:val="center"/>
            <w:hideMark/>
          </w:tcPr>
          <w:p w:rsidR="001E08F1" w:rsidRPr="007F489B" w:rsidRDefault="001E08F1" w:rsidP="00D07A42">
            <w:pPr>
              <w:jc w:val="right"/>
              <w:rPr>
                <w:rFonts w:cs="Arial"/>
                <w:color w:val="7F7F7F"/>
                <w:szCs w:val="18"/>
                <w:lang w:eastAsia="en-AU"/>
              </w:rPr>
            </w:pPr>
            <w:r w:rsidRPr="007F489B">
              <w:rPr>
                <w:rFonts w:cs="Arial"/>
                <w:color w:val="7F7F7F"/>
                <w:szCs w:val="18"/>
                <w:lang w:eastAsia="en-AU"/>
              </w:rPr>
              <w:t>7,480</w:t>
            </w:r>
          </w:p>
        </w:tc>
        <w:tc>
          <w:tcPr>
            <w:tcW w:w="1039" w:type="dxa"/>
            <w:tcBorders>
              <w:top w:val="nil"/>
              <w:left w:val="nil"/>
              <w:bottom w:val="nil"/>
              <w:right w:val="nil"/>
            </w:tcBorders>
            <w:shd w:val="clear" w:color="auto" w:fill="auto"/>
            <w:noWrap/>
            <w:vAlign w:val="center"/>
            <w:hideMark/>
          </w:tcPr>
          <w:p w:rsidR="001E08F1" w:rsidRPr="007F489B" w:rsidRDefault="001E08F1" w:rsidP="00D07A42">
            <w:pPr>
              <w:jc w:val="right"/>
              <w:rPr>
                <w:rFonts w:cs="Arial"/>
                <w:color w:val="7F7F7F"/>
                <w:szCs w:val="18"/>
                <w:lang w:eastAsia="en-AU"/>
              </w:rPr>
            </w:pPr>
            <w:r w:rsidRPr="007F489B">
              <w:rPr>
                <w:rFonts w:cs="Arial"/>
                <w:color w:val="7F7F7F"/>
                <w:szCs w:val="18"/>
                <w:lang w:eastAsia="en-AU"/>
              </w:rPr>
              <w:t>8,590</w:t>
            </w:r>
          </w:p>
        </w:tc>
        <w:tc>
          <w:tcPr>
            <w:tcW w:w="1040" w:type="dxa"/>
            <w:tcBorders>
              <w:top w:val="nil"/>
              <w:left w:val="nil"/>
              <w:bottom w:val="nil"/>
              <w:right w:val="nil"/>
            </w:tcBorders>
            <w:shd w:val="clear" w:color="auto" w:fill="auto"/>
            <w:noWrap/>
            <w:vAlign w:val="center"/>
            <w:hideMark/>
          </w:tcPr>
          <w:p w:rsidR="001E08F1" w:rsidRPr="007F489B" w:rsidRDefault="001E08F1" w:rsidP="00D07A42">
            <w:pPr>
              <w:jc w:val="right"/>
              <w:rPr>
                <w:rFonts w:cs="Arial"/>
                <w:color w:val="7F7F7F"/>
                <w:szCs w:val="18"/>
                <w:lang w:eastAsia="en-AU"/>
              </w:rPr>
            </w:pPr>
            <w:r w:rsidRPr="007F489B">
              <w:rPr>
                <w:rFonts w:cs="Arial"/>
                <w:color w:val="7F7F7F"/>
                <w:szCs w:val="18"/>
                <w:lang w:eastAsia="en-AU"/>
              </w:rPr>
              <w:t>6,380</w:t>
            </w:r>
          </w:p>
        </w:tc>
        <w:tc>
          <w:tcPr>
            <w:tcW w:w="1039" w:type="dxa"/>
            <w:tcBorders>
              <w:top w:val="nil"/>
              <w:left w:val="nil"/>
              <w:bottom w:val="nil"/>
              <w:right w:val="nil"/>
            </w:tcBorders>
            <w:shd w:val="clear" w:color="auto" w:fill="auto"/>
            <w:noWrap/>
            <w:vAlign w:val="center"/>
            <w:hideMark/>
          </w:tcPr>
          <w:p w:rsidR="001E08F1" w:rsidRPr="007F489B" w:rsidRDefault="001E08F1" w:rsidP="00D07A42">
            <w:pPr>
              <w:jc w:val="right"/>
              <w:rPr>
                <w:rFonts w:cs="Arial"/>
                <w:color w:val="7F7F7F"/>
                <w:szCs w:val="18"/>
                <w:lang w:eastAsia="en-AU"/>
              </w:rPr>
            </w:pPr>
            <w:r w:rsidRPr="007F489B">
              <w:rPr>
                <w:rFonts w:cs="Arial"/>
                <w:color w:val="7F7F7F"/>
                <w:szCs w:val="18"/>
                <w:lang w:eastAsia="en-AU"/>
              </w:rPr>
              <w:t>4,321</w:t>
            </w:r>
          </w:p>
        </w:tc>
        <w:tc>
          <w:tcPr>
            <w:tcW w:w="1040" w:type="dxa"/>
            <w:tcBorders>
              <w:top w:val="nil"/>
              <w:left w:val="nil"/>
              <w:bottom w:val="nil"/>
              <w:right w:val="nil"/>
            </w:tcBorders>
            <w:shd w:val="clear" w:color="auto" w:fill="auto"/>
            <w:noWrap/>
            <w:vAlign w:val="center"/>
            <w:hideMark/>
          </w:tcPr>
          <w:p w:rsidR="001E08F1" w:rsidRPr="007F489B" w:rsidRDefault="001E08F1" w:rsidP="00D07A42">
            <w:pPr>
              <w:jc w:val="right"/>
              <w:rPr>
                <w:rFonts w:cs="Arial"/>
                <w:color w:val="7F7F7F"/>
                <w:szCs w:val="18"/>
                <w:lang w:eastAsia="en-AU"/>
              </w:rPr>
            </w:pPr>
            <w:r w:rsidRPr="007F489B">
              <w:rPr>
                <w:rFonts w:cs="Arial"/>
                <w:color w:val="7F7F7F"/>
                <w:szCs w:val="18"/>
                <w:lang w:eastAsia="en-AU"/>
              </w:rPr>
              <w:t>3,028</w:t>
            </w:r>
          </w:p>
        </w:tc>
      </w:tr>
      <w:tr w:rsidR="001E08F1" w:rsidRPr="007F489B" w:rsidTr="00D07A42">
        <w:trPr>
          <w:trHeight w:val="300"/>
        </w:trPr>
        <w:tc>
          <w:tcPr>
            <w:tcW w:w="1858" w:type="dxa"/>
            <w:tcBorders>
              <w:top w:val="nil"/>
              <w:left w:val="nil"/>
              <w:bottom w:val="nil"/>
              <w:right w:val="nil"/>
            </w:tcBorders>
            <w:shd w:val="clear" w:color="auto" w:fill="auto"/>
            <w:noWrap/>
            <w:vAlign w:val="center"/>
            <w:hideMark/>
          </w:tcPr>
          <w:p w:rsidR="001E08F1" w:rsidRPr="007F489B" w:rsidRDefault="001E08F1" w:rsidP="00D07A42">
            <w:pPr>
              <w:rPr>
                <w:rFonts w:cs="Arial"/>
                <w:color w:val="7F7F7F"/>
                <w:szCs w:val="18"/>
                <w:lang w:eastAsia="en-AU"/>
              </w:rPr>
            </w:pPr>
            <w:r w:rsidRPr="007F489B">
              <w:rPr>
                <w:rFonts w:cs="Arial"/>
                <w:color w:val="7F7F7F"/>
                <w:szCs w:val="18"/>
                <w:lang w:eastAsia="en-AU"/>
              </w:rPr>
              <w:t>Cert III/IV</w:t>
            </w:r>
          </w:p>
        </w:tc>
        <w:tc>
          <w:tcPr>
            <w:tcW w:w="1039" w:type="dxa"/>
            <w:tcBorders>
              <w:top w:val="nil"/>
              <w:left w:val="nil"/>
              <w:bottom w:val="nil"/>
              <w:right w:val="nil"/>
            </w:tcBorders>
            <w:shd w:val="clear" w:color="auto" w:fill="auto"/>
            <w:noWrap/>
            <w:vAlign w:val="center"/>
            <w:hideMark/>
          </w:tcPr>
          <w:p w:rsidR="001E08F1" w:rsidRPr="007F489B" w:rsidRDefault="001E08F1" w:rsidP="00D07A42">
            <w:pPr>
              <w:jc w:val="right"/>
              <w:rPr>
                <w:rFonts w:cs="Arial"/>
                <w:color w:val="7F7F7F"/>
                <w:szCs w:val="18"/>
                <w:lang w:eastAsia="en-AU"/>
              </w:rPr>
            </w:pPr>
            <w:r w:rsidRPr="007F489B">
              <w:rPr>
                <w:rFonts w:cs="Arial"/>
                <w:color w:val="7F7F7F"/>
                <w:szCs w:val="18"/>
                <w:lang w:eastAsia="en-AU"/>
              </w:rPr>
              <w:t>12,766</w:t>
            </w:r>
          </w:p>
        </w:tc>
        <w:tc>
          <w:tcPr>
            <w:tcW w:w="1040" w:type="dxa"/>
            <w:tcBorders>
              <w:top w:val="nil"/>
              <w:left w:val="nil"/>
              <w:bottom w:val="nil"/>
              <w:right w:val="nil"/>
            </w:tcBorders>
            <w:shd w:val="clear" w:color="auto" w:fill="auto"/>
            <w:noWrap/>
            <w:vAlign w:val="center"/>
            <w:hideMark/>
          </w:tcPr>
          <w:p w:rsidR="001E08F1" w:rsidRPr="007F489B" w:rsidRDefault="001E08F1" w:rsidP="00D07A42">
            <w:pPr>
              <w:jc w:val="right"/>
              <w:rPr>
                <w:rFonts w:cs="Arial"/>
                <w:color w:val="7F7F7F"/>
                <w:szCs w:val="18"/>
                <w:lang w:eastAsia="en-AU"/>
              </w:rPr>
            </w:pPr>
            <w:r w:rsidRPr="007F489B">
              <w:rPr>
                <w:rFonts w:cs="Arial"/>
                <w:color w:val="7F7F7F"/>
                <w:szCs w:val="18"/>
                <w:lang w:eastAsia="en-AU"/>
              </w:rPr>
              <w:t>13,779</w:t>
            </w:r>
          </w:p>
        </w:tc>
        <w:tc>
          <w:tcPr>
            <w:tcW w:w="1039" w:type="dxa"/>
            <w:tcBorders>
              <w:top w:val="nil"/>
              <w:left w:val="nil"/>
              <w:bottom w:val="nil"/>
              <w:right w:val="nil"/>
            </w:tcBorders>
            <w:shd w:val="clear" w:color="auto" w:fill="auto"/>
            <w:noWrap/>
            <w:vAlign w:val="center"/>
            <w:hideMark/>
          </w:tcPr>
          <w:p w:rsidR="001E08F1" w:rsidRPr="007F489B" w:rsidRDefault="001E08F1" w:rsidP="00D07A42">
            <w:pPr>
              <w:jc w:val="right"/>
              <w:rPr>
                <w:rFonts w:cs="Arial"/>
                <w:color w:val="7F7F7F"/>
                <w:szCs w:val="18"/>
                <w:lang w:eastAsia="en-AU"/>
              </w:rPr>
            </w:pPr>
            <w:r w:rsidRPr="007F489B">
              <w:rPr>
                <w:rFonts w:cs="Arial"/>
                <w:color w:val="7F7F7F"/>
                <w:szCs w:val="18"/>
                <w:lang w:eastAsia="en-AU"/>
              </w:rPr>
              <w:t>15,870</w:t>
            </w:r>
          </w:p>
        </w:tc>
        <w:tc>
          <w:tcPr>
            <w:tcW w:w="1040" w:type="dxa"/>
            <w:tcBorders>
              <w:top w:val="nil"/>
              <w:left w:val="nil"/>
              <w:bottom w:val="nil"/>
              <w:right w:val="nil"/>
            </w:tcBorders>
            <w:shd w:val="clear" w:color="auto" w:fill="auto"/>
            <w:noWrap/>
            <w:vAlign w:val="center"/>
            <w:hideMark/>
          </w:tcPr>
          <w:p w:rsidR="001E08F1" w:rsidRPr="007F489B" w:rsidRDefault="001E08F1" w:rsidP="00D07A42">
            <w:pPr>
              <w:jc w:val="right"/>
              <w:rPr>
                <w:rFonts w:cs="Arial"/>
                <w:color w:val="7F7F7F"/>
                <w:szCs w:val="18"/>
                <w:lang w:eastAsia="en-AU"/>
              </w:rPr>
            </w:pPr>
            <w:r w:rsidRPr="007F489B">
              <w:rPr>
                <w:rFonts w:cs="Arial"/>
                <w:color w:val="7F7F7F"/>
                <w:szCs w:val="18"/>
                <w:lang w:eastAsia="en-AU"/>
              </w:rPr>
              <w:t>12,604</w:t>
            </w:r>
          </w:p>
        </w:tc>
        <w:tc>
          <w:tcPr>
            <w:tcW w:w="1039" w:type="dxa"/>
            <w:tcBorders>
              <w:top w:val="nil"/>
              <w:left w:val="nil"/>
              <w:bottom w:val="nil"/>
              <w:right w:val="nil"/>
            </w:tcBorders>
            <w:shd w:val="clear" w:color="auto" w:fill="auto"/>
            <w:noWrap/>
            <w:vAlign w:val="center"/>
            <w:hideMark/>
          </w:tcPr>
          <w:p w:rsidR="001E08F1" w:rsidRPr="007F489B" w:rsidRDefault="001E08F1" w:rsidP="00D07A42">
            <w:pPr>
              <w:jc w:val="right"/>
              <w:rPr>
                <w:rFonts w:cs="Arial"/>
                <w:color w:val="7F7F7F"/>
                <w:szCs w:val="18"/>
                <w:lang w:eastAsia="en-AU"/>
              </w:rPr>
            </w:pPr>
            <w:r w:rsidRPr="007F489B">
              <w:rPr>
                <w:rFonts w:cs="Arial"/>
                <w:color w:val="7F7F7F"/>
                <w:szCs w:val="18"/>
                <w:lang w:eastAsia="en-AU"/>
              </w:rPr>
              <w:t>12,390</w:t>
            </w:r>
          </w:p>
        </w:tc>
        <w:tc>
          <w:tcPr>
            <w:tcW w:w="1040" w:type="dxa"/>
            <w:tcBorders>
              <w:top w:val="nil"/>
              <w:left w:val="nil"/>
              <w:bottom w:val="nil"/>
              <w:right w:val="nil"/>
            </w:tcBorders>
            <w:shd w:val="clear" w:color="auto" w:fill="auto"/>
            <w:noWrap/>
            <w:vAlign w:val="center"/>
            <w:hideMark/>
          </w:tcPr>
          <w:p w:rsidR="001E08F1" w:rsidRPr="007F489B" w:rsidRDefault="001E08F1" w:rsidP="00D07A42">
            <w:pPr>
              <w:jc w:val="right"/>
              <w:rPr>
                <w:rFonts w:cs="Arial"/>
                <w:color w:val="7F7F7F"/>
                <w:szCs w:val="18"/>
                <w:lang w:eastAsia="en-AU"/>
              </w:rPr>
            </w:pPr>
            <w:r w:rsidRPr="007F489B">
              <w:rPr>
                <w:rFonts w:cs="Arial"/>
                <w:color w:val="7F7F7F"/>
                <w:szCs w:val="18"/>
                <w:lang w:eastAsia="en-AU"/>
              </w:rPr>
              <w:t>10,892</w:t>
            </w:r>
          </w:p>
        </w:tc>
      </w:tr>
      <w:tr w:rsidR="001E08F1" w:rsidRPr="007F489B" w:rsidTr="00D07A42">
        <w:trPr>
          <w:trHeight w:val="300"/>
        </w:trPr>
        <w:tc>
          <w:tcPr>
            <w:tcW w:w="1858" w:type="dxa"/>
            <w:tcBorders>
              <w:top w:val="nil"/>
              <w:left w:val="nil"/>
              <w:bottom w:val="nil"/>
              <w:right w:val="nil"/>
            </w:tcBorders>
            <w:shd w:val="clear" w:color="auto" w:fill="auto"/>
            <w:noWrap/>
            <w:vAlign w:val="center"/>
            <w:hideMark/>
          </w:tcPr>
          <w:p w:rsidR="001E08F1" w:rsidRPr="007F489B" w:rsidRDefault="001E08F1" w:rsidP="00D07A42">
            <w:pPr>
              <w:rPr>
                <w:rFonts w:cs="Arial"/>
                <w:color w:val="7F7F7F"/>
                <w:szCs w:val="18"/>
                <w:lang w:eastAsia="en-AU"/>
              </w:rPr>
            </w:pPr>
            <w:r w:rsidRPr="007F489B">
              <w:rPr>
                <w:rFonts w:cs="Arial"/>
                <w:color w:val="7F7F7F"/>
                <w:szCs w:val="18"/>
                <w:lang w:eastAsia="en-AU"/>
              </w:rPr>
              <w:t>Diploma &amp; Above</w:t>
            </w:r>
          </w:p>
        </w:tc>
        <w:tc>
          <w:tcPr>
            <w:tcW w:w="1039" w:type="dxa"/>
            <w:tcBorders>
              <w:top w:val="nil"/>
              <w:left w:val="nil"/>
              <w:bottom w:val="nil"/>
              <w:right w:val="nil"/>
            </w:tcBorders>
            <w:shd w:val="clear" w:color="auto" w:fill="auto"/>
            <w:noWrap/>
            <w:vAlign w:val="center"/>
            <w:hideMark/>
          </w:tcPr>
          <w:p w:rsidR="001E08F1" w:rsidRPr="007F489B" w:rsidRDefault="001E08F1" w:rsidP="00D07A42">
            <w:pPr>
              <w:jc w:val="right"/>
              <w:rPr>
                <w:rFonts w:cs="Arial"/>
                <w:color w:val="7F7F7F"/>
                <w:szCs w:val="18"/>
                <w:lang w:eastAsia="en-AU"/>
              </w:rPr>
            </w:pPr>
            <w:r w:rsidRPr="007F489B">
              <w:rPr>
                <w:rFonts w:cs="Arial"/>
                <w:color w:val="7F7F7F"/>
                <w:szCs w:val="18"/>
                <w:lang w:eastAsia="en-AU"/>
              </w:rPr>
              <w:t>618</w:t>
            </w:r>
          </w:p>
        </w:tc>
        <w:tc>
          <w:tcPr>
            <w:tcW w:w="1040" w:type="dxa"/>
            <w:tcBorders>
              <w:top w:val="nil"/>
              <w:left w:val="nil"/>
              <w:bottom w:val="nil"/>
              <w:right w:val="nil"/>
            </w:tcBorders>
            <w:shd w:val="clear" w:color="auto" w:fill="auto"/>
            <w:noWrap/>
            <w:vAlign w:val="center"/>
            <w:hideMark/>
          </w:tcPr>
          <w:p w:rsidR="001E08F1" w:rsidRPr="007F489B" w:rsidRDefault="001E08F1" w:rsidP="00D07A42">
            <w:pPr>
              <w:jc w:val="right"/>
              <w:rPr>
                <w:rFonts w:cs="Arial"/>
                <w:color w:val="7F7F7F"/>
                <w:szCs w:val="18"/>
                <w:lang w:eastAsia="en-AU"/>
              </w:rPr>
            </w:pPr>
            <w:r w:rsidRPr="007F489B">
              <w:rPr>
                <w:rFonts w:cs="Arial"/>
                <w:color w:val="7F7F7F"/>
                <w:szCs w:val="18"/>
                <w:lang w:eastAsia="en-AU"/>
              </w:rPr>
              <w:t>1,180</w:t>
            </w:r>
          </w:p>
        </w:tc>
        <w:tc>
          <w:tcPr>
            <w:tcW w:w="1039" w:type="dxa"/>
            <w:tcBorders>
              <w:top w:val="nil"/>
              <w:left w:val="nil"/>
              <w:bottom w:val="nil"/>
              <w:right w:val="nil"/>
            </w:tcBorders>
            <w:shd w:val="clear" w:color="auto" w:fill="auto"/>
            <w:noWrap/>
            <w:vAlign w:val="center"/>
            <w:hideMark/>
          </w:tcPr>
          <w:p w:rsidR="001E08F1" w:rsidRPr="007F489B" w:rsidRDefault="001E08F1" w:rsidP="00D07A42">
            <w:pPr>
              <w:jc w:val="right"/>
              <w:rPr>
                <w:rFonts w:cs="Arial"/>
                <w:color w:val="7F7F7F"/>
                <w:szCs w:val="18"/>
                <w:lang w:eastAsia="en-AU"/>
              </w:rPr>
            </w:pPr>
            <w:r w:rsidRPr="007F489B">
              <w:rPr>
                <w:rFonts w:cs="Arial"/>
                <w:color w:val="7F7F7F"/>
                <w:szCs w:val="18"/>
                <w:lang w:eastAsia="en-AU"/>
              </w:rPr>
              <w:t>831</w:t>
            </w:r>
          </w:p>
        </w:tc>
        <w:tc>
          <w:tcPr>
            <w:tcW w:w="1040" w:type="dxa"/>
            <w:tcBorders>
              <w:top w:val="nil"/>
              <w:left w:val="nil"/>
              <w:bottom w:val="nil"/>
              <w:right w:val="nil"/>
            </w:tcBorders>
            <w:shd w:val="clear" w:color="auto" w:fill="auto"/>
            <w:noWrap/>
            <w:vAlign w:val="center"/>
            <w:hideMark/>
          </w:tcPr>
          <w:p w:rsidR="001E08F1" w:rsidRPr="007F489B" w:rsidRDefault="001E08F1" w:rsidP="00D07A42">
            <w:pPr>
              <w:jc w:val="right"/>
              <w:rPr>
                <w:rFonts w:cs="Arial"/>
                <w:color w:val="7F7F7F"/>
                <w:szCs w:val="18"/>
                <w:lang w:eastAsia="en-AU"/>
              </w:rPr>
            </w:pPr>
            <w:r w:rsidRPr="007F489B">
              <w:rPr>
                <w:rFonts w:cs="Arial"/>
                <w:color w:val="7F7F7F"/>
                <w:szCs w:val="18"/>
                <w:lang w:eastAsia="en-AU"/>
              </w:rPr>
              <w:t>457</w:t>
            </w:r>
          </w:p>
        </w:tc>
        <w:tc>
          <w:tcPr>
            <w:tcW w:w="1039" w:type="dxa"/>
            <w:tcBorders>
              <w:top w:val="nil"/>
              <w:left w:val="nil"/>
              <w:bottom w:val="nil"/>
              <w:right w:val="nil"/>
            </w:tcBorders>
            <w:shd w:val="clear" w:color="auto" w:fill="auto"/>
            <w:noWrap/>
            <w:vAlign w:val="center"/>
            <w:hideMark/>
          </w:tcPr>
          <w:p w:rsidR="001E08F1" w:rsidRPr="007F489B" w:rsidRDefault="001E08F1" w:rsidP="00D07A42">
            <w:pPr>
              <w:jc w:val="right"/>
              <w:rPr>
                <w:rFonts w:cs="Arial"/>
                <w:color w:val="7F7F7F"/>
                <w:szCs w:val="18"/>
                <w:lang w:eastAsia="en-AU"/>
              </w:rPr>
            </w:pPr>
            <w:r w:rsidRPr="007F489B">
              <w:rPr>
                <w:rFonts w:cs="Arial"/>
                <w:color w:val="7F7F7F"/>
                <w:szCs w:val="18"/>
                <w:lang w:eastAsia="en-AU"/>
              </w:rPr>
              <w:t>650</w:t>
            </w:r>
          </w:p>
        </w:tc>
        <w:tc>
          <w:tcPr>
            <w:tcW w:w="1040" w:type="dxa"/>
            <w:tcBorders>
              <w:top w:val="nil"/>
              <w:left w:val="nil"/>
              <w:bottom w:val="nil"/>
              <w:right w:val="nil"/>
            </w:tcBorders>
            <w:shd w:val="clear" w:color="auto" w:fill="auto"/>
            <w:noWrap/>
            <w:vAlign w:val="center"/>
            <w:hideMark/>
          </w:tcPr>
          <w:p w:rsidR="001E08F1" w:rsidRPr="007F489B" w:rsidRDefault="001E08F1" w:rsidP="00D07A42">
            <w:pPr>
              <w:jc w:val="right"/>
              <w:rPr>
                <w:rFonts w:cs="Arial"/>
                <w:color w:val="7F7F7F"/>
                <w:szCs w:val="18"/>
                <w:lang w:eastAsia="en-AU"/>
              </w:rPr>
            </w:pPr>
            <w:r w:rsidRPr="007F489B">
              <w:rPr>
                <w:rFonts w:cs="Arial"/>
                <w:color w:val="7F7F7F"/>
                <w:szCs w:val="18"/>
                <w:lang w:eastAsia="en-AU"/>
              </w:rPr>
              <w:t>664</w:t>
            </w:r>
          </w:p>
        </w:tc>
      </w:tr>
      <w:tr w:rsidR="001E08F1" w:rsidRPr="007F489B" w:rsidTr="00D07A42">
        <w:trPr>
          <w:trHeight w:val="300"/>
        </w:trPr>
        <w:tc>
          <w:tcPr>
            <w:tcW w:w="1858" w:type="dxa"/>
            <w:tcBorders>
              <w:top w:val="nil"/>
              <w:left w:val="nil"/>
              <w:bottom w:val="nil"/>
              <w:right w:val="nil"/>
            </w:tcBorders>
            <w:shd w:val="clear" w:color="000000" w:fill="7F7F7F"/>
            <w:noWrap/>
            <w:vAlign w:val="center"/>
            <w:hideMark/>
          </w:tcPr>
          <w:p w:rsidR="001E08F1" w:rsidRPr="007F489B" w:rsidRDefault="001E08F1" w:rsidP="00D07A42">
            <w:pPr>
              <w:rPr>
                <w:rFonts w:cs="Arial"/>
                <w:b/>
                <w:bCs/>
                <w:color w:val="FFFFFF"/>
                <w:szCs w:val="18"/>
                <w:lang w:eastAsia="en-AU"/>
              </w:rPr>
            </w:pPr>
            <w:r w:rsidRPr="007F489B">
              <w:rPr>
                <w:rFonts w:cs="Arial"/>
                <w:b/>
                <w:bCs/>
                <w:color w:val="FFFFFF"/>
                <w:szCs w:val="18"/>
                <w:lang w:eastAsia="en-AU"/>
              </w:rPr>
              <w:t>Total</w:t>
            </w:r>
          </w:p>
        </w:tc>
        <w:tc>
          <w:tcPr>
            <w:tcW w:w="1039" w:type="dxa"/>
            <w:tcBorders>
              <w:top w:val="nil"/>
              <w:left w:val="nil"/>
              <w:bottom w:val="nil"/>
              <w:right w:val="nil"/>
            </w:tcBorders>
            <w:shd w:val="clear" w:color="000000" w:fill="7F7F7F"/>
            <w:noWrap/>
            <w:vAlign w:val="center"/>
            <w:hideMark/>
          </w:tcPr>
          <w:p w:rsidR="001E08F1" w:rsidRPr="007F489B" w:rsidRDefault="001E08F1" w:rsidP="00D07A42">
            <w:pPr>
              <w:jc w:val="right"/>
              <w:rPr>
                <w:rFonts w:cs="Arial"/>
                <w:b/>
                <w:bCs/>
                <w:color w:val="FFFFFF"/>
                <w:szCs w:val="18"/>
                <w:lang w:eastAsia="en-AU"/>
              </w:rPr>
            </w:pPr>
            <w:r w:rsidRPr="007F489B">
              <w:rPr>
                <w:rFonts w:cs="Arial"/>
                <w:b/>
                <w:bCs/>
                <w:color w:val="FFFFFF"/>
                <w:szCs w:val="18"/>
                <w:lang w:eastAsia="en-AU"/>
              </w:rPr>
              <w:t>19,355</w:t>
            </w:r>
          </w:p>
        </w:tc>
        <w:tc>
          <w:tcPr>
            <w:tcW w:w="1040" w:type="dxa"/>
            <w:tcBorders>
              <w:top w:val="nil"/>
              <w:left w:val="nil"/>
              <w:bottom w:val="nil"/>
              <w:right w:val="nil"/>
            </w:tcBorders>
            <w:shd w:val="clear" w:color="000000" w:fill="7F7F7F"/>
            <w:noWrap/>
            <w:vAlign w:val="center"/>
            <w:hideMark/>
          </w:tcPr>
          <w:p w:rsidR="001E08F1" w:rsidRPr="007F489B" w:rsidRDefault="001E08F1" w:rsidP="00D07A42">
            <w:pPr>
              <w:jc w:val="right"/>
              <w:rPr>
                <w:rFonts w:cs="Arial"/>
                <w:b/>
                <w:bCs/>
                <w:color w:val="FFFFFF"/>
                <w:szCs w:val="18"/>
                <w:lang w:eastAsia="en-AU"/>
              </w:rPr>
            </w:pPr>
            <w:r w:rsidRPr="007F489B">
              <w:rPr>
                <w:rFonts w:cs="Arial"/>
                <w:b/>
                <w:bCs/>
                <w:color w:val="FFFFFF"/>
                <w:szCs w:val="18"/>
                <w:lang w:eastAsia="en-AU"/>
              </w:rPr>
              <w:t>22,439</w:t>
            </w:r>
          </w:p>
        </w:tc>
        <w:tc>
          <w:tcPr>
            <w:tcW w:w="1039" w:type="dxa"/>
            <w:tcBorders>
              <w:top w:val="nil"/>
              <w:left w:val="nil"/>
              <w:bottom w:val="nil"/>
              <w:right w:val="nil"/>
            </w:tcBorders>
            <w:shd w:val="clear" w:color="000000" w:fill="7F7F7F"/>
            <w:noWrap/>
            <w:vAlign w:val="center"/>
            <w:hideMark/>
          </w:tcPr>
          <w:p w:rsidR="001E08F1" w:rsidRPr="007F489B" w:rsidRDefault="001E08F1" w:rsidP="00D07A42">
            <w:pPr>
              <w:jc w:val="right"/>
              <w:rPr>
                <w:rFonts w:cs="Arial"/>
                <w:b/>
                <w:bCs/>
                <w:color w:val="FFFFFF"/>
                <w:szCs w:val="18"/>
                <w:lang w:eastAsia="en-AU"/>
              </w:rPr>
            </w:pPr>
            <w:r w:rsidRPr="007F489B">
              <w:rPr>
                <w:rFonts w:cs="Arial"/>
                <w:b/>
                <w:bCs/>
                <w:color w:val="FFFFFF"/>
                <w:szCs w:val="18"/>
                <w:lang w:eastAsia="en-AU"/>
              </w:rPr>
              <w:t>25,291</w:t>
            </w:r>
          </w:p>
        </w:tc>
        <w:tc>
          <w:tcPr>
            <w:tcW w:w="1040" w:type="dxa"/>
            <w:tcBorders>
              <w:top w:val="nil"/>
              <w:left w:val="nil"/>
              <w:bottom w:val="nil"/>
              <w:right w:val="nil"/>
            </w:tcBorders>
            <w:shd w:val="clear" w:color="000000" w:fill="7F7F7F"/>
            <w:noWrap/>
            <w:vAlign w:val="center"/>
            <w:hideMark/>
          </w:tcPr>
          <w:p w:rsidR="001E08F1" w:rsidRPr="007F489B" w:rsidRDefault="001E08F1" w:rsidP="00D07A42">
            <w:pPr>
              <w:jc w:val="right"/>
              <w:rPr>
                <w:rFonts w:cs="Arial"/>
                <w:b/>
                <w:bCs/>
                <w:color w:val="FFFFFF"/>
                <w:szCs w:val="18"/>
                <w:lang w:eastAsia="en-AU"/>
              </w:rPr>
            </w:pPr>
            <w:r w:rsidRPr="007F489B">
              <w:rPr>
                <w:rFonts w:cs="Arial"/>
                <w:b/>
                <w:bCs/>
                <w:color w:val="FFFFFF"/>
                <w:szCs w:val="18"/>
                <w:lang w:eastAsia="en-AU"/>
              </w:rPr>
              <w:t>19,441</w:t>
            </w:r>
          </w:p>
        </w:tc>
        <w:tc>
          <w:tcPr>
            <w:tcW w:w="1039" w:type="dxa"/>
            <w:tcBorders>
              <w:top w:val="nil"/>
              <w:left w:val="nil"/>
              <w:bottom w:val="nil"/>
              <w:right w:val="nil"/>
            </w:tcBorders>
            <w:shd w:val="clear" w:color="000000" w:fill="7F7F7F"/>
            <w:noWrap/>
            <w:vAlign w:val="center"/>
            <w:hideMark/>
          </w:tcPr>
          <w:p w:rsidR="001E08F1" w:rsidRPr="007F489B" w:rsidRDefault="001E08F1" w:rsidP="00D07A42">
            <w:pPr>
              <w:jc w:val="right"/>
              <w:rPr>
                <w:rFonts w:cs="Arial"/>
                <w:b/>
                <w:bCs/>
                <w:color w:val="FFFFFF"/>
                <w:szCs w:val="18"/>
                <w:lang w:eastAsia="en-AU"/>
              </w:rPr>
            </w:pPr>
            <w:r w:rsidRPr="007F489B">
              <w:rPr>
                <w:rFonts w:cs="Arial"/>
                <w:b/>
                <w:bCs/>
                <w:color w:val="FFFFFF"/>
                <w:szCs w:val="18"/>
                <w:lang w:eastAsia="en-AU"/>
              </w:rPr>
              <w:t>17,361</w:t>
            </w:r>
          </w:p>
        </w:tc>
        <w:tc>
          <w:tcPr>
            <w:tcW w:w="1040" w:type="dxa"/>
            <w:tcBorders>
              <w:top w:val="nil"/>
              <w:left w:val="nil"/>
              <w:bottom w:val="nil"/>
              <w:right w:val="nil"/>
            </w:tcBorders>
            <w:shd w:val="clear" w:color="000000" w:fill="7F7F7F"/>
            <w:noWrap/>
            <w:vAlign w:val="center"/>
            <w:hideMark/>
          </w:tcPr>
          <w:p w:rsidR="001E08F1" w:rsidRPr="007F489B" w:rsidRDefault="001E08F1" w:rsidP="00D07A42">
            <w:pPr>
              <w:jc w:val="right"/>
              <w:rPr>
                <w:rFonts w:cs="Arial"/>
                <w:b/>
                <w:bCs/>
                <w:color w:val="FFFFFF"/>
                <w:szCs w:val="18"/>
                <w:lang w:eastAsia="en-AU"/>
              </w:rPr>
            </w:pPr>
            <w:r w:rsidRPr="007F489B">
              <w:rPr>
                <w:rFonts w:cs="Arial"/>
                <w:b/>
                <w:bCs/>
                <w:color w:val="FFFFFF"/>
                <w:szCs w:val="18"/>
                <w:lang w:eastAsia="en-AU"/>
              </w:rPr>
              <w:t>14,584</w:t>
            </w:r>
          </w:p>
        </w:tc>
      </w:tr>
    </w:tbl>
    <w:p w:rsidR="001E08F1" w:rsidRDefault="001E08F1" w:rsidP="001E08F1"/>
    <w:p w:rsidR="001E08F1" w:rsidRDefault="001E08F1" w:rsidP="001E08F1"/>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1E08F1" w:rsidTr="00D07A42">
        <w:tc>
          <w:tcPr>
            <w:tcW w:w="1134" w:type="dxa"/>
            <w:tcMar>
              <w:left w:w="0" w:type="dxa"/>
              <w:right w:w="0" w:type="dxa"/>
            </w:tcMar>
          </w:tcPr>
          <w:p w:rsidR="001E08F1" w:rsidRDefault="0005261F" w:rsidP="00D07A42">
            <w:pPr>
              <w:pStyle w:val="Quote"/>
              <w:tabs>
                <w:tab w:val="left" w:pos="1134"/>
              </w:tabs>
              <w:rPr>
                <w:b w:val="0"/>
                <w:color w:val="B41F22" w:themeColor="accent1"/>
              </w:rPr>
            </w:pPr>
            <w:r>
              <w:rPr>
                <w:b w:val="0"/>
                <w:color w:val="B41F22" w:themeColor="accent1"/>
              </w:rPr>
              <w:t>Table 2</w:t>
            </w:r>
            <w:r w:rsidR="001E08F1">
              <w:rPr>
                <w:b w:val="0"/>
                <w:color w:val="B41F22" w:themeColor="accent1"/>
              </w:rPr>
              <w:t>.7.2:</w:t>
            </w:r>
          </w:p>
        </w:tc>
        <w:tc>
          <w:tcPr>
            <w:tcW w:w="6946" w:type="dxa"/>
            <w:tcMar>
              <w:left w:w="0" w:type="dxa"/>
              <w:right w:w="0" w:type="dxa"/>
            </w:tcMar>
          </w:tcPr>
          <w:p w:rsidR="001E08F1" w:rsidRDefault="001E08F1" w:rsidP="00D07A42">
            <w:pPr>
              <w:pStyle w:val="Quote"/>
              <w:tabs>
                <w:tab w:val="left" w:pos="1134"/>
              </w:tabs>
              <w:rPr>
                <w:b w:val="0"/>
                <w:color w:val="B41F22" w:themeColor="accent1"/>
              </w:rPr>
            </w:pPr>
            <w:r w:rsidRPr="007F489B">
              <w:rPr>
                <w:b w:val="0"/>
                <w:color w:val="B41F22" w:themeColor="accent1"/>
              </w:rPr>
              <w:t>Change in number of enrolments in government subsidised accredited training at Certificate II and above by students aged 15 to 19 without at least Year 12 or a Certificate II and not at school (half year)</w:t>
            </w:r>
          </w:p>
        </w:tc>
      </w:tr>
    </w:tbl>
    <w:tbl>
      <w:tblPr>
        <w:tblW w:w="8095" w:type="dxa"/>
        <w:tblInd w:w="93" w:type="dxa"/>
        <w:tblLayout w:type="fixed"/>
        <w:tblLook w:val="04A0" w:firstRow="1" w:lastRow="0" w:firstColumn="1" w:lastColumn="0" w:noHBand="0" w:noVBand="1"/>
      </w:tblPr>
      <w:tblGrid>
        <w:gridCol w:w="1858"/>
        <w:gridCol w:w="1247"/>
        <w:gridCol w:w="1247"/>
        <w:gridCol w:w="1248"/>
        <w:gridCol w:w="1247"/>
        <w:gridCol w:w="1248"/>
      </w:tblGrid>
      <w:tr w:rsidR="001E08F1" w:rsidRPr="007F489B" w:rsidTr="00D07A42">
        <w:trPr>
          <w:trHeight w:val="720"/>
        </w:trPr>
        <w:tc>
          <w:tcPr>
            <w:tcW w:w="1858" w:type="dxa"/>
            <w:tcBorders>
              <w:top w:val="nil"/>
              <w:left w:val="nil"/>
              <w:bottom w:val="nil"/>
              <w:right w:val="nil"/>
            </w:tcBorders>
            <w:shd w:val="clear" w:color="000000" w:fill="7F7F7F"/>
            <w:noWrap/>
            <w:vAlign w:val="center"/>
            <w:hideMark/>
          </w:tcPr>
          <w:p w:rsidR="001E08F1" w:rsidRPr="007F489B" w:rsidRDefault="001E08F1" w:rsidP="00D07A42">
            <w:pPr>
              <w:rPr>
                <w:rFonts w:cs="Arial"/>
                <w:color w:val="FFFFFF"/>
                <w:szCs w:val="18"/>
                <w:lang w:eastAsia="en-AU"/>
              </w:rPr>
            </w:pPr>
            <w:r w:rsidRPr="007F489B">
              <w:rPr>
                <w:rFonts w:cs="Arial"/>
                <w:color w:val="FFFFFF"/>
                <w:szCs w:val="18"/>
                <w:lang w:eastAsia="en-AU"/>
              </w:rPr>
              <w:t> </w:t>
            </w:r>
          </w:p>
        </w:tc>
        <w:tc>
          <w:tcPr>
            <w:tcW w:w="1247" w:type="dxa"/>
            <w:tcBorders>
              <w:top w:val="nil"/>
              <w:left w:val="nil"/>
              <w:bottom w:val="nil"/>
              <w:right w:val="nil"/>
            </w:tcBorders>
            <w:shd w:val="clear" w:color="000000" w:fill="7F7F7F"/>
            <w:vAlign w:val="center"/>
            <w:hideMark/>
          </w:tcPr>
          <w:p w:rsidR="001E08F1" w:rsidRPr="007F489B" w:rsidRDefault="001E08F1" w:rsidP="00D07A42">
            <w:pPr>
              <w:jc w:val="right"/>
              <w:rPr>
                <w:rFonts w:cs="Arial"/>
                <w:b/>
                <w:bCs/>
                <w:color w:val="FFFFFF"/>
                <w:szCs w:val="18"/>
                <w:lang w:eastAsia="en-AU"/>
              </w:rPr>
            </w:pPr>
            <w:r w:rsidRPr="007F489B">
              <w:rPr>
                <w:rFonts w:cs="Arial"/>
                <w:b/>
                <w:bCs/>
                <w:color w:val="FFFFFF"/>
                <w:szCs w:val="18"/>
                <w:lang w:eastAsia="en-AU"/>
              </w:rPr>
              <w:t>% change 2010 to 2015</w:t>
            </w:r>
          </w:p>
        </w:tc>
        <w:tc>
          <w:tcPr>
            <w:tcW w:w="1247" w:type="dxa"/>
            <w:tcBorders>
              <w:top w:val="nil"/>
              <w:left w:val="nil"/>
              <w:bottom w:val="nil"/>
              <w:right w:val="nil"/>
            </w:tcBorders>
            <w:shd w:val="clear" w:color="000000" w:fill="7F7F7F"/>
            <w:vAlign w:val="center"/>
            <w:hideMark/>
          </w:tcPr>
          <w:p w:rsidR="001E08F1" w:rsidRPr="007F489B" w:rsidRDefault="001E08F1" w:rsidP="00D07A42">
            <w:pPr>
              <w:jc w:val="right"/>
              <w:rPr>
                <w:rFonts w:cs="Arial"/>
                <w:b/>
                <w:bCs/>
                <w:color w:val="FFFFFF"/>
                <w:szCs w:val="18"/>
                <w:lang w:eastAsia="en-AU"/>
              </w:rPr>
            </w:pPr>
            <w:r w:rsidRPr="007F489B">
              <w:rPr>
                <w:rFonts w:cs="Arial"/>
                <w:b/>
                <w:bCs/>
                <w:color w:val="FFFFFF"/>
                <w:szCs w:val="18"/>
                <w:lang w:eastAsia="en-AU"/>
              </w:rPr>
              <w:t>% change 2011 to 2015</w:t>
            </w:r>
          </w:p>
        </w:tc>
        <w:tc>
          <w:tcPr>
            <w:tcW w:w="1248" w:type="dxa"/>
            <w:tcBorders>
              <w:top w:val="nil"/>
              <w:left w:val="nil"/>
              <w:bottom w:val="nil"/>
              <w:right w:val="nil"/>
            </w:tcBorders>
            <w:shd w:val="clear" w:color="000000" w:fill="7F7F7F"/>
            <w:vAlign w:val="center"/>
            <w:hideMark/>
          </w:tcPr>
          <w:p w:rsidR="001E08F1" w:rsidRPr="007F489B" w:rsidRDefault="001E08F1" w:rsidP="00D07A42">
            <w:pPr>
              <w:jc w:val="right"/>
              <w:rPr>
                <w:rFonts w:cs="Arial"/>
                <w:b/>
                <w:bCs/>
                <w:color w:val="FFFFFF"/>
                <w:szCs w:val="18"/>
                <w:lang w:eastAsia="en-AU"/>
              </w:rPr>
            </w:pPr>
            <w:r w:rsidRPr="007F489B">
              <w:rPr>
                <w:rFonts w:cs="Arial"/>
                <w:b/>
                <w:bCs/>
                <w:color w:val="FFFFFF"/>
                <w:szCs w:val="18"/>
                <w:lang w:eastAsia="en-AU"/>
              </w:rPr>
              <w:t>% change 2012 to 2015</w:t>
            </w:r>
          </w:p>
        </w:tc>
        <w:tc>
          <w:tcPr>
            <w:tcW w:w="1247" w:type="dxa"/>
            <w:tcBorders>
              <w:top w:val="nil"/>
              <w:left w:val="nil"/>
              <w:bottom w:val="nil"/>
              <w:right w:val="nil"/>
            </w:tcBorders>
            <w:shd w:val="clear" w:color="000000" w:fill="7F7F7F"/>
            <w:vAlign w:val="center"/>
            <w:hideMark/>
          </w:tcPr>
          <w:p w:rsidR="001E08F1" w:rsidRPr="007F489B" w:rsidRDefault="001E08F1" w:rsidP="00D07A42">
            <w:pPr>
              <w:jc w:val="right"/>
              <w:rPr>
                <w:rFonts w:cs="Arial"/>
                <w:b/>
                <w:bCs/>
                <w:color w:val="FFFFFF"/>
                <w:szCs w:val="18"/>
                <w:lang w:eastAsia="en-AU"/>
              </w:rPr>
            </w:pPr>
            <w:r w:rsidRPr="007F489B">
              <w:rPr>
                <w:rFonts w:cs="Arial"/>
                <w:b/>
                <w:bCs/>
                <w:color w:val="FFFFFF"/>
                <w:szCs w:val="18"/>
                <w:lang w:eastAsia="en-AU"/>
              </w:rPr>
              <w:t>% change 2013 to 2015</w:t>
            </w:r>
          </w:p>
        </w:tc>
        <w:tc>
          <w:tcPr>
            <w:tcW w:w="1248" w:type="dxa"/>
            <w:tcBorders>
              <w:top w:val="nil"/>
              <w:left w:val="nil"/>
              <w:bottom w:val="nil"/>
              <w:right w:val="nil"/>
            </w:tcBorders>
            <w:shd w:val="clear" w:color="000000" w:fill="7F7F7F"/>
            <w:vAlign w:val="center"/>
            <w:hideMark/>
          </w:tcPr>
          <w:p w:rsidR="001E08F1" w:rsidRPr="007F489B" w:rsidRDefault="001E08F1" w:rsidP="00D07A42">
            <w:pPr>
              <w:jc w:val="right"/>
              <w:rPr>
                <w:rFonts w:cs="Arial"/>
                <w:b/>
                <w:bCs/>
                <w:color w:val="FFFFFF"/>
                <w:szCs w:val="18"/>
                <w:lang w:eastAsia="en-AU"/>
              </w:rPr>
            </w:pPr>
            <w:r w:rsidRPr="007F489B">
              <w:rPr>
                <w:rFonts w:cs="Arial"/>
                <w:b/>
                <w:bCs/>
                <w:color w:val="FFFFFF"/>
                <w:szCs w:val="18"/>
                <w:lang w:eastAsia="en-AU"/>
              </w:rPr>
              <w:t>% change 2014 to 2015</w:t>
            </w:r>
          </w:p>
        </w:tc>
      </w:tr>
      <w:tr w:rsidR="001E08F1" w:rsidRPr="007F489B" w:rsidTr="00D07A42">
        <w:trPr>
          <w:trHeight w:val="300"/>
        </w:trPr>
        <w:tc>
          <w:tcPr>
            <w:tcW w:w="1858" w:type="dxa"/>
            <w:tcBorders>
              <w:top w:val="nil"/>
              <w:left w:val="nil"/>
              <w:bottom w:val="nil"/>
              <w:right w:val="nil"/>
            </w:tcBorders>
            <w:shd w:val="clear" w:color="auto" w:fill="auto"/>
            <w:noWrap/>
            <w:vAlign w:val="center"/>
            <w:hideMark/>
          </w:tcPr>
          <w:p w:rsidR="001E08F1" w:rsidRPr="007F489B" w:rsidRDefault="001E08F1" w:rsidP="00D07A42">
            <w:pPr>
              <w:rPr>
                <w:rFonts w:cs="Arial"/>
                <w:color w:val="7F7F7F"/>
                <w:szCs w:val="18"/>
                <w:lang w:eastAsia="en-AU"/>
              </w:rPr>
            </w:pPr>
            <w:r w:rsidRPr="007F489B">
              <w:rPr>
                <w:rFonts w:cs="Arial"/>
                <w:color w:val="7F7F7F"/>
                <w:szCs w:val="18"/>
                <w:lang w:eastAsia="en-AU"/>
              </w:rPr>
              <w:t>Cert II</w:t>
            </w:r>
          </w:p>
        </w:tc>
        <w:tc>
          <w:tcPr>
            <w:tcW w:w="1247" w:type="dxa"/>
            <w:tcBorders>
              <w:top w:val="nil"/>
              <w:left w:val="nil"/>
              <w:bottom w:val="nil"/>
              <w:right w:val="nil"/>
            </w:tcBorders>
            <w:shd w:val="clear" w:color="auto" w:fill="auto"/>
            <w:noWrap/>
            <w:vAlign w:val="center"/>
            <w:hideMark/>
          </w:tcPr>
          <w:p w:rsidR="001E08F1" w:rsidRPr="007F489B" w:rsidRDefault="001E08F1" w:rsidP="00D07A42">
            <w:pPr>
              <w:jc w:val="right"/>
              <w:rPr>
                <w:rFonts w:cs="Arial"/>
                <w:color w:val="7F7F7F"/>
                <w:szCs w:val="18"/>
                <w:lang w:eastAsia="en-AU"/>
              </w:rPr>
            </w:pPr>
            <w:r w:rsidRPr="007F489B">
              <w:rPr>
                <w:rFonts w:cs="Arial"/>
                <w:color w:val="7F7F7F"/>
                <w:szCs w:val="18"/>
                <w:lang w:eastAsia="en-AU"/>
              </w:rPr>
              <w:t>-49%</w:t>
            </w:r>
          </w:p>
        </w:tc>
        <w:tc>
          <w:tcPr>
            <w:tcW w:w="1247" w:type="dxa"/>
            <w:tcBorders>
              <w:top w:val="nil"/>
              <w:left w:val="nil"/>
              <w:bottom w:val="nil"/>
              <w:right w:val="nil"/>
            </w:tcBorders>
            <w:shd w:val="clear" w:color="auto" w:fill="auto"/>
            <w:noWrap/>
            <w:vAlign w:val="center"/>
            <w:hideMark/>
          </w:tcPr>
          <w:p w:rsidR="001E08F1" w:rsidRPr="007F489B" w:rsidRDefault="001E08F1" w:rsidP="00D07A42">
            <w:pPr>
              <w:jc w:val="right"/>
              <w:rPr>
                <w:rFonts w:cs="Arial"/>
                <w:color w:val="7F7F7F"/>
                <w:szCs w:val="18"/>
                <w:lang w:eastAsia="en-AU"/>
              </w:rPr>
            </w:pPr>
            <w:r w:rsidRPr="007F489B">
              <w:rPr>
                <w:rFonts w:cs="Arial"/>
                <w:color w:val="7F7F7F"/>
                <w:szCs w:val="18"/>
                <w:lang w:eastAsia="en-AU"/>
              </w:rPr>
              <w:t>-60%</w:t>
            </w:r>
          </w:p>
        </w:tc>
        <w:tc>
          <w:tcPr>
            <w:tcW w:w="1248" w:type="dxa"/>
            <w:tcBorders>
              <w:top w:val="nil"/>
              <w:left w:val="nil"/>
              <w:bottom w:val="nil"/>
              <w:right w:val="nil"/>
            </w:tcBorders>
            <w:shd w:val="clear" w:color="auto" w:fill="auto"/>
            <w:noWrap/>
            <w:vAlign w:val="center"/>
            <w:hideMark/>
          </w:tcPr>
          <w:p w:rsidR="001E08F1" w:rsidRPr="007F489B" w:rsidRDefault="001E08F1" w:rsidP="00D07A42">
            <w:pPr>
              <w:jc w:val="right"/>
              <w:rPr>
                <w:rFonts w:cs="Arial"/>
                <w:color w:val="7F7F7F"/>
                <w:szCs w:val="18"/>
                <w:lang w:eastAsia="en-AU"/>
              </w:rPr>
            </w:pPr>
            <w:r w:rsidRPr="007F489B">
              <w:rPr>
                <w:rFonts w:cs="Arial"/>
                <w:color w:val="7F7F7F"/>
                <w:szCs w:val="18"/>
                <w:lang w:eastAsia="en-AU"/>
              </w:rPr>
              <w:t>-65%</w:t>
            </w:r>
          </w:p>
        </w:tc>
        <w:tc>
          <w:tcPr>
            <w:tcW w:w="1247" w:type="dxa"/>
            <w:tcBorders>
              <w:top w:val="nil"/>
              <w:left w:val="nil"/>
              <w:bottom w:val="nil"/>
              <w:right w:val="nil"/>
            </w:tcBorders>
            <w:shd w:val="clear" w:color="auto" w:fill="auto"/>
            <w:noWrap/>
            <w:vAlign w:val="center"/>
            <w:hideMark/>
          </w:tcPr>
          <w:p w:rsidR="001E08F1" w:rsidRPr="007F489B" w:rsidRDefault="001E08F1" w:rsidP="00D07A42">
            <w:pPr>
              <w:jc w:val="right"/>
              <w:rPr>
                <w:rFonts w:cs="Arial"/>
                <w:color w:val="7F7F7F"/>
                <w:szCs w:val="18"/>
                <w:lang w:eastAsia="en-AU"/>
              </w:rPr>
            </w:pPr>
            <w:r w:rsidRPr="007F489B">
              <w:rPr>
                <w:rFonts w:cs="Arial"/>
                <w:color w:val="7F7F7F"/>
                <w:szCs w:val="18"/>
                <w:lang w:eastAsia="en-AU"/>
              </w:rPr>
              <w:t>-53%</w:t>
            </w:r>
          </w:p>
        </w:tc>
        <w:tc>
          <w:tcPr>
            <w:tcW w:w="1248" w:type="dxa"/>
            <w:tcBorders>
              <w:top w:val="nil"/>
              <w:left w:val="nil"/>
              <w:bottom w:val="nil"/>
              <w:right w:val="nil"/>
            </w:tcBorders>
            <w:shd w:val="clear" w:color="auto" w:fill="auto"/>
            <w:noWrap/>
            <w:vAlign w:val="center"/>
            <w:hideMark/>
          </w:tcPr>
          <w:p w:rsidR="001E08F1" w:rsidRPr="007F489B" w:rsidRDefault="001E08F1" w:rsidP="00D07A42">
            <w:pPr>
              <w:jc w:val="right"/>
              <w:rPr>
                <w:rFonts w:cs="Arial"/>
                <w:color w:val="7F7F7F"/>
                <w:szCs w:val="18"/>
                <w:lang w:eastAsia="en-AU"/>
              </w:rPr>
            </w:pPr>
            <w:r w:rsidRPr="007F489B">
              <w:rPr>
                <w:rFonts w:cs="Arial"/>
                <w:color w:val="7F7F7F"/>
                <w:szCs w:val="18"/>
                <w:lang w:eastAsia="en-AU"/>
              </w:rPr>
              <w:t>-30%</w:t>
            </w:r>
          </w:p>
        </w:tc>
      </w:tr>
      <w:tr w:rsidR="001E08F1" w:rsidRPr="007F489B" w:rsidTr="00D07A42">
        <w:trPr>
          <w:trHeight w:val="300"/>
        </w:trPr>
        <w:tc>
          <w:tcPr>
            <w:tcW w:w="1858" w:type="dxa"/>
            <w:tcBorders>
              <w:top w:val="nil"/>
              <w:left w:val="nil"/>
              <w:bottom w:val="nil"/>
              <w:right w:val="nil"/>
            </w:tcBorders>
            <w:shd w:val="clear" w:color="auto" w:fill="auto"/>
            <w:noWrap/>
            <w:vAlign w:val="center"/>
            <w:hideMark/>
          </w:tcPr>
          <w:p w:rsidR="001E08F1" w:rsidRPr="007F489B" w:rsidRDefault="001E08F1" w:rsidP="00D07A42">
            <w:pPr>
              <w:rPr>
                <w:rFonts w:cs="Arial"/>
                <w:color w:val="7F7F7F"/>
                <w:szCs w:val="18"/>
                <w:lang w:eastAsia="en-AU"/>
              </w:rPr>
            </w:pPr>
            <w:r w:rsidRPr="007F489B">
              <w:rPr>
                <w:rFonts w:cs="Arial"/>
                <w:color w:val="7F7F7F"/>
                <w:szCs w:val="18"/>
                <w:lang w:eastAsia="en-AU"/>
              </w:rPr>
              <w:t>Cert III/IV</w:t>
            </w:r>
          </w:p>
        </w:tc>
        <w:tc>
          <w:tcPr>
            <w:tcW w:w="1247" w:type="dxa"/>
            <w:tcBorders>
              <w:top w:val="nil"/>
              <w:left w:val="nil"/>
              <w:bottom w:val="nil"/>
              <w:right w:val="nil"/>
            </w:tcBorders>
            <w:shd w:val="clear" w:color="auto" w:fill="auto"/>
            <w:noWrap/>
            <w:vAlign w:val="center"/>
            <w:hideMark/>
          </w:tcPr>
          <w:p w:rsidR="001E08F1" w:rsidRPr="007F489B" w:rsidRDefault="001E08F1" w:rsidP="00D07A42">
            <w:pPr>
              <w:jc w:val="right"/>
              <w:rPr>
                <w:rFonts w:cs="Arial"/>
                <w:color w:val="7F7F7F"/>
                <w:szCs w:val="18"/>
                <w:lang w:eastAsia="en-AU"/>
              </w:rPr>
            </w:pPr>
            <w:r w:rsidRPr="007F489B">
              <w:rPr>
                <w:rFonts w:cs="Arial"/>
                <w:color w:val="7F7F7F"/>
                <w:szCs w:val="18"/>
                <w:lang w:eastAsia="en-AU"/>
              </w:rPr>
              <w:t>-15%</w:t>
            </w:r>
          </w:p>
        </w:tc>
        <w:tc>
          <w:tcPr>
            <w:tcW w:w="1247" w:type="dxa"/>
            <w:tcBorders>
              <w:top w:val="nil"/>
              <w:left w:val="nil"/>
              <w:bottom w:val="nil"/>
              <w:right w:val="nil"/>
            </w:tcBorders>
            <w:shd w:val="clear" w:color="auto" w:fill="auto"/>
            <w:noWrap/>
            <w:vAlign w:val="center"/>
            <w:hideMark/>
          </w:tcPr>
          <w:p w:rsidR="001E08F1" w:rsidRPr="007F489B" w:rsidRDefault="001E08F1" w:rsidP="00D07A42">
            <w:pPr>
              <w:jc w:val="right"/>
              <w:rPr>
                <w:rFonts w:cs="Arial"/>
                <w:color w:val="7F7F7F"/>
                <w:szCs w:val="18"/>
                <w:lang w:eastAsia="en-AU"/>
              </w:rPr>
            </w:pPr>
            <w:r w:rsidRPr="007F489B">
              <w:rPr>
                <w:rFonts w:cs="Arial"/>
                <w:color w:val="7F7F7F"/>
                <w:szCs w:val="18"/>
                <w:lang w:eastAsia="en-AU"/>
              </w:rPr>
              <w:t>-21%</w:t>
            </w:r>
          </w:p>
        </w:tc>
        <w:tc>
          <w:tcPr>
            <w:tcW w:w="1248" w:type="dxa"/>
            <w:tcBorders>
              <w:top w:val="nil"/>
              <w:left w:val="nil"/>
              <w:bottom w:val="nil"/>
              <w:right w:val="nil"/>
            </w:tcBorders>
            <w:shd w:val="clear" w:color="auto" w:fill="auto"/>
            <w:noWrap/>
            <w:vAlign w:val="center"/>
            <w:hideMark/>
          </w:tcPr>
          <w:p w:rsidR="001E08F1" w:rsidRPr="007F489B" w:rsidRDefault="001E08F1" w:rsidP="00D07A42">
            <w:pPr>
              <w:jc w:val="right"/>
              <w:rPr>
                <w:rFonts w:cs="Arial"/>
                <w:color w:val="7F7F7F"/>
                <w:szCs w:val="18"/>
                <w:lang w:eastAsia="en-AU"/>
              </w:rPr>
            </w:pPr>
            <w:r w:rsidRPr="007F489B">
              <w:rPr>
                <w:rFonts w:cs="Arial"/>
                <w:color w:val="7F7F7F"/>
                <w:szCs w:val="18"/>
                <w:lang w:eastAsia="en-AU"/>
              </w:rPr>
              <w:t>-31%</w:t>
            </w:r>
          </w:p>
        </w:tc>
        <w:tc>
          <w:tcPr>
            <w:tcW w:w="1247" w:type="dxa"/>
            <w:tcBorders>
              <w:top w:val="nil"/>
              <w:left w:val="nil"/>
              <w:bottom w:val="nil"/>
              <w:right w:val="nil"/>
            </w:tcBorders>
            <w:shd w:val="clear" w:color="auto" w:fill="auto"/>
            <w:noWrap/>
            <w:vAlign w:val="center"/>
            <w:hideMark/>
          </w:tcPr>
          <w:p w:rsidR="001E08F1" w:rsidRPr="007F489B" w:rsidRDefault="001E08F1" w:rsidP="00D07A42">
            <w:pPr>
              <w:jc w:val="right"/>
              <w:rPr>
                <w:rFonts w:cs="Arial"/>
                <w:color w:val="7F7F7F"/>
                <w:szCs w:val="18"/>
                <w:lang w:eastAsia="en-AU"/>
              </w:rPr>
            </w:pPr>
            <w:r w:rsidRPr="007F489B">
              <w:rPr>
                <w:rFonts w:cs="Arial"/>
                <w:color w:val="7F7F7F"/>
                <w:szCs w:val="18"/>
                <w:lang w:eastAsia="en-AU"/>
              </w:rPr>
              <w:t>-14%</w:t>
            </w:r>
          </w:p>
        </w:tc>
        <w:tc>
          <w:tcPr>
            <w:tcW w:w="1248" w:type="dxa"/>
            <w:tcBorders>
              <w:top w:val="nil"/>
              <w:left w:val="nil"/>
              <w:bottom w:val="nil"/>
              <w:right w:val="nil"/>
            </w:tcBorders>
            <w:shd w:val="clear" w:color="auto" w:fill="auto"/>
            <w:noWrap/>
            <w:vAlign w:val="center"/>
            <w:hideMark/>
          </w:tcPr>
          <w:p w:rsidR="001E08F1" w:rsidRPr="007F489B" w:rsidRDefault="001E08F1" w:rsidP="00D07A42">
            <w:pPr>
              <w:jc w:val="right"/>
              <w:rPr>
                <w:rFonts w:cs="Arial"/>
                <w:color w:val="7F7F7F"/>
                <w:szCs w:val="18"/>
                <w:lang w:eastAsia="en-AU"/>
              </w:rPr>
            </w:pPr>
            <w:r w:rsidRPr="007F489B">
              <w:rPr>
                <w:rFonts w:cs="Arial"/>
                <w:color w:val="7F7F7F"/>
                <w:szCs w:val="18"/>
                <w:lang w:eastAsia="en-AU"/>
              </w:rPr>
              <w:t>-12%</w:t>
            </w:r>
          </w:p>
        </w:tc>
      </w:tr>
      <w:tr w:rsidR="001E08F1" w:rsidRPr="007F489B" w:rsidTr="00D07A42">
        <w:trPr>
          <w:trHeight w:val="300"/>
        </w:trPr>
        <w:tc>
          <w:tcPr>
            <w:tcW w:w="1858" w:type="dxa"/>
            <w:tcBorders>
              <w:top w:val="nil"/>
              <w:left w:val="nil"/>
              <w:bottom w:val="nil"/>
              <w:right w:val="nil"/>
            </w:tcBorders>
            <w:shd w:val="clear" w:color="auto" w:fill="auto"/>
            <w:noWrap/>
            <w:vAlign w:val="center"/>
            <w:hideMark/>
          </w:tcPr>
          <w:p w:rsidR="001E08F1" w:rsidRPr="007F489B" w:rsidRDefault="001E08F1" w:rsidP="00D07A42">
            <w:pPr>
              <w:rPr>
                <w:rFonts w:cs="Arial"/>
                <w:color w:val="7F7F7F"/>
                <w:szCs w:val="18"/>
                <w:lang w:eastAsia="en-AU"/>
              </w:rPr>
            </w:pPr>
            <w:r w:rsidRPr="007F489B">
              <w:rPr>
                <w:rFonts w:cs="Arial"/>
                <w:color w:val="7F7F7F"/>
                <w:szCs w:val="18"/>
                <w:lang w:eastAsia="en-AU"/>
              </w:rPr>
              <w:t>Diploma &amp; Above</w:t>
            </w:r>
          </w:p>
        </w:tc>
        <w:tc>
          <w:tcPr>
            <w:tcW w:w="1247" w:type="dxa"/>
            <w:tcBorders>
              <w:top w:val="nil"/>
              <w:left w:val="nil"/>
              <w:bottom w:val="nil"/>
              <w:right w:val="nil"/>
            </w:tcBorders>
            <w:shd w:val="clear" w:color="auto" w:fill="auto"/>
            <w:noWrap/>
            <w:vAlign w:val="center"/>
            <w:hideMark/>
          </w:tcPr>
          <w:p w:rsidR="001E08F1" w:rsidRPr="007F489B" w:rsidRDefault="001E08F1" w:rsidP="00D07A42">
            <w:pPr>
              <w:jc w:val="right"/>
              <w:rPr>
                <w:rFonts w:cs="Arial"/>
                <w:color w:val="7F7F7F"/>
                <w:szCs w:val="18"/>
                <w:lang w:eastAsia="en-AU"/>
              </w:rPr>
            </w:pPr>
            <w:r w:rsidRPr="007F489B">
              <w:rPr>
                <w:rFonts w:cs="Arial"/>
                <w:color w:val="7F7F7F"/>
                <w:szCs w:val="18"/>
                <w:lang w:eastAsia="en-AU"/>
              </w:rPr>
              <w:t>7%</w:t>
            </w:r>
          </w:p>
        </w:tc>
        <w:tc>
          <w:tcPr>
            <w:tcW w:w="1247" w:type="dxa"/>
            <w:tcBorders>
              <w:top w:val="nil"/>
              <w:left w:val="nil"/>
              <w:bottom w:val="nil"/>
              <w:right w:val="nil"/>
            </w:tcBorders>
            <w:shd w:val="clear" w:color="auto" w:fill="auto"/>
            <w:noWrap/>
            <w:vAlign w:val="center"/>
            <w:hideMark/>
          </w:tcPr>
          <w:p w:rsidR="001E08F1" w:rsidRPr="007F489B" w:rsidRDefault="001E08F1" w:rsidP="00D07A42">
            <w:pPr>
              <w:jc w:val="right"/>
              <w:rPr>
                <w:rFonts w:cs="Arial"/>
                <w:color w:val="7F7F7F"/>
                <w:szCs w:val="18"/>
                <w:lang w:eastAsia="en-AU"/>
              </w:rPr>
            </w:pPr>
            <w:r w:rsidRPr="007F489B">
              <w:rPr>
                <w:rFonts w:cs="Arial"/>
                <w:color w:val="7F7F7F"/>
                <w:szCs w:val="18"/>
                <w:lang w:eastAsia="en-AU"/>
              </w:rPr>
              <w:t>-44%</w:t>
            </w:r>
          </w:p>
        </w:tc>
        <w:tc>
          <w:tcPr>
            <w:tcW w:w="1248" w:type="dxa"/>
            <w:tcBorders>
              <w:top w:val="nil"/>
              <w:left w:val="nil"/>
              <w:bottom w:val="nil"/>
              <w:right w:val="nil"/>
            </w:tcBorders>
            <w:shd w:val="clear" w:color="auto" w:fill="auto"/>
            <w:noWrap/>
            <w:vAlign w:val="center"/>
            <w:hideMark/>
          </w:tcPr>
          <w:p w:rsidR="001E08F1" w:rsidRPr="007F489B" w:rsidRDefault="001E08F1" w:rsidP="00D07A42">
            <w:pPr>
              <w:jc w:val="right"/>
              <w:rPr>
                <w:rFonts w:cs="Arial"/>
                <w:color w:val="7F7F7F"/>
                <w:szCs w:val="18"/>
                <w:lang w:eastAsia="en-AU"/>
              </w:rPr>
            </w:pPr>
            <w:r w:rsidRPr="007F489B">
              <w:rPr>
                <w:rFonts w:cs="Arial"/>
                <w:color w:val="7F7F7F"/>
                <w:szCs w:val="18"/>
                <w:lang w:eastAsia="en-AU"/>
              </w:rPr>
              <w:t>-20%</w:t>
            </w:r>
          </w:p>
        </w:tc>
        <w:tc>
          <w:tcPr>
            <w:tcW w:w="1247" w:type="dxa"/>
            <w:tcBorders>
              <w:top w:val="nil"/>
              <w:left w:val="nil"/>
              <w:bottom w:val="nil"/>
              <w:right w:val="nil"/>
            </w:tcBorders>
            <w:shd w:val="clear" w:color="auto" w:fill="auto"/>
            <w:noWrap/>
            <w:vAlign w:val="center"/>
            <w:hideMark/>
          </w:tcPr>
          <w:p w:rsidR="001E08F1" w:rsidRPr="007F489B" w:rsidRDefault="001E08F1" w:rsidP="00D07A42">
            <w:pPr>
              <w:jc w:val="right"/>
              <w:rPr>
                <w:rFonts w:cs="Arial"/>
                <w:color w:val="7F7F7F"/>
                <w:szCs w:val="18"/>
                <w:lang w:eastAsia="en-AU"/>
              </w:rPr>
            </w:pPr>
            <w:r w:rsidRPr="007F489B">
              <w:rPr>
                <w:rFonts w:cs="Arial"/>
                <w:color w:val="7F7F7F"/>
                <w:szCs w:val="18"/>
                <w:lang w:eastAsia="en-AU"/>
              </w:rPr>
              <w:t>45%</w:t>
            </w:r>
          </w:p>
        </w:tc>
        <w:tc>
          <w:tcPr>
            <w:tcW w:w="1248" w:type="dxa"/>
            <w:tcBorders>
              <w:top w:val="nil"/>
              <w:left w:val="nil"/>
              <w:bottom w:val="nil"/>
              <w:right w:val="nil"/>
            </w:tcBorders>
            <w:shd w:val="clear" w:color="auto" w:fill="auto"/>
            <w:noWrap/>
            <w:vAlign w:val="center"/>
            <w:hideMark/>
          </w:tcPr>
          <w:p w:rsidR="001E08F1" w:rsidRPr="007F489B" w:rsidRDefault="001E08F1" w:rsidP="00D07A42">
            <w:pPr>
              <w:jc w:val="right"/>
              <w:rPr>
                <w:rFonts w:cs="Arial"/>
                <w:color w:val="7F7F7F"/>
                <w:szCs w:val="18"/>
                <w:lang w:eastAsia="en-AU"/>
              </w:rPr>
            </w:pPr>
            <w:r w:rsidRPr="007F489B">
              <w:rPr>
                <w:rFonts w:cs="Arial"/>
                <w:color w:val="7F7F7F"/>
                <w:szCs w:val="18"/>
                <w:lang w:eastAsia="en-AU"/>
              </w:rPr>
              <w:t>2%</w:t>
            </w:r>
          </w:p>
        </w:tc>
      </w:tr>
      <w:tr w:rsidR="001E08F1" w:rsidRPr="007F489B" w:rsidTr="00D07A42">
        <w:trPr>
          <w:trHeight w:val="300"/>
        </w:trPr>
        <w:tc>
          <w:tcPr>
            <w:tcW w:w="1858" w:type="dxa"/>
            <w:tcBorders>
              <w:top w:val="nil"/>
              <w:left w:val="nil"/>
              <w:bottom w:val="nil"/>
              <w:right w:val="nil"/>
            </w:tcBorders>
            <w:shd w:val="clear" w:color="000000" w:fill="7F7F7F"/>
            <w:noWrap/>
            <w:vAlign w:val="center"/>
            <w:hideMark/>
          </w:tcPr>
          <w:p w:rsidR="001E08F1" w:rsidRPr="007F489B" w:rsidRDefault="001E08F1" w:rsidP="00D07A42">
            <w:pPr>
              <w:rPr>
                <w:rFonts w:cs="Arial"/>
                <w:b/>
                <w:bCs/>
                <w:color w:val="FFFFFF"/>
                <w:szCs w:val="18"/>
                <w:lang w:eastAsia="en-AU"/>
              </w:rPr>
            </w:pPr>
            <w:r w:rsidRPr="007F489B">
              <w:rPr>
                <w:rFonts w:cs="Arial"/>
                <w:b/>
                <w:bCs/>
                <w:color w:val="FFFFFF"/>
                <w:szCs w:val="18"/>
                <w:lang w:eastAsia="en-AU"/>
              </w:rPr>
              <w:t>Total</w:t>
            </w:r>
          </w:p>
        </w:tc>
        <w:tc>
          <w:tcPr>
            <w:tcW w:w="1247" w:type="dxa"/>
            <w:tcBorders>
              <w:top w:val="nil"/>
              <w:left w:val="nil"/>
              <w:bottom w:val="nil"/>
              <w:right w:val="nil"/>
            </w:tcBorders>
            <w:shd w:val="clear" w:color="000000" w:fill="7F7F7F"/>
            <w:noWrap/>
            <w:vAlign w:val="center"/>
            <w:hideMark/>
          </w:tcPr>
          <w:p w:rsidR="001E08F1" w:rsidRPr="007F489B" w:rsidRDefault="001E08F1" w:rsidP="00D07A42">
            <w:pPr>
              <w:jc w:val="right"/>
              <w:rPr>
                <w:rFonts w:cs="Arial"/>
                <w:b/>
                <w:bCs/>
                <w:color w:val="FFFFFF"/>
                <w:szCs w:val="18"/>
                <w:lang w:eastAsia="en-AU"/>
              </w:rPr>
            </w:pPr>
            <w:r w:rsidRPr="007F489B">
              <w:rPr>
                <w:rFonts w:cs="Arial"/>
                <w:b/>
                <w:bCs/>
                <w:color w:val="FFFFFF"/>
                <w:szCs w:val="18"/>
                <w:lang w:eastAsia="en-AU"/>
              </w:rPr>
              <w:t>-25%</w:t>
            </w:r>
          </w:p>
        </w:tc>
        <w:tc>
          <w:tcPr>
            <w:tcW w:w="1247" w:type="dxa"/>
            <w:tcBorders>
              <w:top w:val="nil"/>
              <w:left w:val="nil"/>
              <w:bottom w:val="nil"/>
              <w:right w:val="nil"/>
            </w:tcBorders>
            <w:shd w:val="clear" w:color="000000" w:fill="7F7F7F"/>
            <w:noWrap/>
            <w:vAlign w:val="center"/>
            <w:hideMark/>
          </w:tcPr>
          <w:p w:rsidR="001E08F1" w:rsidRPr="007F489B" w:rsidRDefault="001E08F1" w:rsidP="00D07A42">
            <w:pPr>
              <w:jc w:val="right"/>
              <w:rPr>
                <w:rFonts w:cs="Arial"/>
                <w:b/>
                <w:bCs/>
                <w:color w:val="FFFFFF"/>
                <w:szCs w:val="18"/>
                <w:lang w:eastAsia="en-AU"/>
              </w:rPr>
            </w:pPr>
            <w:r w:rsidRPr="007F489B">
              <w:rPr>
                <w:rFonts w:cs="Arial"/>
                <w:b/>
                <w:bCs/>
                <w:color w:val="FFFFFF"/>
                <w:szCs w:val="18"/>
                <w:lang w:eastAsia="en-AU"/>
              </w:rPr>
              <w:t>-35%</w:t>
            </w:r>
          </w:p>
        </w:tc>
        <w:tc>
          <w:tcPr>
            <w:tcW w:w="1248" w:type="dxa"/>
            <w:tcBorders>
              <w:top w:val="nil"/>
              <w:left w:val="nil"/>
              <w:bottom w:val="nil"/>
              <w:right w:val="nil"/>
            </w:tcBorders>
            <w:shd w:val="clear" w:color="000000" w:fill="7F7F7F"/>
            <w:noWrap/>
            <w:vAlign w:val="center"/>
            <w:hideMark/>
          </w:tcPr>
          <w:p w:rsidR="001E08F1" w:rsidRPr="007F489B" w:rsidRDefault="001E08F1" w:rsidP="00D07A42">
            <w:pPr>
              <w:jc w:val="right"/>
              <w:rPr>
                <w:rFonts w:cs="Arial"/>
                <w:b/>
                <w:bCs/>
                <w:color w:val="FFFFFF"/>
                <w:szCs w:val="18"/>
                <w:lang w:eastAsia="en-AU"/>
              </w:rPr>
            </w:pPr>
            <w:r w:rsidRPr="007F489B">
              <w:rPr>
                <w:rFonts w:cs="Arial"/>
                <w:b/>
                <w:bCs/>
                <w:color w:val="FFFFFF"/>
                <w:szCs w:val="18"/>
                <w:lang w:eastAsia="en-AU"/>
              </w:rPr>
              <w:t>-42%</w:t>
            </w:r>
          </w:p>
        </w:tc>
        <w:tc>
          <w:tcPr>
            <w:tcW w:w="1247" w:type="dxa"/>
            <w:tcBorders>
              <w:top w:val="nil"/>
              <w:left w:val="nil"/>
              <w:bottom w:val="nil"/>
              <w:right w:val="nil"/>
            </w:tcBorders>
            <w:shd w:val="clear" w:color="000000" w:fill="7F7F7F"/>
            <w:noWrap/>
            <w:vAlign w:val="center"/>
            <w:hideMark/>
          </w:tcPr>
          <w:p w:rsidR="001E08F1" w:rsidRPr="007F489B" w:rsidRDefault="001E08F1" w:rsidP="00D07A42">
            <w:pPr>
              <w:jc w:val="right"/>
              <w:rPr>
                <w:rFonts w:cs="Arial"/>
                <w:b/>
                <w:bCs/>
                <w:color w:val="FFFFFF"/>
                <w:szCs w:val="18"/>
                <w:lang w:eastAsia="en-AU"/>
              </w:rPr>
            </w:pPr>
            <w:r w:rsidRPr="007F489B">
              <w:rPr>
                <w:rFonts w:cs="Arial"/>
                <w:b/>
                <w:bCs/>
                <w:color w:val="FFFFFF"/>
                <w:szCs w:val="18"/>
                <w:lang w:eastAsia="en-AU"/>
              </w:rPr>
              <w:t>-25%</w:t>
            </w:r>
          </w:p>
        </w:tc>
        <w:tc>
          <w:tcPr>
            <w:tcW w:w="1248" w:type="dxa"/>
            <w:tcBorders>
              <w:top w:val="nil"/>
              <w:left w:val="nil"/>
              <w:bottom w:val="nil"/>
              <w:right w:val="nil"/>
            </w:tcBorders>
            <w:shd w:val="clear" w:color="000000" w:fill="7F7F7F"/>
            <w:noWrap/>
            <w:vAlign w:val="center"/>
            <w:hideMark/>
          </w:tcPr>
          <w:p w:rsidR="001E08F1" w:rsidRPr="007F489B" w:rsidRDefault="001E08F1" w:rsidP="00D07A42">
            <w:pPr>
              <w:jc w:val="right"/>
              <w:rPr>
                <w:rFonts w:cs="Arial"/>
                <w:b/>
                <w:bCs/>
                <w:color w:val="FFFFFF"/>
                <w:szCs w:val="18"/>
                <w:lang w:eastAsia="en-AU"/>
              </w:rPr>
            </w:pPr>
            <w:r w:rsidRPr="007F489B">
              <w:rPr>
                <w:rFonts w:cs="Arial"/>
                <w:b/>
                <w:bCs/>
                <w:color w:val="FFFFFF"/>
                <w:szCs w:val="18"/>
                <w:lang w:eastAsia="en-AU"/>
              </w:rPr>
              <w:t>-16%</w:t>
            </w:r>
          </w:p>
        </w:tc>
      </w:tr>
    </w:tbl>
    <w:p w:rsidR="001E08F1" w:rsidRDefault="001E08F1" w:rsidP="001E08F1"/>
    <w:p w:rsidR="001E08F1" w:rsidRDefault="001E08F1" w:rsidP="001E08F1"/>
    <w:p w:rsidR="001E08F1" w:rsidRPr="00365EB2" w:rsidRDefault="001E08F1" w:rsidP="001E08F1">
      <w:r w:rsidRPr="00365EB2">
        <w:br w:type="page"/>
      </w:r>
    </w:p>
    <w:p w:rsidR="001E08F1" w:rsidRPr="00A14F2F" w:rsidRDefault="001E08F1" w:rsidP="001E08F1">
      <w:pPr>
        <w:pStyle w:val="Heading2"/>
        <w:rPr>
          <w:color w:val="B41F22" w:themeColor="accent1"/>
        </w:rPr>
      </w:pPr>
      <w:bookmarkStart w:id="26" w:name="_Toc432758334"/>
      <w:r w:rsidRPr="00A14F2F">
        <w:rPr>
          <w:color w:val="B41F22" w:themeColor="accent1"/>
        </w:rPr>
        <w:lastRenderedPageBreak/>
        <w:t>Students with Low Prior Qualification</w:t>
      </w:r>
      <w:bookmarkEnd w:id="26"/>
    </w:p>
    <w:p w:rsidR="001E08F1" w:rsidRPr="00365EB2" w:rsidRDefault="001E08F1" w:rsidP="001E08F1"/>
    <w:p w:rsidR="001E08F1" w:rsidRPr="00365EB2" w:rsidRDefault="001E08F1" w:rsidP="001E08F1">
      <w:pPr>
        <w:pStyle w:val="Heading3"/>
      </w:pPr>
      <w:r>
        <w:rPr>
          <w:color w:val="7F7F7F" w:themeColor="text2"/>
        </w:rPr>
        <w:t xml:space="preserve">Accredited </w:t>
      </w:r>
      <w:r w:rsidRPr="00DE7971">
        <w:rPr>
          <w:color w:val="7F7F7F" w:themeColor="text2"/>
        </w:rPr>
        <w:t>Course Enrolments</w:t>
      </w:r>
    </w:p>
    <w:p w:rsidR="001E08F1" w:rsidRPr="00365EB2" w:rsidRDefault="001E08F1" w:rsidP="001E08F1">
      <w:pPr>
        <w:pStyle w:val="Quote"/>
        <w:pBdr>
          <w:top w:val="single" w:sz="4" w:space="1" w:color="7F7F7F" w:themeColor="text2"/>
          <w:left w:val="single" w:sz="4" w:space="4" w:color="7F7F7F" w:themeColor="text2"/>
          <w:bottom w:val="single" w:sz="4" w:space="1" w:color="7F7F7F" w:themeColor="text2"/>
          <w:right w:val="single" w:sz="4" w:space="4" w:color="7F7F7F" w:themeColor="text2"/>
        </w:pBdr>
        <w:spacing w:after="120"/>
      </w:pPr>
      <w:r w:rsidRPr="00BB466D">
        <w:t>Key points</w:t>
      </w:r>
    </w:p>
    <w:p w:rsidR="001E08F1" w:rsidRDefault="001E08F1" w:rsidP="001E08F1">
      <w:pPr>
        <w:pBdr>
          <w:top w:val="single" w:sz="4" w:space="1" w:color="7F7F7F" w:themeColor="text2"/>
          <w:left w:val="single" w:sz="4" w:space="4" w:color="7F7F7F" w:themeColor="text2"/>
          <w:bottom w:val="single" w:sz="4" w:space="1" w:color="7F7F7F" w:themeColor="text2"/>
          <w:right w:val="single" w:sz="4" w:space="4" w:color="7F7F7F" w:themeColor="text2"/>
        </w:pBdr>
        <w:spacing w:before="120" w:after="120"/>
      </w:pPr>
      <w:r>
        <w:t>The 2015 (half year) data shows that:</w:t>
      </w:r>
    </w:p>
    <w:p w:rsidR="001E08F1" w:rsidRPr="00AE7775" w:rsidRDefault="001E08F1" w:rsidP="001E08F1">
      <w:pPr>
        <w:pStyle w:val="ListParagraph"/>
        <w:numPr>
          <w:ilvl w:val="0"/>
          <w:numId w:val="18"/>
        </w:numPr>
        <w:pBdr>
          <w:top w:val="single" w:sz="4" w:space="1" w:color="7F7F7F" w:themeColor="text2"/>
          <w:left w:val="single" w:sz="4" w:space="4" w:color="7F7F7F" w:themeColor="text2"/>
          <w:bottom w:val="single" w:sz="4" w:space="1" w:color="7F7F7F" w:themeColor="text2"/>
          <w:right w:val="single" w:sz="4" w:space="4" w:color="7F7F7F" w:themeColor="text2"/>
        </w:pBdr>
        <w:spacing w:before="120"/>
        <w:ind w:left="425" w:hanging="425"/>
        <w:contextualSpacing w:val="0"/>
        <w:rPr>
          <w:color w:val="7F7F7F" w:themeColor="text2"/>
        </w:rPr>
      </w:pPr>
      <w:r w:rsidRPr="00AE7775">
        <w:rPr>
          <w:color w:val="7F7F7F" w:themeColor="text2"/>
        </w:rPr>
        <w:t xml:space="preserve">There were 146,501 students who were aged 20 to 64 and not holding a Certificate III or above qualification enrolled in 172,122 </w:t>
      </w:r>
      <w:proofErr w:type="gramStart"/>
      <w:r w:rsidRPr="00AE7775">
        <w:rPr>
          <w:color w:val="7F7F7F" w:themeColor="text2"/>
        </w:rPr>
        <w:t>government</w:t>
      </w:r>
      <w:proofErr w:type="gramEnd"/>
      <w:r w:rsidRPr="00AE7775">
        <w:rPr>
          <w:color w:val="7F7F7F" w:themeColor="text2"/>
        </w:rPr>
        <w:t xml:space="preserve"> subsidised accredited courses. This is down 11 per cent of students and 14 per cent enrolments from the same period in 2014.</w:t>
      </w:r>
    </w:p>
    <w:p w:rsidR="001E08F1" w:rsidRPr="00AE7775" w:rsidRDefault="001E08F1" w:rsidP="001E08F1">
      <w:pPr>
        <w:pBdr>
          <w:top w:val="single" w:sz="4" w:space="1" w:color="7F7F7F" w:themeColor="text2"/>
          <w:left w:val="single" w:sz="4" w:space="4" w:color="7F7F7F" w:themeColor="text2"/>
          <w:bottom w:val="single" w:sz="4" w:space="1" w:color="7F7F7F" w:themeColor="text2"/>
          <w:right w:val="single" w:sz="4" w:space="4" w:color="7F7F7F" w:themeColor="text2"/>
        </w:pBdr>
        <w:rPr>
          <w:color w:val="7F7F7F" w:themeColor="text2"/>
        </w:rPr>
      </w:pPr>
    </w:p>
    <w:p w:rsidR="001E08F1" w:rsidRPr="00365EB2" w:rsidRDefault="001E08F1" w:rsidP="001E08F1"/>
    <w:p w:rsidR="001E08F1" w:rsidRDefault="001E08F1" w:rsidP="001E08F1"/>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1E08F1" w:rsidTr="00D07A42">
        <w:tc>
          <w:tcPr>
            <w:tcW w:w="1134" w:type="dxa"/>
            <w:tcMar>
              <w:left w:w="0" w:type="dxa"/>
              <w:right w:w="0" w:type="dxa"/>
            </w:tcMar>
          </w:tcPr>
          <w:p w:rsidR="001E08F1" w:rsidRDefault="0005261F" w:rsidP="00D07A42">
            <w:pPr>
              <w:pStyle w:val="Quote"/>
              <w:tabs>
                <w:tab w:val="left" w:pos="1134"/>
              </w:tabs>
              <w:rPr>
                <w:b w:val="0"/>
                <w:color w:val="B41F22" w:themeColor="accent1"/>
              </w:rPr>
            </w:pPr>
            <w:r>
              <w:rPr>
                <w:b w:val="0"/>
                <w:color w:val="B41F22" w:themeColor="accent1"/>
              </w:rPr>
              <w:t>Table 2</w:t>
            </w:r>
            <w:r w:rsidR="001E08F1">
              <w:rPr>
                <w:b w:val="0"/>
                <w:color w:val="B41F22" w:themeColor="accent1"/>
              </w:rPr>
              <w:t>.8.1:</w:t>
            </w:r>
          </w:p>
        </w:tc>
        <w:tc>
          <w:tcPr>
            <w:tcW w:w="6946" w:type="dxa"/>
            <w:tcMar>
              <w:left w:w="0" w:type="dxa"/>
              <w:right w:w="0" w:type="dxa"/>
            </w:tcMar>
          </w:tcPr>
          <w:p w:rsidR="001E08F1" w:rsidRDefault="001E08F1" w:rsidP="00D07A42">
            <w:pPr>
              <w:pStyle w:val="Quote"/>
              <w:tabs>
                <w:tab w:val="left" w:pos="1134"/>
              </w:tabs>
              <w:rPr>
                <w:b w:val="0"/>
                <w:color w:val="B41F22" w:themeColor="accent1"/>
              </w:rPr>
            </w:pPr>
            <w:r w:rsidRPr="009401BB">
              <w:rPr>
                <w:b w:val="0"/>
                <w:color w:val="B41F22" w:themeColor="accent1"/>
              </w:rPr>
              <w:t>Enrolments in government subsidised accredited training by students aged 20 to 64 not holding a Certificate III or above, 2010 to 2015 (half year)</w:t>
            </w:r>
          </w:p>
        </w:tc>
      </w:tr>
    </w:tbl>
    <w:tbl>
      <w:tblPr>
        <w:tblW w:w="8095" w:type="dxa"/>
        <w:tblInd w:w="93" w:type="dxa"/>
        <w:tblLayout w:type="fixed"/>
        <w:tblLook w:val="04A0" w:firstRow="1" w:lastRow="0" w:firstColumn="1" w:lastColumn="0" w:noHBand="0" w:noVBand="1"/>
      </w:tblPr>
      <w:tblGrid>
        <w:gridCol w:w="2000"/>
        <w:gridCol w:w="1015"/>
        <w:gridCol w:w="1016"/>
        <w:gridCol w:w="1016"/>
        <w:gridCol w:w="1016"/>
        <w:gridCol w:w="1016"/>
        <w:gridCol w:w="1016"/>
      </w:tblGrid>
      <w:tr w:rsidR="001E08F1" w:rsidRPr="009401BB" w:rsidTr="00D07A42">
        <w:trPr>
          <w:trHeight w:val="300"/>
        </w:trPr>
        <w:tc>
          <w:tcPr>
            <w:tcW w:w="2000" w:type="dxa"/>
            <w:tcBorders>
              <w:top w:val="nil"/>
              <w:left w:val="nil"/>
              <w:bottom w:val="nil"/>
              <w:right w:val="nil"/>
            </w:tcBorders>
            <w:shd w:val="clear" w:color="000000" w:fill="7F7F7F"/>
            <w:noWrap/>
            <w:vAlign w:val="center"/>
            <w:hideMark/>
          </w:tcPr>
          <w:p w:rsidR="001E08F1" w:rsidRPr="009401BB" w:rsidRDefault="001E08F1" w:rsidP="00D07A42">
            <w:pPr>
              <w:rPr>
                <w:rFonts w:cs="Arial"/>
                <w:color w:val="FFFFFF"/>
                <w:szCs w:val="18"/>
                <w:lang w:eastAsia="en-AU"/>
              </w:rPr>
            </w:pPr>
            <w:r w:rsidRPr="009401BB">
              <w:rPr>
                <w:rFonts w:cs="Arial"/>
                <w:color w:val="FFFFFF"/>
                <w:szCs w:val="18"/>
                <w:lang w:eastAsia="en-AU"/>
              </w:rPr>
              <w:t> </w:t>
            </w:r>
          </w:p>
        </w:tc>
        <w:tc>
          <w:tcPr>
            <w:tcW w:w="1015" w:type="dxa"/>
            <w:tcBorders>
              <w:top w:val="nil"/>
              <w:left w:val="nil"/>
              <w:bottom w:val="nil"/>
              <w:right w:val="nil"/>
            </w:tcBorders>
            <w:shd w:val="clear" w:color="000000" w:fill="7F7F7F"/>
            <w:noWrap/>
            <w:vAlign w:val="center"/>
            <w:hideMark/>
          </w:tcPr>
          <w:p w:rsidR="001E08F1" w:rsidRPr="009401BB" w:rsidRDefault="001E08F1" w:rsidP="00D07A42">
            <w:pPr>
              <w:jc w:val="right"/>
              <w:rPr>
                <w:rFonts w:cs="Arial"/>
                <w:b/>
                <w:bCs/>
                <w:color w:val="FFFFFF"/>
                <w:szCs w:val="18"/>
                <w:lang w:eastAsia="en-AU"/>
              </w:rPr>
            </w:pPr>
            <w:r w:rsidRPr="009401BB">
              <w:rPr>
                <w:rFonts w:cs="Arial"/>
                <w:b/>
                <w:bCs/>
                <w:color w:val="FFFFFF"/>
                <w:szCs w:val="18"/>
                <w:lang w:eastAsia="en-AU"/>
              </w:rPr>
              <w:t>2010</w:t>
            </w:r>
          </w:p>
        </w:tc>
        <w:tc>
          <w:tcPr>
            <w:tcW w:w="1016" w:type="dxa"/>
            <w:tcBorders>
              <w:top w:val="nil"/>
              <w:left w:val="nil"/>
              <w:bottom w:val="nil"/>
              <w:right w:val="nil"/>
            </w:tcBorders>
            <w:shd w:val="clear" w:color="000000" w:fill="7F7F7F"/>
            <w:noWrap/>
            <w:vAlign w:val="center"/>
            <w:hideMark/>
          </w:tcPr>
          <w:p w:rsidR="001E08F1" w:rsidRPr="009401BB" w:rsidRDefault="001E08F1" w:rsidP="00D07A42">
            <w:pPr>
              <w:jc w:val="right"/>
              <w:rPr>
                <w:rFonts w:cs="Arial"/>
                <w:b/>
                <w:bCs/>
                <w:color w:val="FFFFFF"/>
                <w:szCs w:val="18"/>
                <w:lang w:eastAsia="en-AU"/>
              </w:rPr>
            </w:pPr>
            <w:r w:rsidRPr="009401BB">
              <w:rPr>
                <w:rFonts w:cs="Arial"/>
                <w:b/>
                <w:bCs/>
                <w:color w:val="FFFFFF"/>
                <w:szCs w:val="18"/>
                <w:lang w:eastAsia="en-AU"/>
              </w:rPr>
              <w:t>2011</w:t>
            </w:r>
          </w:p>
        </w:tc>
        <w:tc>
          <w:tcPr>
            <w:tcW w:w="1016" w:type="dxa"/>
            <w:tcBorders>
              <w:top w:val="nil"/>
              <w:left w:val="nil"/>
              <w:bottom w:val="nil"/>
              <w:right w:val="nil"/>
            </w:tcBorders>
            <w:shd w:val="clear" w:color="000000" w:fill="7F7F7F"/>
            <w:noWrap/>
            <w:vAlign w:val="center"/>
            <w:hideMark/>
          </w:tcPr>
          <w:p w:rsidR="001E08F1" w:rsidRPr="009401BB" w:rsidRDefault="001E08F1" w:rsidP="00D07A42">
            <w:pPr>
              <w:jc w:val="right"/>
              <w:rPr>
                <w:rFonts w:cs="Arial"/>
                <w:b/>
                <w:bCs/>
                <w:color w:val="FFFFFF"/>
                <w:szCs w:val="18"/>
                <w:lang w:eastAsia="en-AU"/>
              </w:rPr>
            </w:pPr>
            <w:r w:rsidRPr="009401BB">
              <w:rPr>
                <w:rFonts w:cs="Arial"/>
                <w:b/>
                <w:bCs/>
                <w:color w:val="FFFFFF"/>
                <w:szCs w:val="18"/>
                <w:lang w:eastAsia="en-AU"/>
              </w:rPr>
              <w:t>2012</w:t>
            </w:r>
          </w:p>
        </w:tc>
        <w:tc>
          <w:tcPr>
            <w:tcW w:w="1016" w:type="dxa"/>
            <w:tcBorders>
              <w:top w:val="nil"/>
              <w:left w:val="nil"/>
              <w:bottom w:val="nil"/>
              <w:right w:val="nil"/>
            </w:tcBorders>
            <w:shd w:val="clear" w:color="000000" w:fill="7F7F7F"/>
            <w:noWrap/>
            <w:vAlign w:val="center"/>
            <w:hideMark/>
          </w:tcPr>
          <w:p w:rsidR="001E08F1" w:rsidRPr="009401BB" w:rsidRDefault="001E08F1" w:rsidP="00D07A42">
            <w:pPr>
              <w:jc w:val="right"/>
              <w:rPr>
                <w:rFonts w:cs="Arial"/>
                <w:b/>
                <w:bCs/>
                <w:color w:val="FFFFFF"/>
                <w:szCs w:val="18"/>
                <w:lang w:eastAsia="en-AU"/>
              </w:rPr>
            </w:pPr>
            <w:r w:rsidRPr="009401BB">
              <w:rPr>
                <w:rFonts w:cs="Arial"/>
                <w:b/>
                <w:bCs/>
                <w:color w:val="FFFFFF"/>
                <w:szCs w:val="18"/>
                <w:lang w:eastAsia="en-AU"/>
              </w:rPr>
              <w:t>2013</w:t>
            </w:r>
          </w:p>
        </w:tc>
        <w:tc>
          <w:tcPr>
            <w:tcW w:w="1016" w:type="dxa"/>
            <w:tcBorders>
              <w:top w:val="nil"/>
              <w:left w:val="nil"/>
              <w:bottom w:val="nil"/>
              <w:right w:val="nil"/>
            </w:tcBorders>
            <w:shd w:val="clear" w:color="000000" w:fill="7F7F7F"/>
            <w:noWrap/>
            <w:vAlign w:val="center"/>
            <w:hideMark/>
          </w:tcPr>
          <w:p w:rsidR="001E08F1" w:rsidRPr="009401BB" w:rsidRDefault="001E08F1" w:rsidP="00D07A42">
            <w:pPr>
              <w:jc w:val="right"/>
              <w:rPr>
                <w:rFonts w:cs="Arial"/>
                <w:b/>
                <w:bCs/>
                <w:color w:val="FFFFFF"/>
                <w:szCs w:val="18"/>
                <w:lang w:eastAsia="en-AU"/>
              </w:rPr>
            </w:pPr>
            <w:r w:rsidRPr="009401BB">
              <w:rPr>
                <w:rFonts w:cs="Arial"/>
                <w:b/>
                <w:bCs/>
                <w:color w:val="FFFFFF"/>
                <w:szCs w:val="18"/>
                <w:lang w:eastAsia="en-AU"/>
              </w:rPr>
              <w:t>2014</w:t>
            </w:r>
          </w:p>
        </w:tc>
        <w:tc>
          <w:tcPr>
            <w:tcW w:w="1016" w:type="dxa"/>
            <w:tcBorders>
              <w:top w:val="nil"/>
              <w:left w:val="nil"/>
              <w:bottom w:val="nil"/>
              <w:right w:val="nil"/>
            </w:tcBorders>
            <w:shd w:val="clear" w:color="000000" w:fill="7F7F7F"/>
            <w:noWrap/>
            <w:vAlign w:val="center"/>
            <w:hideMark/>
          </w:tcPr>
          <w:p w:rsidR="001E08F1" w:rsidRPr="009401BB" w:rsidRDefault="001E08F1" w:rsidP="00D07A42">
            <w:pPr>
              <w:jc w:val="right"/>
              <w:rPr>
                <w:rFonts w:cs="Arial"/>
                <w:b/>
                <w:bCs/>
                <w:color w:val="FFFFFF"/>
                <w:szCs w:val="18"/>
                <w:lang w:eastAsia="en-AU"/>
              </w:rPr>
            </w:pPr>
            <w:r w:rsidRPr="009401BB">
              <w:rPr>
                <w:rFonts w:cs="Arial"/>
                <w:b/>
                <w:bCs/>
                <w:color w:val="FFFFFF"/>
                <w:szCs w:val="18"/>
                <w:lang w:eastAsia="en-AU"/>
              </w:rPr>
              <w:t>2015</w:t>
            </w:r>
          </w:p>
        </w:tc>
      </w:tr>
      <w:tr w:rsidR="001E08F1" w:rsidRPr="009401BB" w:rsidTr="00D07A42">
        <w:trPr>
          <w:trHeight w:val="300"/>
        </w:trPr>
        <w:tc>
          <w:tcPr>
            <w:tcW w:w="2000" w:type="dxa"/>
            <w:tcBorders>
              <w:top w:val="nil"/>
              <w:left w:val="nil"/>
              <w:bottom w:val="nil"/>
              <w:right w:val="nil"/>
            </w:tcBorders>
            <w:shd w:val="clear" w:color="auto" w:fill="auto"/>
            <w:noWrap/>
            <w:vAlign w:val="center"/>
            <w:hideMark/>
          </w:tcPr>
          <w:p w:rsidR="001E08F1" w:rsidRPr="009401BB" w:rsidRDefault="001E08F1" w:rsidP="00D07A42">
            <w:pPr>
              <w:rPr>
                <w:rFonts w:cs="Arial"/>
                <w:color w:val="7F7F7F"/>
                <w:szCs w:val="18"/>
                <w:lang w:eastAsia="en-AU"/>
              </w:rPr>
            </w:pPr>
            <w:r w:rsidRPr="009401BB">
              <w:rPr>
                <w:rFonts w:cs="Arial"/>
                <w:color w:val="7F7F7F"/>
                <w:szCs w:val="18"/>
                <w:lang w:eastAsia="en-AU"/>
              </w:rPr>
              <w:t>Course Enrolments</w:t>
            </w:r>
          </w:p>
        </w:tc>
        <w:tc>
          <w:tcPr>
            <w:tcW w:w="1015" w:type="dxa"/>
            <w:tcBorders>
              <w:top w:val="nil"/>
              <w:left w:val="nil"/>
              <w:bottom w:val="nil"/>
              <w:right w:val="nil"/>
            </w:tcBorders>
            <w:shd w:val="clear" w:color="auto" w:fill="auto"/>
            <w:noWrap/>
            <w:vAlign w:val="center"/>
            <w:hideMark/>
          </w:tcPr>
          <w:p w:rsidR="001E08F1" w:rsidRPr="009401BB" w:rsidRDefault="001E08F1" w:rsidP="00D07A42">
            <w:pPr>
              <w:jc w:val="right"/>
              <w:rPr>
                <w:rFonts w:cs="Arial"/>
                <w:color w:val="7F7F7F"/>
                <w:szCs w:val="18"/>
                <w:lang w:eastAsia="en-AU"/>
              </w:rPr>
            </w:pPr>
            <w:r w:rsidRPr="009401BB">
              <w:rPr>
                <w:rFonts w:cs="Arial"/>
                <w:color w:val="7F7F7F"/>
                <w:szCs w:val="18"/>
                <w:lang w:eastAsia="en-AU"/>
              </w:rPr>
              <w:t>109,489</w:t>
            </w:r>
          </w:p>
        </w:tc>
        <w:tc>
          <w:tcPr>
            <w:tcW w:w="1016" w:type="dxa"/>
            <w:tcBorders>
              <w:top w:val="nil"/>
              <w:left w:val="nil"/>
              <w:bottom w:val="nil"/>
              <w:right w:val="nil"/>
            </w:tcBorders>
            <w:shd w:val="clear" w:color="auto" w:fill="auto"/>
            <w:noWrap/>
            <w:vAlign w:val="center"/>
            <w:hideMark/>
          </w:tcPr>
          <w:p w:rsidR="001E08F1" w:rsidRPr="009401BB" w:rsidRDefault="001E08F1" w:rsidP="00D07A42">
            <w:pPr>
              <w:jc w:val="right"/>
              <w:rPr>
                <w:rFonts w:cs="Arial"/>
                <w:color w:val="7F7F7F"/>
                <w:szCs w:val="18"/>
                <w:lang w:eastAsia="en-AU"/>
              </w:rPr>
            </w:pPr>
            <w:r w:rsidRPr="009401BB">
              <w:rPr>
                <w:rFonts w:cs="Arial"/>
                <w:color w:val="7F7F7F"/>
                <w:szCs w:val="18"/>
                <w:lang w:eastAsia="en-AU"/>
              </w:rPr>
              <w:t>150,740</w:t>
            </w:r>
          </w:p>
        </w:tc>
        <w:tc>
          <w:tcPr>
            <w:tcW w:w="1016" w:type="dxa"/>
            <w:tcBorders>
              <w:top w:val="nil"/>
              <w:left w:val="nil"/>
              <w:bottom w:val="nil"/>
              <w:right w:val="nil"/>
            </w:tcBorders>
            <w:shd w:val="clear" w:color="auto" w:fill="auto"/>
            <w:noWrap/>
            <w:vAlign w:val="center"/>
            <w:hideMark/>
          </w:tcPr>
          <w:p w:rsidR="001E08F1" w:rsidRPr="009401BB" w:rsidRDefault="001E08F1" w:rsidP="00D07A42">
            <w:pPr>
              <w:jc w:val="right"/>
              <w:rPr>
                <w:rFonts w:cs="Arial"/>
                <w:color w:val="7F7F7F"/>
                <w:szCs w:val="18"/>
                <w:lang w:eastAsia="en-AU"/>
              </w:rPr>
            </w:pPr>
            <w:r w:rsidRPr="009401BB">
              <w:rPr>
                <w:rFonts w:cs="Arial"/>
                <w:color w:val="7F7F7F"/>
                <w:szCs w:val="18"/>
                <w:lang w:eastAsia="en-AU"/>
              </w:rPr>
              <w:t>226,269</w:t>
            </w:r>
          </w:p>
        </w:tc>
        <w:tc>
          <w:tcPr>
            <w:tcW w:w="1016" w:type="dxa"/>
            <w:tcBorders>
              <w:top w:val="nil"/>
              <w:left w:val="nil"/>
              <w:bottom w:val="nil"/>
              <w:right w:val="nil"/>
            </w:tcBorders>
            <w:shd w:val="clear" w:color="auto" w:fill="auto"/>
            <w:noWrap/>
            <w:vAlign w:val="center"/>
            <w:hideMark/>
          </w:tcPr>
          <w:p w:rsidR="001E08F1" w:rsidRPr="009401BB" w:rsidRDefault="001E08F1" w:rsidP="00D07A42">
            <w:pPr>
              <w:jc w:val="right"/>
              <w:rPr>
                <w:rFonts w:cs="Arial"/>
                <w:color w:val="7F7F7F"/>
                <w:szCs w:val="18"/>
                <w:lang w:eastAsia="en-AU"/>
              </w:rPr>
            </w:pPr>
            <w:r w:rsidRPr="009401BB">
              <w:rPr>
                <w:rFonts w:cs="Arial"/>
                <w:color w:val="7F7F7F"/>
                <w:szCs w:val="18"/>
                <w:lang w:eastAsia="en-AU"/>
              </w:rPr>
              <w:t>199,821</w:t>
            </w:r>
          </w:p>
        </w:tc>
        <w:tc>
          <w:tcPr>
            <w:tcW w:w="1016" w:type="dxa"/>
            <w:tcBorders>
              <w:top w:val="nil"/>
              <w:left w:val="nil"/>
              <w:bottom w:val="nil"/>
              <w:right w:val="nil"/>
            </w:tcBorders>
            <w:shd w:val="clear" w:color="auto" w:fill="auto"/>
            <w:noWrap/>
            <w:vAlign w:val="center"/>
            <w:hideMark/>
          </w:tcPr>
          <w:p w:rsidR="001E08F1" w:rsidRPr="009401BB" w:rsidRDefault="001E08F1" w:rsidP="00D07A42">
            <w:pPr>
              <w:jc w:val="right"/>
              <w:rPr>
                <w:rFonts w:cs="Arial"/>
                <w:color w:val="7F7F7F"/>
                <w:szCs w:val="18"/>
                <w:lang w:eastAsia="en-AU"/>
              </w:rPr>
            </w:pPr>
            <w:r w:rsidRPr="009401BB">
              <w:rPr>
                <w:rFonts w:cs="Arial"/>
                <w:color w:val="7F7F7F"/>
                <w:szCs w:val="18"/>
                <w:lang w:eastAsia="en-AU"/>
              </w:rPr>
              <w:t>201,078</w:t>
            </w:r>
          </w:p>
        </w:tc>
        <w:tc>
          <w:tcPr>
            <w:tcW w:w="1016" w:type="dxa"/>
            <w:tcBorders>
              <w:top w:val="nil"/>
              <w:left w:val="nil"/>
              <w:bottom w:val="nil"/>
              <w:right w:val="nil"/>
            </w:tcBorders>
            <w:shd w:val="clear" w:color="auto" w:fill="auto"/>
            <w:noWrap/>
            <w:vAlign w:val="center"/>
            <w:hideMark/>
          </w:tcPr>
          <w:p w:rsidR="001E08F1" w:rsidRPr="009401BB" w:rsidRDefault="001E08F1" w:rsidP="00D07A42">
            <w:pPr>
              <w:jc w:val="right"/>
              <w:rPr>
                <w:rFonts w:cs="Arial"/>
                <w:color w:val="7F7F7F"/>
                <w:szCs w:val="18"/>
                <w:lang w:eastAsia="en-AU"/>
              </w:rPr>
            </w:pPr>
            <w:r w:rsidRPr="009401BB">
              <w:rPr>
                <w:rFonts w:cs="Arial"/>
                <w:color w:val="7F7F7F"/>
                <w:szCs w:val="18"/>
                <w:lang w:eastAsia="en-AU"/>
              </w:rPr>
              <w:t>172,122</w:t>
            </w:r>
          </w:p>
        </w:tc>
      </w:tr>
      <w:tr w:rsidR="001E08F1" w:rsidRPr="009401BB" w:rsidTr="00D07A42">
        <w:trPr>
          <w:trHeight w:val="315"/>
        </w:trPr>
        <w:tc>
          <w:tcPr>
            <w:tcW w:w="2000" w:type="dxa"/>
            <w:tcBorders>
              <w:top w:val="nil"/>
              <w:left w:val="nil"/>
              <w:bottom w:val="single" w:sz="12" w:space="0" w:color="7F7F7F"/>
              <w:right w:val="nil"/>
            </w:tcBorders>
            <w:shd w:val="clear" w:color="auto" w:fill="auto"/>
            <w:noWrap/>
            <w:vAlign w:val="center"/>
            <w:hideMark/>
          </w:tcPr>
          <w:p w:rsidR="001E08F1" w:rsidRPr="009401BB" w:rsidRDefault="001E08F1" w:rsidP="00D07A42">
            <w:pPr>
              <w:rPr>
                <w:rFonts w:cs="Arial"/>
                <w:color w:val="7F7F7F"/>
                <w:szCs w:val="18"/>
                <w:lang w:eastAsia="en-AU"/>
              </w:rPr>
            </w:pPr>
            <w:r w:rsidRPr="009401BB">
              <w:rPr>
                <w:rFonts w:cs="Arial"/>
                <w:color w:val="7F7F7F"/>
                <w:szCs w:val="18"/>
                <w:lang w:eastAsia="en-AU"/>
              </w:rPr>
              <w:t>Up-Skilling*</w:t>
            </w:r>
          </w:p>
        </w:tc>
        <w:tc>
          <w:tcPr>
            <w:tcW w:w="1015" w:type="dxa"/>
            <w:tcBorders>
              <w:top w:val="nil"/>
              <w:left w:val="nil"/>
              <w:bottom w:val="single" w:sz="12" w:space="0" w:color="7F7F7F"/>
              <w:right w:val="nil"/>
            </w:tcBorders>
            <w:shd w:val="clear" w:color="auto" w:fill="auto"/>
            <w:noWrap/>
            <w:vAlign w:val="center"/>
            <w:hideMark/>
          </w:tcPr>
          <w:p w:rsidR="001E08F1" w:rsidRPr="009401BB" w:rsidRDefault="001E08F1" w:rsidP="00D07A42">
            <w:pPr>
              <w:jc w:val="right"/>
              <w:rPr>
                <w:rFonts w:cs="Arial"/>
                <w:color w:val="7F7F7F"/>
                <w:szCs w:val="18"/>
                <w:lang w:eastAsia="en-AU"/>
              </w:rPr>
            </w:pPr>
            <w:r w:rsidRPr="009401BB">
              <w:rPr>
                <w:rFonts w:cs="Arial"/>
                <w:color w:val="7F7F7F"/>
                <w:szCs w:val="18"/>
                <w:lang w:eastAsia="en-AU"/>
              </w:rPr>
              <w:t>78,385</w:t>
            </w:r>
          </w:p>
        </w:tc>
        <w:tc>
          <w:tcPr>
            <w:tcW w:w="1016" w:type="dxa"/>
            <w:tcBorders>
              <w:top w:val="nil"/>
              <w:left w:val="nil"/>
              <w:bottom w:val="single" w:sz="12" w:space="0" w:color="7F7F7F"/>
              <w:right w:val="nil"/>
            </w:tcBorders>
            <w:shd w:val="clear" w:color="auto" w:fill="auto"/>
            <w:noWrap/>
            <w:vAlign w:val="center"/>
            <w:hideMark/>
          </w:tcPr>
          <w:p w:rsidR="001E08F1" w:rsidRPr="009401BB" w:rsidRDefault="001E08F1" w:rsidP="00D07A42">
            <w:pPr>
              <w:jc w:val="right"/>
              <w:rPr>
                <w:rFonts w:cs="Arial"/>
                <w:color w:val="7F7F7F"/>
                <w:szCs w:val="18"/>
                <w:lang w:eastAsia="en-AU"/>
              </w:rPr>
            </w:pPr>
            <w:r w:rsidRPr="009401BB">
              <w:rPr>
                <w:rFonts w:cs="Arial"/>
                <w:color w:val="7F7F7F"/>
                <w:szCs w:val="18"/>
                <w:lang w:eastAsia="en-AU"/>
              </w:rPr>
              <w:t>115,575</w:t>
            </w:r>
          </w:p>
        </w:tc>
        <w:tc>
          <w:tcPr>
            <w:tcW w:w="1016" w:type="dxa"/>
            <w:tcBorders>
              <w:top w:val="nil"/>
              <w:left w:val="nil"/>
              <w:bottom w:val="single" w:sz="12" w:space="0" w:color="7F7F7F"/>
              <w:right w:val="nil"/>
            </w:tcBorders>
            <w:shd w:val="clear" w:color="auto" w:fill="auto"/>
            <w:noWrap/>
            <w:vAlign w:val="center"/>
            <w:hideMark/>
          </w:tcPr>
          <w:p w:rsidR="001E08F1" w:rsidRPr="009401BB" w:rsidRDefault="001E08F1" w:rsidP="00D07A42">
            <w:pPr>
              <w:jc w:val="right"/>
              <w:rPr>
                <w:rFonts w:cs="Arial"/>
                <w:color w:val="7F7F7F"/>
                <w:szCs w:val="18"/>
                <w:lang w:eastAsia="en-AU"/>
              </w:rPr>
            </w:pPr>
            <w:r w:rsidRPr="009401BB">
              <w:rPr>
                <w:rFonts w:cs="Arial"/>
                <w:color w:val="7F7F7F"/>
                <w:szCs w:val="18"/>
                <w:lang w:eastAsia="en-AU"/>
              </w:rPr>
              <w:t>176,479</w:t>
            </w:r>
          </w:p>
        </w:tc>
        <w:tc>
          <w:tcPr>
            <w:tcW w:w="1016" w:type="dxa"/>
            <w:tcBorders>
              <w:top w:val="nil"/>
              <w:left w:val="nil"/>
              <w:bottom w:val="single" w:sz="12" w:space="0" w:color="7F7F7F"/>
              <w:right w:val="nil"/>
            </w:tcBorders>
            <w:shd w:val="clear" w:color="auto" w:fill="auto"/>
            <w:noWrap/>
            <w:vAlign w:val="center"/>
            <w:hideMark/>
          </w:tcPr>
          <w:p w:rsidR="001E08F1" w:rsidRPr="009401BB" w:rsidRDefault="001E08F1" w:rsidP="00D07A42">
            <w:pPr>
              <w:jc w:val="right"/>
              <w:rPr>
                <w:rFonts w:cs="Arial"/>
                <w:color w:val="7F7F7F"/>
                <w:szCs w:val="18"/>
                <w:lang w:eastAsia="en-AU"/>
              </w:rPr>
            </w:pPr>
            <w:r w:rsidRPr="009401BB">
              <w:rPr>
                <w:rFonts w:cs="Arial"/>
                <w:color w:val="7F7F7F"/>
                <w:szCs w:val="18"/>
                <w:lang w:eastAsia="en-AU"/>
              </w:rPr>
              <w:t>150,190</w:t>
            </w:r>
          </w:p>
        </w:tc>
        <w:tc>
          <w:tcPr>
            <w:tcW w:w="1016" w:type="dxa"/>
            <w:tcBorders>
              <w:top w:val="nil"/>
              <w:left w:val="nil"/>
              <w:bottom w:val="single" w:sz="12" w:space="0" w:color="7F7F7F"/>
              <w:right w:val="nil"/>
            </w:tcBorders>
            <w:shd w:val="clear" w:color="auto" w:fill="auto"/>
            <w:noWrap/>
            <w:vAlign w:val="center"/>
            <w:hideMark/>
          </w:tcPr>
          <w:p w:rsidR="001E08F1" w:rsidRPr="009401BB" w:rsidRDefault="001E08F1" w:rsidP="00D07A42">
            <w:pPr>
              <w:jc w:val="right"/>
              <w:rPr>
                <w:rFonts w:cs="Arial"/>
                <w:color w:val="7F7F7F"/>
                <w:szCs w:val="18"/>
                <w:lang w:eastAsia="en-AU"/>
              </w:rPr>
            </w:pPr>
            <w:r w:rsidRPr="009401BB">
              <w:rPr>
                <w:rFonts w:cs="Arial"/>
                <w:color w:val="7F7F7F"/>
                <w:szCs w:val="18"/>
                <w:lang w:eastAsia="en-AU"/>
              </w:rPr>
              <w:t>161,178</w:t>
            </w:r>
          </w:p>
        </w:tc>
        <w:tc>
          <w:tcPr>
            <w:tcW w:w="1016" w:type="dxa"/>
            <w:tcBorders>
              <w:top w:val="nil"/>
              <w:left w:val="nil"/>
              <w:bottom w:val="single" w:sz="12" w:space="0" w:color="7F7F7F"/>
              <w:right w:val="nil"/>
            </w:tcBorders>
            <w:shd w:val="clear" w:color="auto" w:fill="auto"/>
            <w:noWrap/>
            <w:vAlign w:val="center"/>
            <w:hideMark/>
          </w:tcPr>
          <w:p w:rsidR="001E08F1" w:rsidRPr="009401BB" w:rsidRDefault="001E08F1" w:rsidP="00D07A42">
            <w:pPr>
              <w:jc w:val="right"/>
              <w:rPr>
                <w:rFonts w:cs="Arial"/>
                <w:color w:val="7F7F7F"/>
                <w:szCs w:val="18"/>
                <w:lang w:eastAsia="en-AU"/>
              </w:rPr>
            </w:pPr>
            <w:r w:rsidRPr="009401BB">
              <w:rPr>
                <w:rFonts w:cs="Arial"/>
                <w:color w:val="7F7F7F"/>
                <w:szCs w:val="18"/>
                <w:lang w:eastAsia="en-AU"/>
              </w:rPr>
              <w:t>144,452</w:t>
            </w:r>
          </w:p>
        </w:tc>
      </w:tr>
    </w:tbl>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4A0" w:firstRow="1" w:lastRow="0" w:firstColumn="1" w:lastColumn="0" w:noHBand="0" w:noVBand="1"/>
      </w:tblPr>
      <w:tblGrid>
        <w:gridCol w:w="431"/>
        <w:gridCol w:w="7649"/>
      </w:tblGrid>
      <w:tr w:rsidR="001E08F1" w:rsidRPr="00913551" w:rsidTr="00D07A42">
        <w:tc>
          <w:tcPr>
            <w:tcW w:w="431" w:type="dxa"/>
            <w:tcMar>
              <w:left w:w="0" w:type="dxa"/>
              <w:right w:w="28" w:type="dxa"/>
            </w:tcMar>
          </w:tcPr>
          <w:p w:rsidR="001E08F1" w:rsidRPr="00913551" w:rsidRDefault="001E08F1" w:rsidP="00D07A42">
            <w:pPr>
              <w:spacing w:after="0" w:line="240" w:lineRule="auto"/>
              <w:jc w:val="right"/>
              <w:rPr>
                <w:color w:val="7F7F7F" w:themeColor="text2"/>
                <w:sz w:val="16"/>
                <w:szCs w:val="16"/>
              </w:rPr>
            </w:pPr>
            <w:r w:rsidRPr="00913551">
              <w:rPr>
                <w:color w:val="7F7F7F" w:themeColor="text2"/>
                <w:sz w:val="16"/>
                <w:szCs w:val="16"/>
              </w:rPr>
              <w:t xml:space="preserve">* </w:t>
            </w:r>
          </w:p>
        </w:tc>
        <w:tc>
          <w:tcPr>
            <w:tcW w:w="7649" w:type="dxa"/>
            <w:tcMar>
              <w:left w:w="0" w:type="dxa"/>
              <w:right w:w="28" w:type="dxa"/>
            </w:tcMar>
          </w:tcPr>
          <w:p w:rsidR="001E08F1" w:rsidRPr="00913551" w:rsidRDefault="001E08F1" w:rsidP="00D07A42">
            <w:pPr>
              <w:spacing w:after="0" w:line="240" w:lineRule="auto"/>
              <w:rPr>
                <w:i/>
                <w:color w:val="7F7F7F" w:themeColor="text2"/>
                <w:sz w:val="16"/>
                <w:szCs w:val="16"/>
              </w:rPr>
            </w:pPr>
            <w:r w:rsidRPr="00913551">
              <w:rPr>
                <w:i/>
                <w:sz w:val="16"/>
                <w:szCs w:val="16"/>
              </w:rPr>
              <w:t>‘Up-skilling’ refers to studying at a higher level than their current qualification.</w:t>
            </w:r>
          </w:p>
        </w:tc>
      </w:tr>
    </w:tbl>
    <w:p w:rsidR="001E08F1" w:rsidRDefault="001E08F1" w:rsidP="001E08F1"/>
    <w:p w:rsidR="001E08F1" w:rsidRDefault="001E08F1" w:rsidP="001E08F1"/>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1E08F1" w:rsidTr="00D07A42">
        <w:tc>
          <w:tcPr>
            <w:tcW w:w="1134" w:type="dxa"/>
            <w:tcMar>
              <w:left w:w="0" w:type="dxa"/>
              <w:right w:w="0" w:type="dxa"/>
            </w:tcMar>
          </w:tcPr>
          <w:p w:rsidR="001E08F1" w:rsidRDefault="0005261F" w:rsidP="00D07A42">
            <w:pPr>
              <w:pStyle w:val="Quote"/>
              <w:tabs>
                <w:tab w:val="left" w:pos="1134"/>
              </w:tabs>
              <w:rPr>
                <w:b w:val="0"/>
                <w:color w:val="B41F22" w:themeColor="accent1"/>
              </w:rPr>
            </w:pPr>
            <w:r>
              <w:rPr>
                <w:b w:val="0"/>
                <w:color w:val="B41F22" w:themeColor="accent1"/>
              </w:rPr>
              <w:t>Table 2</w:t>
            </w:r>
            <w:r w:rsidR="001E08F1">
              <w:rPr>
                <w:b w:val="0"/>
                <w:color w:val="B41F22" w:themeColor="accent1"/>
              </w:rPr>
              <w:t>.8.2:</w:t>
            </w:r>
          </w:p>
        </w:tc>
        <w:tc>
          <w:tcPr>
            <w:tcW w:w="6946" w:type="dxa"/>
            <w:tcMar>
              <w:left w:w="0" w:type="dxa"/>
              <w:right w:w="0" w:type="dxa"/>
            </w:tcMar>
          </w:tcPr>
          <w:p w:rsidR="001E08F1" w:rsidRDefault="001E08F1" w:rsidP="00D07A42">
            <w:pPr>
              <w:pStyle w:val="Quote"/>
              <w:tabs>
                <w:tab w:val="left" w:pos="1134"/>
              </w:tabs>
              <w:rPr>
                <w:b w:val="0"/>
                <w:color w:val="B41F22" w:themeColor="accent1"/>
              </w:rPr>
            </w:pPr>
            <w:r w:rsidRPr="009401BB">
              <w:rPr>
                <w:b w:val="0"/>
                <w:color w:val="B41F22" w:themeColor="accent1"/>
              </w:rPr>
              <w:t>Change in number of enrolments in government subsidised accredited training by students aged 20 to 64 not holding a Certificate III or above (half year)</w:t>
            </w:r>
          </w:p>
        </w:tc>
      </w:tr>
    </w:tbl>
    <w:tbl>
      <w:tblPr>
        <w:tblW w:w="8095" w:type="dxa"/>
        <w:tblInd w:w="93" w:type="dxa"/>
        <w:tblLayout w:type="fixed"/>
        <w:tblLook w:val="04A0" w:firstRow="1" w:lastRow="0" w:firstColumn="1" w:lastColumn="0" w:noHBand="0" w:noVBand="1"/>
      </w:tblPr>
      <w:tblGrid>
        <w:gridCol w:w="2000"/>
        <w:gridCol w:w="1219"/>
        <w:gridCol w:w="1219"/>
        <w:gridCol w:w="1219"/>
        <w:gridCol w:w="1219"/>
        <w:gridCol w:w="1219"/>
      </w:tblGrid>
      <w:tr w:rsidR="001E08F1" w:rsidRPr="009401BB" w:rsidTr="00D07A42">
        <w:trPr>
          <w:trHeight w:val="720"/>
        </w:trPr>
        <w:tc>
          <w:tcPr>
            <w:tcW w:w="2000" w:type="dxa"/>
            <w:tcBorders>
              <w:top w:val="nil"/>
              <w:left w:val="nil"/>
              <w:bottom w:val="nil"/>
              <w:right w:val="nil"/>
            </w:tcBorders>
            <w:shd w:val="clear" w:color="000000" w:fill="7F7F7F"/>
            <w:noWrap/>
            <w:vAlign w:val="center"/>
            <w:hideMark/>
          </w:tcPr>
          <w:p w:rsidR="001E08F1" w:rsidRPr="009401BB" w:rsidRDefault="001E08F1" w:rsidP="00D07A42">
            <w:pPr>
              <w:rPr>
                <w:rFonts w:cs="Arial"/>
                <w:color w:val="FFFFFF"/>
                <w:szCs w:val="18"/>
                <w:lang w:eastAsia="en-AU"/>
              </w:rPr>
            </w:pPr>
            <w:r w:rsidRPr="009401BB">
              <w:rPr>
                <w:rFonts w:cs="Arial"/>
                <w:color w:val="FFFFFF"/>
                <w:szCs w:val="18"/>
                <w:lang w:eastAsia="en-AU"/>
              </w:rPr>
              <w:t> </w:t>
            </w:r>
          </w:p>
        </w:tc>
        <w:tc>
          <w:tcPr>
            <w:tcW w:w="1219" w:type="dxa"/>
            <w:tcBorders>
              <w:top w:val="nil"/>
              <w:left w:val="nil"/>
              <w:bottom w:val="nil"/>
              <w:right w:val="nil"/>
            </w:tcBorders>
            <w:shd w:val="clear" w:color="000000" w:fill="7F7F7F"/>
            <w:vAlign w:val="center"/>
            <w:hideMark/>
          </w:tcPr>
          <w:p w:rsidR="001E08F1" w:rsidRPr="009401BB" w:rsidRDefault="001E08F1" w:rsidP="00D07A42">
            <w:pPr>
              <w:jc w:val="right"/>
              <w:rPr>
                <w:rFonts w:cs="Arial"/>
                <w:b/>
                <w:bCs/>
                <w:color w:val="FFFFFF"/>
                <w:szCs w:val="18"/>
                <w:lang w:eastAsia="en-AU"/>
              </w:rPr>
            </w:pPr>
            <w:r w:rsidRPr="009401BB">
              <w:rPr>
                <w:rFonts w:cs="Arial"/>
                <w:b/>
                <w:bCs/>
                <w:color w:val="FFFFFF"/>
                <w:szCs w:val="18"/>
                <w:lang w:eastAsia="en-AU"/>
              </w:rPr>
              <w:t>% change 2010 to 2015</w:t>
            </w:r>
          </w:p>
        </w:tc>
        <w:tc>
          <w:tcPr>
            <w:tcW w:w="1219" w:type="dxa"/>
            <w:tcBorders>
              <w:top w:val="nil"/>
              <w:left w:val="nil"/>
              <w:bottom w:val="nil"/>
              <w:right w:val="nil"/>
            </w:tcBorders>
            <w:shd w:val="clear" w:color="000000" w:fill="7F7F7F"/>
            <w:vAlign w:val="center"/>
            <w:hideMark/>
          </w:tcPr>
          <w:p w:rsidR="001E08F1" w:rsidRPr="009401BB" w:rsidRDefault="001E08F1" w:rsidP="00D07A42">
            <w:pPr>
              <w:jc w:val="right"/>
              <w:rPr>
                <w:rFonts w:cs="Arial"/>
                <w:b/>
                <w:bCs/>
                <w:color w:val="FFFFFF"/>
                <w:szCs w:val="18"/>
                <w:lang w:eastAsia="en-AU"/>
              </w:rPr>
            </w:pPr>
            <w:r w:rsidRPr="009401BB">
              <w:rPr>
                <w:rFonts w:cs="Arial"/>
                <w:b/>
                <w:bCs/>
                <w:color w:val="FFFFFF"/>
                <w:szCs w:val="18"/>
                <w:lang w:eastAsia="en-AU"/>
              </w:rPr>
              <w:t>% change 2011 to 2015</w:t>
            </w:r>
          </w:p>
        </w:tc>
        <w:tc>
          <w:tcPr>
            <w:tcW w:w="1219" w:type="dxa"/>
            <w:tcBorders>
              <w:top w:val="nil"/>
              <w:left w:val="nil"/>
              <w:bottom w:val="nil"/>
              <w:right w:val="nil"/>
            </w:tcBorders>
            <w:shd w:val="clear" w:color="000000" w:fill="7F7F7F"/>
            <w:vAlign w:val="center"/>
            <w:hideMark/>
          </w:tcPr>
          <w:p w:rsidR="001E08F1" w:rsidRPr="009401BB" w:rsidRDefault="001E08F1" w:rsidP="00D07A42">
            <w:pPr>
              <w:jc w:val="right"/>
              <w:rPr>
                <w:rFonts w:cs="Arial"/>
                <w:b/>
                <w:bCs/>
                <w:color w:val="FFFFFF"/>
                <w:szCs w:val="18"/>
                <w:lang w:eastAsia="en-AU"/>
              </w:rPr>
            </w:pPr>
            <w:r w:rsidRPr="009401BB">
              <w:rPr>
                <w:rFonts w:cs="Arial"/>
                <w:b/>
                <w:bCs/>
                <w:color w:val="FFFFFF"/>
                <w:szCs w:val="18"/>
                <w:lang w:eastAsia="en-AU"/>
              </w:rPr>
              <w:t>% change 2012 to 2015</w:t>
            </w:r>
          </w:p>
        </w:tc>
        <w:tc>
          <w:tcPr>
            <w:tcW w:w="1219" w:type="dxa"/>
            <w:tcBorders>
              <w:top w:val="nil"/>
              <w:left w:val="nil"/>
              <w:bottom w:val="nil"/>
              <w:right w:val="nil"/>
            </w:tcBorders>
            <w:shd w:val="clear" w:color="000000" w:fill="7F7F7F"/>
            <w:vAlign w:val="center"/>
            <w:hideMark/>
          </w:tcPr>
          <w:p w:rsidR="001E08F1" w:rsidRPr="009401BB" w:rsidRDefault="001E08F1" w:rsidP="00D07A42">
            <w:pPr>
              <w:jc w:val="right"/>
              <w:rPr>
                <w:rFonts w:cs="Arial"/>
                <w:b/>
                <w:bCs/>
                <w:color w:val="FFFFFF"/>
                <w:szCs w:val="18"/>
                <w:lang w:eastAsia="en-AU"/>
              </w:rPr>
            </w:pPr>
            <w:r w:rsidRPr="009401BB">
              <w:rPr>
                <w:rFonts w:cs="Arial"/>
                <w:b/>
                <w:bCs/>
                <w:color w:val="FFFFFF"/>
                <w:szCs w:val="18"/>
                <w:lang w:eastAsia="en-AU"/>
              </w:rPr>
              <w:t>% change 2013 to 2015</w:t>
            </w:r>
          </w:p>
        </w:tc>
        <w:tc>
          <w:tcPr>
            <w:tcW w:w="1219" w:type="dxa"/>
            <w:tcBorders>
              <w:top w:val="nil"/>
              <w:left w:val="nil"/>
              <w:bottom w:val="nil"/>
              <w:right w:val="nil"/>
            </w:tcBorders>
            <w:shd w:val="clear" w:color="000000" w:fill="7F7F7F"/>
            <w:vAlign w:val="center"/>
            <w:hideMark/>
          </w:tcPr>
          <w:p w:rsidR="001E08F1" w:rsidRPr="009401BB" w:rsidRDefault="001E08F1" w:rsidP="00D07A42">
            <w:pPr>
              <w:jc w:val="right"/>
              <w:rPr>
                <w:rFonts w:cs="Arial"/>
                <w:b/>
                <w:bCs/>
                <w:color w:val="FFFFFF"/>
                <w:szCs w:val="18"/>
                <w:lang w:eastAsia="en-AU"/>
              </w:rPr>
            </w:pPr>
            <w:r w:rsidRPr="009401BB">
              <w:rPr>
                <w:rFonts w:cs="Arial"/>
                <w:b/>
                <w:bCs/>
                <w:color w:val="FFFFFF"/>
                <w:szCs w:val="18"/>
                <w:lang w:eastAsia="en-AU"/>
              </w:rPr>
              <w:t>% change 2014 to 2015</w:t>
            </w:r>
          </w:p>
        </w:tc>
      </w:tr>
      <w:tr w:rsidR="001E08F1" w:rsidRPr="009401BB" w:rsidTr="00D07A42">
        <w:trPr>
          <w:trHeight w:val="300"/>
        </w:trPr>
        <w:tc>
          <w:tcPr>
            <w:tcW w:w="2000" w:type="dxa"/>
            <w:tcBorders>
              <w:top w:val="nil"/>
              <w:left w:val="nil"/>
              <w:bottom w:val="nil"/>
              <w:right w:val="nil"/>
            </w:tcBorders>
            <w:shd w:val="clear" w:color="auto" w:fill="auto"/>
            <w:noWrap/>
            <w:vAlign w:val="center"/>
            <w:hideMark/>
          </w:tcPr>
          <w:p w:rsidR="001E08F1" w:rsidRPr="009401BB" w:rsidRDefault="001E08F1" w:rsidP="00D07A42">
            <w:pPr>
              <w:rPr>
                <w:rFonts w:cs="Arial"/>
                <w:color w:val="7F7F7F"/>
                <w:szCs w:val="18"/>
                <w:lang w:eastAsia="en-AU"/>
              </w:rPr>
            </w:pPr>
            <w:r w:rsidRPr="009401BB">
              <w:rPr>
                <w:rFonts w:cs="Arial"/>
                <w:color w:val="7F7F7F"/>
                <w:szCs w:val="18"/>
                <w:lang w:eastAsia="en-AU"/>
              </w:rPr>
              <w:t>Course Enrolments</w:t>
            </w:r>
          </w:p>
        </w:tc>
        <w:tc>
          <w:tcPr>
            <w:tcW w:w="1219" w:type="dxa"/>
            <w:tcBorders>
              <w:top w:val="nil"/>
              <w:left w:val="nil"/>
              <w:bottom w:val="nil"/>
              <w:right w:val="nil"/>
            </w:tcBorders>
            <w:shd w:val="clear" w:color="auto" w:fill="auto"/>
            <w:noWrap/>
            <w:vAlign w:val="center"/>
            <w:hideMark/>
          </w:tcPr>
          <w:p w:rsidR="001E08F1" w:rsidRPr="009401BB" w:rsidRDefault="001E08F1" w:rsidP="00D07A42">
            <w:pPr>
              <w:jc w:val="right"/>
              <w:rPr>
                <w:rFonts w:cs="Arial"/>
                <w:color w:val="7F7F7F"/>
                <w:szCs w:val="18"/>
                <w:lang w:eastAsia="en-AU"/>
              </w:rPr>
            </w:pPr>
            <w:r w:rsidRPr="009401BB">
              <w:rPr>
                <w:rFonts w:cs="Arial"/>
                <w:color w:val="7F7F7F"/>
                <w:szCs w:val="18"/>
                <w:lang w:eastAsia="en-AU"/>
              </w:rPr>
              <w:t>57%</w:t>
            </w:r>
          </w:p>
        </w:tc>
        <w:tc>
          <w:tcPr>
            <w:tcW w:w="1219" w:type="dxa"/>
            <w:tcBorders>
              <w:top w:val="nil"/>
              <w:left w:val="nil"/>
              <w:bottom w:val="nil"/>
              <w:right w:val="nil"/>
            </w:tcBorders>
            <w:shd w:val="clear" w:color="auto" w:fill="auto"/>
            <w:noWrap/>
            <w:vAlign w:val="center"/>
            <w:hideMark/>
          </w:tcPr>
          <w:p w:rsidR="001E08F1" w:rsidRPr="009401BB" w:rsidRDefault="001E08F1" w:rsidP="00D07A42">
            <w:pPr>
              <w:jc w:val="right"/>
              <w:rPr>
                <w:rFonts w:cs="Arial"/>
                <w:color w:val="7F7F7F"/>
                <w:szCs w:val="18"/>
                <w:lang w:eastAsia="en-AU"/>
              </w:rPr>
            </w:pPr>
            <w:r w:rsidRPr="009401BB">
              <w:rPr>
                <w:rFonts w:cs="Arial"/>
                <w:color w:val="7F7F7F"/>
                <w:szCs w:val="18"/>
                <w:lang w:eastAsia="en-AU"/>
              </w:rPr>
              <w:t>14%</w:t>
            </w:r>
          </w:p>
        </w:tc>
        <w:tc>
          <w:tcPr>
            <w:tcW w:w="1219" w:type="dxa"/>
            <w:tcBorders>
              <w:top w:val="nil"/>
              <w:left w:val="nil"/>
              <w:bottom w:val="nil"/>
              <w:right w:val="nil"/>
            </w:tcBorders>
            <w:shd w:val="clear" w:color="auto" w:fill="auto"/>
            <w:noWrap/>
            <w:vAlign w:val="center"/>
            <w:hideMark/>
          </w:tcPr>
          <w:p w:rsidR="001E08F1" w:rsidRPr="009401BB" w:rsidRDefault="001E08F1" w:rsidP="00D07A42">
            <w:pPr>
              <w:jc w:val="right"/>
              <w:rPr>
                <w:rFonts w:cs="Arial"/>
                <w:color w:val="7F7F7F"/>
                <w:szCs w:val="18"/>
                <w:lang w:eastAsia="en-AU"/>
              </w:rPr>
            </w:pPr>
            <w:r w:rsidRPr="009401BB">
              <w:rPr>
                <w:rFonts w:cs="Arial"/>
                <w:color w:val="7F7F7F"/>
                <w:szCs w:val="18"/>
                <w:lang w:eastAsia="en-AU"/>
              </w:rPr>
              <w:t>-24%</w:t>
            </w:r>
          </w:p>
        </w:tc>
        <w:tc>
          <w:tcPr>
            <w:tcW w:w="1219" w:type="dxa"/>
            <w:tcBorders>
              <w:top w:val="nil"/>
              <w:left w:val="nil"/>
              <w:bottom w:val="nil"/>
              <w:right w:val="nil"/>
            </w:tcBorders>
            <w:shd w:val="clear" w:color="auto" w:fill="auto"/>
            <w:noWrap/>
            <w:vAlign w:val="center"/>
            <w:hideMark/>
          </w:tcPr>
          <w:p w:rsidR="001E08F1" w:rsidRPr="009401BB" w:rsidRDefault="001E08F1" w:rsidP="00D07A42">
            <w:pPr>
              <w:jc w:val="right"/>
              <w:rPr>
                <w:rFonts w:cs="Arial"/>
                <w:color w:val="7F7F7F"/>
                <w:szCs w:val="18"/>
                <w:lang w:eastAsia="en-AU"/>
              </w:rPr>
            </w:pPr>
            <w:r w:rsidRPr="009401BB">
              <w:rPr>
                <w:rFonts w:cs="Arial"/>
                <w:color w:val="7F7F7F"/>
                <w:szCs w:val="18"/>
                <w:lang w:eastAsia="en-AU"/>
              </w:rPr>
              <w:t>-14%</w:t>
            </w:r>
          </w:p>
        </w:tc>
        <w:tc>
          <w:tcPr>
            <w:tcW w:w="1219" w:type="dxa"/>
            <w:tcBorders>
              <w:top w:val="nil"/>
              <w:left w:val="nil"/>
              <w:bottom w:val="nil"/>
              <w:right w:val="nil"/>
            </w:tcBorders>
            <w:shd w:val="clear" w:color="auto" w:fill="auto"/>
            <w:noWrap/>
            <w:vAlign w:val="center"/>
            <w:hideMark/>
          </w:tcPr>
          <w:p w:rsidR="001E08F1" w:rsidRPr="009401BB" w:rsidRDefault="001E08F1" w:rsidP="00D07A42">
            <w:pPr>
              <w:jc w:val="right"/>
              <w:rPr>
                <w:rFonts w:cs="Arial"/>
                <w:color w:val="7F7F7F"/>
                <w:szCs w:val="18"/>
                <w:lang w:eastAsia="en-AU"/>
              </w:rPr>
            </w:pPr>
            <w:r w:rsidRPr="009401BB">
              <w:rPr>
                <w:rFonts w:cs="Arial"/>
                <w:color w:val="7F7F7F"/>
                <w:szCs w:val="18"/>
                <w:lang w:eastAsia="en-AU"/>
              </w:rPr>
              <w:t>-14%</w:t>
            </w:r>
          </w:p>
        </w:tc>
      </w:tr>
      <w:tr w:rsidR="001E08F1" w:rsidRPr="009401BB" w:rsidTr="00D07A42">
        <w:trPr>
          <w:trHeight w:val="315"/>
        </w:trPr>
        <w:tc>
          <w:tcPr>
            <w:tcW w:w="2000" w:type="dxa"/>
            <w:tcBorders>
              <w:top w:val="nil"/>
              <w:left w:val="nil"/>
              <w:bottom w:val="single" w:sz="12" w:space="0" w:color="7F7F7F"/>
              <w:right w:val="nil"/>
            </w:tcBorders>
            <w:shd w:val="clear" w:color="auto" w:fill="auto"/>
            <w:noWrap/>
            <w:vAlign w:val="center"/>
            <w:hideMark/>
          </w:tcPr>
          <w:p w:rsidR="001E08F1" w:rsidRPr="009401BB" w:rsidRDefault="001E08F1" w:rsidP="00D07A42">
            <w:pPr>
              <w:rPr>
                <w:rFonts w:cs="Arial"/>
                <w:color w:val="7F7F7F"/>
                <w:szCs w:val="18"/>
                <w:lang w:eastAsia="en-AU"/>
              </w:rPr>
            </w:pPr>
            <w:r w:rsidRPr="009401BB">
              <w:rPr>
                <w:rFonts w:cs="Arial"/>
                <w:color w:val="7F7F7F"/>
                <w:szCs w:val="18"/>
                <w:lang w:eastAsia="en-AU"/>
              </w:rPr>
              <w:t>Up-Skilling*</w:t>
            </w:r>
          </w:p>
        </w:tc>
        <w:tc>
          <w:tcPr>
            <w:tcW w:w="1219" w:type="dxa"/>
            <w:tcBorders>
              <w:top w:val="nil"/>
              <w:left w:val="nil"/>
              <w:bottom w:val="single" w:sz="12" w:space="0" w:color="7F7F7F"/>
              <w:right w:val="nil"/>
            </w:tcBorders>
            <w:shd w:val="clear" w:color="auto" w:fill="auto"/>
            <w:noWrap/>
            <w:vAlign w:val="center"/>
            <w:hideMark/>
          </w:tcPr>
          <w:p w:rsidR="001E08F1" w:rsidRPr="009401BB" w:rsidRDefault="001E08F1" w:rsidP="00D07A42">
            <w:pPr>
              <w:jc w:val="right"/>
              <w:rPr>
                <w:rFonts w:cs="Arial"/>
                <w:color w:val="7F7F7F"/>
                <w:szCs w:val="18"/>
                <w:lang w:eastAsia="en-AU"/>
              </w:rPr>
            </w:pPr>
            <w:r w:rsidRPr="009401BB">
              <w:rPr>
                <w:rFonts w:cs="Arial"/>
                <w:color w:val="7F7F7F"/>
                <w:szCs w:val="18"/>
                <w:lang w:eastAsia="en-AU"/>
              </w:rPr>
              <w:t>84%</w:t>
            </w:r>
          </w:p>
        </w:tc>
        <w:tc>
          <w:tcPr>
            <w:tcW w:w="1219" w:type="dxa"/>
            <w:tcBorders>
              <w:top w:val="nil"/>
              <w:left w:val="nil"/>
              <w:bottom w:val="single" w:sz="12" w:space="0" w:color="7F7F7F"/>
              <w:right w:val="nil"/>
            </w:tcBorders>
            <w:shd w:val="clear" w:color="auto" w:fill="auto"/>
            <w:noWrap/>
            <w:vAlign w:val="center"/>
            <w:hideMark/>
          </w:tcPr>
          <w:p w:rsidR="001E08F1" w:rsidRPr="009401BB" w:rsidRDefault="001E08F1" w:rsidP="00D07A42">
            <w:pPr>
              <w:jc w:val="right"/>
              <w:rPr>
                <w:rFonts w:cs="Arial"/>
                <w:color w:val="7F7F7F"/>
                <w:szCs w:val="18"/>
                <w:lang w:eastAsia="en-AU"/>
              </w:rPr>
            </w:pPr>
            <w:r w:rsidRPr="009401BB">
              <w:rPr>
                <w:rFonts w:cs="Arial"/>
                <w:color w:val="7F7F7F"/>
                <w:szCs w:val="18"/>
                <w:lang w:eastAsia="en-AU"/>
              </w:rPr>
              <w:t>25%</w:t>
            </w:r>
          </w:p>
        </w:tc>
        <w:tc>
          <w:tcPr>
            <w:tcW w:w="1219" w:type="dxa"/>
            <w:tcBorders>
              <w:top w:val="nil"/>
              <w:left w:val="nil"/>
              <w:bottom w:val="single" w:sz="12" w:space="0" w:color="7F7F7F"/>
              <w:right w:val="nil"/>
            </w:tcBorders>
            <w:shd w:val="clear" w:color="auto" w:fill="auto"/>
            <w:noWrap/>
            <w:vAlign w:val="center"/>
            <w:hideMark/>
          </w:tcPr>
          <w:p w:rsidR="001E08F1" w:rsidRPr="009401BB" w:rsidRDefault="001E08F1" w:rsidP="00D07A42">
            <w:pPr>
              <w:jc w:val="right"/>
              <w:rPr>
                <w:rFonts w:cs="Arial"/>
                <w:color w:val="7F7F7F"/>
                <w:szCs w:val="18"/>
                <w:lang w:eastAsia="en-AU"/>
              </w:rPr>
            </w:pPr>
            <w:r w:rsidRPr="009401BB">
              <w:rPr>
                <w:rFonts w:cs="Arial"/>
                <w:color w:val="7F7F7F"/>
                <w:szCs w:val="18"/>
                <w:lang w:eastAsia="en-AU"/>
              </w:rPr>
              <w:t>-18%</w:t>
            </w:r>
          </w:p>
        </w:tc>
        <w:tc>
          <w:tcPr>
            <w:tcW w:w="1219" w:type="dxa"/>
            <w:tcBorders>
              <w:top w:val="nil"/>
              <w:left w:val="nil"/>
              <w:bottom w:val="single" w:sz="12" w:space="0" w:color="7F7F7F"/>
              <w:right w:val="nil"/>
            </w:tcBorders>
            <w:shd w:val="clear" w:color="auto" w:fill="auto"/>
            <w:noWrap/>
            <w:vAlign w:val="center"/>
            <w:hideMark/>
          </w:tcPr>
          <w:p w:rsidR="001E08F1" w:rsidRPr="009401BB" w:rsidRDefault="001E08F1" w:rsidP="00D07A42">
            <w:pPr>
              <w:jc w:val="right"/>
              <w:rPr>
                <w:rFonts w:cs="Arial"/>
                <w:color w:val="7F7F7F"/>
                <w:szCs w:val="18"/>
                <w:lang w:eastAsia="en-AU"/>
              </w:rPr>
            </w:pPr>
            <w:r w:rsidRPr="009401BB">
              <w:rPr>
                <w:rFonts w:cs="Arial"/>
                <w:color w:val="7F7F7F"/>
                <w:szCs w:val="18"/>
                <w:lang w:eastAsia="en-AU"/>
              </w:rPr>
              <w:t>-4%</w:t>
            </w:r>
          </w:p>
        </w:tc>
        <w:tc>
          <w:tcPr>
            <w:tcW w:w="1219" w:type="dxa"/>
            <w:tcBorders>
              <w:top w:val="nil"/>
              <w:left w:val="nil"/>
              <w:bottom w:val="single" w:sz="12" w:space="0" w:color="7F7F7F"/>
              <w:right w:val="nil"/>
            </w:tcBorders>
            <w:shd w:val="clear" w:color="auto" w:fill="auto"/>
            <w:noWrap/>
            <w:vAlign w:val="center"/>
            <w:hideMark/>
          </w:tcPr>
          <w:p w:rsidR="001E08F1" w:rsidRPr="009401BB" w:rsidRDefault="001E08F1" w:rsidP="00D07A42">
            <w:pPr>
              <w:jc w:val="right"/>
              <w:rPr>
                <w:rFonts w:cs="Arial"/>
                <w:color w:val="7F7F7F"/>
                <w:szCs w:val="18"/>
                <w:lang w:eastAsia="en-AU"/>
              </w:rPr>
            </w:pPr>
            <w:r w:rsidRPr="009401BB">
              <w:rPr>
                <w:rFonts w:cs="Arial"/>
                <w:color w:val="7F7F7F"/>
                <w:szCs w:val="18"/>
                <w:lang w:eastAsia="en-AU"/>
              </w:rPr>
              <w:t>-10%</w:t>
            </w:r>
          </w:p>
        </w:tc>
      </w:tr>
    </w:tbl>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4A0" w:firstRow="1" w:lastRow="0" w:firstColumn="1" w:lastColumn="0" w:noHBand="0" w:noVBand="1"/>
      </w:tblPr>
      <w:tblGrid>
        <w:gridCol w:w="431"/>
        <w:gridCol w:w="7649"/>
      </w:tblGrid>
      <w:tr w:rsidR="001E08F1" w:rsidRPr="00913551" w:rsidTr="00D07A42">
        <w:tc>
          <w:tcPr>
            <w:tcW w:w="431" w:type="dxa"/>
            <w:tcMar>
              <w:left w:w="0" w:type="dxa"/>
              <w:right w:w="28" w:type="dxa"/>
            </w:tcMar>
          </w:tcPr>
          <w:p w:rsidR="001E08F1" w:rsidRPr="00913551" w:rsidRDefault="001E08F1" w:rsidP="00D07A42">
            <w:pPr>
              <w:spacing w:after="0" w:line="240" w:lineRule="auto"/>
              <w:jc w:val="right"/>
              <w:rPr>
                <w:color w:val="7F7F7F" w:themeColor="text2"/>
                <w:sz w:val="16"/>
                <w:szCs w:val="16"/>
              </w:rPr>
            </w:pPr>
            <w:r w:rsidRPr="00913551">
              <w:rPr>
                <w:color w:val="7F7F7F" w:themeColor="text2"/>
                <w:sz w:val="16"/>
                <w:szCs w:val="16"/>
              </w:rPr>
              <w:t xml:space="preserve">* </w:t>
            </w:r>
          </w:p>
        </w:tc>
        <w:tc>
          <w:tcPr>
            <w:tcW w:w="7649" w:type="dxa"/>
            <w:tcMar>
              <w:left w:w="0" w:type="dxa"/>
              <w:right w:w="28" w:type="dxa"/>
            </w:tcMar>
          </w:tcPr>
          <w:p w:rsidR="001E08F1" w:rsidRPr="00913551" w:rsidRDefault="001E08F1" w:rsidP="00D07A42">
            <w:pPr>
              <w:spacing w:after="0" w:line="240" w:lineRule="auto"/>
              <w:rPr>
                <w:i/>
                <w:color w:val="7F7F7F" w:themeColor="text2"/>
                <w:sz w:val="16"/>
                <w:szCs w:val="16"/>
              </w:rPr>
            </w:pPr>
            <w:r w:rsidRPr="00913551">
              <w:rPr>
                <w:i/>
                <w:sz w:val="16"/>
                <w:szCs w:val="16"/>
              </w:rPr>
              <w:t>‘Up-skilling’ refers to studying at a higher level than their current qualification.</w:t>
            </w:r>
          </w:p>
        </w:tc>
      </w:tr>
    </w:tbl>
    <w:p w:rsidR="001E08F1" w:rsidRDefault="001E08F1" w:rsidP="001E08F1"/>
    <w:p w:rsidR="001E08F1" w:rsidRPr="00365EB2" w:rsidRDefault="001E08F1" w:rsidP="001E08F1"/>
    <w:p w:rsidR="001E08F1" w:rsidRPr="00365EB2" w:rsidRDefault="001E08F1" w:rsidP="001E08F1">
      <w:r w:rsidRPr="00365EB2">
        <w:br w:type="page"/>
      </w:r>
    </w:p>
    <w:p w:rsidR="001E08F1" w:rsidRPr="008C048C" w:rsidRDefault="001E08F1" w:rsidP="001E08F1">
      <w:pPr>
        <w:pStyle w:val="Heading2"/>
        <w:rPr>
          <w:color w:val="B41F22" w:themeColor="accent1"/>
        </w:rPr>
      </w:pPr>
      <w:bookmarkStart w:id="27" w:name="_Toc432758335"/>
      <w:r w:rsidRPr="008C048C">
        <w:rPr>
          <w:color w:val="B41F22" w:themeColor="accent1"/>
        </w:rPr>
        <w:lastRenderedPageBreak/>
        <w:t>Foundation Level Training</w:t>
      </w:r>
      <w:bookmarkEnd w:id="27"/>
    </w:p>
    <w:p w:rsidR="001E08F1" w:rsidRPr="008C048C" w:rsidRDefault="001E08F1" w:rsidP="001E08F1"/>
    <w:p w:rsidR="001E08F1" w:rsidRPr="00AE7775" w:rsidRDefault="001E08F1" w:rsidP="001E08F1">
      <w:pPr>
        <w:spacing w:after="120"/>
        <w:rPr>
          <w:rFonts w:cs="Arial"/>
          <w:color w:val="7F7F7F" w:themeColor="text2"/>
        </w:rPr>
      </w:pPr>
      <w:r w:rsidRPr="00AE7775">
        <w:rPr>
          <w:rFonts w:cs="Arial"/>
          <w:color w:val="7F7F7F" w:themeColor="text2"/>
        </w:rPr>
        <w:t xml:space="preserve">An efficient and effective training market is vital to provide better outcomes for students and employers, as well as the wider Victorian community. It is particularly important to make sure school leavers and adults without solid literacy and numeracy skills </w:t>
      </w:r>
      <w:proofErr w:type="gramStart"/>
      <w:r w:rsidRPr="00AE7775">
        <w:rPr>
          <w:rFonts w:cs="Arial"/>
          <w:color w:val="7F7F7F" w:themeColor="text2"/>
        </w:rPr>
        <w:t>are given</w:t>
      </w:r>
      <w:proofErr w:type="gramEnd"/>
      <w:r w:rsidRPr="00AE7775">
        <w:rPr>
          <w:rFonts w:cs="Arial"/>
          <w:color w:val="7F7F7F" w:themeColor="text2"/>
        </w:rPr>
        <w:t xml:space="preserve"> the opportunity to acquire them. Gaining these base level skills in literacy, numeracy and workforce preparation will greatly improve a student’s chances following training of </w:t>
      </w:r>
      <w:proofErr w:type="gramStart"/>
      <w:r w:rsidRPr="00AE7775">
        <w:rPr>
          <w:rFonts w:cs="Arial"/>
          <w:color w:val="7F7F7F" w:themeColor="text2"/>
        </w:rPr>
        <w:t>employment,</w:t>
      </w:r>
      <w:proofErr w:type="gramEnd"/>
      <w:r w:rsidRPr="00AE7775">
        <w:rPr>
          <w:rFonts w:cs="Arial"/>
          <w:color w:val="7F7F7F" w:themeColor="text2"/>
        </w:rPr>
        <w:t xml:space="preserve"> provide opportunities for further education and broader social participation.</w:t>
      </w:r>
    </w:p>
    <w:p w:rsidR="001E08F1" w:rsidRDefault="001E08F1" w:rsidP="001E08F1">
      <w:pPr>
        <w:spacing w:after="120"/>
        <w:rPr>
          <w:color w:val="7F7F7F" w:themeColor="text2"/>
        </w:rPr>
      </w:pPr>
      <w:r w:rsidRPr="00AE7775">
        <w:rPr>
          <w:color w:val="7F7F7F" w:themeColor="text2"/>
        </w:rPr>
        <w:t xml:space="preserve">There were changes in subsidy and courses being included in the </w:t>
      </w:r>
      <w:r>
        <w:rPr>
          <w:color w:val="7F7F7F" w:themeColor="text2"/>
        </w:rPr>
        <w:t>f</w:t>
      </w:r>
      <w:r w:rsidRPr="00AE7775">
        <w:rPr>
          <w:color w:val="7F7F7F" w:themeColor="text2"/>
        </w:rPr>
        <w:t xml:space="preserve">oundation </w:t>
      </w:r>
      <w:r>
        <w:rPr>
          <w:color w:val="7F7F7F" w:themeColor="text2"/>
        </w:rPr>
        <w:t>s</w:t>
      </w:r>
      <w:r w:rsidRPr="00AE7775">
        <w:rPr>
          <w:color w:val="7F7F7F" w:themeColor="text2"/>
        </w:rPr>
        <w:t xml:space="preserve">kills list at the end of 2013 and in 2014. </w:t>
      </w:r>
      <w:r w:rsidRPr="0021141C">
        <w:rPr>
          <w:color w:val="7F7F7F" w:themeColor="text2"/>
        </w:rPr>
        <w:t xml:space="preserve">To ensure a degree of consistency, any course that </w:t>
      </w:r>
      <w:proofErr w:type="gramStart"/>
      <w:r w:rsidRPr="0021141C">
        <w:rPr>
          <w:color w:val="7F7F7F" w:themeColor="text2"/>
        </w:rPr>
        <w:t>was identified</w:t>
      </w:r>
      <w:proofErr w:type="gramEnd"/>
      <w:r w:rsidRPr="0021141C">
        <w:rPr>
          <w:color w:val="7F7F7F" w:themeColor="text2"/>
        </w:rPr>
        <w:t xml:space="preserve"> in the foundation skills list of courses</w:t>
      </w:r>
      <w:r>
        <w:rPr>
          <w:color w:val="7F7F7F" w:themeColor="text2"/>
        </w:rPr>
        <w:t>,</w:t>
      </w:r>
      <w:r w:rsidRPr="0021141C">
        <w:rPr>
          <w:color w:val="7F7F7F" w:themeColor="text2"/>
        </w:rPr>
        <w:t xml:space="preserve"> whether in 201</w:t>
      </w:r>
      <w:r>
        <w:rPr>
          <w:color w:val="7F7F7F" w:themeColor="text2"/>
        </w:rPr>
        <w:t>5</w:t>
      </w:r>
      <w:r w:rsidRPr="0021141C">
        <w:rPr>
          <w:color w:val="7F7F7F" w:themeColor="text2"/>
        </w:rPr>
        <w:t xml:space="preserve"> or </w:t>
      </w:r>
      <w:r>
        <w:rPr>
          <w:color w:val="7F7F7F" w:themeColor="text2"/>
        </w:rPr>
        <w:t>previous years,</w:t>
      </w:r>
      <w:r w:rsidRPr="0021141C">
        <w:rPr>
          <w:color w:val="7F7F7F" w:themeColor="text2"/>
        </w:rPr>
        <w:t xml:space="preserve"> is considered for the purposes of this report as a foundation course.</w:t>
      </w:r>
    </w:p>
    <w:p w:rsidR="00D07A42" w:rsidRPr="00AE7775" w:rsidRDefault="00D07A42" w:rsidP="001E08F1">
      <w:pPr>
        <w:spacing w:after="120"/>
        <w:rPr>
          <w:color w:val="7F7F7F" w:themeColor="text2"/>
        </w:rPr>
      </w:pPr>
      <w:r>
        <w:rPr>
          <w:color w:val="7F7F7F" w:themeColor="text2"/>
        </w:rPr>
        <w:t>Data reported here includes both accredited and pre-accredited training.</w:t>
      </w:r>
    </w:p>
    <w:p w:rsidR="001E08F1" w:rsidRPr="00AE7775" w:rsidRDefault="001E08F1" w:rsidP="001E08F1">
      <w:pPr>
        <w:rPr>
          <w:color w:val="7F7F7F" w:themeColor="text2"/>
        </w:rPr>
      </w:pPr>
    </w:p>
    <w:p w:rsidR="001E08F1" w:rsidRPr="00AE7775" w:rsidRDefault="001E08F1" w:rsidP="001E08F1">
      <w:pPr>
        <w:pStyle w:val="Quote"/>
        <w:pBdr>
          <w:top w:val="single" w:sz="4" w:space="1" w:color="7F7F7F" w:themeColor="text2"/>
          <w:left w:val="single" w:sz="4" w:space="4" w:color="7F7F7F" w:themeColor="text2"/>
          <w:bottom w:val="single" w:sz="4" w:space="1" w:color="7F7F7F" w:themeColor="text2"/>
          <w:right w:val="single" w:sz="4" w:space="4" w:color="7F7F7F" w:themeColor="text2"/>
        </w:pBdr>
        <w:spacing w:after="120"/>
      </w:pPr>
      <w:r w:rsidRPr="00AE7775">
        <w:t>Key points</w:t>
      </w:r>
    </w:p>
    <w:p w:rsidR="001E08F1" w:rsidRDefault="001E08F1" w:rsidP="001949D9">
      <w:pPr>
        <w:pStyle w:val="ListParagraph"/>
        <w:numPr>
          <w:ilvl w:val="0"/>
          <w:numId w:val="18"/>
        </w:numPr>
        <w:pBdr>
          <w:top w:val="single" w:sz="4" w:space="1" w:color="7F7F7F" w:themeColor="text2"/>
          <w:left w:val="single" w:sz="4" w:space="4" w:color="7F7F7F" w:themeColor="text2"/>
          <w:bottom w:val="single" w:sz="4" w:space="1" w:color="7F7F7F" w:themeColor="text2"/>
          <w:right w:val="single" w:sz="4" w:space="4" w:color="7F7F7F" w:themeColor="text2"/>
        </w:pBdr>
        <w:spacing w:before="120"/>
        <w:contextualSpacing w:val="0"/>
        <w:rPr>
          <w:color w:val="7F7F7F" w:themeColor="text2"/>
        </w:rPr>
      </w:pPr>
      <w:r w:rsidRPr="003A43FD">
        <w:rPr>
          <w:color w:val="7F7F7F" w:themeColor="text2"/>
        </w:rPr>
        <w:t>There were 28,361 students enrolled in 29,731 government subsidised foundation skills courses in 2015 (half year). This is down 40 per cent of students and 42 per cent enrolments from the same period in 2014.</w:t>
      </w:r>
    </w:p>
    <w:p w:rsidR="00FA5097" w:rsidRDefault="00FA5097" w:rsidP="00B25F5E">
      <w:pPr>
        <w:pStyle w:val="ListParagraph"/>
        <w:numPr>
          <w:ilvl w:val="0"/>
          <w:numId w:val="18"/>
        </w:numPr>
        <w:pBdr>
          <w:top w:val="single" w:sz="4" w:space="1" w:color="7F7F7F" w:themeColor="text2"/>
          <w:left w:val="single" w:sz="4" w:space="4" w:color="7F7F7F" w:themeColor="text2"/>
          <w:bottom w:val="single" w:sz="4" w:space="1" w:color="7F7F7F" w:themeColor="text2"/>
          <w:right w:val="single" w:sz="4" w:space="4" w:color="7F7F7F" w:themeColor="text2"/>
        </w:pBdr>
        <w:spacing w:before="120"/>
        <w:contextualSpacing w:val="0"/>
        <w:rPr>
          <w:color w:val="7F7F7F" w:themeColor="text2"/>
        </w:rPr>
      </w:pPr>
      <w:r>
        <w:rPr>
          <w:color w:val="7F7F7F" w:themeColor="text2"/>
        </w:rPr>
        <w:t xml:space="preserve">There were </w:t>
      </w:r>
      <w:r w:rsidR="00B25F5E" w:rsidRPr="00B25F5E">
        <w:rPr>
          <w:color w:val="7F7F7F" w:themeColor="text2"/>
        </w:rPr>
        <w:t>2,916</w:t>
      </w:r>
      <w:r w:rsidR="00B25F5E">
        <w:rPr>
          <w:color w:val="7F7F7F" w:themeColor="text2"/>
        </w:rPr>
        <w:t xml:space="preserve"> early school leavers without a base qualification (i.e. Year 12 or Certificate II) that were enrolled in government subsidised Foundation training in the first six months of 2015, this was down by 40 per cent on the same period in 2014. These students in Foundation training represented only 17 per cent of all early school leavers in training in 2015. </w:t>
      </w:r>
    </w:p>
    <w:p w:rsidR="001E08F1" w:rsidRPr="00065067" w:rsidRDefault="001E08F1" w:rsidP="001E08F1">
      <w:pPr>
        <w:pBdr>
          <w:top w:val="single" w:sz="4" w:space="1" w:color="7F7F7F" w:themeColor="text2"/>
          <w:left w:val="single" w:sz="4" w:space="4" w:color="7F7F7F" w:themeColor="text2"/>
          <w:bottom w:val="single" w:sz="4" w:space="1" w:color="7F7F7F" w:themeColor="text2"/>
          <w:right w:val="single" w:sz="4" w:space="4" w:color="7F7F7F" w:themeColor="text2"/>
        </w:pBdr>
        <w:rPr>
          <w:color w:val="7F7F7F" w:themeColor="text2"/>
        </w:rPr>
      </w:pPr>
    </w:p>
    <w:p w:rsidR="001E08F1" w:rsidRDefault="001E08F1" w:rsidP="001E08F1"/>
    <w:p w:rsidR="001E08F1" w:rsidRDefault="001E08F1" w:rsidP="001E08F1"/>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1E08F1" w:rsidTr="00D07A42">
        <w:tc>
          <w:tcPr>
            <w:tcW w:w="1134" w:type="dxa"/>
            <w:tcMar>
              <w:left w:w="0" w:type="dxa"/>
              <w:right w:w="0" w:type="dxa"/>
            </w:tcMar>
          </w:tcPr>
          <w:p w:rsidR="001E08F1" w:rsidRDefault="0005261F" w:rsidP="00D07A42">
            <w:pPr>
              <w:pStyle w:val="Quote"/>
              <w:tabs>
                <w:tab w:val="left" w:pos="1134"/>
              </w:tabs>
              <w:rPr>
                <w:b w:val="0"/>
                <w:color w:val="B41F22" w:themeColor="accent1"/>
              </w:rPr>
            </w:pPr>
            <w:r>
              <w:rPr>
                <w:b w:val="0"/>
                <w:color w:val="B41F22" w:themeColor="accent1"/>
              </w:rPr>
              <w:t>Table 2</w:t>
            </w:r>
            <w:r w:rsidR="001E08F1">
              <w:rPr>
                <w:b w:val="0"/>
                <w:color w:val="B41F22" w:themeColor="accent1"/>
              </w:rPr>
              <w:t>.9.1:</w:t>
            </w:r>
          </w:p>
        </w:tc>
        <w:tc>
          <w:tcPr>
            <w:tcW w:w="6946" w:type="dxa"/>
            <w:tcMar>
              <w:left w:w="0" w:type="dxa"/>
              <w:right w:w="0" w:type="dxa"/>
            </w:tcMar>
          </w:tcPr>
          <w:p w:rsidR="001E08F1" w:rsidRDefault="001E08F1" w:rsidP="00D07A42">
            <w:pPr>
              <w:pStyle w:val="Quote"/>
              <w:tabs>
                <w:tab w:val="left" w:pos="1134"/>
              </w:tabs>
              <w:rPr>
                <w:b w:val="0"/>
                <w:color w:val="B41F22" w:themeColor="accent1"/>
              </w:rPr>
            </w:pPr>
            <w:r w:rsidRPr="001347A5">
              <w:rPr>
                <w:b w:val="0"/>
                <w:color w:val="B41F22" w:themeColor="accent1"/>
              </w:rPr>
              <w:t>Government subsidised training in foundation skills courses: student numbers and number of course enrolments, 2010 to 2015 (half year)</w:t>
            </w:r>
          </w:p>
        </w:tc>
      </w:tr>
    </w:tbl>
    <w:tbl>
      <w:tblPr>
        <w:tblW w:w="8095" w:type="dxa"/>
        <w:tblInd w:w="93" w:type="dxa"/>
        <w:tblLayout w:type="fixed"/>
        <w:tblLook w:val="04A0" w:firstRow="1" w:lastRow="0" w:firstColumn="1" w:lastColumn="0" w:noHBand="0" w:noVBand="1"/>
      </w:tblPr>
      <w:tblGrid>
        <w:gridCol w:w="1858"/>
        <w:gridCol w:w="1039"/>
        <w:gridCol w:w="1040"/>
        <w:gridCol w:w="1039"/>
        <w:gridCol w:w="1040"/>
        <w:gridCol w:w="1039"/>
        <w:gridCol w:w="1040"/>
      </w:tblGrid>
      <w:tr w:rsidR="001E08F1" w:rsidRPr="0034783D" w:rsidTr="00D07A42">
        <w:trPr>
          <w:trHeight w:val="300"/>
        </w:trPr>
        <w:tc>
          <w:tcPr>
            <w:tcW w:w="1858" w:type="dxa"/>
            <w:tcBorders>
              <w:top w:val="nil"/>
              <w:left w:val="nil"/>
              <w:bottom w:val="nil"/>
              <w:right w:val="nil"/>
            </w:tcBorders>
            <w:shd w:val="clear" w:color="000000" w:fill="7F7F7F"/>
            <w:noWrap/>
            <w:vAlign w:val="center"/>
            <w:hideMark/>
          </w:tcPr>
          <w:p w:rsidR="001E08F1" w:rsidRPr="0034783D" w:rsidRDefault="001E08F1" w:rsidP="00D07A42">
            <w:pPr>
              <w:rPr>
                <w:rFonts w:cs="Arial"/>
                <w:color w:val="FFFFFF"/>
                <w:szCs w:val="18"/>
                <w:lang w:eastAsia="en-AU"/>
              </w:rPr>
            </w:pPr>
            <w:r w:rsidRPr="0034783D">
              <w:rPr>
                <w:rFonts w:cs="Arial"/>
                <w:color w:val="FFFFFF"/>
                <w:szCs w:val="18"/>
                <w:lang w:eastAsia="en-AU"/>
              </w:rPr>
              <w:t> </w:t>
            </w:r>
          </w:p>
        </w:tc>
        <w:tc>
          <w:tcPr>
            <w:tcW w:w="1039" w:type="dxa"/>
            <w:tcBorders>
              <w:top w:val="nil"/>
              <w:left w:val="nil"/>
              <w:bottom w:val="nil"/>
              <w:right w:val="nil"/>
            </w:tcBorders>
            <w:shd w:val="clear" w:color="000000" w:fill="7F7F7F"/>
            <w:noWrap/>
            <w:vAlign w:val="center"/>
            <w:hideMark/>
          </w:tcPr>
          <w:p w:rsidR="001E08F1" w:rsidRPr="0034783D" w:rsidRDefault="001E08F1" w:rsidP="00D07A42">
            <w:pPr>
              <w:jc w:val="right"/>
              <w:rPr>
                <w:rFonts w:cs="Arial"/>
                <w:b/>
                <w:bCs/>
                <w:color w:val="FFFFFF"/>
                <w:szCs w:val="18"/>
                <w:lang w:eastAsia="en-AU"/>
              </w:rPr>
            </w:pPr>
            <w:r w:rsidRPr="0034783D">
              <w:rPr>
                <w:rFonts w:cs="Arial"/>
                <w:b/>
                <w:bCs/>
                <w:color w:val="FFFFFF"/>
                <w:szCs w:val="18"/>
                <w:lang w:eastAsia="en-AU"/>
              </w:rPr>
              <w:t>2010</w:t>
            </w:r>
          </w:p>
        </w:tc>
        <w:tc>
          <w:tcPr>
            <w:tcW w:w="1040" w:type="dxa"/>
            <w:tcBorders>
              <w:top w:val="nil"/>
              <w:left w:val="nil"/>
              <w:bottom w:val="nil"/>
              <w:right w:val="nil"/>
            </w:tcBorders>
            <w:shd w:val="clear" w:color="000000" w:fill="7F7F7F"/>
            <w:noWrap/>
            <w:vAlign w:val="center"/>
            <w:hideMark/>
          </w:tcPr>
          <w:p w:rsidR="001E08F1" w:rsidRPr="0034783D" w:rsidRDefault="001E08F1" w:rsidP="00D07A42">
            <w:pPr>
              <w:jc w:val="right"/>
              <w:rPr>
                <w:rFonts w:cs="Arial"/>
                <w:b/>
                <w:bCs/>
                <w:color w:val="FFFFFF"/>
                <w:szCs w:val="18"/>
                <w:lang w:eastAsia="en-AU"/>
              </w:rPr>
            </w:pPr>
            <w:r w:rsidRPr="0034783D">
              <w:rPr>
                <w:rFonts w:cs="Arial"/>
                <w:b/>
                <w:bCs/>
                <w:color w:val="FFFFFF"/>
                <w:szCs w:val="18"/>
                <w:lang w:eastAsia="en-AU"/>
              </w:rPr>
              <w:t>2011</w:t>
            </w:r>
          </w:p>
        </w:tc>
        <w:tc>
          <w:tcPr>
            <w:tcW w:w="1039" w:type="dxa"/>
            <w:tcBorders>
              <w:top w:val="nil"/>
              <w:left w:val="nil"/>
              <w:bottom w:val="nil"/>
              <w:right w:val="nil"/>
            </w:tcBorders>
            <w:shd w:val="clear" w:color="000000" w:fill="7F7F7F"/>
            <w:noWrap/>
            <w:vAlign w:val="center"/>
            <w:hideMark/>
          </w:tcPr>
          <w:p w:rsidR="001E08F1" w:rsidRPr="0034783D" w:rsidRDefault="001E08F1" w:rsidP="00D07A42">
            <w:pPr>
              <w:jc w:val="right"/>
              <w:rPr>
                <w:rFonts w:cs="Arial"/>
                <w:b/>
                <w:bCs/>
                <w:color w:val="FFFFFF"/>
                <w:szCs w:val="18"/>
                <w:lang w:eastAsia="en-AU"/>
              </w:rPr>
            </w:pPr>
            <w:r w:rsidRPr="0034783D">
              <w:rPr>
                <w:rFonts w:cs="Arial"/>
                <w:b/>
                <w:bCs/>
                <w:color w:val="FFFFFF"/>
                <w:szCs w:val="18"/>
                <w:lang w:eastAsia="en-AU"/>
              </w:rPr>
              <w:t>2012</w:t>
            </w:r>
          </w:p>
        </w:tc>
        <w:tc>
          <w:tcPr>
            <w:tcW w:w="1040" w:type="dxa"/>
            <w:tcBorders>
              <w:top w:val="nil"/>
              <w:left w:val="nil"/>
              <w:bottom w:val="nil"/>
              <w:right w:val="nil"/>
            </w:tcBorders>
            <w:shd w:val="clear" w:color="000000" w:fill="7F7F7F"/>
            <w:noWrap/>
            <w:vAlign w:val="center"/>
            <w:hideMark/>
          </w:tcPr>
          <w:p w:rsidR="001E08F1" w:rsidRPr="0034783D" w:rsidRDefault="001E08F1" w:rsidP="00D07A42">
            <w:pPr>
              <w:jc w:val="right"/>
              <w:rPr>
                <w:rFonts w:cs="Arial"/>
                <w:b/>
                <w:bCs/>
                <w:color w:val="FFFFFF"/>
                <w:szCs w:val="18"/>
                <w:lang w:eastAsia="en-AU"/>
              </w:rPr>
            </w:pPr>
            <w:r w:rsidRPr="0034783D">
              <w:rPr>
                <w:rFonts w:cs="Arial"/>
                <w:b/>
                <w:bCs/>
                <w:color w:val="FFFFFF"/>
                <w:szCs w:val="18"/>
                <w:lang w:eastAsia="en-AU"/>
              </w:rPr>
              <w:t>2013</w:t>
            </w:r>
          </w:p>
        </w:tc>
        <w:tc>
          <w:tcPr>
            <w:tcW w:w="1039" w:type="dxa"/>
            <w:tcBorders>
              <w:top w:val="nil"/>
              <w:left w:val="nil"/>
              <w:bottom w:val="nil"/>
              <w:right w:val="nil"/>
            </w:tcBorders>
            <w:shd w:val="clear" w:color="000000" w:fill="7F7F7F"/>
            <w:noWrap/>
            <w:vAlign w:val="center"/>
            <w:hideMark/>
          </w:tcPr>
          <w:p w:rsidR="001E08F1" w:rsidRPr="0034783D" w:rsidRDefault="001E08F1" w:rsidP="00D07A42">
            <w:pPr>
              <w:jc w:val="right"/>
              <w:rPr>
                <w:rFonts w:cs="Arial"/>
                <w:b/>
                <w:bCs/>
                <w:color w:val="FFFFFF"/>
                <w:szCs w:val="18"/>
                <w:lang w:eastAsia="en-AU"/>
              </w:rPr>
            </w:pPr>
            <w:r w:rsidRPr="0034783D">
              <w:rPr>
                <w:rFonts w:cs="Arial"/>
                <w:b/>
                <w:bCs/>
                <w:color w:val="FFFFFF"/>
                <w:szCs w:val="18"/>
                <w:lang w:eastAsia="en-AU"/>
              </w:rPr>
              <w:t>2014</w:t>
            </w:r>
          </w:p>
        </w:tc>
        <w:tc>
          <w:tcPr>
            <w:tcW w:w="1040" w:type="dxa"/>
            <w:tcBorders>
              <w:top w:val="nil"/>
              <w:left w:val="nil"/>
              <w:bottom w:val="nil"/>
              <w:right w:val="nil"/>
            </w:tcBorders>
            <w:shd w:val="clear" w:color="000000" w:fill="7F7F7F"/>
            <w:noWrap/>
            <w:vAlign w:val="center"/>
            <w:hideMark/>
          </w:tcPr>
          <w:p w:rsidR="001E08F1" w:rsidRPr="0034783D" w:rsidRDefault="001E08F1" w:rsidP="00D07A42">
            <w:pPr>
              <w:jc w:val="right"/>
              <w:rPr>
                <w:rFonts w:cs="Arial"/>
                <w:b/>
                <w:bCs/>
                <w:color w:val="FFFFFF"/>
                <w:szCs w:val="18"/>
                <w:lang w:eastAsia="en-AU"/>
              </w:rPr>
            </w:pPr>
            <w:r w:rsidRPr="0034783D">
              <w:rPr>
                <w:rFonts w:cs="Arial"/>
                <w:b/>
                <w:bCs/>
                <w:color w:val="FFFFFF"/>
                <w:szCs w:val="18"/>
                <w:lang w:eastAsia="en-AU"/>
              </w:rPr>
              <w:t>2015</w:t>
            </w:r>
          </w:p>
        </w:tc>
      </w:tr>
      <w:tr w:rsidR="001E08F1" w:rsidRPr="0034783D" w:rsidTr="00D07A42">
        <w:trPr>
          <w:trHeight w:val="300"/>
        </w:trPr>
        <w:tc>
          <w:tcPr>
            <w:tcW w:w="1858" w:type="dxa"/>
            <w:tcBorders>
              <w:top w:val="nil"/>
              <w:left w:val="nil"/>
              <w:bottom w:val="nil"/>
              <w:right w:val="nil"/>
            </w:tcBorders>
            <w:shd w:val="clear" w:color="auto" w:fill="auto"/>
            <w:noWrap/>
            <w:vAlign w:val="center"/>
            <w:hideMark/>
          </w:tcPr>
          <w:p w:rsidR="001E08F1" w:rsidRPr="0034783D" w:rsidRDefault="001E08F1" w:rsidP="00D07A42">
            <w:pPr>
              <w:rPr>
                <w:rFonts w:cs="Arial"/>
                <w:color w:val="7F7F7F"/>
                <w:szCs w:val="18"/>
                <w:lang w:eastAsia="en-AU"/>
              </w:rPr>
            </w:pPr>
            <w:r w:rsidRPr="0034783D">
              <w:rPr>
                <w:rFonts w:cs="Arial"/>
                <w:color w:val="7F7F7F"/>
                <w:szCs w:val="18"/>
                <w:lang w:eastAsia="en-AU"/>
              </w:rPr>
              <w:t>Students</w:t>
            </w:r>
          </w:p>
        </w:tc>
        <w:tc>
          <w:tcPr>
            <w:tcW w:w="1039" w:type="dxa"/>
            <w:tcBorders>
              <w:top w:val="nil"/>
              <w:left w:val="nil"/>
              <w:bottom w:val="nil"/>
              <w:right w:val="nil"/>
            </w:tcBorders>
            <w:shd w:val="clear" w:color="auto" w:fill="auto"/>
            <w:noWrap/>
            <w:vAlign w:val="center"/>
            <w:hideMark/>
          </w:tcPr>
          <w:p w:rsidR="001E08F1" w:rsidRPr="0034783D" w:rsidRDefault="001E08F1" w:rsidP="00D07A42">
            <w:pPr>
              <w:jc w:val="right"/>
              <w:rPr>
                <w:rFonts w:cs="Arial"/>
                <w:color w:val="7F7F7F"/>
                <w:szCs w:val="18"/>
                <w:lang w:eastAsia="en-AU"/>
              </w:rPr>
            </w:pPr>
            <w:r w:rsidRPr="0034783D">
              <w:rPr>
                <w:rFonts w:cs="Arial"/>
                <w:color w:val="7F7F7F"/>
                <w:szCs w:val="18"/>
                <w:lang w:eastAsia="en-AU"/>
              </w:rPr>
              <w:t>16,683</w:t>
            </w:r>
          </w:p>
        </w:tc>
        <w:tc>
          <w:tcPr>
            <w:tcW w:w="1040" w:type="dxa"/>
            <w:tcBorders>
              <w:top w:val="nil"/>
              <w:left w:val="nil"/>
              <w:bottom w:val="nil"/>
              <w:right w:val="nil"/>
            </w:tcBorders>
            <w:shd w:val="clear" w:color="auto" w:fill="auto"/>
            <w:noWrap/>
            <w:vAlign w:val="center"/>
            <w:hideMark/>
          </w:tcPr>
          <w:p w:rsidR="001E08F1" w:rsidRPr="0034783D" w:rsidRDefault="001E08F1" w:rsidP="00D07A42">
            <w:pPr>
              <w:jc w:val="right"/>
              <w:rPr>
                <w:rFonts w:cs="Arial"/>
                <w:color w:val="7F7F7F"/>
                <w:szCs w:val="18"/>
                <w:lang w:eastAsia="en-AU"/>
              </w:rPr>
            </w:pPr>
            <w:r w:rsidRPr="0034783D">
              <w:rPr>
                <w:rFonts w:cs="Arial"/>
                <w:color w:val="7F7F7F"/>
                <w:szCs w:val="18"/>
                <w:lang w:eastAsia="en-AU"/>
              </w:rPr>
              <w:t>25,500</w:t>
            </w:r>
          </w:p>
        </w:tc>
        <w:tc>
          <w:tcPr>
            <w:tcW w:w="1039" w:type="dxa"/>
            <w:tcBorders>
              <w:top w:val="nil"/>
              <w:left w:val="nil"/>
              <w:bottom w:val="nil"/>
              <w:right w:val="nil"/>
            </w:tcBorders>
            <w:shd w:val="clear" w:color="auto" w:fill="auto"/>
            <w:noWrap/>
            <w:vAlign w:val="center"/>
            <w:hideMark/>
          </w:tcPr>
          <w:p w:rsidR="001E08F1" w:rsidRPr="0034783D" w:rsidRDefault="001E08F1" w:rsidP="00D07A42">
            <w:pPr>
              <w:jc w:val="right"/>
              <w:rPr>
                <w:rFonts w:cs="Arial"/>
                <w:color w:val="7F7F7F"/>
                <w:szCs w:val="18"/>
                <w:lang w:eastAsia="en-AU"/>
              </w:rPr>
            </w:pPr>
            <w:r w:rsidRPr="0034783D">
              <w:rPr>
                <w:rFonts w:cs="Arial"/>
                <w:color w:val="7F7F7F"/>
                <w:szCs w:val="18"/>
                <w:lang w:eastAsia="en-AU"/>
              </w:rPr>
              <w:t>61,558</w:t>
            </w:r>
          </w:p>
        </w:tc>
        <w:tc>
          <w:tcPr>
            <w:tcW w:w="1040" w:type="dxa"/>
            <w:tcBorders>
              <w:top w:val="nil"/>
              <w:left w:val="nil"/>
              <w:bottom w:val="nil"/>
              <w:right w:val="nil"/>
            </w:tcBorders>
            <w:shd w:val="clear" w:color="auto" w:fill="auto"/>
            <w:noWrap/>
            <w:vAlign w:val="center"/>
            <w:hideMark/>
          </w:tcPr>
          <w:p w:rsidR="001E08F1" w:rsidRPr="0034783D" w:rsidRDefault="001E08F1" w:rsidP="00D07A42">
            <w:pPr>
              <w:jc w:val="right"/>
              <w:rPr>
                <w:rFonts w:cs="Arial"/>
                <w:color w:val="7F7F7F"/>
                <w:szCs w:val="18"/>
                <w:lang w:eastAsia="en-AU"/>
              </w:rPr>
            </w:pPr>
            <w:r w:rsidRPr="0034783D">
              <w:rPr>
                <w:rFonts w:cs="Arial"/>
                <w:color w:val="7F7F7F"/>
                <w:szCs w:val="18"/>
                <w:lang w:eastAsia="en-AU"/>
              </w:rPr>
              <w:t>82,544</w:t>
            </w:r>
          </w:p>
        </w:tc>
        <w:tc>
          <w:tcPr>
            <w:tcW w:w="1039" w:type="dxa"/>
            <w:tcBorders>
              <w:top w:val="nil"/>
              <w:left w:val="nil"/>
              <w:bottom w:val="nil"/>
              <w:right w:val="nil"/>
            </w:tcBorders>
            <w:shd w:val="clear" w:color="auto" w:fill="auto"/>
            <w:noWrap/>
            <w:vAlign w:val="center"/>
            <w:hideMark/>
          </w:tcPr>
          <w:p w:rsidR="001E08F1" w:rsidRPr="0034783D" w:rsidRDefault="001E08F1" w:rsidP="00D07A42">
            <w:pPr>
              <w:jc w:val="right"/>
              <w:rPr>
                <w:rFonts w:cs="Arial"/>
                <w:color w:val="7F7F7F"/>
                <w:szCs w:val="18"/>
                <w:lang w:eastAsia="en-AU"/>
              </w:rPr>
            </w:pPr>
            <w:r w:rsidRPr="0034783D">
              <w:rPr>
                <w:rFonts w:cs="Arial"/>
                <w:color w:val="7F7F7F"/>
                <w:szCs w:val="18"/>
                <w:lang w:eastAsia="en-AU"/>
              </w:rPr>
              <w:t>47,359</w:t>
            </w:r>
          </w:p>
        </w:tc>
        <w:tc>
          <w:tcPr>
            <w:tcW w:w="1040" w:type="dxa"/>
            <w:tcBorders>
              <w:top w:val="nil"/>
              <w:left w:val="nil"/>
              <w:bottom w:val="nil"/>
              <w:right w:val="nil"/>
            </w:tcBorders>
            <w:shd w:val="clear" w:color="auto" w:fill="auto"/>
            <w:noWrap/>
            <w:vAlign w:val="center"/>
            <w:hideMark/>
          </w:tcPr>
          <w:p w:rsidR="001E08F1" w:rsidRPr="0034783D" w:rsidRDefault="001E08F1" w:rsidP="00D07A42">
            <w:pPr>
              <w:jc w:val="right"/>
              <w:rPr>
                <w:rFonts w:cs="Arial"/>
                <w:color w:val="7F7F7F"/>
                <w:szCs w:val="18"/>
                <w:lang w:eastAsia="en-AU"/>
              </w:rPr>
            </w:pPr>
            <w:r w:rsidRPr="0034783D">
              <w:rPr>
                <w:rFonts w:cs="Arial"/>
                <w:color w:val="7F7F7F"/>
                <w:szCs w:val="18"/>
                <w:lang w:eastAsia="en-AU"/>
              </w:rPr>
              <w:t>28,361</w:t>
            </w:r>
          </w:p>
        </w:tc>
      </w:tr>
      <w:tr w:rsidR="001E08F1" w:rsidRPr="0034783D" w:rsidTr="00D07A42">
        <w:trPr>
          <w:trHeight w:val="315"/>
        </w:trPr>
        <w:tc>
          <w:tcPr>
            <w:tcW w:w="1858" w:type="dxa"/>
            <w:tcBorders>
              <w:top w:val="nil"/>
              <w:left w:val="nil"/>
              <w:bottom w:val="single" w:sz="12" w:space="0" w:color="7F7F7F"/>
              <w:right w:val="nil"/>
            </w:tcBorders>
            <w:shd w:val="clear" w:color="auto" w:fill="auto"/>
            <w:noWrap/>
            <w:vAlign w:val="center"/>
            <w:hideMark/>
          </w:tcPr>
          <w:p w:rsidR="001E08F1" w:rsidRPr="0034783D" w:rsidRDefault="001E08F1" w:rsidP="00D07A42">
            <w:pPr>
              <w:rPr>
                <w:rFonts w:cs="Arial"/>
                <w:color w:val="7F7F7F"/>
                <w:szCs w:val="18"/>
                <w:lang w:eastAsia="en-AU"/>
              </w:rPr>
            </w:pPr>
            <w:r w:rsidRPr="0034783D">
              <w:rPr>
                <w:rFonts w:cs="Arial"/>
                <w:color w:val="7F7F7F"/>
                <w:szCs w:val="18"/>
                <w:lang w:eastAsia="en-AU"/>
              </w:rPr>
              <w:t>Course enrolments</w:t>
            </w:r>
          </w:p>
        </w:tc>
        <w:tc>
          <w:tcPr>
            <w:tcW w:w="1039" w:type="dxa"/>
            <w:tcBorders>
              <w:top w:val="nil"/>
              <w:left w:val="nil"/>
              <w:bottom w:val="single" w:sz="12" w:space="0" w:color="7F7F7F"/>
              <w:right w:val="nil"/>
            </w:tcBorders>
            <w:shd w:val="clear" w:color="auto" w:fill="auto"/>
            <w:noWrap/>
            <w:vAlign w:val="center"/>
            <w:hideMark/>
          </w:tcPr>
          <w:p w:rsidR="001E08F1" w:rsidRPr="0034783D" w:rsidRDefault="001E08F1" w:rsidP="00D07A42">
            <w:pPr>
              <w:jc w:val="right"/>
              <w:rPr>
                <w:rFonts w:cs="Arial"/>
                <w:color w:val="7F7F7F"/>
                <w:szCs w:val="18"/>
                <w:lang w:eastAsia="en-AU"/>
              </w:rPr>
            </w:pPr>
            <w:r w:rsidRPr="0034783D">
              <w:rPr>
                <w:rFonts w:cs="Arial"/>
                <w:color w:val="7F7F7F"/>
                <w:szCs w:val="18"/>
                <w:lang w:eastAsia="en-AU"/>
              </w:rPr>
              <w:t>19,476</w:t>
            </w:r>
          </w:p>
        </w:tc>
        <w:tc>
          <w:tcPr>
            <w:tcW w:w="1040" w:type="dxa"/>
            <w:tcBorders>
              <w:top w:val="nil"/>
              <w:left w:val="nil"/>
              <w:bottom w:val="single" w:sz="12" w:space="0" w:color="7F7F7F"/>
              <w:right w:val="nil"/>
            </w:tcBorders>
            <w:shd w:val="clear" w:color="auto" w:fill="auto"/>
            <w:noWrap/>
            <w:vAlign w:val="center"/>
            <w:hideMark/>
          </w:tcPr>
          <w:p w:rsidR="001E08F1" w:rsidRPr="0034783D" w:rsidRDefault="001E08F1" w:rsidP="00D07A42">
            <w:pPr>
              <w:jc w:val="right"/>
              <w:rPr>
                <w:rFonts w:cs="Arial"/>
                <w:color w:val="7F7F7F"/>
                <w:szCs w:val="18"/>
                <w:lang w:eastAsia="en-AU"/>
              </w:rPr>
            </w:pPr>
            <w:r w:rsidRPr="0034783D">
              <w:rPr>
                <w:rFonts w:cs="Arial"/>
                <w:color w:val="7F7F7F"/>
                <w:szCs w:val="18"/>
                <w:lang w:eastAsia="en-AU"/>
              </w:rPr>
              <w:t>31,594</w:t>
            </w:r>
          </w:p>
        </w:tc>
        <w:tc>
          <w:tcPr>
            <w:tcW w:w="1039" w:type="dxa"/>
            <w:tcBorders>
              <w:top w:val="nil"/>
              <w:left w:val="nil"/>
              <w:bottom w:val="single" w:sz="12" w:space="0" w:color="7F7F7F"/>
              <w:right w:val="nil"/>
            </w:tcBorders>
            <w:shd w:val="clear" w:color="auto" w:fill="auto"/>
            <w:noWrap/>
            <w:vAlign w:val="center"/>
            <w:hideMark/>
          </w:tcPr>
          <w:p w:rsidR="001E08F1" w:rsidRPr="0034783D" w:rsidRDefault="001E08F1" w:rsidP="00D07A42">
            <w:pPr>
              <w:jc w:val="right"/>
              <w:rPr>
                <w:rFonts w:cs="Arial"/>
                <w:color w:val="7F7F7F"/>
                <w:szCs w:val="18"/>
                <w:lang w:eastAsia="en-AU"/>
              </w:rPr>
            </w:pPr>
            <w:r w:rsidRPr="0034783D">
              <w:rPr>
                <w:rFonts w:cs="Arial"/>
                <w:color w:val="7F7F7F"/>
                <w:szCs w:val="18"/>
                <w:lang w:eastAsia="en-AU"/>
              </w:rPr>
              <w:t>73,597</w:t>
            </w:r>
          </w:p>
        </w:tc>
        <w:tc>
          <w:tcPr>
            <w:tcW w:w="1040" w:type="dxa"/>
            <w:tcBorders>
              <w:top w:val="nil"/>
              <w:left w:val="nil"/>
              <w:bottom w:val="single" w:sz="12" w:space="0" w:color="7F7F7F"/>
              <w:right w:val="nil"/>
            </w:tcBorders>
            <w:shd w:val="clear" w:color="auto" w:fill="auto"/>
            <w:noWrap/>
            <w:vAlign w:val="center"/>
            <w:hideMark/>
          </w:tcPr>
          <w:p w:rsidR="001E08F1" w:rsidRPr="0034783D" w:rsidRDefault="001E08F1" w:rsidP="00D07A42">
            <w:pPr>
              <w:jc w:val="right"/>
              <w:rPr>
                <w:rFonts w:cs="Arial"/>
                <w:color w:val="7F7F7F"/>
                <w:szCs w:val="18"/>
                <w:lang w:eastAsia="en-AU"/>
              </w:rPr>
            </w:pPr>
            <w:r w:rsidRPr="0034783D">
              <w:rPr>
                <w:rFonts w:cs="Arial"/>
                <w:color w:val="7F7F7F"/>
                <w:szCs w:val="18"/>
                <w:lang w:eastAsia="en-AU"/>
              </w:rPr>
              <w:t>96,415</w:t>
            </w:r>
          </w:p>
        </w:tc>
        <w:tc>
          <w:tcPr>
            <w:tcW w:w="1039" w:type="dxa"/>
            <w:tcBorders>
              <w:top w:val="nil"/>
              <w:left w:val="nil"/>
              <w:bottom w:val="single" w:sz="12" w:space="0" w:color="7F7F7F"/>
              <w:right w:val="nil"/>
            </w:tcBorders>
            <w:shd w:val="clear" w:color="auto" w:fill="auto"/>
            <w:noWrap/>
            <w:vAlign w:val="center"/>
            <w:hideMark/>
          </w:tcPr>
          <w:p w:rsidR="001E08F1" w:rsidRPr="0034783D" w:rsidRDefault="001E08F1" w:rsidP="00D07A42">
            <w:pPr>
              <w:jc w:val="right"/>
              <w:rPr>
                <w:rFonts w:cs="Arial"/>
                <w:color w:val="7F7F7F"/>
                <w:szCs w:val="18"/>
                <w:lang w:eastAsia="en-AU"/>
              </w:rPr>
            </w:pPr>
            <w:r w:rsidRPr="0034783D">
              <w:rPr>
                <w:rFonts w:cs="Arial"/>
                <w:color w:val="7F7F7F"/>
                <w:szCs w:val="18"/>
                <w:lang w:eastAsia="en-AU"/>
              </w:rPr>
              <w:t>50,969</w:t>
            </w:r>
          </w:p>
        </w:tc>
        <w:tc>
          <w:tcPr>
            <w:tcW w:w="1040" w:type="dxa"/>
            <w:tcBorders>
              <w:top w:val="nil"/>
              <w:left w:val="nil"/>
              <w:bottom w:val="single" w:sz="12" w:space="0" w:color="7F7F7F"/>
              <w:right w:val="nil"/>
            </w:tcBorders>
            <w:shd w:val="clear" w:color="auto" w:fill="auto"/>
            <w:noWrap/>
            <w:vAlign w:val="center"/>
            <w:hideMark/>
          </w:tcPr>
          <w:p w:rsidR="001E08F1" w:rsidRPr="0034783D" w:rsidRDefault="001E08F1" w:rsidP="00D07A42">
            <w:pPr>
              <w:jc w:val="right"/>
              <w:rPr>
                <w:rFonts w:cs="Arial"/>
                <w:color w:val="7F7F7F"/>
                <w:szCs w:val="18"/>
                <w:lang w:eastAsia="en-AU"/>
              </w:rPr>
            </w:pPr>
            <w:r w:rsidRPr="0034783D">
              <w:rPr>
                <w:rFonts w:cs="Arial"/>
                <w:color w:val="7F7F7F"/>
                <w:szCs w:val="18"/>
                <w:lang w:eastAsia="en-AU"/>
              </w:rPr>
              <w:t>29,731</w:t>
            </w:r>
          </w:p>
        </w:tc>
      </w:tr>
    </w:tbl>
    <w:p w:rsidR="001E08F1" w:rsidRDefault="001E08F1" w:rsidP="001E08F1"/>
    <w:p w:rsidR="001E08F1" w:rsidRDefault="001E08F1" w:rsidP="001E08F1"/>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1E08F1" w:rsidTr="00D07A42">
        <w:tc>
          <w:tcPr>
            <w:tcW w:w="1134" w:type="dxa"/>
            <w:tcMar>
              <w:left w:w="0" w:type="dxa"/>
              <w:right w:w="0" w:type="dxa"/>
            </w:tcMar>
          </w:tcPr>
          <w:p w:rsidR="001E08F1" w:rsidRDefault="0005261F" w:rsidP="00D07A42">
            <w:pPr>
              <w:pStyle w:val="Quote"/>
              <w:tabs>
                <w:tab w:val="left" w:pos="1134"/>
              </w:tabs>
              <w:rPr>
                <w:b w:val="0"/>
                <w:color w:val="B41F22" w:themeColor="accent1"/>
              </w:rPr>
            </w:pPr>
            <w:r>
              <w:rPr>
                <w:b w:val="0"/>
                <w:color w:val="B41F22" w:themeColor="accent1"/>
              </w:rPr>
              <w:t>Table 2</w:t>
            </w:r>
            <w:r w:rsidR="001E08F1">
              <w:rPr>
                <w:b w:val="0"/>
                <w:color w:val="B41F22" w:themeColor="accent1"/>
              </w:rPr>
              <w:t>.9.2:</w:t>
            </w:r>
          </w:p>
        </w:tc>
        <w:tc>
          <w:tcPr>
            <w:tcW w:w="6946" w:type="dxa"/>
            <w:tcMar>
              <w:left w:w="0" w:type="dxa"/>
              <w:right w:w="0" w:type="dxa"/>
            </w:tcMar>
          </w:tcPr>
          <w:p w:rsidR="001E08F1" w:rsidRDefault="001E08F1" w:rsidP="00D07A42">
            <w:pPr>
              <w:pStyle w:val="Quote"/>
              <w:tabs>
                <w:tab w:val="left" w:pos="1134"/>
              </w:tabs>
              <w:rPr>
                <w:b w:val="0"/>
                <w:color w:val="B41F22" w:themeColor="accent1"/>
              </w:rPr>
            </w:pPr>
            <w:r w:rsidRPr="001347A5">
              <w:rPr>
                <w:b w:val="0"/>
                <w:color w:val="B41F22" w:themeColor="accent1"/>
              </w:rPr>
              <w:t>Change in government subsidised training in foundation skills courses: student numbers and number of course enrolments (half year)</w:t>
            </w:r>
          </w:p>
        </w:tc>
      </w:tr>
    </w:tbl>
    <w:tbl>
      <w:tblPr>
        <w:tblW w:w="8095" w:type="dxa"/>
        <w:tblInd w:w="93" w:type="dxa"/>
        <w:tblLayout w:type="fixed"/>
        <w:tblLook w:val="04A0" w:firstRow="1" w:lastRow="0" w:firstColumn="1" w:lastColumn="0" w:noHBand="0" w:noVBand="1"/>
      </w:tblPr>
      <w:tblGrid>
        <w:gridCol w:w="2000"/>
        <w:gridCol w:w="1219"/>
        <w:gridCol w:w="1219"/>
        <w:gridCol w:w="1219"/>
        <w:gridCol w:w="1219"/>
        <w:gridCol w:w="1219"/>
      </w:tblGrid>
      <w:tr w:rsidR="001E08F1" w:rsidRPr="0034783D" w:rsidTr="00D07A42">
        <w:trPr>
          <w:trHeight w:val="720"/>
        </w:trPr>
        <w:tc>
          <w:tcPr>
            <w:tcW w:w="2000" w:type="dxa"/>
            <w:tcBorders>
              <w:top w:val="nil"/>
              <w:left w:val="nil"/>
              <w:bottom w:val="nil"/>
              <w:right w:val="nil"/>
            </w:tcBorders>
            <w:shd w:val="clear" w:color="000000" w:fill="7F7F7F"/>
            <w:noWrap/>
            <w:vAlign w:val="center"/>
            <w:hideMark/>
          </w:tcPr>
          <w:p w:rsidR="001E08F1" w:rsidRPr="0034783D" w:rsidRDefault="001E08F1" w:rsidP="00D07A42">
            <w:pPr>
              <w:rPr>
                <w:rFonts w:cs="Arial"/>
                <w:color w:val="FFFFFF"/>
                <w:szCs w:val="18"/>
                <w:lang w:eastAsia="en-AU"/>
              </w:rPr>
            </w:pPr>
            <w:r w:rsidRPr="0034783D">
              <w:rPr>
                <w:rFonts w:cs="Arial"/>
                <w:color w:val="FFFFFF"/>
                <w:szCs w:val="18"/>
                <w:lang w:eastAsia="en-AU"/>
              </w:rPr>
              <w:t> </w:t>
            </w:r>
          </w:p>
        </w:tc>
        <w:tc>
          <w:tcPr>
            <w:tcW w:w="1219" w:type="dxa"/>
            <w:tcBorders>
              <w:top w:val="nil"/>
              <w:left w:val="nil"/>
              <w:bottom w:val="nil"/>
              <w:right w:val="nil"/>
            </w:tcBorders>
            <w:shd w:val="clear" w:color="000000" w:fill="7F7F7F"/>
            <w:vAlign w:val="center"/>
            <w:hideMark/>
          </w:tcPr>
          <w:p w:rsidR="001E08F1" w:rsidRPr="0034783D" w:rsidRDefault="001E08F1" w:rsidP="00D07A42">
            <w:pPr>
              <w:jc w:val="right"/>
              <w:rPr>
                <w:rFonts w:cs="Arial"/>
                <w:b/>
                <w:bCs/>
                <w:color w:val="FFFFFF"/>
                <w:szCs w:val="18"/>
                <w:lang w:eastAsia="en-AU"/>
              </w:rPr>
            </w:pPr>
            <w:r w:rsidRPr="0034783D">
              <w:rPr>
                <w:rFonts w:cs="Arial"/>
                <w:b/>
                <w:bCs/>
                <w:color w:val="FFFFFF"/>
                <w:szCs w:val="18"/>
                <w:lang w:eastAsia="en-AU"/>
              </w:rPr>
              <w:t>% change 2010 to 2015</w:t>
            </w:r>
          </w:p>
        </w:tc>
        <w:tc>
          <w:tcPr>
            <w:tcW w:w="1219" w:type="dxa"/>
            <w:tcBorders>
              <w:top w:val="nil"/>
              <w:left w:val="nil"/>
              <w:bottom w:val="nil"/>
              <w:right w:val="nil"/>
            </w:tcBorders>
            <w:shd w:val="clear" w:color="000000" w:fill="7F7F7F"/>
            <w:vAlign w:val="center"/>
            <w:hideMark/>
          </w:tcPr>
          <w:p w:rsidR="001E08F1" w:rsidRPr="0034783D" w:rsidRDefault="001E08F1" w:rsidP="00D07A42">
            <w:pPr>
              <w:jc w:val="right"/>
              <w:rPr>
                <w:rFonts w:cs="Arial"/>
                <w:b/>
                <w:bCs/>
                <w:color w:val="FFFFFF"/>
                <w:szCs w:val="18"/>
                <w:lang w:eastAsia="en-AU"/>
              </w:rPr>
            </w:pPr>
            <w:r w:rsidRPr="0034783D">
              <w:rPr>
                <w:rFonts w:cs="Arial"/>
                <w:b/>
                <w:bCs/>
                <w:color w:val="FFFFFF"/>
                <w:szCs w:val="18"/>
                <w:lang w:eastAsia="en-AU"/>
              </w:rPr>
              <w:t>% change 2011 to 2015</w:t>
            </w:r>
          </w:p>
        </w:tc>
        <w:tc>
          <w:tcPr>
            <w:tcW w:w="1219" w:type="dxa"/>
            <w:tcBorders>
              <w:top w:val="nil"/>
              <w:left w:val="nil"/>
              <w:bottom w:val="nil"/>
              <w:right w:val="nil"/>
            </w:tcBorders>
            <w:shd w:val="clear" w:color="000000" w:fill="7F7F7F"/>
            <w:vAlign w:val="center"/>
            <w:hideMark/>
          </w:tcPr>
          <w:p w:rsidR="001E08F1" w:rsidRPr="0034783D" w:rsidRDefault="001E08F1" w:rsidP="00D07A42">
            <w:pPr>
              <w:jc w:val="right"/>
              <w:rPr>
                <w:rFonts w:cs="Arial"/>
                <w:b/>
                <w:bCs/>
                <w:color w:val="FFFFFF"/>
                <w:szCs w:val="18"/>
                <w:lang w:eastAsia="en-AU"/>
              </w:rPr>
            </w:pPr>
            <w:r w:rsidRPr="0034783D">
              <w:rPr>
                <w:rFonts w:cs="Arial"/>
                <w:b/>
                <w:bCs/>
                <w:color w:val="FFFFFF"/>
                <w:szCs w:val="18"/>
                <w:lang w:eastAsia="en-AU"/>
              </w:rPr>
              <w:t>% change 2012 to 2015</w:t>
            </w:r>
          </w:p>
        </w:tc>
        <w:tc>
          <w:tcPr>
            <w:tcW w:w="1219" w:type="dxa"/>
            <w:tcBorders>
              <w:top w:val="nil"/>
              <w:left w:val="nil"/>
              <w:bottom w:val="nil"/>
              <w:right w:val="nil"/>
            </w:tcBorders>
            <w:shd w:val="clear" w:color="000000" w:fill="7F7F7F"/>
            <w:vAlign w:val="center"/>
            <w:hideMark/>
          </w:tcPr>
          <w:p w:rsidR="001E08F1" w:rsidRPr="0034783D" w:rsidRDefault="001E08F1" w:rsidP="00D07A42">
            <w:pPr>
              <w:jc w:val="right"/>
              <w:rPr>
                <w:rFonts w:cs="Arial"/>
                <w:b/>
                <w:bCs/>
                <w:color w:val="FFFFFF"/>
                <w:szCs w:val="18"/>
                <w:lang w:eastAsia="en-AU"/>
              </w:rPr>
            </w:pPr>
            <w:r w:rsidRPr="0034783D">
              <w:rPr>
                <w:rFonts w:cs="Arial"/>
                <w:b/>
                <w:bCs/>
                <w:color w:val="FFFFFF"/>
                <w:szCs w:val="18"/>
                <w:lang w:eastAsia="en-AU"/>
              </w:rPr>
              <w:t>% change 2013 to 2015</w:t>
            </w:r>
          </w:p>
        </w:tc>
        <w:tc>
          <w:tcPr>
            <w:tcW w:w="1219" w:type="dxa"/>
            <w:tcBorders>
              <w:top w:val="nil"/>
              <w:left w:val="nil"/>
              <w:bottom w:val="nil"/>
              <w:right w:val="nil"/>
            </w:tcBorders>
            <w:shd w:val="clear" w:color="000000" w:fill="7F7F7F"/>
            <w:vAlign w:val="center"/>
            <w:hideMark/>
          </w:tcPr>
          <w:p w:rsidR="001E08F1" w:rsidRPr="0034783D" w:rsidRDefault="001E08F1" w:rsidP="00D07A42">
            <w:pPr>
              <w:jc w:val="right"/>
              <w:rPr>
                <w:rFonts w:cs="Arial"/>
                <w:b/>
                <w:bCs/>
                <w:color w:val="FFFFFF"/>
                <w:szCs w:val="18"/>
                <w:lang w:eastAsia="en-AU"/>
              </w:rPr>
            </w:pPr>
            <w:r w:rsidRPr="0034783D">
              <w:rPr>
                <w:rFonts w:cs="Arial"/>
                <w:b/>
                <w:bCs/>
                <w:color w:val="FFFFFF"/>
                <w:szCs w:val="18"/>
                <w:lang w:eastAsia="en-AU"/>
              </w:rPr>
              <w:t>% change 2014 to 2015</w:t>
            </w:r>
          </w:p>
        </w:tc>
      </w:tr>
      <w:tr w:rsidR="001E08F1" w:rsidRPr="0034783D" w:rsidTr="00D07A42">
        <w:trPr>
          <w:trHeight w:val="300"/>
        </w:trPr>
        <w:tc>
          <w:tcPr>
            <w:tcW w:w="2000" w:type="dxa"/>
            <w:tcBorders>
              <w:top w:val="nil"/>
              <w:left w:val="nil"/>
              <w:bottom w:val="nil"/>
              <w:right w:val="nil"/>
            </w:tcBorders>
            <w:shd w:val="clear" w:color="auto" w:fill="auto"/>
            <w:noWrap/>
            <w:vAlign w:val="center"/>
            <w:hideMark/>
          </w:tcPr>
          <w:p w:rsidR="001E08F1" w:rsidRPr="0034783D" w:rsidRDefault="001E08F1" w:rsidP="00D07A42">
            <w:pPr>
              <w:rPr>
                <w:rFonts w:cs="Arial"/>
                <w:color w:val="7F7F7F"/>
                <w:szCs w:val="18"/>
                <w:lang w:eastAsia="en-AU"/>
              </w:rPr>
            </w:pPr>
            <w:r w:rsidRPr="0034783D">
              <w:rPr>
                <w:rFonts w:cs="Arial"/>
                <w:color w:val="7F7F7F"/>
                <w:szCs w:val="18"/>
                <w:lang w:eastAsia="en-AU"/>
              </w:rPr>
              <w:t>Students</w:t>
            </w:r>
          </w:p>
        </w:tc>
        <w:tc>
          <w:tcPr>
            <w:tcW w:w="1219" w:type="dxa"/>
            <w:tcBorders>
              <w:top w:val="nil"/>
              <w:left w:val="nil"/>
              <w:bottom w:val="nil"/>
              <w:right w:val="nil"/>
            </w:tcBorders>
            <w:shd w:val="clear" w:color="auto" w:fill="auto"/>
            <w:noWrap/>
            <w:vAlign w:val="center"/>
            <w:hideMark/>
          </w:tcPr>
          <w:p w:rsidR="001E08F1" w:rsidRPr="0034783D" w:rsidRDefault="001E08F1" w:rsidP="00D07A42">
            <w:pPr>
              <w:jc w:val="right"/>
              <w:rPr>
                <w:rFonts w:cs="Arial"/>
                <w:color w:val="7F7F7F"/>
                <w:szCs w:val="18"/>
                <w:lang w:eastAsia="en-AU"/>
              </w:rPr>
            </w:pPr>
            <w:r w:rsidRPr="0034783D">
              <w:rPr>
                <w:rFonts w:cs="Arial"/>
                <w:color w:val="7F7F7F"/>
                <w:szCs w:val="18"/>
                <w:lang w:eastAsia="en-AU"/>
              </w:rPr>
              <w:t>70%</w:t>
            </w:r>
          </w:p>
        </w:tc>
        <w:tc>
          <w:tcPr>
            <w:tcW w:w="1219" w:type="dxa"/>
            <w:tcBorders>
              <w:top w:val="nil"/>
              <w:left w:val="nil"/>
              <w:bottom w:val="nil"/>
              <w:right w:val="nil"/>
            </w:tcBorders>
            <w:shd w:val="clear" w:color="auto" w:fill="auto"/>
            <w:noWrap/>
            <w:vAlign w:val="center"/>
            <w:hideMark/>
          </w:tcPr>
          <w:p w:rsidR="001E08F1" w:rsidRPr="0034783D" w:rsidRDefault="001E08F1" w:rsidP="00D07A42">
            <w:pPr>
              <w:jc w:val="right"/>
              <w:rPr>
                <w:rFonts w:cs="Arial"/>
                <w:color w:val="7F7F7F"/>
                <w:szCs w:val="18"/>
                <w:lang w:eastAsia="en-AU"/>
              </w:rPr>
            </w:pPr>
            <w:r w:rsidRPr="0034783D">
              <w:rPr>
                <w:rFonts w:cs="Arial"/>
                <w:color w:val="7F7F7F"/>
                <w:szCs w:val="18"/>
                <w:lang w:eastAsia="en-AU"/>
              </w:rPr>
              <w:t>11%</w:t>
            </w:r>
          </w:p>
        </w:tc>
        <w:tc>
          <w:tcPr>
            <w:tcW w:w="1219" w:type="dxa"/>
            <w:tcBorders>
              <w:top w:val="nil"/>
              <w:left w:val="nil"/>
              <w:bottom w:val="nil"/>
              <w:right w:val="nil"/>
            </w:tcBorders>
            <w:shd w:val="clear" w:color="auto" w:fill="auto"/>
            <w:noWrap/>
            <w:vAlign w:val="center"/>
            <w:hideMark/>
          </w:tcPr>
          <w:p w:rsidR="001E08F1" w:rsidRPr="0034783D" w:rsidRDefault="001E08F1" w:rsidP="00D07A42">
            <w:pPr>
              <w:jc w:val="right"/>
              <w:rPr>
                <w:rFonts w:cs="Arial"/>
                <w:color w:val="7F7F7F"/>
                <w:szCs w:val="18"/>
                <w:lang w:eastAsia="en-AU"/>
              </w:rPr>
            </w:pPr>
            <w:r w:rsidRPr="0034783D">
              <w:rPr>
                <w:rFonts w:cs="Arial"/>
                <w:color w:val="7F7F7F"/>
                <w:szCs w:val="18"/>
                <w:lang w:eastAsia="en-AU"/>
              </w:rPr>
              <w:t>-54%</w:t>
            </w:r>
          </w:p>
        </w:tc>
        <w:tc>
          <w:tcPr>
            <w:tcW w:w="1219" w:type="dxa"/>
            <w:tcBorders>
              <w:top w:val="nil"/>
              <w:left w:val="nil"/>
              <w:bottom w:val="nil"/>
              <w:right w:val="nil"/>
            </w:tcBorders>
            <w:shd w:val="clear" w:color="auto" w:fill="auto"/>
            <w:noWrap/>
            <w:vAlign w:val="center"/>
            <w:hideMark/>
          </w:tcPr>
          <w:p w:rsidR="001E08F1" w:rsidRPr="0034783D" w:rsidRDefault="001E08F1" w:rsidP="00D07A42">
            <w:pPr>
              <w:jc w:val="right"/>
              <w:rPr>
                <w:rFonts w:cs="Arial"/>
                <w:color w:val="7F7F7F"/>
                <w:szCs w:val="18"/>
                <w:lang w:eastAsia="en-AU"/>
              </w:rPr>
            </w:pPr>
            <w:r w:rsidRPr="0034783D">
              <w:rPr>
                <w:rFonts w:cs="Arial"/>
                <w:color w:val="7F7F7F"/>
                <w:szCs w:val="18"/>
                <w:lang w:eastAsia="en-AU"/>
              </w:rPr>
              <w:t>-66%</w:t>
            </w:r>
          </w:p>
        </w:tc>
        <w:tc>
          <w:tcPr>
            <w:tcW w:w="1219" w:type="dxa"/>
            <w:tcBorders>
              <w:top w:val="nil"/>
              <w:left w:val="nil"/>
              <w:bottom w:val="nil"/>
              <w:right w:val="nil"/>
            </w:tcBorders>
            <w:shd w:val="clear" w:color="auto" w:fill="auto"/>
            <w:noWrap/>
            <w:vAlign w:val="center"/>
            <w:hideMark/>
          </w:tcPr>
          <w:p w:rsidR="001E08F1" w:rsidRPr="0034783D" w:rsidRDefault="001E08F1" w:rsidP="00D07A42">
            <w:pPr>
              <w:jc w:val="right"/>
              <w:rPr>
                <w:rFonts w:cs="Arial"/>
                <w:color w:val="7F7F7F"/>
                <w:szCs w:val="18"/>
                <w:lang w:eastAsia="en-AU"/>
              </w:rPr>
            </w:pPr>
            <w:r w:rsidRPr="0034783D">
              <w:rPr>
                <w:rFonts w:cs="Arial"/>
                <w:color w:val="7F7F7F"/>
                <w:szCs w:val="18"/>
                <w:lang w:eastAsia="en-AU"/>
              </w:rPr>
              <w:t>-40%</w:t>
            </w:r>
          </w:p>
        </w:tc>
      </w:tr>
      <w:tr w:rsidR="001E08F1" w:rsidRPr="0034783D" w:rsidTr="00D07A42">
        <w:trPr>
          <w:trHeight w:val="315"/>
        </w:trPr>
        <w:tc>
          <w:tcPr>
            <w:tcW w:w="2000" w:type="dxa"/>
            <w:tcBorders>
              <w:top w:val="nil"/>
              <w:left w:val="nil"/>
              <w:bottom w:val="single" w:sz="12" w:space="0" w:color="7F7F7F"/>
              <w:right w:val="nil"/>
            </w:tcBorders>
            <w:shd w:val="clear" w:color="auto" w:fill="auto"/>
            <w:noWrap/>
            <w:vAlign w:val="center"/>
            <w:hideMark/>
          </w:tcPr>
          <w:p w:rsidR="001E08F1" w:rsidRPr="0034783D" w:rsidRDefault="001E08F1" w:rsidP="00D07A42">
            <w:pPr>
              <w:rPr>
                <w:rFonts w:cs="Arial"/>
                <w:color w:val="7F7F7F"/>
                <w:szCs w:val="18"/>
                <w:lang w:eastAsia="en-AU"/>
              </w:rPr>
            </w:pPr>
            <w:r w:rsidRPr="0034783D">
              <w:rPr>
                <w:rFonts w:cs="Arial"/>
                <w:color w:val="7F7F7F"/>
                <w:szCs w:val="18"/>
                <w:lang w:eastAsia="en-AU"/>
              </w:rPr>
              <w:t>Course enrolments</w:t>
            </w:r>
          </w:p>
        </w:tc>
        <w:tc>
          <w:tcPr>
            <w:tcW w:w="1219" w:type="dxa"/>
            <w:tcBorders>
              <w:top w:val="nil"/>
              <w:left w:val="nil"/>
              <w:bottom w:val="single" w:sz="12" w:space="0" w:color="7F7F7F"/>
              <w:right w:val="nil"/>
            </w:tcBorders>
            <w:shd w:val="clear" w:color="auto" w:fill="auto"/>
            <w:noWrap/>
            <w:vAlign w:val="center"/>
            <w:hideMark/>
          </w:tcPr>
          <w:p w:rsidR="001E08F1" w:rsidRPr="0034783D" w:rsidRDefault="001E08F1" w:rsidP="00D07A42">
            <w:pPr>
              <w:jc w:val="right"/>
              <w:rPr>
                <w:rFonts w:cs="Arial"/>
                <w:color w:val="7F7F7F"/>
                <w:szCs w:val="18"/>
                <w:lang w:eastAsia="en-AU"/>
              </w:rPr>
            </w:pPr>
            <w:r w:rsidRPr="0034783D">
              <w:rPr>
                <w:rFonts w:cs="Arial"/>
                <w:color w:val="7F7F7F"/>
                <w:szCs w:val="18"/>
                <w:lang w:eastAsia="en-AU"/>
              </w:rPr>
              <w:t>53%</w:t>
            </w:r>
          </w:p>
        </w:tc>
        <w:tc>
          <w:tcPr>
            <w:tcW w:w="1219" w:type="dxa"/>
            <w:tcBorders>
              <w:top w:val="nil"/>
              <w:left w:val="nil"/>
              <w:bottom w:val="single" w:sz="12" w:space="0" w:color="7F7F7F"/>
              <w:right w:val="nil"/>
            </w:tcBorders>
            <w:shd w:val="clear" w:color="auto" w:fill="auto"/>
            <w:noWrap/>
            <w:vAlign w:val="center"/>
            <w:hideMark/>
          </w:tcPr>
          <w:p w:rsidR="001E08F1" w:rsidRPr="0034783D" w:rsidRDefault="001E08F1" w:rsidP="00D07A42">
            <w:pPr>
              <w:jc w:val="right"/>
              <w:rPr>
                <w:rFonts w:cs="Arial"/>
                <w:color w:val="7F7F7F"/>
                <w:szCs w:val="18"/>
                <w:lang w:eastAsia="en-AU"/>
              </w:rPr>
            </w:pPr>
            <w:r w:rsidRPr="0034783D">
              <w:rPr>
                <w:rFonts w:cs="Arial"/>
                <w:color w:val="7F7F7F"/>
                <w:szCs w:val="18"/>
                <w:lang w:eastAsia="en-AU"/>
              </w:rPr>
              <w:t>-6%</w:t>
            </w:r>
          </w:p>
        </w:tc>
        <w:tc>
          <w:tcPr>
            <w:tcW w:w="1219" w:type="dxa"/>
            <w:tcBorders>
              <w:top w:val="nil"/>
              <w:left w:val="nil"/>
              <w:bottom w:val="single" w:sz="12" w:space="0" w:color="7F7F7F"/>
              <w:right w:val="nil"/>
            </w:tcBorders>
            <w:shd w:val="clear" w:color="auto" w:fill="auto"/>
            <w:noWrap/>
            <w:vAlign w:val="center"/>
            <w:hideMark/>
          </w:tcPr>
          <w:p w:rsidR="001E08F1" w:rsidRPr="0034783D" w:rsidRDefault="001E08F1" w:rsidP="00D07A42">
            <w:pPr>
              <w:jc w:val="right"/>
              <w:rPr>
                <w:rFonts w:cs="Arial"/>
                <w:color w:val="7F7F7F"/>
                <w:szCs w:val="18"/>
                <w:lang w:eastAsia="en-AU"/>
              </w:rPr>
            </w:pPr>
            <w:r w:rsidRPr="0034783D">
              <w:rPr>
                <w:rFonts w:cs="Arial"/>
                <w:color w:val="7F7F7F"/>
                <w:szCs w:val="18"/>
                <w:lang w:eastAsia="en-AU"/>
              </w:rPr>
              <w:t>-60%</w:t>
            </w:r>
          </w:p>
        </w:tc>
        <w:tc>
          <w:tcPr>
            <w:tcW w:w="1219" w:type="dxa"/>
            <w:tcBorders>
              <w:top w:val="nil"/>
              <w:left w:val="nil"/>
              <w:bottom w:val="single" w:sz="12" w:space="0" w:color="7F7F7F"/>
              <w:right w:val="nil"/>
            </w:tcBorders>
            <w:shd w:val="clear" w:color="auto" w:fill="auto"/>
            <w:noWrap/>
            <w:vAlign w:val="center"/>
            <w:hideMark/>
          </w:tcPr>
          <w:p w:rsidR="001E08F1" w:rsidRPr="0034783D" w:rsidRDefault="001E08F1" w:rsidP="00D07A42">
            <w:pPr>
              <w:jc w:val="right"/>
              <w:rPr>
                <w:rFonts w:cs="Arial"/>
                <w:color w:val="7F7F7F"/>
                <w:szCs w:val="18"/>
                <w:lang w:eastAsia="en-AU"/>
              </w:rPr>
            </w:pPr>
            <w:r w:rsidRPr="0034783D">
              <w:rPr>
                <w:rFonts w:cs="Arial"/>
                <w:color w:val="7F7F7F"/>
                <w:szCs w:val="18"/>
                <w:lang w:eastAsia="en-AU"/>
              </w:rPr>
              <w:t>-69%</w:t>
            </w:r>
          </w:p>
        </w:tc>
        <w:tc>
          <w:tcPr>
            <w:tcW w:w="1219" w:type="dxa"/>
            <w:tcBorders>
              <w:top w:val="nil"/>
              <w:left w:val="nil"/>
              <w:bottom w:val="single" w:sz="12" w:space="0" w:color="7F7F7F"/>
              <w:right w:val="nil"/>
            </w:tcBorders>
            <w:shd w:val="clear" w:color="auto" w:fill="auto"/>
            <w:noWrap/>
            <w:vAlign w:val="center"/>
            <w:hideMark/>
          </w:tcPr>
          <w:p w:rsidR="001E08F1" w:rsidRPr="0034783D" w:rsidRDefault="001E08F1" w:rsidP="00D07A42">
            <w:pPr>
              <w:jc w:val="right"/>
              <w:rPr>
                <w:rFonts w:cs="Arial"/>
                <w:color w:val="7F7F7F"/>
                <w:szCs w:val="18"/>
                <w:lang w:eastAsia="en-AU"/>
              </w:rPr>
            </w:pPr>
            <w:r w:rsidRPr="0034783D">
              <w:rPr>
                <w:rFonts w:cs="Arial"/>
                <w:color w:val="7F7F7F"/>
                <w:szCs w:val="18"/>
                <w:lang w:eastAsia="en-AU"/>
              </w:rPr>
              <w:t>-42%</w:t>
            </w:r>
          </w:p>
        </w:tc>
      </w:tr>
    </w:tbl>
    <w:p w:rsidR="001E08F1" w:rsidRDefault="001E08F1" w:rsidP="001E08F1"/>
    <w:p w:rsidR="001E08F1" w:rsidRDefault="001E08F1" w:rsidP="001E08F1"/>
    <w:p w:rsidR="001E08F1" w:rsidRDefault="001E08F1" w:rsidP="001E08F1">
      <w:r>
        <w:rPr>
          <w:b/>
        </w:rPr>
        <w:br w:type="page"/>
      </w: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1E08F1" w:rsidTr="00D07A42">
        <w:tc>
          <w:tcPr>
            <w:tcW w:w="1134" w:type="dxa"/>
            <w:tcMar>
              <w:left w:w="0" w:type="dxa"/>
              <w:right w:w="0" w:type="dxa"/>
            </w:tcMar>
          </w:tcPr>
          <w:p w:rsidR="001E08F1" w:rsidRDefault="0005261F" w:rsidP="00D07A42">
            <w:pPr>
              <w:pStyle w:val="Quote"/>
              <w:tabs>
                <w:tab w:val="left" w:pos="1134"/>
              </w:tabs>
              <w:rPr>
                <w:b w:val="0"/>
                <w:color w:val="B41F22" w:themeColor="accent1"/>
              </w:rPr>
            </w:pPr>
            <w:r>
              <w:rPr>
                <w:b w:val="0"/>
                <w:color w:val="B41F22" w:themeColor="accent1"/>
              </w:rPr>
              <w:lastRenderedPageBreak/>
              <w:t>Table 2</w:t>
            </w:r>
            <w:r w:rsidR="001E08F1">
              <w:rPr>
                <w:b w:val="0"/>
                <w:color w:val="B41F22" w:themeColor="accent1"/>
              </w:rPr>
              <w:t>.10.1:</w:t>
            </w:r>
          </w:p>
        </w:tc>
        <w:tc>
          <w:tcPr>
            <w:tcW w:w="6946" w:type="dxa"/>
            <w:tcMar>
              <w:left w:w="0" w:type="dxa"/>
              <w:right w:w="0" w:type="dxa"/>
            </w:tcMar>
          </w:tcPr>
          <w:p w:rsidR="001E08F1" w:rsidRDefault="001E08F1" w:rsidP="00D07A42">
            <w:pPr>
              <w:pStyle w:val="Quote"/>
              <w:tabs>
                <w:tab w:val="left" w:pos="1134"/>
              </w:tabs>
              <w:rPr>
                <w:b w:val="0"/>
                <w:color w:val="B41F22" w:themeColor="accent1"/>
              </w:rPr>
            </w:pPr>
            <w:r w:rsidRPr="00006BD4">
              <w:rPr>
                <w:b w:val="0"/>
                <w:color w:val="B41F22" w:themeColor="accent1"/>
              </w:rPr>
              <w:t>Students enrolled in government subsidised foundation skills courses by age group, 2010 to 2015 (half year)</w:t>
            </w:r>
          </w:p>
        </w:tc>
      </w:tr>
    </w:tbl>
    <w:tbl>
      <w:tblPr>
        <w:tblW w:w="8095" w:type="dxa"/>
        <w:tblInd w:w="93" w:type="dxa"/>
        <w:tblLayout w:type="fixed"/>
        <w:tblLook w:val="04A0" w:firstRow="1" w:lastRow="0" w:firstColumn="1" w:lastColumn="0" w:noHBand="0" w:noVBand="1"/>
      </w:tblPr>
      <w:tblGrid>
        <w:gridCol w:w="1716"/>
        <w:gridCol w:w="1063"/>
        <w:gridCol w:w="1063"/>
        <w:gridCol w:w="1063"/>
        <w:gridCol w:w="1063"/>
        <w:gridCol w:w="1063"/>
        <w:gridCol w:w="1064"/>
      </w:tblGrid>
      <w:tr w:rsidR="001E08F1" w:rsidRPr="0034783D" w:rsidTr="00D07A42">
        <w:trPr>
          <w:trHeight w:val="300"/>
        </w:trPr>
        <w:tc>
          <w:tcPr>
            <w:tcW w:w="1716" w:type="dxa"/>
            <w:tcBorders>
              <w:top w:val="nil"/>
              <w:left w:val="nil"/>
              <w:bottom w:val="nil"/>
              <w:right w:val="nil"/>
            </w:tcBorders>
            <w:shd w:val="clear" w:color="000000" w:fill="7F7F7F"/>
            <w:noWrap/>
            <w:vAlign w:val="center"/>
            <w:hideMark/>
          </w:tcPr>
          <w:p w:rsidR="001E08F1" w:rsidRPr="0034783D" w:rsidRDefault="001E08F1" w:rsidP="00D07A42">
            <w:pPr>
              <w:rPr>
                <w:rFonts w:cs="Arial"/>
                <w:color w:val="FFFFFF"/>
                <w:szCs w:val="18"/>
                <w:lang w:eastAsia="en-AU"/>
              </w:rPr>
            </w:pPr>
            <w:r w:rsidRPr="0034783D">
              <w:rPr>
                <w:rFonts w:cs="Arial"/>
                <w:color w:val="FFFFFF"/>
                <w:szCs w:val="18"/>
                <w:lang w:eastAsia="en-AU"/>
              </w:rPr>
              <w:t> </w:t>
            </w:r>
          </w:p>
        </w:tc>
        <w:tc>
          <w:tcPr>
            <w:tcW w:w="1063" w:type="dxa"/>
            <w:tcBorders>
              <w:top w:val="nil"/>
              <w:left w:val="nil"/>
              <w:bottom w:val="nil"/>
              <w:right w:val="nil"/>
            </w:tcBorders>
            <w:shd w:val="clear" w:color="000000" w:fill="7F7F7F"/>
            <w:noWrap/>
            <w:vAlign w:val="center"/>
            <w:hideMark/>
          </w:tcPr>
          <w:p w:rsidR="001E08F1" w:rsidRPr="0034783D" w:rsidRDefault="001E08F1" w:rsidP="00D07A42">
            <w:pPr>
              <w:jc w:val="right"/>
              <w:rPr>
                <w:rFonts w:cs="Arial"/>
                <w:b/>
                <w:bCs/>
                <w:color w:val="FFFFFF"/>
                <w:szCs w:val="18"/>
                <w:lang w:eastAsia="en-AU"/>
              </w:rPr>
            </w:pPr>
            <w:r w:rsidRPr="0034783D">
              <w:rPr>
                <w:rFonts w:cs="Arial"/>
                <w:b/>
                <w:bCs/>
                <w:color w:val="FFFFFF"/>
                <w:szCs w:val="18"/>
                <w:lang w:eastAsia="en-AU"/>
              </w:rPr>
              <w:t>2010</w:t>
            </w:r>
          </w:p>
        </w:tc>
        <w:tc>
          <w:tcPr>
            <w:tcW w:w="1063" w:type="dxa"/>
            <w:tcBorders>
              <w:top w:val="nil"/>
              <w:left w:val="nil"/>
              <w:bottom w:val="nil"/>
              <w:right w:val="nil"/>
            </w:tcBorders>
            <w:shd w:val="clear" w:color="000000" w:fill="7F7F7F"/>
            <w:noWrap/>
            <w:vAlign w:val="center"/>
            <w:hideMark/>
          </w:tcPr>
          <w:p w:rsidR="001E08F1" w:rsidRPr="0034783D" w:rsidRDefault="001E08F1" w:rsidP="00D07A42">
            <w:pPr>
              <w:jc w:val="right"/>
              <w:rPr>
                <w:rFonts w:cs="Arial"/>
                <w:b/>
                <w:bCs/>
                <w:color w:val="FFFFFF"/>
                <w:szCs w:val="18"/>
                <w:lang w:eastAsia="en-AU"/>
              </w:rPr>
            </w:pPr>
            <w:r w:rsidRPr="0034783D">
              <w:rPr>
                <w:rFonts w:cs="Arial"/>
                <w:b/>
                <w:bCs/>
                <w:color w:val="FFFFFF"/>
                <w:szCs w:val="18"/>
                <w:lang w:eastAsia="en-AU"/>
              </w:rPr>
              <w:t>2011</w:t>
            </w:r>
          </w:p>
        </w:tc>
        <w:tc>
          <w:tcPr>
            <w:tcW w:w="1063" w:type="dxa"/>
            <w:tcBorders>
              <w:top w:val="nil"/>
              <w:left w:val="nil"/>
              <w:bottom w:val="nil"/>
              <w:right w:val="nil"/>
            </w:tcBorders>
            <w:shd w:val="clear" w:color="000000" w:fill="7F7F7F"/>
            <w:noWrap/>
            <w:vAlign w:val="center"/>
            <w:hideMark/>
          </w:tcPr>
          <w:p w:rsidR="001E08F1" w:rsidRPr="0034783D" w:rsidRDefault="001E08F1" w:rsidP="00D07A42">
            <w:pPr>
              <w:jc w:val="right"/>
              <w:rPr>
                <w:rFonts w:cs="Arial"/>
                <w:b/>
                <w:bCs/>
                <w:color w:val="FFFFFF"/>
                <w:szCs w:val="18"/>
                <w:lang w:eastAsia="en-AU"/>
              </w:rPr>
            </w:pPr>
            <w:r w:rsidRPr="0034783D">
              <w:rPr>
                <w:rFonts w:cs="Arial"/>
                <w:b/>
                <w:bCs/>
                <w:color w:val="FFFFFF"/>
                <w:szCs w:val="18"/>
                <w:lang w:eastAsia="en-AU"/>
              </w:rPr>
              <w:t>2012</w:t>
            </w:r>
          </w:p>
        </w:tc>
        <w:tc>
          <w:tcPr>
            <w:tcW w:w="1063" w:type="dxa"/>
            <w:tcBorders>
              <w:top w:val="nil"/>
              <w:left w:val="nil"/>
              <w:bottom w:val="nil"/>
              <w:right w:val="nil"/>
            </w:tcBorders>
            <w:shd w:val="clear" w:color="000000" w:fill="7F7F7F"/>
            <w:noWrap/>
            <w:vAlign w:val="center"/>
            <w:hideMark/>
          </w:tcPr>
          <w:p w:rsidR="001E08F1" w:rsidRPr="0034783D" w:rsidRDefault="001E08F1" w:rsidP="00D07A42">
            <w:pPr>
              <w:jc w:val="right"/>
              <w:rPr>
                <w:rFonts w:cs="Arial"/>
                <w:b/>
                <w:bCs/>
                <w:color w:val="FFFFFF"/>
                <w:szCs w:val="18"/>
                <w:lang w:eastAsia="en-AU"/>
              </w:rPr>
            </w:pPr>
            <w:r w:rsidRPr="0034783D">
              <w:rPr>
                <w:rFonts w:cs="Arial"/>
                <w:b/>
                <w:bCs/>
                <w:color w:val="FFFFFF"/>
                <w:szCs w:val="18"/>
                <w:lang w:eastAsia="en-AU"/>
              </w:rPr>
              <w:t>2013</w:t>
            </w:r>
          </w:p>
        </w:tc>
        <w:tc>
          <w:tcPr>
            <w:tcW w:w="1063" w:type="dxa"/>
            <w:tcBorders>
              <w:top w:val="nil"/>
              <w:left w:val="nil"/>
              <w:bottom w:val="nil"/>
              <w:right w:val="nil"/>
            </w:tcBorders>
            <w:shd w:val="clear" w:color="000000" w:fill="7F7F7F"/>
            <w:noWrap/>
            <w:vAlign w:val="center"/>
            <w:hideMark/>
          </w:tcPr>
          <w:p w:rsidR="001E08F1" w:rsidRPr="0034783D" w:rsidRDefault="001E08F1" w:rsidP="00D07A42">
            <w:pPr>
              <w:jc w:val="right"/>
              <w:rPr>
                <w:rFonts w:cs="Arial"/>
                <w:b/>
                <w:bCs/>
                <w:color w:val="FFFFFF"/>
                <w:szCs w:val="18"/>
                <w:lang w:eastAsia="en-AU"/>
              </w:rPr>
            </w:pPr>
            <w:r w:rsidRPr="0034783D">
              <w:rPr>
                <w:rFonts w:cs="Arial"/>
                <w:b/>
                <w:bCs/>
                <w:color w:val="FFFFFF"/>
                <w:szCs w:val="18"/>
                <w:lang w:eastAsia="en-AU"/>
              </w:rPr>
              <w:t>2014</w:t>
            </w:r>
          </w:p>
        </w:tc>
        <w:tc>
          <w:tcPr>
            <w:tcW w:w="1064" w:type="dxa"/>
            <w:tcBorders>
              <w:top w:val="nil"/>
              <w:left w:val="nil"/>
              <w:bottom w:val="nil"/>
              <w:right w:val="nil"/>
            </w:tcBorders>
            <w:shd w:val="clear" w:color="000000" w:fill="7F7F7F"/>
            <w:noWrap/>
            <w:vAlign w:val="center"/>
            <w:hideMark/>
          </w:tcPr>
          <w:p w:rsidR="001E08F1" w:rsidRPr="0034783D" w:rsidRDefault="001E08F1" w:rsidP="00D07A42">
            <w:pPr>
              <w:jc w:val="right"/>
              <w:rPr>
                <w:rFonts w:cs="Arial"/>
                <w:b/>
                <w:bCs/>
                <w:color w:val="FFFFFF"/>
                <w:szCs w:val="18"/>
                <w:lang w:eastAsia="en-AU"/>
              </w:rPr>
            </w:pPr>
            <w:r w:rsidRPr="0034783D">
              <w:rPr>
                <w:rFonts w:cs="Arial"/>
                <w:b/>
                <w:bCs/>
                <w:color w:val="FFFFFF"/>
                <w:szCs w:val="18"/>
                <w:lang w:eastAsia="en-AU"/>
              </w:rPr>
              <w:t>2015</w:t>
            </w:r>
          </w:p>
        </w:tc>
      </w:tr>
      <w:tr w:rsidR="001E08F1" w:rsidRPr="0034783D" w:rsidTr="00D07A42">
        <w:trPr>
          <w:trHeight w:val="300"/>
        </w:trPr>
        <w:tc>
          <w:tcPr>
            <w:tcW w:w="1716" w:type="dxa"/>
            <w:tcBorders>
              <w:top w:val="nil"/>
              <w:left w:val="nil"/>
              <w:bottom w:val="nil"/>
              <w:right w:val="nil"/>
            </w:tcBorders>
            <w:shd w:val="clear" w:color="auto" w:fill="auto"/>
            <w:noWrap/>
            <w:vAlign w:val="center"/>
            <w:hideMark/>
          </w:tcPr>
          <w:p w:rsidR="001E08F1" w:rsidRPr="0034783D" w:rsidRDefault="001E08F1" w:rsidP="00D07A42">
            <w:pPr>
              <w:rPr>
                <w:rFonts w:cs="Arial"/>
                <w:color w:val="7F7F7F"/>
                <w:szCs w:val="18"/>
                <w:lang w:eastAsia="en-AU"/>
              </w:rPr>
            </w:pPr>
            <w:r w:rsidRPr="0034783D">
              <w:rPr>
                <w:rFonts w:cs="Arial"/>
                <w:color w:val="7F7F7F"/>
                <w:szCs w:val="18"/>
                <w:lang w:eastAsia="en-AU"/>
              </w:rPr>
              <w:t>15 to 19</w:t>
            </w:r>
          </w:p>
        </w:tc>
        <w:tc>
          <w:tcPr>
            <w:tcW w:w="1063" w:type="dxa"/>
            <w:tcBorders>
              <w:top w:val="nil"/>
              <w:left w:val="nil"/>
              <w:bottom w:val="nil"/>
              <w:right w:val="nil"/>
            </w:tcBorders>
            <w:shd w:val="clear" w:color="auto" w:fill="auto"/>
            <w:noWrap/>
            <w:vAlign w:val="center"/>
            <w:hideMark/>
          </w:tcPr>
          <w:p w:rsidR="001E08F1" w:rsidRPr="0034783D" w:rsidRDefault="001E08F1" w:rsidP="00D07A42">
            <w:pPr>
              <w:jc w:val="right"/>
              <w:rPr>
                <w:rFonts w:cs="Arial"/>
                <w:color w:val="7F7F7F"/>
                <w:szCs w:val="18"/>
                <w:lang w:eastAsia="en-AU"/>
              </w:rPr>
            </w:pPr>
            <w:r w:rsidRPr="0034783D">
              <w:rPr>
                <w:rFonts w:cs="Arial"/>
                <w:color w:val="7F7F7F"/>
                <w:szCs w:val="18"/>
                <w:lang w:eastAsia="en-AU"/>
              </w:rPr>
              <w:t>4,135</w:t>
            </w:r>
          </w:p>
        </w:tc>
        <w:tc>
          <w:tcPr>
            <w:tcW w:w="1063" w:type="dxa"/>
            <w:tcBorders>
              <w:top w:val="nil"/>
              <w:left w:val="nil"/>
              <w:bottom w:val="nil"/>
              <w:right w:val="nil"/>
            </w:tcBorders>
            <w:shd w:val="clear" w:color="auto" w:fill="auto"/>
            <w:noWrap/>
            <w:vAlign w:val="center"/>
            <w:hideMark/>
          </w:tcPr>
          <w:p w:rsidR="001E08F1" w:rsidRPr="0034783D" w:rsidRDefault="001E08F1" w:rsidP="00D07A42">
            <w:pPr>
              <w:jc w:val="right"/>
              <w:rPr>
                <w:rFonts w:cs="Arial"/>
                <w:color w:val="7F7F7F"/>
                <w:szCs w:val="18"/>
                <w:lang w:eastAsia="en-AU"/>
              </w:rPr>
            </w:pPr>
            <w:r w:rsidRPr="0034783D">
              <w:rPr>
                <w:rFonts w:cs="Arial"/>
                <w:color w:val="7F7F7F"/>
                <w:szCs w:val="18"/>
                <w:lang w:eastAsia="en-AU"/>
              </w:rPr>
              <w:t>6,805</w:t>
            </w:r>
          </w:p>
        </w:tc>
        <w:tc>
          <w:tcPr>
            <w:tcW w:w="1063" w:type="dxa"/>
            <w:tcBorders>
              <w:top w:val="nil"/>
              <w:left w:val="nil"/>
              <w:bottom w:val="nil"/>
              <w:right w:val="nil"/>
            </w:tcBorders>
            <w:shd w:val="clear" w:color="auto" w:fill="auto"/>
            <w:noWrap/>
            <w:vAlign w:val="center"/>
            <w:hideMark/>
          </w:tcPr>
          <w:p w:rsidR="001E08F1" w:rsidRPr="0034783D" w:rsidRDefault="001E08F1" w:rsidP="00D07A42">
            <w:pPr>
              <w:jc w:val="right"/>
              <w:rPr>
                <w:rFonts w:cs="Arial"/>
                <w:color w:val="7F7F7F"/>
                <w:szCs w:val="18"/>
                <w:lang w:eastAsia="en-AU"/>
              </w:rPr>
            </w:pPr>
            <w:r w:rsidRPr="0034783D">
              <w:rPr>
                <w:rFonts w:cs="Arial"/>
                <w:color w:val="7F7F7F"/>
                <w:szCs w:val="18"/>
                <w:lang w:eastAsia="en-AU"/>
              </w:rPr>
              <w:t>17,872</w:t>
            </w:r>
          </w:p>
        </w:tc>
        <w:tc>
          <w:tcPr>
            <w:tcW w:w="1063" w:type="dxa"/>
            <w:tcBorders>
              <w:top w:val="nil"/>
              <w:left w:val="nil"/>
              <w:bottom w:val="nil"/>
              <w:right w:val="nil"/>
            </w:tcBorders>
            <w:shd w:val="clear" w:color="auto" w:fill="auto"/>
            <w:noWrap/>
            <w:vAlign w:val="center"/>
            <w:hideMark/>
          </w:tcPr>
          <w:p w:rsidR="001E08F1" w:rsidRPr="0034783D" w:rsidRDefault="001E08F1" w:rsidP="00D07A42">
            <w:pPr>
              <w:jc w:val="right"/>
              <w:rPr>
                <w:rFonts w:cs="Arial"/>
                <w:color w:val="7F7F7F"/>
                <w:szCs w:val="18"/>
                <w:lang w:eastAsia="en-AU"/>
              </w:rPr>
            </w:pPr>
            <w:r w:rsidRPr="0034783D">
              <w:rPr>
                <w:rFonts w:cs="Arial"/>
                <w:color w:val="7F7F7F"/>
                <w:szCs w:val="18"/>
                <w:lang w:eastAsia="en-AU"/>
              </w:rPr>
              <w:t>24,676</w:t>
            </w:r>
          </w:p>
        </w:tc>
        <w:tc>
          <w:tcPr>
            <w:tcW w:w="1063" w:type="dxa"/>
            <w:tcBorders>
              <w:top w:val="nil"/>
              <w:left w:val="nil"/>
              <w:bottom w:val="nil"/>
              <w:right w:val="nil"/>
            </w:tcBorders>
            <w:shd w:val="clear" w:color="auto" w:fill="auto"/>
            <w:noWrap/>
            <w:vAlign w:val="center"/>
            <w:hideMark/>
          </w:tcPr>
          <w:p w:rsidR="001E08F1" w:rsidRPr="0034783D" w:rsidRDefault="001E08F1" w:rsidP="00D07A42">
            <w:pPr>
              <w:jc w:val="right"/>
              <w:rPr>
                <w:rFonts w:cs="Arial"/>
                <w:color w:val="7F7F7F"/>
                <w:szCs w:val="18"/>
                <w:lang w:eastAsia="en-AU"/>
              </w:rPr>
            </w:pPr>
            <w:r w:rsidRPr="0034783D">
              <w:rPr>
                <w:rFonts w:cs="Arial"/>
                <w:color w:val="7F7F7F"/>
                <w:szCs w:val="18"/>
                <w:lang w:eastAsia="en-AU"/>
              </w:rPr>
              <w:t>10,965</w:t>
            </w:r>
          </w:p>
        </w:tc>
        <w:tc>
          <w:tcPr>
            <w:tcW w:w="1064" w:type="dxa"/>
            <w:tcBorders>
              <w:top w:val="nil"/>
              <w:left w:val="nil"/>
              <w:bottom w:val="nil"/>
              <w:right w:val="nil"/>
            </w:tcBorders>
            <w:shd w:val="clear" w:color="auto" w:fill="auto"/>
            <w:noWrap/>
            <w:vAlign w:val="center"/>
            <w:hideMark/>
          </w:tcPr>
          <w:p w:rsidR="001E08F1" w:rsidRPr="0034783D" w:rsidRDefault="001E08F1" w:rsidP="00D07A42">
            <w:pPr>
              <w:jc w:val="right"/>
              <w:rPr>
                <w:rFonts w:cs="Arial"/>
                <w:color w:val="7F7F7F"/>
                <w:szCs w:val="18"/>
                <w:lang w:eastAsia="en-AU"/>
              </w:rPr>
            </w:pPr>
            <w:r w:rsidRPr="0034783D">
              <w:rPr>
                <w:rFonts w:cs="Arial"/>
                <w:color w:val="7F7F7F"/>
                <w:szCs w:val="18"/>
                <w:lang w:eastAsia="en-AU"/>
              </w:rPr>
              <w:t>4,821</w:t>
            </w:r>
          </w:p>
        </w:tc>
      </w:tr>
      <w:tr w:rsidR="001E08F1" w:rsidRPr="0034783D" w:rsidTr="00D07A42">
        <w:trPr>
          <w:trHeight w:val="300"/>
        </w:trPr>
        <w:tc>
          <w:tcPr>
            <w:tcW w:w="1716" w:type="dxa"/>
            <w:tcBorders>
              <w:top w:val="nil"/>
              <w:left w:val="nil"/>
              <w:bottom w:val="nil"/>
              <w:right w:val="nil"/>
            </w:tcBorders>
            <w:shd w:val="clear" w:color="auto" w:fill="auto"/>
            <w:noWrap/>
            <w:vAlign w:val="center"/>
            <w:hideMark/>
          </w:tcPr>
          <w:p w:rsidR="001E08F1" w:rsidRPr="0034783D" w:rsidRDefault="001E08F1" w:rsidP="00D07A42">
            <w:pPr>
              <w:rPr>
                <w:rFonts w:cs="Arial"/>
                <w:color w:val="7F7F7F"/>
                <w:szCs w:val="18"/>
                <w:lang w:eastAsia="en-AU"/>
              </w:rPr>
            </w:pPr>
            <w:r w:rsidRPr="0034783D">
              <w:rPr>
                <w:rFonts w:cs="Arial"/>
                <w:color w:val="7F7F7F"/>
                <w:szCs w:val="18"/>
                <w:lang w:eastAsia="en-AU"/>
              </w:rPr>
              <w:t>20 to 24</w:t>
            </w:r>
          </w:p>
        </w:tc>
        <w:tc>
          <w:tcPr>
            <w:tcW w:w="1063" w:type="dxa"/>
            <w:tcBorders>
              <w:top w:val="nil"/>
              <w:left w:val="nil"/>
              <w:bottom w:val="nil"/>
              <w:right w:val="nil"/>
            </w:tcBorders>
            <w:shd w:val="clear" w:color="auto" w:fill="auto"/>
            <w:noWrap/>
            <w:vAlign w:val="center"/>
            <w:hideMark/>
          </w:tcPr>
          <w:p w:rsidR="001E08F1" w:rsidRPr="0034783D" w:rsidRDefault="001E08F1" w:rsidP="00D07A42">
            <w:pPr>
              <w:jc w:val="right"/>
              <w:rPr>
                <w:rFonts w:cs="Arial"/>
                <w:color w:val="7F7F7F"/>
                <w:szCs w:val="18"/>
                <w:lang w:eastAsia="en-AU"/>
              </w:rPr>
            </w:pPr>
            <w:r w:rsidRPr="0034783D">
              <w:rPr>
                <w:rFonts w:cs="Arial"/>
                <w:color w:val="7F7F7F"/>
                <w:szCs w:val="18"/>
                <w:lang w:eastAsia="en-AU"/>
              </w:rPr>
              <w:t>1,839</w:t>
            </w:r>
          </w:p>
        </w:tc>
        <w:tc>
          <w:tcPr>
            <w:tcW w:w="1063" w:type="dxa"/>
            <w:tcBorders>
              <w:top w:val="nil"/>
              <w:left w:val="nil"/>
              <w:bottom w:val="nil"/>
              <w:right w:val="nil"/>
            </w:tcBorders>
            <w:shd w:val="clear" w:color="auto" w:fill="auto"/>
            <w:noWrap/>
            <w:vAlign w:val="center"/>
            <w:hideMark/>
          </w:tcPr>
          <w:p w:rsidR="001E08F1" w:rsidRPr="0034783D" w:rsidRDefault="001E08F1" w:rsidP="00D07A42">
            <w:pPr>
              <w:jc w:val="right"/>
              <w:rPr>
                <w:rFonts w:cs="Arial"/>
                <w:color w:val="7F7F7F"/>
                <w:szCs w:val="18"/>
                <w:lang w:eastAsia="en-AU"/>
              </w:rPr>
            </w:pPr>
            <w:r w:rsidRPr="0034783D">
              <w:rPr>
                <w:rFonts w:cs="Arial"/>
                <w:color w:val="7F7F7F"/>
                <w:szCs w:val="18"/>
                <w:lang w:eastAsia="en-AU"/>
              </w:rPr>
              <w:t>3,496</w:t>
            </w:r>
          </w:p>
        </w:tc>
        <w:tc>
          <w:tcPr>
            <w:tcW w:w="1063" w:type="dxa"/>
            <w:tcBorders>
              <w:top w:val="nil"/>
              <w:left w:val="nil"/>
              <w:bottom w:val="nil"/>
              <w:right w:val="nil"/>
            </w:tcBorders>
            <w:shd w:val="clear" w:color="auto" w:fill="auto"/>
            <w:noWrap/>
            <w:vAlign w:val="center"/>
            <w:hideMark/>
          </w:tcPr>
          <w:p w:rsidR="001E08F1" w:rsidRPr="0034783D" w:rsidRDefault="001E08F1" w:rsidP="00D07A42">
            <w:pPr>
              <w:jc w:val="right"/>
              <w:rPr>
                <w:rFonts w:cs="Arial"/>
                <w:color w:val="7F7F7F"/>
                <w:szCs w:val="18"/>
                <w:lang w:eastAsia="en-AU"/>
              </w:rPr>
            </w:pPr>
            <w:r w:rsidRPr="0034783D">
              <w:rPr>
                <w:rFonts w:cs="Arial"/>
                <w:color w:val="7F7F7F"/>
                <w:szCs w:val="18"/>
                <w:lang w:eastAsia="en-AU"/>
              </w:rPr>
              <w:t>12,120</w:t>
            </w:r>
          </w:p>
        </w:tc>
        <w:tc>
          <w:tcPr>
            <w:tcW w:w="1063" w:type="dxa"/>
            <w:tcBorders>
              <w:top w:val="nil"/>
              <w:left w:val="nil"/>
              <w:bottom w:val="nil"/>
              <w:right w:val="nil"/>
            </w:tcBorders>
            <w:shd w:val="clear" w:color="auto" w:fill="auto"/>
            <w:noWrap/>
            <w:vAlign w:val="center"/>
            <w:hideMark/>
          </w:tcPr>
          <w:p w:rsidR="001E08F1" w:rsidRPr="0034783D" w:rsidRDefault="001E08F1" w:rsidP="00D07A42">
            <w:pPr>
              <w:jc w:val="right"/>
              <w:rPr>
                <w:rFonts w:cs="Arial"/>
                <w:color w:val="7F7F7F"/>
                <w:szCs w:val="18"/>
                <w:lang w:eastAsia="en-AU"/>
              </w:rPr>
            </w:pPr>
            <w:r w:rsidRPr="0034783D">
              <w:rPr>
                <w:rFonts w:cs="Arial"/>
                <w:color w:val="7F7F7F"/>
                <w:szCs w:val="18"/>
                <w:lang w:eastAsia="en-AU"/>
              </w:rPr>
              <w:t>17,144</w:t>
            </w:r>
          </w:p>
        </w:tc>
        <w:tc>
          <w:tcPr>
            <w:tcW w:w="1063" w:type="dxa"/>
            <w:tcBorders>
              <w:top w:val="nil"/>
              <w:left w:val="nil"/>
              <w:bottom w:val="nil"/>
              <w:right w:val="nil"/>
            </w:tcBorders>
            <w:shd w:val="clear" w:color="auto" w:fill="auto"/>
            <w:noWrap/>
            <w:vAlign w:val="center"/>
            <w:hideMark/>
          </w:tcPr>
          <w:p w:rsidR="001E08F1" w:rsidRPr="0034783D" w:rsidRDefault="001E08F1" w:rsidP="00D07A42">
            <w:pPr>
              <w:jc w:val="right"/>
              <w:rPr>
                <w:rFonts w:cs="Arial"/>
                <w:color w:val="7F7F7F"/>
                <w:szCs w:val="18"/>
                <w:lang w:eastAsia="en-AU"/>
              </w:rPr>
            </w:pPr>
            <w:r w:rsidRPr="0034783D">
              <w:rPr>
                <w:rFonts w:cs="Arial"/>
                <w:color w:val="7F7F7F"/>
                <w:szCs w:val="18"/>
                <w:lang w:eastAsia="en-AU"/>
              </w:rPr>
              <w:t>8,718</w:t>
            </w:r>
          </w:p>
        </w:tc>
        <w:tc>
          <w:tcPr>
            <w:tcW w:w="1064" w:type="dxa"/>
            <w:tcBorders>
              <w:top w:val="nil"/>
              <w:left w:val="nil"/>
              <w:bottom w:val="nil"/>
              <w:right w:val="nil"/>
            </w:tcBorders>
            <w:shd w:val="clear" w:color="auto" w:fill="auto"/>
            <w:noWrap/>
            <w:vAlign w:val="center"/>
            <w:hideMark/>
          </w:tcPr>
          <w:p w:rsidR="001E08F1" w:rsidRPr="0034783D" w:rsidRDefault="001E08F1" w:rsidP="00D07A42">
            <w:pPr>
              <w:jc w:val="right"/>
              <w:rPr>
                <w:rFonts w:cs="Arial"/>
                <w:color w:val="7F7F7F"/>
                <w:szCs w:val="18"/>
                <w:lang w:eastAsia="en-AU"/>
              </w:rPr>
            </w:pPr>
            <w:r w:rsidRPr="0034783D">
              <w:rPr>
                <w:rFonts w:cs="Arial"/>
                <w:color w:val="7F7F7F"/>
                <w:szCs w:val="18"/>
                <w:lang w:eastAsia="en-AU"/>
              </w:rPr>
              <w:t>3,853</w:t>
            </w:r>
          </w:p>
        </w:tc>
      </w:tr>
      <w:tr w:rsidR="001E08F1" w:rsidRPr="0034783D" w:rsidTr="00D07A42">
        <w:trPr>
          <w:trHeight w:val="300"/>
        </w:trPr>
        <w:tc>
          <w:tcPr>
            <w:tcW w:w="1716" w:type="dxa"/>
            <w:tcBorders>
              <w:top w:val="nil"/>
              <w:left w:val="nil"/>
              <w:bottom w:val="nil"/>
              <w:right w:val="nil"/>
            </w:tcBorders>
            <w:shd w:val="clear" w:color="auto" w:fill="auto"/>
            <w:noWrap/>
            <w:vAlign w:val="center"/>
            <w:hideMark/>
          </w:tcPr>
          <w:p w:rsidR="001E08F1" w:rsidRPr="0034783D" w:rsidRDefault="001E08F1" w:rsidP="00D07A42">
            <w:pPr>
              <w:rPr>
                <w:rFonts w:cs="Arial"/>
                <w:color w:val="7F7F7F"/>
                <w:szCs w:val="18"/>
                <w:lang w:eastAsia="en-AU"/>
              </w:rPr>
            </w:pPr>
            <w:r w:rsidRPr="0034783D">
              <w:rPr>
                <w:rFonts w:cs="Arial"/>
                <w:color w:val="7F7F7F"/>
                <w:szCs w:val="18"/>
                <w:lang w:eastAsia="en-AU"/>
              </w:rPr>
              <w:t>25 to 44</w:t>
            </w:r>
          </w:p>
        </w:tc>
        <w:tc>
          <w:tcPr>
            <w:tcW w:w="1063" w:type="dxa"/>
            <w:tcBorders>
              <w:top w:val="nil"/>
              <w:left w:val="nil"/>
              <w:bottom w:val="nil"/>
              <w:right w:val="nil"/>
            </w:tcBorders>
            <w:shd w:val="clear" w:color="auto" w:fill="auto"/>
            <w:noWrap/>
            <w:vAlign w:val="center"/>
            <w:hideMark/>
          </w:tcPr>
          <w:p w:rsidR="001E08F1" w:rsidRPr="0034783D" w:rsidRDefault="001E08F1" w:rsidP="00D07A42">
            <w:pPr>
              <w:jc w:val="right"/>
              <w:rPr>
                <w:rFonts w:cs="Arial"/>
                <w:color w:val="7F7F7F"/>
                <w:szCs w:val="18"/>
                <w:lang w:eastAsia="en-AU"/>
              </w:rPr>
            </w:pPr>
            <w:r w:rsidRPr="0034783D">
              <w:rPr>
                <w:rFonts w:cs="Arial"/>
                <w:color w:val="7F7F7F"/>
                <w:szCs w:val="18"/>
                <w:lang w:eastAsia="en-AU"/>
              </w:rPr>
              <w:t>6,684</w:t>
            </w:r>
          </w:p>
        </w:tc>
        <w:tc>
          <w:tcPr>
            <w:tcW w:w="1063" w:type="dxa"/>
            <w:tcBorders>
              <w:top w:val="nil"/>
              <w:left w:val="nil"/>
              <w:bottom w:val="nil"/>
              <w:right w:val="nil"/>
            </w:tcBorders>
            <w:shd w:val="clear" w:color="auto" w:fill="auto"/>
            <w:noWrap/>
            <w:vAlign w:val="center"/>
            <w:hideMark/>
          </w:tcPr>
          <w:p w:rsidR="001E08F1" w:rsidRPr="0034783D" w:rsidRDefault="001E08F1" w:rsidP="00D07A42">
            <w:pPr>
              <w:jc w:val="right"/>
              <w:rPr>
                <w:rFonts w:cs="Arial"/>
                <w:color w:val="7F7F7F"/>
                <w:szCs w:val="18"/>
                <w:lang w:eastAsia="en-AU"/>
              </w:rPr>
            </w:pPr>
            <w:r w:rsidRPr="0034783D">
              <w:rPr>
                <w:rFonts w:cs="Arial"/>
                <w:color w:val="7F7F7F"/>
                <w:szCs w:val="18"/>
                <w:lang w:eastAsia="en-AU"/>
              </w:rPr>
              <w:t>9,525</w:t>
            </w:r>
          </w:p>
        </w:tc>
        <w:tc>
          <w:tcPr>
            <w:tcW w:w="1063" w:type="dxa"/>
            <w:tcBorders>
              <w:top w:val="nil"/>
              <w:left w:val="nil"/>
              <w:bottom w:val="nil"/>
              <w:right w:val="nil"/>
            </w:tcBorders>
            <w:shd w:val="clear" w:color="auto" w:fill="auto"/>
            <w:noWrap/>
            <w:vAlign w:val="center"/>
            <w:hideMark/>
          </w:tcPr>
          <w:p w:rsidR="001E08F1" w:rsidRPr="0034783D" w:rsidRDefault="001E08F1" w:rsidP="00D07A42">
            <w:pPr>
              <w:jc w:val="right"/>
              <w:rPr>
                <w:rFonts w:cs="Arial"/>
                <w:color w:val="7F7F7F"/>
                <w:szCs w:val="18"/>
                <w:lang w:eastAsia="en-AU"/>
              </w:rPr>
            </w:pPr>
            <w:r w:rsidRPr="0034783D">
              <w:rPr>
                <w:rFonts w:cs="Arial"/>
                <w:color w:val="7F7F7F"/>
                <w:szCs w:val="18"/>
                <w:lang w:eastAsia="en-AU"/>
              </w:rPr>
              <w:t>18,994</w:t>
            </w:r>
          </w:p>
        </w:tc>
        <w:tc>
          <w:tcPr>
            <w:tcW w:w="1063" w:type="dxa"/>
            <w:tcBorders>
              <w:top w:val="nil"/>
              <w:left w:val="nil"/>
              <w:bottom w:val="nil"/>
              <w:right w:val="nil"/>
            </w:tcBorders>
            <w:shd w:val="clear" w:color="auto" w:fill="auto"/>
            <w:noWrap/>
            <w:vAlign w:val="center"/>
            <w:hideMark/>
          </w:tcPr>
          <w:p w:rsidR="001E08F1" w:rsidRPr="0034783D" w:rsidRDefault="001E08F1" w:rsidP="00D07A42">
            <w:pPr>
              <w:jc w:val="right"/>
              <w:rPr>
                <w:rFonts w:cs="Arial"/>
                <w:color w:val="7F7F7F"/>
                <w:szCs w:val="18"/>
                <w:lang w:eastAsia="en-AU"/>
              </w:rPr>
            </w:pPr>
            <w:r w:rsidRPr="0034783D">
              <w:rPr>
                <w:rFonts w:cs="Arial"/>
                <w:color w:val="7F7F7F"/>
                <w:szCs w:val="18"/>
                <w:lang w:eastAsia="en-AU"/>
              </w:rPr>
              <w:t>25,376</w:t>
            </w:r>
          </w:p>
        </w:tc>
        <w:tc>
          <w:tcPr>
            <w:tcW w:w="1063" w:type="dxa"/>
            <w:tcBorders>
              <w:top w:val="nil"/>
              <w:left w:val="nil"/>
              <w:bottom w:val="nil"/>
              <w:right w:val="nil"/>
            </w:tcBorders>
            <w:shd w:val="clear" w:color="auto" w:fill="auto"/>
            <w:noWrap/>
            <w:vAlign w:val="center"/>
            <w:hideMark/>
          </w:tcPr>
          <w:p w:rsidR="001E08F1" w:rsidRPr="0034783D" w:rsidRDefault="001E08F1" w:rsidP="00D07A42">
            <w:pPr>
              <w:jc w:val="right"/>
              <w:rPr>
                <w:rFonts w:cs="Arial"/>
                <w:color w:val="7F7F7F"/>
                <w:szCs w:val="18"/>
                <w:lang w:eastAsia="en-AU"/>
              </w:rPr>
            </w:pPr>
            <w:r w:rsidRPr="0034783D">
              <w:rPr>
                <w:rFonts w:cs="Arial"/>
                <w:color w:val="7F7F7F"/>
                <w:szCs w:val="18"/>
                <w:lang w:eastAsia="en-AU"/>
              </w:rPr>
              <w:t>15,489</w:t>
            </w:r>
          </w:p>
        </w:tc>
        <w:tc>
          <w:tcPr>
            <w:tcW w:w="1064" w:type="dxa"/>
            <w:tcBorders>
              <w:top w:val="nil"/>
              <w:left w:val="nil"/>
              <w:bottom w:val="nil"/>
              <w:right w:val="nil"/>
            </w:tcBorders>
            <w:shd w:val="clear" w:color="auto" w:fill="auto"/>
            <w:noWrap/>
            <w:vAlign w:val="center"/>
            <w:hideMark/>
          </w:tcPr>
          <w:p w:rsidR="001E08F1" w:rsidRPr="0034783D" w:rsidRDefault="001E08F1" w:rsidP="00D07A42">
            <w:pPr>
              <w:jc w:val="right"/>
              <w:rPr>
                <w:rFonts w:cs="Arial"/>
                <w:color w:val="7F7F7F"/>
                <w:szCs w:val="18"/>
                <w:lang w:eastAsia="en-AU"/>
              </w:rPr>
            </w:pPr>
            <w:r w:rsidRPr="0034783D">
              <w:rPr>
                <w:rFonts w:cs="Arial"/>
                <w:color w:val="7F7F7F"/>
                <w:szCs w:val="18"/>
                <w:lang w:eastAsia="en-AU"/>
              </w:rPr>
              <w:t>9,205</w:t>
            </w:r>
          </w:p>
        </w:tc>
      </w:tr>
      <w:tr w:rsidR="001E08F1" w:rsidRPr="0034783D" w:rsidTr="00D07A42">
        <w:trPr>
          <w:trHeight w:val="300"/>
        </w:trPr>
        <w:tc>
          <w:tcPr>
            <w:tcW w:w="1716" w:type="dxa"/>
            <w:tcBorders>
              <w:top w:val="nil"/>
              <w:left w:val="nil"/>
              <w:bottom w:val="nil"/>
              <w:right w:val="nil"/>
            </w:tcBorders>
            <w:shd w:val="clear" w:color="auto" w:fill="auto"/>
            <w:noWrap/>
            <w:vAlign w:val="center"/>
            <w:hideMark/>
          </w:tcPr>
          <w:p w:rsidR="001E08F1" w:rsidRPr="0034783D" w:rsidRDefault="001E08F1" w:rsidP="00D07A42">
            <w:pPr>
              <w:rPr>
                <w:rFonts w:cs="Arial"/>
                <w:color w:val="7F7F7F"/>
                <w:szCs w:val="18"/>
                <w:lang w:eastAsia="en-AU"/>
              </w:rPr>
            </w:pPr>
            <w:r w:rsidRPr="0034783D">
              <w:rPr>
                <w:rFonts w:cs="Arial"/>
                <w:color w:val="7F7F7F"/>
                <w:szCs w:val="18"/>
                <w:lang w:eastAsia="en-AU"/>
              </w:rPr>
              <w:t>45 to 64</w:t>
            </w:r>
          </w:p>
        </w:tc>
        <w:tc>
          <w:tcPr>
            <w:tcW w:w="1063" w:type="dxa"/>
            <w:tcBorders>
              <w:top w:val="nil"/>
              <w:left w:val="nil"/>
              <w:bottom w:val="nil"/>
              <w:right w:val="nil"/>
            </w:tcBorders>
            <w:shd w:val="clear" w:color="auto" w:fill="auto"/>
            <w:noWrap/>
            <w:vAlign w:val="center"/>
            <w:hideMark/>
          </w:tcPr>
          <w:p w:rsidR="001E08F1" w:rsidRPr="0034783D" w:rsidRDefault="001E08F1" w:rsidP="00D07A42">
            <w:pPr>
              <w:jc w:val="right"/>
              <w:rPr>
                <w:rFonts w:cs="Arial"/>
                <w:color w:val="7F7F7F"/>
                <w:szCs w:val="18"/>
                <w:lang w:eastAsia="en-AU"/>
              </w:rPr>
            </w:pPr>
            <w:r w:rsidRPr="0034783D">
              <w:rPr>
                <w:rFonts w:cs="Arial"/>
                <w:color w:val="7F7F7F"/>
                <w:szCs w:val="18"/>
                <w:lang w:eastAsia="en-AU"/>
              </w:rPr>
              <w:t>3,547</w:t>
            </w:r>
          </w:p>
        </w:tc>
        <w:tc>
          <w:tcPr>
            <w:tcW w:w="1063" w:type="dxa"/>
            <w:tcBorders>
              <w:top w:val="nil"/>
              <w:left w:val="nil"/>
              <w:bottom w:val="nil"/>
              <w:right w:val="nil"/>
            </w:tcBorders>
            <w:shd w:val="clear" w:color="auto" w:fill="auto"/>
            <w:noWrap/>
            <w:vAlign w:val="center"/>
            <w:hideMark/>
          </w:tcPr>
          <w:p w:rsidR="001E08F1" w:rsidRPr="0034783D" w:rsidRDefault="001E08F1" w:rsidP="00D07A42">
            <w:pPr>
              <w:jc w:val="right"/>
              <w:rPr>
                <w:rFonts w:cs="Arial"/>
                <w:color w:val="7F7F7F"/>
                <w:szCs w:val="18"/>
                <w:lang w:eastAsia="en-AU"/>
              </w:rPr>
            </w:pPr>
            <w:r w:rsidRPr="0034783D">
              <w:rPr>
                <w:rFonts w:cs="Arial"/>
                <w:color w:val="7F7F7F"/>
                <w:szCs w:val="18"/>
                <w:lang w:eastAsia="en-AU"/>
              </w:rPr>
              <w:t>5,178</w:t>
            </w:r>
          </w:p>
        </w:tc>
        <w:tc>
          <w:tcPr>
            <w:tcW w:w="1063" w:type="dxa"/>
            <w:tcBorders>
              <w:top w:val="nil"/>
              <w:left w:val="nil"/>
              <w:bottom w:val="nil"/>
              <w:right w:val="nil"/>
            </w:tcBorders>
            <w:shd w:val="clear" w:color="auto" w:fill="auto"/>
            <w:noWrap/>
            <w:vAlign w:val="center"/>
            <w:hideMark/>
          </w:tcPr>
          <w:p w:rsidR="001E08F1" w:rsidRPr="0034783D" w:rsidRDefault="001E08F1" w:rsidP="00D07A42">
            <w:pPr>
              <w:jc w:val="right"/>
              <w:rPr>
                <w:rFonts w:cs="Arial"/>
                <w:color w:val="7F7F7F"/>
                <w:szCs w:val="18"/>
                <w:lang w:eastAsia="en-AU"/>
              </w:rPr>
            </w:pPr>
            <w:r w:rsidRPr="0034783D">
              <w:rPr>
                <w:rFonts w:cs="Arial"/>
                <w:color w:val="7F7F7F"/>
                <w:szCs w:val="18"/>
                <w:lang w:eastAsia="en-AU"/>
              </w:rPr>
              <w:t>10,422</w:t>
            </w:r>
          </w:p>
        </w:tc>
        <w:tc>
          <w:tcPr>
            <w:tcW w:w="1063" w:type="dxa"/>
            <w:tcBorders>
              <w:top w:val="nil"/>
              <w:left w:val="nil"/>
              <w:bottom w:val="nil"/>
              <w:right w:val="nil"/>
            </w:tcBorders>
            <w:shd w:val="clear" w:color="auto" w:fill="auto"/>
            <w:noWrap/>
            <w:vAlign w:val="center"/>
            <w:hideMark/>
          </w:tcPr>
          <w:p w:rsidR="001E08F1" w:rsidRPr="0034783D" w:rsidRDefault="001E08F1" w:rsidP="00D07A42">
            <w:pPr>
              <w:jc w:val="right"/>
              <w:rPr>
                <w:rFonts w:cs="Arial"/>
                <w:color w:val="7F7F7F"/>
                <w:szCs w:val="18"/>
                <w:lang w:eastAsia="en-AU"/>
              </w:rPr>
            </w:pPr>
            <w:r w:rsidRPr="0034783D">
              <w:rPr>
                <w:rFonts w:cs="Arial"/>
                <w:color w:val="7F7F7F"/>
                <w:szCs w:val="18"/>
                <w:lang w:eastAsia="en-AU"/>
              </w:rPr>
              <w:t>13,201</w:t>
            </w:r>
          </w:p>
        </w:tc>
        <w:tc>
          <w:tcPr>
            <w:tcW w:w="1063" w:type="dxa"/>
            <w:tcBorders>
              <w:top w:val="nil"/>
              <w:left w:val="nil"/>
              <w:bottom w:val="nil"/>
              <w:right w:val="nil"/>
            </w:tcBorders>
            <w:shd w:val="clear" w:color="auto" w:fill="auto"/>
            <w:noWrap/>
            <w:vAlign w:val="center"/>
            <w:hideMark/>
          </w:tcPr>
          <w:p w:rsidR="001E08F1" w:rsidRPr="0034783D" w:rsidRDefault="001E08F1" w:rsidP="00D07A42">
            <w:pPr>
              <w:jc w:val="right"/>
              <w:rPr>
                <w:rFonts w:cs="Arial"/>
                <w:color w:val="7F7F7F"/>
                <w:szCs w:val="18"/>
                <w:lang w:eastAsia="en-AU"/>
              </w:rPr>
            </w:pPr>
            <w:r w:rsidRPr="0034783D">
              <w:rPr>
                <w:rFonts w:cs="Arial"/>
                <w:color w:val="7F7F7F"/>
                <w:szCs w:val="18"/>
                <w:lang w:eastAsia="en-AU"/>
              </w:rPr>
              <w:t>10,193</w:t>
            </w:r>
          </w:p>
        </w:tc>
        <w:tc>
          <w:tcPr>
            <w:tcW w:w="1064" w:type="dxa"/>
            <w:tcBorders>
              <w:top w:val="nil"/>
              <w:left w:val="nil"/>
              <w:bottom w:val="nil"/>
              <w:right w:val="nil"/>
            </w:tcBorders>
            <w:shd w:val="clear" w:color="auto" w:fill="auto"/>
            <w:noWrap/>
            <w:vAlign w:val="center"/>
            <w:hideMark/>
          </w:tcPr>
          <w:p w:rsidR="001E08F1" w:rsidRPr="0034783D" w:rsidRDefault="001E08F1" w:rsidP="00D07A42">
            <w:pPr>
              <w:jc w:val="right"/>
              <w:rPr>
                <w:rFonts w:cs="Arial"/>
                <w:color w:val="7F7F7F"/>
                <w:szCs w:val="18"/>
                <w:lang w:eastAsia="en-AU"/>
              </w:rPr>
            </w:pPr>
            <w:r w:rsidRPr="0034783D">
              <w:rPr>
                <w:rFonts w:cs="Arial"/>
                <w:color w:val="7F7F7F"/>
                <w:szCs w:val="18"/>
                <w:lang w:eastAsia="en-AU"/>
              </w:rPr>
              <w:t>8,590</w:t>
            </w:r>
          </w:p>
        </w:tc>
      </w:tr>
      <w:tr w:rsidR="001E08F1" w:rsidRPr="0034783D" w:rsidTr="00D07A42">
        <w:trPr>
          <w:trHeight w:val="300"/>
        </w:trPr>
        <w:tc>
          <w:tcPr>
            <w:tcW w:w="1716" w:type="dxa"/>
            <w:tcBorders>
              <w:top w:val="nil"/>
              <w:left w:val="nil"/>
              <w:bottom w:val="nil"/>
              <w:right w:val="nil"/>
            </w:tcBorders>
            <w:shd w:val="clear" w:color="auto" w:fill="auto"/>
            <w:noWrap/>
            <w:vAlign w:val="center"/>
            <w:hideMark/>
          </w:tcPr>
          <w:p w:rsidR="001E08F1" w:rsidRPr="0034783D" w:rsidRDefault="001E08F1" w:rsidP="00D07A42">
            <w:pPr>
              <w:rPr>
                <w:rFonts w:cs="Arial"/>
                <w:color w:val="7F7F7F"/>
                <w:szCs w:val="18"/>
                <w:lang w:eastAsia="en-AU"/>
              </w:rPr>
            </w:pPr>
            <w:r w:rsidRPr="0034783D">
              <w:rPr>
                <w:rFonts w:cs="Arial"/>
                <w:color w:val="7F7F7F"/>
                <w:szCs w:val="18"/>
                <w:lang w:eastAsia="en-AU"/>
              </w:rPr>
              <w:t>Other*</w:t>
            </w:r>
          </w:p>
        </w:tc>
        <w:tc>
          <w:tcPr>
            <w:tcW w:w="1063" w:type="dxa"/>
            <w:tcBorders>
              <w:top w:val="nil"/>
              <w:left w:val="nil"/>
              <w:bottom w:val="nil"/>
              <w:right w:val="nil"/>
            </w:tcBorders>
            <w:shd w:val="clear" w:color="auto" w:fill="auto"/>
            <w:noWrap/>
            <w:vAlign w:val="center"/>
            <w:hideMark/>
          </w:tcPr>
          <w:p w:rsidR="001E08F1" w:rsidRPr="0034783D" w:rsidRDefault="001E08F1" w:rsidP="00D07A42">
            <w:pPr>
              <w:jc w:val="right"/>
              <w:rPr>
                <w:rFonts w:cs="Arial"/>
                <w:color w:val="7F7F7F"/>
                <w:szCs w:val="18"/>
                <w:lang w:eastAsia="en-AU"/>
              </w:rPr>
            </w:pPr>
            <w:r w:rsidRPr="0034783D">
              <w:rPr>
                <w:rFonts w:cs="Arial"/>
                <w:color w:val="7F7F7F"/>
                <w:szCs w:val="18"/>
                <w:lang w:eastAsia="en-AU"/>
              </w:rPr>
              <w:t>478</w:t>
            </w:r>
          </w:p>
        </w:tc>
        <w:tc>
          <w:tcPr>
            <w:tcW w:w="1063" w:type="dxa"/>
            <w:tcBorders>
              <w:top w:val="nil"/>
              <w:left w:val="nil"/>
              <w:bottom w:val="nil"/>
              <w:right w:val="nil"/>
            </w:tcBorders>
            <w:shd w:val="clear" w:color="auto" w:fill="auto"/>
            <w:noWrap/>
            <w:vAlign w:val="center"/>
            <w:hideMark/>
          </w:tcPr>
          <w:p w:rsidR="001E08F1" w:rsidRPr="0034783D" w:rsidRDefault="001E08F1" w:rsidP="00D07A42">
            <w:pPr>
              <w:jc w:val="right"/>
              <w:rPr>
                <w:rFonts w:cs="Arial"/>
                <w:color w:val="7F7F7F"/>
                <w:szCs w:val="18"/>
                <w:lang w:eastAsia="en-AU"/>
              </w:rPr>
            </w:pPr>
            <w:r w:rsidRPr="0034783D">
              <w:rPr>
                <w:rFonts w:cs="Arial"/>
                <w:color w:val="7F7F7F"/>
                <w:szCs w:val="18"/>
                <w:lang w:eastAsia="en-AU"/>
              </w:rPr>
              <w:t>496</w:t>
            </w:r>
          </w:p>
        </w:tc>
        <w:tc>
          <w:tcPr>
            <w:tcW w:w="1063" w:type="dxa"/>
            <w:tcBorders>
              <w:top w:val="nil"/>
              <w:left w:val="nil"/>
              <w:bottom w:val="nil"/>
              <w:right w:val="nil"/>
            </w:tcBorders>
            <w:shd w:val="clear" w:color="auto" w:fill="auto"/>
            <w:noWrap/>
            <w:vAlign w:val="center"/>
            <w:hideMark/>
          </w:tcPr>
          <w:p w:rsidR="001E08F1" w:rsidRPr="0034783D" w:rsidRDefault="001E08F1" w:rsidP="00D07A42">
            <w:pPr>
              <w:jc w:val="right"/>
              <w:rPr>
                <w:rFonts w:cs="Arial"/>
                <w:color w:val="7F7F7F"/>
                <w:szCs w:val="18"/>
                <w:lang w:eastAsia="en-AU"/>
              </w:rPr>
            </w:pPr>
            <w:r w:rsidRPr="0034783D">
              <w:rPr>
                <w:rFonts w:cs="Arial"/>
                <w:color w:val="7F7F7F"/>
                <w:szCs w:val="18"/>
                <w:lang w:eastAsia="en-AU"/>
              </w:rPr>
              <w:t>2,150</w:t>
            </w:r>
          </w:p>
        </w:tc>
        <w:tc>
          <w:tcPr>
            <w:tcW w:w="1063" w:type="dxa"/>
            <w:tcBorders>
              <w:top w:val="nil"/>
              <w:left w:val="nil"/>
              <w:bottom w:val="nil"/>
              <w:right w:val="nil"/>
            </w:tcBorders>
            <w:shd w:val="clear" w:color="auto" w:fill="auto"/>
            <w:noWrap/>
            <w:vAlign w:val="center"/>
            <w:hideMark/>
          </w:tcPr>
          <w:p w:rsidR="001E08F1" w:rsidRPr="0034783D" w:rsidRDefault="001E08F1" w:rsidP="00D07A42">
            <w:pPr>
              <w:jc w:val="right"/>
              <w:rPr>
                <w:rFonts w:cs="Arial"/>
                <w:color w:val="7F7F7F"/>
                <w:szCs w:val="18"/>
                <w:lang w:eastAsia="en-AU"/>
              </w:rPr>
            </w:pPr>
            <w:r w:rsidRPr="0034783D">
              <w:rPr>
                <w:rFonts w:cs="Arial"/>
                <w:color w:val="7F7F7F"/>
                <w:szCs w:val="18"/>
                <w:lang w:eastAsia="en-AU"/>
              </w:rPr>
              <w:t>2,147</w:t>
            </w:r>
          </w:p>
        </w:tc>
        <w:tc>
          <w:tcPr>
            <w:tcW w:w="1063" w:type="dxa"/>
            <w:tcBorders>
              <w:top w:val="nil"/>
              <w:left w:val="nil"/>
              <w:bottom w:val="nil"/>
              <w:right w:val="nil"/>
            </w:tcBorders>
            <w:shd w:val="clear" w:color="auto" w:fill="auto"/>
            <w:noWrap/>
            <w:vAlign w:val="center"/>
            <w:hideMark/>
          </w:tcPr>
          <w:p w:rsidR="001E08F1" w:rsidRPr="0034783D" w:rsidRDefault="001E08F1" w:rsidP="00D07A42">
            <w:pPr>
              <w:jc w:val="right"/>
              <w:rPr>
                <w:rFonts w:cs="Arial"/>
                <w:color w:val="7F7F7F"/>
                <w:szCs w:val="18"/>
                <w:lang w:eastAsia="en-AU"/>
              </w:rPr>
            </w:pPr>
            <w:r w:rsidRPr="0034783D">
              <w:rPr>
                <w:rFonts w:cs="Arial"/>
                <w:color w:val="7F7F7F"/>
                <w:szCs w:val="18"/>
                <w:lang w:eastAsia="en-AU"/>
              </w:rPr>
              <w:t>1,994</w:t>
            </w:r>
          </w:p>
        </w:tc>
        <w:tc>
          <w:tcPr>
            <w:tcW w:w="1064" w:type="dxa"/>
            <w:tcBorders>
              <w:top w:val="nil"/>
              <w:left w:val="nil"/>
              <w:bottom w:val="nil"/>
              <w:right w:val="nil"/>
            </w:tcBorders>
            <w:shd w:val="clear" w:color="auto" w:fill="auto"/>
            <w:noWrap/>
            <w:vAlign w:val="center"/>
            <w:hideMark/>
          </w:tcPr>
          <w:p w:rsidR="001E08F1" w:rsidRPr="0034783D" w:rsidRDefault="001E08F1" w:rsidP="00D07A42">
            <w:pPr>
              <w:jc w:val="right"/>
              <w:rPr>
                <w:rFonts w:cs="Arial"/>
                <w:color w:val="7F7F7F"/>
                <w:szCs w:val="18"/>
                <w:lang w:eastAsia="en-AU"/>
              </w:rPr>
            </w:pPr>
            <w:r w:rsidRPr="0034783D">
              <w:rPr>
                <w:rFonts w:cs="Arial"/>
                <w:color w:val="7F7F7F"/>
                <w:szCs w:val="18"/>
                <w:lang w:eastAsia="en-AU"/>
              </w:rPr>
              <w:t>1,892</w:t>
            </w:r>
          </w:p>
        </w:tc>
      </w:tr>
      <w:tr w:rsidR="001E08F1" w:rsidRPr="0034783D" w:rsidTr="00D07A42">
        <w:trPr>
          <w:trHeight w:val="300"/>
        </w:trPr>
        <w:tc>
          <w:tcPr>
            <w:tcW w:w="1716" w:type="dxa"/>
            <w:tcBorders>
              <w:top w:val="nil"/>
              <w:left w:val="nil"/>
              <w:bottom w:val="nil"/>
              <w:right w:val="nil"/>
            </w:tcBorders>
            <w:shd w:val="clear" w:color="000000" w:fill="7F7F7F"/>
            <w:noWrap/>
            <w:vAlign w:val="center"/>
            <w:hideMark/>
          </w:tcPr>
          <w:p w:rsidR="001E08F1" w:rsidRPr="0034783D" w:rsidRDefault="001E08F1" w:rsidP="00D07A42">
            <w:pPr>
              <w:rPr>
                <w:rFonts w:cs="Arial"/>
                <w:b/>
                <w:bCs/>
                <w:color w:val="FFFFFF"/>
                <w:szCs w:val="18"/>
                <w:lang w:eastAsia="en-AU"/>
              </w:rPr>
            </w:pPr>
            <w:r w:rsidRPr="0034783D">
              <w:rPr>
                <w:rFonts w:cs="Arial"/>
                <w:b/>
                <w:bCs/>
                <w:color w:val="FFFFFF"/>
                <w:szCs w:val="18"/>
                <w:lang w:eastAsia="en-AU"/>
              </w:rPr>
              <w:t>Total</w:t>
            </w:r>
          </w:p>
        </w:tc>
        <w:tc>
          <w:tcPr>
            <w:tcW w:w="1063" w:type="dxa"/>
            <w:tcBorders>
              <w:top w:val="nil"/>
              <w:left w:val="nil"/>
              <w:bottom w:val="nil"/>
              <w:right w:val="nil"/>
            </w:tcBorders>
            <w:shd w:val="clear" w:color="000000" w:fill="7F7F7F"/>
            <w:noWrap/>
            <w:vAlign w:val="center"/>
            <w:hideMark/>
          </w:tcPr>
          <w:p w:rsidR="001E08F1" w:rsidRPr="0034783D" w:rsidRDefault="001E08F1" w:rsidP="00D07A42">
            <w:pPr>
              <w:jc w:val="right"/>
              <w:rPr>
                <w:rFonts w:cs="Arial"/>
                <w:b/>
                <w:bCs/>
                <w:color w:val="FFFFFF"/>
                <w:szCs w:val="18"/>
                <w:lang w:eastAsia="en-AU"/>
              </w:rPr>
            </w:pPr>
            <w:r w:rsidRPr="0034783D">
              <w:rPr>
                <w:rFonts w:cs="Arial"/>
                <w:b/>
                <w:bCs/>
                <w:color w:val="FFFFFF"/>
                <w:szCs w:val="18"/>
                <w:lang w:eastAsia="en-AU"/>
              </w:rPr>
              <w:t>16,683</w:t>
            </w:r>
          </w:p>
        </w:tc>
        <w:tc>
          <w:tcPr>
            <w:tcW w:w="1063" w:type="dxa"/>
            <w:tcBorders>
              <w:top w:val="nil"/>
              <w:left w:val="nil"/>
              <w:bottom w:val="nil"/>
              <w:right w:val="nil"/>
            </w:tcBorders>
            <w:shd w:val="clear" w:color="000000" w:fill="7F7F7F"/>
            <w:noWrap/>
            <w:vAlign w:val="center"/>
            <w:hideMark/>
          </w:tcPr>
          <w:p w:rsidR="001E08F1" w:rsidRPr="0034783D" w:rsidRDefault="001E08F1" w:rsidP="00D07A42">
            <w:pPr>
              <w:jc w:val="right"/>
              <w:rPr>
                <w:rFonts w:cs="Arial"/>
                <w:b/>
                <w:bCs/>
                <w:color w:val="FFFFFF"/>
                <w:szCs w:val="18"/>
                <w:lang w:eastAsia="en-AU"/>
              </w:rPr>
            </w:pPr>
            <w:r w:rsidRPr="0034783D">
              <w:rPr>
                <w:rFonts w:cs="Arial"/>
                <w:b/>
                <w:bCs/>
                <w:color w:val="FFFFFF"/>
                <w:szCs w:val="18"/>
                <w:lang w:eastAsia="en-AU"/>
              </w:rPr>
              <w:t>25,500</w:t>
            </w:r>
          </w:p>
        </w:tc>
        <w:tc>
          <w:tcPr>
            <w:tcW w:w="1063" w:type="dxa"/>
            <w:tcBorders>
              <w:top w:val="nil"/>
              <w:left w:val="nil"/>
              <w:bottom w:val="nil"/>
              <w:right w:val="nil"/>
            </w:tcBorders>
            <w:shd w:val="clear" w:color="000000" w:fill="7F7F7F"/>
            <w:noWrap/>
            <w:vAlign w:val="center"/>
            <w:hideMark/>
          </w:tcPr>
          <w:p w:rsidR="001E08F1" w:rsidRPr="0034783D" w:rsidRDefault="001E08F1" w:rsidP="00D07A42">
            <w:pPr>
              <w:jc w:val="right"/>
              <w:rPr>
                <w:rFonts w:cs="Arial"/>
                <w:b/>
                <w:bCs/>
                <w:color w:val="FFFFFF"/>
                <w:szCs w:val="18"/>
                <w:lang w:eastAsia="en-AU"/>
              </w:rPr>
            </w:pPr>
            <w:r w:rsidRPr="0034783D">
              <w:rPr>
                <w:rFonts w:cs="Arial"/>
                <w:b/>
                <w:bCs/>
                <w:color w:val="FFFFFF"/>
                <w:szCs w:val="18"/>
                <w:lang w:eastAsia="en-AU"/>
              </w:rPr>
              <w:t>61,558</w:t>
            </w:r>
          </w:p>
        </w:tc>
        <w:tc>
          <w:tcPr>
            <w:tcW w:w="1063" w:type="dxa"/>
            <w:tcBorders>
              <w:top w:val="nil"/>
              <w:left w:val="nil"/>
              <w:bottom w:val="nil"/>
              <w:right w:val="nil"/>
            </w:tcBorders>
            <w:shd w:val="clear" w:color="000000" w:fill="7F7F7F"/>
            <w:noWrap/>
            <w:vAlign w:val="center"/>
            <w:hideMark/>
          </w:tcPr>
          <w:p w:rsidR="001E08F1" w:rsidRPr="0034783D" w:rsidRDefault="001E08F1" w:rsidP="00D07A42">
            <w:pPr>
              <w:jc w:val="right"/>
              <w:rPr>
                <w:rFonts w:cs="Arial"/>
                <w:b/>
                <w:bCs/>
                <w:color w:val="FFFFFF"/>
                <w:szCs w:val="18"/>
                <w:lang w:eastAsia="en-AU"/>
              </w:rPr>
            </w:pPr>
            <w:r w:rsidRPr="0034783D">
              <w:rPr>
                <w:rFonts w:cs="Arial"/>
                <w:b/>
                <w:bCs/>
                <w:color w:val="FFFFFF"/>
                <w:szCs w:val="18"/>
                <w:lang w:eastAsia="en-AU"/>
              </w:rPr>
              <w:t>82,544</w:t>
            </w:r>
          </w:p>
        </w:tc>
        <w:tc>
          <w:tcPr>
            <w:tcW w:w="1063" w:type="dxa"/>
            <w:tcBorders>
              <w:top w:val="nil"/>
              <w:left w:val="nil"/>
              <w:bottom w:val="nil"/>
              <w:right w:val="nil"/>
            </w:tcBorders>
            <w:shd w:val="clear" w:color="000000" w:fill="7F7F7F"/>
            <w:noWrap/>
            <w:vAlign w:val="center"/>
            <w:hideMark/>
          </w:tcPr>
          <w:p w:rsidR="001E08F1" w:rsidRPr="0034783D" w:rsidRDefault="001E08F1" w:rsidP="00D07A42">
            <w:pPr>
              <w:jc w:val="right"/>
              <w:rPr>
                <w:rFonts w:cs="Arial"/>
                <w:b/>
                <w:bCs/>
                <w:color w:val="FFFFFF"/>
                <w:szCs w:val="18"/>
                <w:lang w:eastAsia="en-AU"/>
              </w:rPr>
            </w:pPr>
            <w:r w:rsidRPr="0034783D">
              <w:rPr>
                <w:rFonts w:cs="Arial"/>
                <w:b/>
                <w:bCs/>
                <w:color w:val="FFFFFF"/>
                <w:szCs w:val="18"/>
                <w:lang w:eastAsia="en-AU"/>
              </w:rPr>
              <w:t>47,359</w:t>
            </w:r>
          </w:p>
        </w:tc>
        <w:tc>
          <w:tcPr>
            <w:tcW w:w="1064" w:type="dxa"/>
            <w:tcBorders>
              <w:top w:val="nil"/>
              <w:left w:val="nil"/>
              <w:bottom w:val="nil"/>
              <w:right w:val="nil"/>
            </w:tcBorders>
            <w:shd w:val="clear" w:color="000000" w:fill="7F7F7F"/>
            <w:noWrap/>
            <w:vAlign w:val="center"/>
            <w:hideMark/>
          </w:tcPr>
          <w:p w:rsidR="001E08F1" w:rsidRPr="0034783D" w:rsidRDefault="001E08F1" w:rsidP="00D07A42">
            <w:pPr>
              <w:jc w:val="right"/>
              <w:rPr>
                <w:rFonts w:cs="Arial"/>
                <w:b/>
                <w:bCs/>
                <w:color w:val="FFFFFF"/>
                <w:szCs w:val="18"/>
                <w:lang w:eastAsia="en-AU"/>
              </w:rPr>
            </w:pPr>
            <w:r w:rsidRPr="0034783D">
              <w:rPr>
                <w:rFonts w:cs="Arial"/>
                <w:b/>
                <w:bCs/>
                <w:color w:val="FFFFFF"/>
                <w:szCs w:val="18"/>
                <w:lang w:eastAsia="en-AU"/>
              </w:rPr>
              <w:t>28,361</w:t>
            </w:r>
          </w:p>
        </w:tc>
      </w:tr>
    </w:tbl>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4A0" w:firstRow="1" w:lastRow="0" w:firstColumn="1" w:lastColumn="0" w:noHBand="0" w:noVBand="1"/>
      </w:tblPr>
      <w:tblGrid>
        <w:gridCol w:w="431"/>
        <w:gridCol w:w="7649"/>
      </w:tblGrid>
      <w:tr w:rsidR="001E08F1" w:rsidRPr="00913551" w:rsidTr="00D07A42">
        <w:tc>
          <w:tcPr>
            <w:tcW w:w="431" w:type="dxa"/>
            <w:tcMar>
              <w:left w:w="0" w:type="dxa"/>
              <w:right w:w="28" w:type="dxa"/>
            </w:tcMar>
          </w:tcPr>
          <w:p w:rsidR="001E08F1" w:rsidRPr="00913551" w:rsidRDefault="001E08F1" w:rsidP="00D07A42">
            <w:pPr>
              <w:spacing w:after="0" w:line="240" w:lineRule="auto"/>
              <w:jc w:val="right"/>
              <w:rPr>
                <w:color w:val="7F7F7F" w:themeColor="text2"/>
                <w:sz w:val="16"/>
                <w:szCs w:val="16"/>
              </w:rPr>
            </w:pPr>
            <w:r w:rsidRPr="00913551">
              <w:rPr>
                <w:color w:val="7F7F7F" w:themeColor="text2"/>
                <w:sz w:val="16"/>
                <w:szCs w:val="16"/>
              </w:rPr>
              <w:t xml:space="preserve">* </w:t>
            </w:r>
          </w:p>
        </w:tc>
        <w:tc>
          <w:tcPr>
            <w:tcW w:w="7649" w:type="dxa"/>
            <w:tcMar>
              <w:left w:w="0" w:type="dxa"/>
              <w:right w:w="28" w:type="dxa"/>
            </w:tcMar>
          </w:tcPr>
          <w:p w:rsidR="001E08F1" w:rsidRPr="00913551" w:rsidRDefault="001E08F1" w:rsidP="00D07A42">
            <w:pPr>
              <w:spacing w:after="0" w:line="240" w:lineRule="auto"/>
              <w:rPr>
                <w:i/>
                <w:color w:val="7F7F7F" w:themeColor="text2"/>
                <w:sz w:val="16"/>
                <w:szCs w:val="16"/>
              </w:rPr>
            </w:pPr>
            <w:r w:rsidRPr="00913551">
              <w:rPr>
                <w:i/>
                <w:sz w:val="16"/>
                <w:szCs w:val="16"/>
              </w:rPr>
              <w:t>'Other' includes age under 15 years old, 65 years and over or not stated.</w:t>
            </w:r>
          </w:p>
        </w:tc>
      </w:tr>
    </w:tbl>
    <w:p w:rsidR="001E08F1" w:rsidRDefault="001E08F1" w:rsidP="001E08F1"/>
    <w:p w:rsidR="001E08F1" w:rsidRDefault="001E08F1" w:rsidP="001E08F1"/>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1E08F1" w:rsidTr="00D07A42">
        <w:tc>
          <w:tcPr>
            <w:tcW w:w="1134" w:type="dxa"/>
            <w:tcMar>
              <w:left w:w="0" w:type="dxa"/>
              <w:right w:w="0" w:type="dxa"/>
            </w:tcMar>
          </w:tcPr>
          <w:p w:rsidR="001E08F1" w:rsidRDefault="0005261F" w:rsidP="00D07A42">
            <w:pPr>
              <w:pStyle w:val="Quote"/>
              <w:tabs>
                <w:tab w:val="left" w:pos="1134"/>
              </w:tabs>
              <w:rPr>
                <w:b w:val="0"/>
                <w:color w:val="B41F22" w:themeColor="accent1"/>
              </w:rPr>
            </w:pPr>
            <w:r>
              <w:rPr>
                <w:b w:val="0"/>
                <w:color w:val="B41F22" w:themeColor="accent1"/>
              </w:rPr>
              <w:t>Table 2</w:t>
            </w:r>
            <w:r w:rsidR="001E08F1">
              <w:rPr>
                <w:b w:val="0"/>
                <w:color w:val="B41F22" w:themeColor="accent1"/>
              </w:rPr>
              <w:t>.10.2:</w:t>
            </w:r>
          </w:p>
        </w:tc>
        <w:tc>
          <w:tcPr>
            <w:tcW w:w="6946" w:type="dxa"/>
            <w:tcMar>
              <w:left w:w="0" w:type="dxa"/>
              <w:right w:w="0" w:type="dxa"/>
            </w:tcMar>
          </w:tcPr>
          <w:p w:rsidR="001E08F1" w:rsidRDefault="001E08F1" w:rsidP="00D07A42">
            <w:pPr>
              <w:pStyle w:val="Quote"/>
              <w:tabs>
                <w:tab w:val="left" w:pos="1134"/>
              </w:tabs>
              <w:rPr>
                <w:b w:val="0"/>
                <w:color w:val="B41F22" w:themeColor="accent1"/>
              </w:rPr>
            </w:pPr>
            <w:r w:rsidRPr="00EC2640">
              <w:rPr>
                <w:b w:val="0"/>
                <w:color w:val="B41F22" w:themeColor="accent1"/>
              </w:rPr>
              <w:t>Change in number of students enrolled in government subsidised foundation skills courses by age group (half year)</w:t>
            </w:r>
          </w:p>
        </w:tc>
      </w:tr>
    </w:tbl>
    <w:tbl>
      <w:tblPr>
        <w:tblW w:w="8095" w:type="dxa"/>
        <w:tblInd w:w="93" w:type="dxa"/>
        <w:tblLayout w:type="fixed"/>
        <w:tblLook w:val="04A0" w:firstRow="1" w:lastRow="0" w:firstColumn="1" w:lastColumn="0" w:noHBand="0" w:noVBand="1"/>
      </w:tblPr>
      <w:tblGrid>
        <w:gridCol w:w="1716"/>
        <w:gridCol w:w="1275"/>
        <w:gridCol w:w="1276"/>
        <w:gridCol w:w="1276"/>
        <w:gridCol w:w="1276"/>
        <w:gridCol w:w="1276"/>
      </w:tblGrid>
      <w:tr w:rsidR="001E08F1" w:rsidRPr="0034783D" w:rsidTr="00D07A42">
        <w:trPr>
          <w:trHeight w:val="720"/>
        </w:trPr>
        <w:tc>
          <w:tcPr>
            <w:tcW w:w="1716" w:type="dxa"/>
            <w:tcBorders>
              <w:top w:val="nil"/>
              <w:left w:val="nil"/>
              <w:bottom w:val="nil"/>
              <w:right w:val="nil"/>
            </w:tcBorders>
            <w:shd w:val="clear" w:color="000000" w:fill="7F7F7F"/>
            <w:noWrap/>
            <w:vAlign w:val="center"/>
            <w:hideMark/>
          </w:tcPr>
          <w:p w:rsidR="001E08F1" w:rsidRPr="0034783D" w:rsidRDefault="001E08F1" w:rsidP="00D07A42">
            <w:pPr>
              <w:rPr>
                <w:rFonts w:cs="Arial"/>
                <w:color w:val="FFFFFF"/>
                <w:szCs w:val="18"/>
                <w:lang w:eastAsia="en-AU"/>
              </w:rPr>
            </w:pPr>
            <w:r w:rsidRPr="0034783D">
              <w:rPr>
                <w:rFonts w:cs="Arial"/>
                <w:color w:val="FFFFFF"/>
                <w:szCs w:val="18"/>
                <w:lang w:eastAsia="en-AU"/>
              </w:rPr>
              <w:t> </w:t>
            </w:r>
          </w:p>
        </w:tc>
        <w:tc>
          <w:tcPr>
            <w:tcW w:w="1275" w:type="dxa"/>
            <w:tcBorders>
              <w:top w:val="nil"/>
              <w:left w:val="nil"/>
              <w:bottom w:val="nil"/>
              <w:right w:val="nil"/>
            </w:tcBorders>
            <w:shd w:val="clear" w:color="000000" w:fill="7F7F7F"/>
            <w:vAlign w:val="center"/>
            <w:hideMark/>
          </w:tcPr>
          <w:p w:rsidR="001E08F1" w:rsidRPr="0034783D" w:rsidRDefault="001E08F1" w:rsidP="00D07A42">
            <w:pPr>
              <w:jc w:val="right"/>
              <w:rPr>
                <w:rFonts w:cs="Arial"/>
                <w:b/>
                <w:bCs/>
                <w:color w:val="FFFFFF"/>
                <w:szCs w:val="18"/>
                <w:lang w:eastAsia="en-AU"/>
              </w:rPr>
            </w:pPr>
            <w:r w:rsidRPr="0034783D">
              <w:rPr>
                <w:rFonts w:cs="Arial"/>
                <w:b/>
                <w:bCs/>
                <w:color w:val="FFFFFF"/>
                <w:szCs w:val="18"/>
                <w:lang w:eastAsia="en-AU"/>
              </w:rPr>
              <w:t>% change 2010 to 2015</w:t>
            </w:r>
          </w:p>
        </w:tc>
        <w:tc>
          <w:tcPr>
            <w:tcW w:w="1276" w:type="dxa"/>
            <w:tcBorders>
              <w:top w:val="nil"/>
              <w:left w:val="nil"/>
              <w:bottom w:val="nil"/>
              <w:right w:val="nil"/>
            </w:tcBorders>
            <w:shd w:val="clear" w:color="000000" w:fill="7F7F7F"/>
            <w:vAlign w:val="center"/>
            <w:hideMark/>
          </w:tcPr>
          <w:p w:rsidR="001E08F1" w:rsidRPr="0034783D" w:rsidRDefault="001E08F1" w:rsidP="00D07A42">
            <w:pPr>
              <w:jc w:val="right"/>
              <w:rPr>
                <w:rFonts w:cs="Arial"/>
                <w:b/>
                <w:bCs/>
                <w:color w:val="FFFFFF"/>
                <w:szCs w:val="18"/>
                <w:lang w:eastAsia="en-AU"/>
              </w:rPr>
            </w:pPr>
            <w:r w:rsidRPr="0034783D">
              <w:rPr>
                <w:rFonts w:cs="Arial"/>
                <w:b/>
                <w:bCs/>
                <w:color w:val="FFFFFF"/>
                <w:szCs w:val="18"/>
                <w:lang w:eastAsia="en-AU"/>
              </w:rPr>
              <w:t>% change 2011 to 2015</w:t>
            </w:r>
          </w:p>
        </w:tc>
        <w:tc>
          <w:tcPr>
            <w:tcW w:w="1276" w:type="dxa"/>
            <w:tcBorders>
              <w:top w:val="nil"/>
              <w:left w:val="nil"/>
              <w:bottom w:val="nil"/>
              <w:right w:val="nil"/>
            </w:tcBorders>
            <w:shd w:val="clear" w:color="000000" w:fill="7F7F7F"/>
            <w:vAlign w:val="center"/>
            <w:hideMark/>
          </w:tcPr>
          <w:p w:rsidR="001E08F1" w:rsidRPr="0034783D" w:rsidRDefault="001E08F1" w:rsidP="00D07A42">
            <w:pPr>
              <w:jc w:val="right"/>
              <w:rPr>
                <w:rFonts w:cs="Arial"/>
                <w:b/>
                <w:bCs/>
                <w:color w:val="FFFFFF"/>
                <w:szCs w:val="18"/>
                <w:lang w:eastAsia="en-AU"/>
              </w:rPr>
            </w:pPr>
            <w:r w:rsidRPr="0034783D">
              <w:rPr>
                <w:rFonts w:cs="Arial"/>
                <w:b/>
                <w:bCs/>
                <w:color w:val="FFFFFF"/>
                <w:szCs w:val="18"/>
                <w:lang w:eastAsia="en-AU"/>
              </w:rPr>
              <w:t>% change 2012 to 2015</w:t>
            </w:r>
          </w:p>
        </w:tc>
        <w:tc>
          <w:tcPr>
            <w:tcW w:w="1276" w:type="dxa"/>
            <w:tcBorders>
              <w:top w:val="nil"/>
              <w:left w:val="nil"/>
              <w:bottom w:val="nil"/>
              <w:right w:val="nil"/>
            </w:tcBorders>
            <w:shd w:val="clear" w:color="000000" w:fill="7F7F7F"/>
            <w:vAlign w:val="center"/>
            <w:hideMark/>
          </w:tcPr>
          <w:p w:rsidR="001E08F1" w:rsidRPr="0034783D" w:rsidRDefault="001E08F1" w:rsidP="00D07A42">
            <w:pPr>
              <w:jc w:val="right"/>
              <w:rPr>
                <w:rFonts w:cs="Arial"/>
                <w:b/>
                <w:bCs/>
                <w:color w:val="FFFFFF"/>
                <w:szCs w:val="18"/>
                <w:lang w:eastAsia="en-AU"/>
              </w:rPr>
            </w:pPr>
            <w:r w:rsidRPr="0034783D">
              <w:rPr>
                <w:rFonts w:cs="Arial"/>
                <w:b/>
                <w:bCs/>
                <w:color w:val="FFFFFF"/>
                <w:szCs w:val="18"/>
                <w:lang w:eastAsia="en-AU"/>
              </w:rPr>
              <w:t>% change 2013 to 2015</w:t>
            </w:r>
          </w:p>
        </w:tc>
        <w:tc>
          <w:tcPr>
            <w:tcW w:w="1276" w:type="dxa"/>
            <w:tcBorders>
              <w:top w:val="nil"/>
              <w:left w:val="nil"/>
              <w:bottom w:val="nil"/>
              <w:right w:val="nil"/>
            </w:tcBorders>
            <w:shd w:val="clear" w:color="000000" w:fill="7F7F7F"/>
            <w:vAlign w:val="center"/>
            <w:hideMark/>
          </w:tcPr>
          <w:p w:rsidR="001E08F1" w:rsidRPr="0034783D" w:rsidRDefault="001E08F1" w:rsidP="00D07A42">
            <w:pPr>
              <w:jc w:val="right"/>
              <w:rPr>
                <w:rFonts w:cs="Arial"/>
                <w:b/>
                <w:bCs/>
                <w:color w:val="FFFFFF"/>
                <w:szCs w:val="18"/>
                <w:lang w:eastAsia="en-AU"/>
              </w:rPr>
            </w:pPr>
            <w:r w:rsidRPr="0034783D">
              <w:rPr>
                <w:rFonts w:cs="Arial"/>
                <w:b/>
                <w:bCs/>
                <w:color w:val="FFFFFF"/>
                <w:szCs w:val="18"/>
                <w:lang w:eastAsia="en-AU"/>
              </w:rPr>
              <w:t>% change 2014 to 2015</w:t>
            </w:r>
          </w:p>
        </w:tc>
      </w:tr>
      <w:tr w:rsidR="001E08F1" w:rsidRPr="0034783D" w:rsidTr="00D07A42">
        <w:trPr>
          <w:trHeight w:val="300"/>
        </w:trPr>
        <w:tc>
          <w:tcPr>
            <w:tcW w:w="1716" w:type="dxa"/>
            <w:tcBorders>
              <w:top w:val="nil"/>
              <w:left w:val="nil"/>
              <w:bottom w:val="nil"/>
              <w:right w:val="nil"/>
            </w:tcBorders>
            <w:shd w:val="clear" w:color="auto" w:fill="auto"/>
            <w:noWrap/>
            <w:vAlign w:val="center"/>
            <w:hideMark/>
          </w:tcPr>
          <w:p w:rsidR="001E08F1" w:rsidRPr="0034783D" w:rsidRDefault="001E08F1" w:rsidP="00D07A42">
            <w:pPr>
              <w:rPr>
                <w:rFonts w:cs="Arial"/>
                <w:color w:val="7F7F7F"/>
                <w:szCs w:val="18"/>
                <w:lang w:eastAsia="en-AU"/>
              </w:rPr>
            </w:pPr>
            <w:r w:rsidRPr="0034783D">
              <w:rPr>
                <w:rFonts w:cs="Arial"/>
                <w:color w:val="7F7F7F"/>
                <w:szCs w:val="18"/>
                <w:lang w:eastAsia="en-AU"/>
              </w:rPr>
              <w:t>15 to 19</w:t>
            </w:r>
          </w:p>
        </w:tc>
        <w:tc>
          <w:tcPr>
            <w:tcW w:w="1275" w:type="dxa"/>
            <w:tcBorders>
              <w:top w:val="nil"/>
              <w:left w:val="nil"/>
              <w:bottom w:val="nil"/>
              <w:right w:val="nil"/>
            </w:tcBorders>
            <w:shd w:val="clear" w:color="auto" w:fill="auto"/>
            <w:noWrap/>
            <w:vAlign w:val="center"/>
            <w:hideMark/>
          </w:tcPr>
          <w:p w:rsidR="001E08F1" w:rsidRPr="0034783D" w:rsidRDefault="001E08F1" w:rsidP="00D07A42">
            <w:pPr>
              <w:jc w:val="right"/>
              <w:rPr>
                <w:rFonts w:cs="Arial"/>
                <w:color w:val="7F7F7F"/>
                <w:szCs w:val="18"/>
                <w:lang w:eastAsia="en-AU"/>
              </w:rPr>
            </w:pPr>
            <w:r w:rsidRPr="0034783D">
              <w:rPr>
                <w:rFonts w:cs="Arial"/>
                <w:color w:val="7F7F7F"/>
                <w:szCs w:val="18"/>
                <w:lang w:eastAsia="en-AU"/>
              </w:rPr>
              <w:t>17%</w:t>
            </w:r>
          </w:p>
        </w:tc>
        <w:tc>
          <w:tcPr>
            <w:tcW w:w="1276" w:type="dxa"/>
            <w:tcBorders>
              <w:top w:val="nil"/>
              <w:left w:val="nil"/>
              <w:bottom w:val="nil"/>
              <w:right w:val="nil"/>
            </w:tcBorders>
            <w:shd w:val="clear" w:color="auto" w:fill="auto"/>
            <w:noWrap/>
            <w:vAlign w:val="center"/>
            <w:hideMark/>
          </w:tcPr>
          <w:p w:rsidR="001E08F1" w:rsidRPr="0034783D" w:rsidRDefault="001E08F1" w:rsidP="00D07A42">
            <w:pPr>
              <w:jc w:val="right"/>
              <w:rPr>
                <w:rFonts w:cs="Arial"/>
                <w:color w:val="7F7F7F"/>
                <w:szCs w:val="18"/>
                <w:lang w:eastAsia="en-AU"/>
              </w:rPr>
            </w:pPr>
            <w:r w:rsidRPr="0034783D">
              <w:rPr>
                <w:rFonts w:cs="Arial"/>
                <w:color w:val="7F7F7F"/>
                <w:szCs w:val="18"/>
                <w:lang w:eastAsia="en-AU"/>
              </w:rPr>
              <w:t>-29%</w:t>
            </w:r>
          </w:p>
        </w:tc>
        <w:tc>
          <w:tcPr>
            <w:tcW w:w="1276" w:type="dxa"/>
            <w:tcBorders>
              <w:top w:val="nil"/>
              <w:left w:val="nil"/>
              <w:bottom w:val="nil"/>
              <w:right w:val="nil"/>
            </w:tcBorders>
            <w:shd w:val="clear" w:color="auto" w:fill="auto"/>
            <w:noWrap/>
            <w:vAlign w:val="center"/>
            <w:hideMark/>
          </w:tcPr>
          <w:p w:rsidR="001E08F1" w:rsidRPr="0034783D" w:rsidRDefault="001E08F1" w:rsidP="00D07A42">
            <w:pPr>
              <w:jc w:val="right"/>
              <w:rPr>
                <w:rFonts w:cs="Arial"/>
                <w:color w:val="7F7F7F"/>
                <w:szCs w:val="18"/>
                <w:lang w:eastAsia="en-AU"/>
              </w:rPr>
            </w:pPr>
            <w:r w:rsidRPr="0034783D">
              <w:rPr>
                <w:rFonts w:cs="Arial"/>
                <w:color w:val="7F7F7F"/>
                <w:szCs w:val="18"/>
                <w:lang w:eastAsia="en-AU"/>
              </w:rPr>
              <w:t>-73%</w:t>
            </w:r>
          </w:p>
        </w:tc>
        <w:tc>
          <w:tcPr>
            <w:tcW w:w="1276" w:type="dxa"/>
            <w:tcBorders>
              <w:top w:val="nil"/>
              <w:left w:val="nil"/>
              <w:bottom w:val="nil"/>
              <w:right w:val="nil"/>
            </w:tcBorders>
            <w:shd w:val="clear" w:color="auto" w:fill="auto"/>
            <w:noWrap/>
            <w:vAlign w:val="center"/>
            <w:hideMark/>
          </w:tcPr>
          <w:p w:rsidR="001E08F1" w:rsidRPr="0034783D" w:rsidRDefault="001E08F1" w:rsidP="00D07A42">
            <w:pPr>
              <w:jc w:val="right"/>
              <w:rPr>
                <w:rFonts w:cs="Arial"/>
                <w:color w:val="7F7F7F"/>
                <w:szCs w:val="18"/>
                <w:lang w:eastAsia="en-AU"/>
              </w:rPr>
            </w:pPr>
            <w:r w:rsidRPr="0034783D">
              <w:rPr>
                <w:rFonts w:cs="Arial"/>
                <w:color w:val="7F7F7F"/>
                <w:szCs w:val="18"/>
                <w:lang w:eastAsia="en-AU"/>
              </w:rPr>
              <w:t>-80%</w:t>
            </w:r>
          </w:p>
        </w:tc>
        <w:tc>
          <w:tcPr>
            <w:tcW w:w="1276" w:type="dxa"/>
            <w:tcBorders>
              <w:top w:val="nil"/>
              <w:left w:val="nil"/>
              <w:bottom w:val="nil"/>
              <w:right w:val="nil"/>
            </w:tcBorders>
            <w:shd w:val="clear" w:color="auto" w:fill="auto"/>
            <w:noWrap/>
            <w:vAlign w:val="center"/>
            <w:hideMark/>
          </w:tcPr>
          <w:p w:rsidR="001E08F1" w:rsidRPr="0034783D" w:rsidRDefault="001E08F1" w:rsidP="00D07A42">
            <w:pPr>
              <w:jc w:val="right"/>
              <w:rPr>
                <w:rFonts w:cs="Arial"/>
                <w:color w:val="7F7F7F"/>
                <w:szCs w:val="18"/>
                <w:lang w:eastAsia="en-AU"/>
              </w:rPr>
            </w:pPr>
            <w:r w:rsidRPr="0034783D">
              <w:rPr>
                <w:rFonts w:cs="Arial"/>
                <w:color w:val="7F7F7F"/>
                <w:szCs w:val="18"/>
                <w:lang w:eastAsia="en-AU"/>
              </w:rPr>
              <w:t>-56%</w:t>
            </w:r>
          </w:p>
        </w:tc>
      </w:tr>
      <w:tr w:rsidR="001E08F1" w:rsidRPr="0034783D" w:rsidTr="00D07A42">
        <w:trPr>
          <w:trHeight w:val="300"/>
        </w:trPr>
        <w:tc>
          <w:tcPr>
            <w:tcW w:w="1716" w:type="dxa"/>
            <w:tcBorders>
              <w:top w:val="nil"/>
              <w:left w:val="nil"/>
              <w:bottom w:val="nil"/>
              <w:right w:val="nil"/>
            </w:tcBorders>
            <w:shd w:val="clear" w:color="auto" w:fill="auto"/>
            <w:noWrap/>
            <w:vAlign w:val="center"/>
            <w:hideMark/>
          </w:tcPr>
          <w:p w:rsidR="001E08F1" w:rsidRPr="0034783D" w:rsidRDefault="001E08F1" w:rsidP="00D07A42">
            <w:pPr>
              <w:rPr>
                <w:rFonts w:cs="Arial"/>
                <w:color w:val="7F7F7F"/>
                <w:szCs w:val="18"/>
                <w:lang w:eastAsia="en-AU"/>
              </w:rPr>
            </w:pPr>
            <w:r w:rsidRPr="0034783D">
              <w:rPr>
                <w:rFonts w:cs="Arial"/>
                <w:color w:val="7F7F7F"/>
                <w:szCs w:val="18"/>
                <w:lang w:eastAsia="en-AU"/>
              </w:rPr>
              <w:t>20 to 24</w:t>
            </w:r>
          </w:p>
        </w:tc>
        <w:tc>
          <w:tcPr>
            <w:tcW w:w="1275" w:type="dxa"/>
            <w:tcBorders>
              <w:top w:val="nil"/>
              <w:left w:val="nil"/>
              <w:bottom w:val="nil"/>
              <w:right w:val="nil"/>
            </w:tcBorders>
            <w:shd w:val="clear" w:color="auto" w:fill="auto"/>
            <w:noWrap/>
            <w:vAlign w:val="center"/>
            <w:hideMark/>
          </w:tcPr>
          <w:p w:rsidR="001E08F1" w:rsidRPr="0034783D" w:rsidRDefault="001E08F1" w:rsidP="00D07A42">
            <w:pPr>
              <w:jc w:val="right"/>
              <w:rPr>
                <w:rFonts w:cs="Arial"/>
                <w:color w:val="7F7F7F"/>
                <w:szCs w:val="18"/>
                <w:lang w:eastAsia="en-AU"/>
              </w:rPr>
            </w:pPr>
            <w:r w:rsidRPr="0034783D">
              <w:rPr>
                <w:rFonts w:cs="Arial"/>
                <w:color w:val="7F7F7F"/>
                <w:szCs w:val="18"/>
                <w:lang w:eastAsia="en-AU"/>
              </w:rPr>
              <w:t>110%</w:t>
            </w:r>
          </w:p>
        </w:tc>
        <w:tc>
          <w:tcPr>
            <w:tcW w:w="1276" w:type="dxa"/>
            <w:tcBorders>
              <w:top w:val="nil"/>
              <w:left w:val="nil"/>
              <w:bottom w:val="nil"/>
              <w:right w:val="nil"/>
            </w:tcBorders>
            <w:shd w:val="clear" w:color="auto" w:fill="auto"/>
            <w:noWrap/>
            <w:vAlign w:val="center"/>
            <w:hideMark/>
          </w:tcPr>
          <w:p w:rsidR="001E08F1" w:rsidRPr="0034783D" w:rsidRDefault="001E08F1" w:rsidP="00D07A42">
            <w:pPr>
              <w:jc w:val="right"/>
              <w:rPr>
                <w:rFonts w:cs="Arial"/>
                <w:color w:val="7F7F7F"/>
                <w:szCs w:val="18"/>
                <w:lang w:eastAsia="en-AU"/>
              </w:rPr>
            </w:pPr>
            <w:r w:rsidRPr="0034783D">
              <w:rPr>
                <w:rFonts w:cs="Arial"/>
                <w:color w:val="7F7F7F"/>
                <w:szCs w:val="18"/>
                <w:lang w:eastAsia="en-AU"/>
              </w:rPr>
              <w:t>10%</w:t>
            </w:r>
          </w:p>
        </w:tc>
        <w:tc>
          <w:tcPr>
            <w:tcW w:w="1276" w:type="dxa"/>
            <w:tcBorders>
              <w:top w:val="nil"/>
              <w:left w:val="nil"/>
              <w:bottom w:val="nil"/>
              <w:right w:val="nil"/>
            </w:tcBorders>
            <w:shd w:val="clear" w:color="auto" w:fill="auto"/>
            <w:noWrap/>
            <w:vAlign w:val="center"/>
            <w:hideMark/>
          </w:tcPr>
          <w:p w:rsidR="001E08F1" w:rsidRPr="0034783D" w:rsidRDefault="001E08F1" w:rsidP="00D07A42">
            <w:pPr>
              <w:jc w:val="right"/>
              <w:rPr>
                <w:rFonts w:cs="Arial"/>
                <w:color w:val="7F7F7F"/>
                <w:szCs w:val="18"/>
                <w:lang w:eastAsia="en-AU"/>
              </w:rPr>
            </w:pPr>
            <w:r w:rsidRPr="0034783D">
              <w:rPr>
                <w:rFonts w:cs="Arial"/>
                <w:color w:val="7F7F7F"/>
                <w:szCs w:val="18"/>
                <w:lang w:eastAsia="en-AU"/>
              </w:rPr>
              <w:t>-68%</w:t>
            </w:r>
          </w:p>
        </w:tc>
        <w:tc>
          <w:tcPr>
            <w:tcW w:w="1276" w:type="dxa"/>
            <w:tcBorders>
              <w:top w:val="nil"/>
              <w:left w:val="nil"/>
              <w:bottom w:val="nil"/>
              <w:right w:val="nil"/>
            </w:tcBorders>
            <w:shd w:val="clear" w:color="auto" w:fill="auto"/>
            <w:noWrap/>
            <w:vAlign w:val="center"/>
            <w:hideMark/>
          </w:tcPr>
          <w:p w:rsidR="001E08F1" w:rsidRPr="0034783D" w:rsidRDefault="001E08F1" w:rsidP="00D07A42">
            <w:pPr>
              <w:jc w:val="right"/>
              <w:rPr>
                <w:rFonts w:cs="Arial"/>
                <w:color w:val="7F7F7F"/>
                <w:szCs w:val="18"/>
                <w:lang w:eastAsia="en-AU"/>
              </w:rPr>
            </w:pPr>
            <w:r w:rsidRPr="0034783D">
              <w:rPr>
                <w:rFonts w:cs="Arial"/>
                <w:color w:val="7F7F7F"/>
                <w:szCs w:val="18"/>
                <w:lang w:eastAsia="en-AU"/>
              </w:rPr>
              <w:t>-78%</w:t>
            </w:r>
          </w:p>
        </w:tc>
        <w:tc>
          <w:tcPr>
            <w:tcW w:w="1276" w:type="dxa"/>
            <w:tcBorders>
              <w:top w:val="nil"/>
              <w:left w:val="nil"/>
              <w:bottom w:val="nil"/>
              <w:right w:val="nil"/>
            </w:tcBorders>
            <w:shd w:val="clear" w:color="auto" w:fill="auto"/>
            <w:noWrap/>
            <w:vAlign w:val="center"/>
            <w:hideMark/>
          </w:tcPr>
          <w:p w:rsidR="001E08F1" w:rsidRPr="0034783D" w:rsidRDefault="001E08F1" w:rsidP="00D07A42">
            <w:pPr>
              <w:jc w:val="right"/>
              <w:rPr>
                <w:rFonts w:cs="Arial"/>
                <w:color w:val="7F7F7F"/>
                <w:szCs w:val="18"/>
                <w:lang w:eastAsia="en-AU"/>
              </w:rPr>
            </w:pPr>
            <w:r w:rsidRPr="0034783D">
              <w:rPr>
                <w:rFonts w:cs="Arial"/>
                <w:color w:val="7F7F7F"/>
                <w:szCs w:val="18"/>
                <w:lang w:eastAsia="en-AU"/>
              </w:rPr>
              <w:t>-56%</w:t>
            </w:r>
          </w:p>
        </w:tc>
      </w:tr>
      <w:tr w:rsidR="001E08F1" w:rsidRPr="0034783D" w:rsidTr="00D07A42">
        <w:trPr>
          <w:trHeight w:val="300"/>
        </w:trPr>
        <w:tc>
          <w:tcPr>
            <w:tcW w:w="1716" w:type="dxa"/>
            <w:tcBorders>
              <w:top w:val="nil"/>
              <w:left w:val="nil"/>
              <w:bottom w:val="nil"/>
              <w:right w:val="nil"/>
            </w:tcBorders>
            <w:shd w:val="clear" w:color="auto" w:fill="auto"/>
            <w:noWrap/>
            <w:vAlign w:val="center"/>
            <w:hideMark/>
          </w:tcPr>
          <w:p w:rsidR="001E08F1" w:rsidRPr="0034783D" w:rsidRDefault="001E08F1" w:rsidP="00D07A42">
            <w:pPr>
              <w:rPr>
                <w:rFonts w:cs="Arial"/>
                <w:color w:val="7F7F7F"/>
                <w:szCs w:val="18"/>
                <w:lang w:eastAsia="en-AU"/>
              </w:rPr>
            </w:pPr>
            <w:r w:rsidRPr="0034783D">
              <w:rPr>
                <w:rFonts w:cs="Arial"/>
                <w:color w:val="7F7F7F"/>
                <w:szCs w:val="18"/>
                <w:lang w:eastAsia="en-AU"/>
              </w:rPr>
              <w:t>25 to 44</w:t>
            </w:r>
          </w:p>
        </w:tc>
        <w:tc>
          <w:tcPr>
            <w:tcW w:w="1275" w:type="dxa"/>
            <w:tcBorders>
              <w:top w:val="nil"/>
              <w:left w:val="nil"/>
              <w:bottom w:val="nil"/>
              <w:right w:val="nil"/>
            </w:tcBorders>
            <w:shd w:val="clear" w:color="auto" w:fill="auto"/>
            <w:noWrap/>
            <w:vAlign w:val="center"/>
            <w:hideMark/>
          </w:tcPr>
          <w:p w:rsidR="001E08F1" w:rsidRPr="0034783D" w:rsidRDefault="001E08F1" w:rsidP="00D07A42">
            <w:pPr>
              <w:jc w:val="right"/>
              <w:rPr>
                <w:rFonts w:cs="Arial"/>
                <w:color w:val="7F7F7F"/>
                <w:szCs w:val="18"/>
                <w:lang w:eastAsia="en-AU"/>
              </w:rPr>
            </w:pPr>
            <w:r w:rsidRPr="0034783D">
              <w:rPr>
                <w:rFonts w:cs="Arial"/>
                <w:color w:val="7F7F7F"/>
                <w:szCs w:val="18"/>
                <w:lang w:eastAsia="en-AU"/>
              </w:rPr>
              <w:t>38%</w:t>
            </w:r>
          </w:p>
        </w:tc>
        <w:tc>
          <w:tcPr>
            <w:tcW w:w="1276" w:type="dxa"/>
            <w:tcBorders>
              <w:top w:val="nil"/>
              <w:left w:val="nil"/>
              <w:bottom w:val="nil"/>
              <w:right w:val="nil"/>
            </w:tcBorders>
            <w:shd w:val="clear" w:color="auto" w:fill="auto"/>
            <w:noWrap/>
            <w:vAlign w:val="center"/>
            <w:hideMark/>
          </w:tcPr>
          <w:p w:rsidR="001E08F1" w:rsidRPr="0034783D" w:rsidRDefault="001E08F1" w:rsidP="00D07A42">
            <w:pPr>
              <w:jc w:val="right"/>
              <w:rPr>
                <w:rFonts w:cs="Arial"/>
                <w:color w:val="7F7F7F"/>
                <w:szCs w:val="18"/>
                <w:lang w:eastAsia="en-AU"/>
              </w:rPr>
            </w:pPr>
            <w:r w:rsidRPr="0034783D">
              <w:rPr>
                <w:rFonts w:cs="Arial"/>
                <w:color w:val="7F7F7F"/>
                <w:szCs w:val="18"/>
                <w:lang w:eastAsia="en-AU"/>
              </w:rPr>
              <w:t>-3%</w:t>
            </w:r>
          </w:p>
        </w:tc>
        <w:tc>
          <w:tcPr>
            <w:tcW w:w="1276" w:type="dxa"/>
            <w:tcBorders>
              <w:top w:val="nil"/>
              <w:left w:val="nil"/>
              <w:bottom w:val="nil"/>
              <w:right w:val="nil"/>
            </w:tcBorders>
            <w:shd w:val="clear" w:color="auto" w:fill="auto"/>
            <w:noWrap/>
            <w:vAlign w:val="center"/>
            <w:hideMark/>
          </w:tcPr>
          <w:p w:rsidR="001E08F1" w:rsidRPr="0034783D" w:rsidRDefault="001E08F1" w:rsidP="00D07A42">
            <w:pPr>
              <w:jc w:val="right"/>
              <w:rPr>
                <w:rFonts w:cs="Arial"/>
                <w:color w:val="7F7F7F"/>
                <w:szCs w:val="18"/>
                <w:lang w:eastAsia="en-AU"/>
              </w:rPr>
            </w:pPr>
            <w:r w:rsidRPr="0034783D">
              <w:rPr>
                <w:rFonts w:cs="Arial"/>
                <w:color w:val="7F7F7F"/>
                <w:szCs w:val="18"/>
                <w:lang w:eastAsia="en-AU"/>
              </w:rPr>
              <w:t>-52%</w:t>
            </w:r>
          </w:p>
        </w:tc>
        <w:tc>
          <w:tcPr>
            <w:tcW w:w="1276" w:type="dxa"/>
            <w:tcBorders>
              <w:top w:val="nil"/>
              <w:left w:val="nil"/>
              <w:bottom w:val="nil"/>
              <w:right w:val="nil"/>
            </w:tcBorders>
            <w:shd w:val="clear" w:color="auto" w:fill="auto"/>
            <w:noWrap/>
            <w:vAlign w:val="center"/>
            <w:hideMark/>
          </w:tcPr>
          <w:p w:rsidR="001E08F1" w:rsidRPr="0034783D" w:rsidRDefault="001E08F1" w:rsidP="00D07A42">
            <w:pPr>
              <w:jc w:val="right"/>
              <w:rPr>
                <w:rFonts w:cs="Arial"/>
                <w:color w:val="7F7F7F"/>
                <w:szCs w:val="18"/>
                <w:lang w:eastAsia="en-AU"/>
              </w:rPr>
            </w:pPr>
            <w:r w:rsidRPr="0034783D">
              <w:rPr>
                <w:rFonts w:cs="Arial"/>
                <w:color w:val="7F7F7F"/>
                <w:szCs w:val="18"/>
                <w:lang w:eastAsia="en-AU"/>
              </w:rPr>
              <w:t>-64%</w:t>
            </w:r>
          </w:p>
        </w:tc>
        <w:tc>
          <w:tcPr>
            <w:tcW w:w="1276" w:type="dxa"/>
            <w:tcBorders>
              <w:top w:val="nil"/>
              <w:left w:val="nil"/>
              <w:bottom w:val="nil"/>
              <w:right w:val="nil"/>
            </w:tcBorders>
            <w:shd w:val="clear" w:color="auto" w:fill="auto"/>
            <w:noWrap/>
            <w:vAlign w:val="center"/>
            <w:hideMark/>
          </w:tcPr>
          <w:p w:rsidR="001E08F1" w:rsidRPr="0034783D" w:rsidRDefault="001E08F1" w:rsidP="00D07A42">
            <w:pPr>
              <w:jc w:val="right"/>
              <w:rPr>
                <w:rFonts w:cs="Arial"/>
                <w:color w:val="7F7F7F"/>
                <w:szCs w:val="18"/>
                <w:lang w:eastAsia="en-AU"/>
              </w:rPr>
            </w:pPr>
            <w:r w:rsidRPr="0034783D">
              <w:rPr>
                <w:rFonts w:cs="Arial"/>
                <w:color w:val="7F7F7F"/>
                <w:szCs w:val="18"/>
                <w:lang w:eastAsia="en-AU"/>
              </w:rPr>
              <w:t>-41%</w:t>
            </w:r>
          </w:p>
        </w:tc>
      </w:tr>
      <w:tr w:rsidR="001E08F1" w:rsidRPr="0034783D" w:rsidTr="00D07A42">
        <w:trPr>
          <w:trHeight w:val="300"/>
        </w:trPr>
        <w:tc>
          <w:tcPr>
            <w:tcW w:w="1716" w:type="dxa"/>
            <w:tcBorders>
              <w:top w:val="nil"/>
              <w:left w:val="nil"/>
              <w:bottom w:val="nil"/>
              <w:right w:val="nil"/>
            </w:tcBorders>
            <w:shd w:val="clear" w:color="auto" w:fill="auto"/>
            <w:noWrap/>
            <w:vAlign w:val="center"/>
            <w:hideMark/>
          </w:tcPr>
          <w:p w:rsidR="001E08F1" w:rsidRPr="0034783D" w:rsidRDefault="001E08F1" w:rsidP="00D07A42">
            <w:pPr>
              <w:rPr>
                <w:rFonts w:cs="Arial"/>
                <w:color w:val="7F7F7F"/>
                <w:szCs w:val="18"/>
                <w:lang w:eastAsia="en-AU"/>
              </w:rPr>
            </w:pPr>
            <w:r w:rsidRPr="0034783D">
              <w:rPr>
                <w:rFonts w:cs="Arial"/>
                <w:color w:val="7F7F7F"/>
                <w:szCs w:val="18"/>
                <w:lang w:eastAsia="en-AU"/>
              </w:rPr>
              <w:t>45 to 64</w:t>
            </w:r>
          </w:p>
        </w:tc>
        <w:tc>
          <w:tcPr>
            <w:tcW w:w="1275" w:type="dxa"/>
            <w:tcBorders>
              <w:top w:val="nil"/>
              <w:left w:val="nil"/>
              <w:bottom w:val="nil"/>
              <w:right w:val="nil"/>
            </w:tcBorders>
            <w:shd w:val="clear" w:color="auto" w:fill="auto"/>
            <w:noWrap/>
            <w:vAlign w:val="center"/>
            <w:hideMark/>
          </w:tcPr>
          <w:p w:rsidR="001E08F1" w:rsidRPr="0034783D" w:rsidRDefault="001E08F1" w:rsidP="00D07A42">
            <w:pPr>
              <w:jc w:val="right"/>
              <w:rPr>
                <w:rFonts w:cs="Arial"/>
                <w:color w:val="7F7F7F"/>
                <w:szCs w:val="18"/>
                <w:lang w:eastAsia="en-AU"/>
              </w:rPr>
            </w:pPr>
            <w:r w:rsidRPr="0034783D">
              <w:rPr>
                <w:rFonts w:cs="Arial"/>
                <w:color w:val="7F7F7F"/>
                <w:szCs w:val="18"/>
                <w:lang w:eastAsia="en-AU"/>
              </w:rPr>
              <w:t>142%</w:t>
            </w:r>
          </w:p>
        </w:tc>
        <w:tc>
          <w:tcPr>
            <w:tcW w:w="1276" w:type="dxa"/>
            <w:tcBorders>
              <w:top w:val="nil"/>
              <w:left w:val="nil"/>
              <w:bottom w:val="nil"/>
              <w:right w:val="nil"/>
            </w:tcBorders>
            <w:shd w:val="clear" w:color="auto" w:fill="auto"/>
            <w:noWrap/>
            <w:vAlign w:val="center"/>
            <w:hideMark/>
          </w:tcPr>
          <w:p w:rsidR="001E08F1" w:rsidRPr="0034783D" w:rsidRDefault="001E08F1" w:rsidP="00D07A42">
            <w:pPr>
              <w:jc w:val="right"/>
              <w:rPr>
                <w:rFonts w:cs="Arial"/>
                <w:color w:val="7F7F7F"/>
                <w:szCs w:val="18"/>
                <w:lang w:eastAsia="en-AU"/>
              </w:rPr>
            </w:pPr>
            <w:r w:rsidRPr="0034783D">
              <w:rPr>
                <w:rFonts w:cs="Arial"/>
                <w:color w:val="7F7F7F"/>
                <w:szCs w:val="18"/>
                <w:lang w:eastAsia="en-AU"/>
              </w:rPr>
              <w:t>66%</w:t>
            </w:r>
          </w:p>
        </w:tc>
        <w:tc>
          <w:tcPr>
            <w:tcW w:w="1276" w:type="dxa"/>
            <w:tcBorders>
              <w:top w:val="nil"/>
              <w:left w:val="nil"/>
              <w:bottom w:val="nil"/>
              <w:right w:val="nil"/>
            </w:tcBorders>
            <w:shd w:val="clear" w:color="auto" w:fill="auto"/>
            <w:noWrap/>
            <w:vAlign w:val="center"/>
            <w:hideMark/>
          </w:tcPr>
          <w:p w:rsidR="001E08F1" w:rsidRPr="0034783D" w:rsidRDefault="001E08F1" w:rsidP="00D07A42">
            <w:pPr>
              <w:jc w:val="right"/>
              <w:rPr>
                <w:rFonts w:cs="Arial"/>
                <w:color w:val="7F7F7F"/>
                <w:szCs w:val="18"/>
                <w:lang w:eastAsia="en-AU"/>
              </w:rPr>
            </w:pPr>
            <w:r w:rsidRPr="0034783D">
              <w:rPr>
                <w:rFonts w:cs="Arial"/>
                <w:color w:val="7F7F7F"/>
                <w:szCs w:val="18"/>
                <w:lang w:eastAsia="en-AU"/>
              </w:rPr>
              <w:t>-18%</w:t>
            </w:r>
          </w:p>
        </w:tc>
        <w:tc>
          <w:tcPr>
            <w:tcW w:w="1276" w:type="dxa"/>
            <w:tcBorders>
              <w:top w:val="nil"/>
              <w:left w:val="nil"/>
              <w:bottom w:val="nil"/>
              <w:right w:val="nil"/>
            </w:tcBorders>
            <w:shd w:val="clear" w:color="auto" w:fill="auto"/>
            <w:noWrap/>
            <w:vAlign w:val="center"/>
            <w:hideMark/>
          </w:tcPr>
          <w:p w:rsidR="001E08F1" w:rsidRPr="0034783D" w:rsidRDefault="001E08F1" w:rsidP="00D07A42">
            <w:pPr>
              <w:jc w:val="right"/>
              <w:rPr>
                <w:rFonts w:cs="Arial"/>
                <w:color w:val="7F7F7F"/>
                <w:szCs w:val="18"/>
                <w:lang w:eastAsia="en-AU"/>
              </w:rPr>
            </w:pPr>
            <w:r w:rsidRPr="0034783D">
              <w:rPr>
                <w:rFonts w:cs="Arial"/>
                <w:color w:val="7F7F7F"/>
                <w:szCs w:val="18"/>
                <w:lang w:eastAsia="en-AU"/>
              </w:rPr>
              <w:t>-35%</w:t>
            </w:r>
          </w:p>
        </w:tc>
        <w:tc>
          <w:tcPr>
            <w:tcW w:w="1276" w:type="dxa"/>
            <w:tcBorders>
              <w:top w:val="nil"/>
              <w:left w:val="nil"/>
              <w:bottom w:val="nil"/>
              <w:right w:val="nil"/>
            </w:tcBorders>
            <w:shd w:val="clear" w:color="auto" w:fill="auto"/>
            <w:noWrap/>
            <w:vAlign w:val="center"/>
            <w:hideMark/>
          </w:tcPr>
          <w:p w:rsidR="001E08F1" w:rsidRPr="0034783D" w:rsidRDefault="001E08F1" w:rsidP="00D07A42">
            <w:pPr>
              <w:jc w:val="right"/>
              <w:rPr>
                <w:rFonts w:cs="Arial"/>
                <w:color w:val="7F7F7F"/>
                <w:szCs w:val="18"/>
                <w:lang w:eastAsia="en-AU"/>
              </w:rPr>
            </w:pPr>
            <w:r w:rsidRPr="0034783D">
              <w:rPr>
                <w:rFonts w:cs="Arial"/>
                <w:color w:val="7F7F7F"/>
                <w:szCs w:val="18"/>
                <w:lang w:eastAsia="en-AU"/>
              </w:rPr>
              <w:t>-16%</w:t>
            </w:r>
          </w:p>
        </w:tc>
      </w:tr>
      <w:tr w:rsidR="001E08F1" w:rsidRPr="0034783D" w:rsidTr="00D07A42">
        <w:trPr>
          <w:trHeight w:val="300"/>
        </w:trPr>
        <w:tc>
          <w:tcPr>
            <w:tcW w:w="1716" w:type="dxa"/>
            <w:tcBorders>
              <w:top w:val="nil"/>
              <w:left w:val="nil"/>
              <w:bottom w:val="nil"/>
              <w:right w:val="nil"/>
            </w:tcBorders>
            <w:shd w:val="clear" w:color="auto" w:fill="auto"/>
            <w:noWrap/>
            <w:vAlign w:val="center"/>
            <w:hideMark/>
          </w:tcPr>
          <w:p w:rsidR="001E08F1" w:rsidRPr="0034783D" w:rsidRDefault="001E08F1" w:rsidP="00D07A42">
            <w:pPr>
              <w:rPr>
                <w:rFonts w:cs="Arial"/>
                <w:color w:val="7F7F7F"/>
                <w:szCs w:val="18"/>
                <w:lang w:eastAsia="en-AU"/>
              </w:rPr>
            </w:pPr>
            <w:r w:rsidRPr="0034783D">
              <w:rPr>
                <w:rFonts w:cs="Arial"/>
                <w:color w:val="7F7F7F"/>
                <w:szCs w:val="18"/>
                <w:lang w:eastAsia="en-AU"/>
              </w:rPr>
              <w:t>Other*</w:t>
            </w:r>
          </w:p>
        </w:tc>
        <w:tc>
          <w:tcPr>
            <w:tcW w:w="1275" w:type="dxa"/>
            <w:tcBorders>
              <w:top w:val="nil"/>
              <w:left w:val="nil"/>
              <w:bottom w:val="nil"/>
              <w:right w:val="nil"/>
            </w:tcBorders>
            <w:shd w:val="clear" w:color="auto" w:fill="auto"/>
            <w:noWrap/>
            <w:vAlign w:val="center"/>
            <w:hideMark/>
          </w:tcPr>
          <w:p w:rsidR="001E08F1" w:rsidRPr="0034783D" w:rsidRDefault="001E08F1" w:rsidP="00D07A42">
            <w:pPr>
              <w:jc w:val="right"/>
              <w:rPr>
                <w:rFonts w:cs="Arial"/>
                <w:color w:val="7F7F7F"/>
                <w:szCs w:val="18"/>
                <w:lang w:eastAsia="en-AU"/>
              </w:rPr>
            </w:pPr>
            <w:r w:rsidRPr="0034783D">
              <w:rPr>
                <w:rFonts w:cs="Arial"/>
                <w:color w:val="7F7F7F"/>
                <w:szCs w:val="18"/>
                <w:lang w:eastAsia="en-AU"/>
              </w:rPr>
              <w:t>296%</w:t>
            </w:r>
          </w:p>
        </w:tc>
        <w:tc>
          <w:tcPr>
            <w:tcW w:w="1276" w:type="dxa"/>
            <w:tcBorders>
              <w:top w:val="nil"/>
              <w:left w:val="nil"/>
              <w:bottom w:val="nil"/>
              <w:right w:val="nil"/>
            </w:tcBorders>
            <w:shd w:val="clear" w:color="auto" w:fill="auto"/>
            <w:noWrap/>
            <w:vAlign w:val="center"/>
            <w:hideMark/>
          </w:tcPr>
          <w:p w:rsidR="001E08F1" w:rsidRPr="0034783D" w:rsidRDefault="001E08F1" w:rsidP="00D07A42">
            <w:pPr>
              <w:jc w:val="right"/>
              <w:rPr>
                <w:rFonts w:cs="Arial"/>
                <w:color w:val="7F7F7F"/>
                <w:szCs w:val="18"/>
                <w:lang w:eastAsia="en-AU"/>
              </w:rPr>
            </w:pPr>
            <w:r w:rsidRPr="0034783D">
              <w:rPr>
                <w:rFonts w:cs="Arial"/>
                <w:color w:val="7F7F7F"/>
                <w:szCs w:val="18"/>
                <w:lang w:eastAsia="en-AU"/>
              </w:rPr>
              <w:t>281%</w:t>
            </w:r>
          </w:p>
        </w:tc>
        <w:tc>
          <w:tcPr>
            <w:tcW w:w="1276" w:type="dxa"/>
            <w:tcBorders>
              <w:top w:val="nil"/>
              <w:left w:val="nil"/>
              <w:bottom w:val="nil"/>
              <w:right w:val="nil"/>
            </w:tcBorders>
            <w:shd w:val="clear" w:color="auto" w:fill="auto"/>
            <w:noWrap/>
            <w:vAlign w:val="center"/>
            <w:hideMark/>
          </w:tcPr>
          <w:p w:rsidR="001E08F1" w:rsidRPr="0034783D" w:rsidRDefault="001E08F1" w:rsidP="00D07A42">
            <w:pPr>
              <w:jc w:val="right"/>
              <w:rPr>
                <w:rFonts w:cs="Arial"/>
                <w:color w:val="7F7F7F"/>
                <w:szCs w:val="18"/>
                <w:lang w:eastAsia="en-AU"/>
              </w:rPr>
            </w:pPr>
            <w:r w:rsidRPr="0034783D">
              <w:rPr>
                <w:rFonts w:cs="Arial"/>
                <w:color w:val="7F7F7F"/>
                <w:szCs w:val="18"/>
                <w:lang w:eastAsia="en-AU"/>
              </w:rPr>
              <w:t>-12%</w:t>
            </w:r>
          </w:p>
        </w:tc>
        <w:tc>
          <w:tcPr>
            <w:tcW w:w="1276" w:type="dxa"/>
            <w:tcBorders>
              <w:top w:val="nil"/>
              <w:left w:val="nil"/>
              <w:bottom w:val="nil"/>
              <w:right w:val="nil"/>
            </w:tcBorders>
            <w:shd w:val="clear" w:color="auto" w:fill="auto"/>
            <w:noWrap/>
            <w:vAlign w:val="center"/>
            <w:hideMark/>
          </w:tcPr>
          <w:p w:rsidR="001E08F1" w:rsidRPr="0034783D" w:rsidRDefault="001E08F1" w:rsidP="00D07A42">
            <w:pPr>
              <w:jc w:val="right"/>
              <w:rPr>
                <w:rFonts w:cs="Arial"/>
                <w:color w:val="7F7F7F"/>
                <w:szCs w:val="18"/>
                <w:lang w:eastAsia="en-AU"/>
              </w:rPr>
            </w:pPr>
            <w:r w:rsidRPr="0034783D">
              <w:rPr>
                <w:rFonts w:cs="Arial"/>
                <w:color w:val="7F7F7F"/>
                <w:szCs w:val="18"/>
                <w:lang w:eastAsia="en-AU"/>
              </w:rPr>
              <w:t>-12%</w:t>
            </w:r>
          </w:p>
        </w:tc>
        <w:tc>
          <w:tcPr>
            <w:tcW w:w="1276" w:type="dxa"/>
            <w:tcBorders>
              <w:top w:val="nil"/>
              <w:left w:val="nil"/>
              <w:bottom w:val="nil"/>
              <w:right w:val="nil"/>
            </w:tcBorders>
            <w:shd w:val="clear" w:color="auto" w:fill="auto"/>
            <w:noWrap/>
            <w:vAlign w:val="center"/>
            <w:hideMark/>
          </w:tcPr>
          <w:p w:rsidR="001E08F1" w:rsidRPr="0034783D" w:rsidRDefault="001E08F1" w:rsidP="00D07A42">
            <w:pPr>
              <w:jc w:val="right"/>
              <w:rPr>
                <w:rFonts w:cs="Arial"/>
                <w:color w:val="7F7F7F"/>
                <w:szCs w:val="18"/>
                <w:lang w:eastAsia="en-AU"/>
              </w:rPr>
            </w:pPr>
            <w:r w:rsidRPr="0034783D">
              <w:rPr>
                <w:rFonts w:cs="Arial"/>
                <w:color w:val="7F7F7F"/>
                <w:szCs w:val="18"/>
                <w:lang w:eastAsia="en-AU"/>
              </w:rPr>
              <w:t>-5%</w:t>
            </w:r>
          </w:p>
        </w:tc>
      </w:tr>
      <w:tr w:rsidR="001E08F1" w:rsidRPr="0034783D" w:rsidTr="00D07A42">
        <w:trPr>
          <w:trHeight w:val="300"/>
        </w:trPr>
        <w:tc>
          <w:tcPr>
            <w:tcW w:w="1716" w:type="dxa"/>
            <w:tcBorders>
              <w:top w:val="nil"/>
              <w:left w:val="nil"/>
              <w:bottom w:val="nil"/>
              <w:right w:val="nil"/>
            </w:tcBorders>
            <w:shd w:val="clear" w:color="000000" w:fill="7F7F7F"/>
            <w:noWrap/>
            <w:vAlign w:val="center"/>
            <w:hideMark/>
          </w:tcPr>
          <w:p w:rsidR="001E08F1" w:rsidRPr="0034783D" w:rsidRDefault="001E08F1" w:rsidP="00D07A42">
            <w:pPr>
              <w:rPr>
                <w:rFonts w:cs="Arial"/>
                <w:b/>
                <w:bCs/>
                <w:color w:val="FFFFFF"/>
                <w:szCs w:val="18"/>
                <w:lang w:eastAsia="en-AU"/>
              </w:rPr>
            </w:pPr>
            <w:r w:rsidRPr="0034783D">
              <w:rPr>
                <w:rFonts w:cs="Arial"/>
                <w:b/>
                <w:bCs/>
                <w:color w:val="FFFFFF"/>
                <w:szCs w:val="18"/>
                <w:lang w:eastAsia="en-AU"/>
              </w:rPr>
              <w:t>Total</w:t>
            </w:r>
          </w:p>
        </w:tc>
        <w:tc>
          <w:tcPr>
            <w:tcW w:w="1275" w:type="dxa"/>
            <w:tcBorders>
              <w:top w:val="nil"/>
              <w:left w:val="nil"/>
              <w:bottom w:val="nil"/>
              <w:right w:val="nil"/>
            </w:tcBorders>
            <w:shd w:val="clear" w:color="000000" w:fill="7F7F7F"/>
            <w:noWrap/>
            <w:vAlign w:val="center"/>
            <w:hideMark/>
          </w:tcPr>
          <w:p w:rsidR="001E08F1" w:rsidRPr="0034783D" w:rsidRDefault="001E08F1" w:rsidP="00D07A42">
            <w:pPr>
              <w:jc w:val="right"/>
              <w:rPr>
                <w:rFonts w:cs="Arial"/>
                <w:b/>
                <w:bCs/>
                <w:color w:val="FFFFFF"/>
                <w:szCs w:val="18"/>
                <w:lang w:eastAsia="en-AU"/>
              </w:rPr>
            </w:pPr>
            <w:r w:rsidRPr="0034783D">
              <w:rPr>
                <w:rFonts w:cs="Arial"/>
                <w:b/>
                <w:bCs/>
                <w:color w:val="FFFFFF"/>
                <w:szCs w:val="18"/>
                <w:lang w:eastAsia="en-AU"/>
              </w:rPr>
              <w:t>70%</w:t>
            </w:r>
          </w:p>
        </w:tc>
        <w:tc>
          <w:tcPr>
            <w:tcW w:w="1276" w:type="dxa"/>
            <w:tcBorders>
              <w:top w:val="nil"/>
              <w:left w:val="nil"/>
              <w:bottom w:val="nil"/>
              <w:right w:val="nil"/>
            </w:tcBorders>
            <w:shd w:val="clear" w:color="000000" w:fill="7F7F7F"/>
            <w:noWrap/>
            <w:vAlign w:val="center"/>
            <w:hideMark/>
          </w:tcPr>
          <w:p w:rsidR="001E08F1" w:rsidRPr="0034783D" w:rsidRDefault="001E08F1" w:rsidP="00D07A42">
            <w:pPr>
              <w:jc w:val="right"/>
              <w:rPr>
                <w:rFonts w:cs="Arial"/>
                <w:b/>
                <w:bCs/>
                <w:color w:val="FFFFFF"/>
                <w:szCs w:val="18"/>
                <w:lang w:eastAsia="en-AU"/>
              </w:rPr>
            </w:pPr>
            <w:r w:rsidRPr="0034783D">
              <w:rPr>
                <w:rFonts w:cs="Arial"/>
                <w:b/>
                <w:bCs/>
                <w:color w:val="FFFFFF"/>
                <w:szCs w:val="18"/>
                <w:lang w:eastAsia="en-AU"/>
              </w:rPr>
              <w:t>11%</w:t>
            </w:r>
          </w:p>
        </w:tc>
        <w:tc>
          <w:tcPr>
            <w:tcW w:w="1276" w:type="dxa"/>
            <w:tcBorders>
              <w:top w:val="nil"/>
              <w:left w:val="nil"/>
              <w:bottom w:val="nil"/>
              <w:right w:val="nil"/>
            </w:tcBorders>
            <w:shd w:val="clear" w:color="000000" w:fill="7F7F7F"/>
            <w:noWrap/>
            <w:vAlign w:val="center"/>
            <w:hideMark/>
          </w:tcPr>
          <w:p w:rsidR="001E08F1" w:rsidRPr="0034783D" w:rsidRDefault="001E08F1" w:rsidP="00D07A42">
            <w:pPr>
              <w:jc w:val="right"/>
              <w:rPr>
                <w:rFonts w:cs="Arial"/>
                <w:b/>
                <w:bCs/>
                <w:color w:val="FFFFFF"/>
                <w:szCs w:val="18"/>
                <w:lang w:eastAsia="en-AU"/>
              </w:rPr>
            </w:pPr>
            <w:r w:rsidRPr="0034783D">
              <w:rPr>
                <w:rFonts w:cs="Arial"/>
                <w:b/>
                <w:bCs/>
                <w:color w:val="FFFFFF"/>
                <w:szCs w:val="18"/>
                <w:lang w:eastAsia="en-AU"/>
              </w:rPr>
              <w:t>-54%</w:t>
            </w:r>
          </w:p>
        </w:tc>
        <w:tc>
          <w:tcPr>
            <w:tcW w:w="1276" w:type="dxa"/>
            <w:tcBorders>
              <w:top w:val="nil"/>
              <w:left w:val="nil"/>
              <w:bottom w:val="nil"/>
              <w:right w:val="nil"/>
            </w:tcBorders>
            <w:shd w:val="clear" w:color="000000" w:fill="7F7F7F"/>
            <w:noWrap/>
            <w:vAlign w:val="center"/>
            <w:hideMark/>
          </w:tcPr>
          <w:p w:rsidR="001E08F1" w:rsidRPr="0034783D" w:rsidRDefault="001E08F1" w:rsidP="00D07A42">
            <w:pPr>
              <w:jc w:val="right"/>
              <w:rPr>
                <w:rFonts w:cs="Arial"/>
                <w:b/>
                <w:bCs/>
                <w:color w:val="FFFFFF"/>
                <w:szCs w:val="18"/>
                <w:lang w:eastAsia="en-AU"/>
              </w:rPr>
            </w:pPr>
            <w:r w:rsidRPr="0034783D">
              <w:rPr>
                <w:rFonts w:cs="Arial"/>
                <w:b/>
                <w:bCs/>
                <w:color w:val="FFFFFF"/>
                <w:szCs w:val="18"/>
                <w:lang w:eastAsia="en-AU"/>
              </w:rPr>
              <w:t>-66%</w:t>
            </w:r>
          </w:p>
        </w:tc>
        <w:tc>
          <w:tcPr>
            <w:tcW w:w="1276" w:type="dxa"/>
            <w:tcBorders>
              <w:top w:val="nil"/>
              <w:left w:val="nil"/>
              <w:bottom w:val="nil"/>
              <w:right w:val="nil"/>
            </w:tcBorders>
            <w:shd w:val="clear" w:color="000000" w:fill="7F7F7F"/>
            <w:noWrap/>
            <w:vAlign w:val="center"/>
            <w:hideMark/>
          </w:tcPr>
          <w:p w:rsidR="001E08F1" w:rsidRPr="0034783D" w:rsidRDefault="001E08F1" w:rsidP="00D07A42">
            <w:pPr>
              <w:jc w:val="right"/>
              <w:rPr>
                <w:rFonts w:cs="Arial"/>
                <w:b/>
                <w:bCs/>
                <w:color w:val="FFFFFF"/>
                <w:szCs w:val="18"/>
                <w:lang w:eastAsia="en-AU"/>
              </w:rPr>
            </w:pPr>
            <w:r w:rsidRPr="0034783D">
              <w:rPr>
                <w:rFonts w:cs="Arial"/>
                <w:b/>
                <w:bCs/>
                <w:color w:val="FFFFFF"/>
                <w:szCs w:val="18"/>
                <w:lang w:eastAsia="en-AU"/>
              </w:rPr>
              <w:t>-40%</w:t>
            </w:r>
          </w:p>
        </w:tc>
      </w:tr>
    </w:tbl>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4A0" w:firstRow="1" w:lastRow="0" w:firstColumn="1" w:lastColumn="0" w:noHBand="0" w:noVBand="1"/>
      </w:tblPr>
      <w:tblGrid>
        <w:gridCol w:w="431"/>
        <w:gridCol w:w="7649"/>
      </w:tblGrid>
      <w:tr w:rsidR="001E08F1" w:rsidRPr="00913551" w:rsidTr="00D07A42">
        <w:tc>
          <w:tcPr>
            <w:tcW w:w="431" w:type="dxa"/>
            <w:tcMar>
              <w:left w:w="0" w:type="dxa"/>
              <w:right w:w="28" w:type="dxa"/>
            </w:tcMar>
          </w:tcPr>
          <w:p w:rsidR="001E08F1" w:rsidRPr="00913551" w:rsidRDefault="001E08F1" w:rsidP="00D07A42">
            <w:pPr>
              <w:spacing w:after="0" w:line="240" w:lineRule="auto"/>
              <w:jc w:val="right"/>
              <w:rPr>
                <w:color w:val="7F7F7F" w:themeColor="text2"/>
                <w:sz w:val="16"/>
                <w:szCs w:val="16"/>
              </w:rPr>
            </w:pPr>
            <w:r w:rsidRPr="00913551">
              <w:rPr>
                <w:color w:val="7F7F7F" w:themeColor="text2"/>
                <w:sz w:val="16"/>
                <w:szCs w:val="16"/>
              </w:rPr>
              <w:t xml:space="preserve">* </w:t>
            </w:r>
          </w:p>
        </w:tc>
        <w:tc>
          <w:tcPr>
            <w:tcW w:w="7649" w:type="dxa"/>
            <w:tcMar>
              <w:left w:w="0" w:type="dxa"/>
              <w:right w:w="28" w:type="dxa"/>
            </w:tcMar>
          </w:tcPr>
          <w:p w:rsidR="001E08F1" w:rsidRPr="00913551" w:rsidRDefault="001E08F1" w:rsidP="00D07A42">
            <w:pPr>
              <w:spacing w:after="0" w:line="240" w:lineRule="auto"/>
              <w:rPr>
                <w:i/>
                <w:color w:val="7F7F7F" w:themeColor="text2"/>
                <w:sz w:val="16"/>
                <w:szCs w:val="16"/>
              </w:rPr>
            </w:pPr>
            <w:r w:rsidRPr="00913551">
              <w:rPr>
                <w:i/>
                <w:sz w:val="16"/>
                <w:szCs w:val="16"/>
              </w:rPr>
              <w:t>'Other' includes age under 15 years old, 65 years and over or not stated.</w:t>
            </w:r>
          </w:p>
        </w:tc>
      </w:tr>
    </w:tbl>
    <w:p w:rsidR="001E08F1" w:rsidRDefault="001E08F1" w:rsidP="001E08F1"/>
    <w:p w:rsidR="001E08F1" w:rsidRDefault="001E08F1" w:rsidP="001E08F1"/>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B25F5E" w:rsidTr="00D07A42">
        <w:tc>
          <w:tcPr>
            <w:tcW w:w="1134" w:type="dxa"/>
            <w:tcMar>
              <w:left w:w="0" w:type="dxa"/>
              <w:right w:w="0" w:type="dxa"/>
            </w:tcMar>
          </w:tcPr>
          <w:p w:rsidR="00B25F5E" w:rsidRDefault="0005261F" w:rsidP="00D07A42">
            <w:pPr>
              <w:pStyle w:val="Quote"/>
              <w:tabs>
                <w:tab w:val="left" w:pos="1134"/>
              </w:tabs>
              <w:rPr>
                <w:b w:val="0"/>
                <w:color w:val="B41F22" w:themeColor="accent1"/>
              </w:rPr>
            </w:pPr>
            <w:r>
              <w:rPr>
                <w:b w:val="0"/>
                <w:color w:val="B41F22" w:themeColor="accent1"/>
              </w:rPr>
              <w:t>Table 2.11</w:t>
            </w:r>
            <w:r w:rsidR="00B25F5E">
              <w:rPr>
                <w:b w:val="0"/>
                <w:color w:val="B41F22" w:themeColor="accent1"/>
              </w:rPr>
              <w:t>.1:</w:t>
            </w:r>
          </w:p>
        </w:tc>
        <w:tc>
          <w:tcPr>
            <w:tcW w:w="6946" w:type="dxa"/>
            <w:tcMar>
              <w:left w:w="0" w:type="dxa"/>
              <w:right w:w="0" w:type="dxa"/>
            </w:tcMar>
          </w:tcPr>
          <w:p w:rsidR="00B25F5E" w:rsidRDefault="00B25F5E" w:rsidP="00D07A42">
            <w:pPr>
              <w:pStyle w:val="Quote"/>
              <w:tabs>
                <w:tab w:val="left" w:pos="1134"/>
              </w:tabs>
              <w:rPr>
                <w:b w:val="0"/>
                <w:color w:val="B41F22" w:themeColor="accent1"/>
              </w:rPr>
            </w:pPr>
            <w:r>
              <w:rPr>
                <w:b w:val="0"/>
                <w:color w:val="B41F22" w:themeColor="accent1"/>
              </w:rPr>
              <w:t>Early school leavers 15-19 years not at school in government subsidised training</w:t>
            </w:r>
            <w:r w:rsidRPr="001347A5">
              <w:rPr>
                <w:b w:val="0"/>
                <w:color w:val="B41F22" w:themeColor="accent1"/>
              </w:rPr>
              <w:t>, 2010 to 2015 (half year)</w:t>
            </w:r>
            <w:r w:rsidR="00A92C45">
              <w:rPr>
                <w:rStyle w:val="FootnoteReference"/>
                <w:b w:val="0"/>
                <w:color w:val="B41F22" w:themeColor="accent1"/>
              </w:rPr>
              <w:footnoteReference w:id="5"/>
            </w:r>
          </w:p>
        </w:tc>
      </w:tr>
    </w:tbl>
    <w:tbl>
      <w:tblPr>
        <w:tblW w:w="8095" w:type="dxa"/>
        <w:tblInd w:w="93" w:type="dxa"/>
        <w:tblLayout w:type="fixed"/>
        <w:tblLook w:val="04A0" w:firstRow="1" w:lastRow="0" w:firstColumn="1" w:lastColumn="0" w:noHBand="0" w:noVBand="1"/>
      </w:tblPr>
      <w:tblGrid>
        <w:gridCol w:w="1858"/>
        <w:gridCol w:w="1039"/>
        <w:gridCol w:w="1040"/>
        <w:gridCol w:w="1039"/>
        <w:gridCol w:w="1040"/>
        <w:gridCol w:w="1039"/>
        <w:gridCol w:w="1040"/>
      </w:tblGrid>
      <w:tr w:rsidR="00B25F5E" w:rsidRPr="0034783D" w:rsidTr="00D07A42">
        <w:trPr>
          <w:trHeight w:val="300"/>
        </w:trPr>
        <w:tc>
          <w:tcPr>
            <w:tcW w:w="1858" w:type="dxa"/>
            <w:tcBorders>
              <w:top w:val="nil"/>
              <w:left w:val="nil"/>
              <w:bottom w:val="nil"/>
              <w:right w:val="nil"/>
            </w:tcBorders>
            <w:shd w:val="clear" w:color="000000" w:fill="7F7F7F"/>
            <w:noWrap/>
            <w:vAlign w:val="center"/>
            <w:hideMark/>
          </w:tcPr>
          <w:p w:rsidR="00B25F5E" w:rsidRPr="0034783D" w:rsidRDefault="00B25F5E" w:rsidP="00D07A42">
            <w:pPr>
              <w:rPr>
                <w:rFonts w:cs="Arial"/>
                <w:color w:val="FFFFFF"/>
                <w:szCs w:val="18"/>
                <w:lang w:eastAsia="en-AU"/>
              </w:rPr>
            </w:pPr>
            <w:r w:rsidRPr="0034783D">
              <w:rPr>
                <w:rFonts w:cs="Arial"/>
                <w:color w:val="FFFFFF"/>
                <w:szCs w:val="18"/>
                <w:lang w:eastAsia="en-AU"/>
              </w:rPr>
              <w:t> </w:t>
            </w:r>
          </w:p>
        </w:tc>
        <w:tc>
          <w:tcPr>
            <w:tcW w:w="1039" w:type="dxa"/>
            <w:tcBorders>
              <w:top w:val="nil"/>
              <w:left w:val="nil"/>
              <w:bottom w:val="nil"/>
              <w:right w:val="nil"/>
            </w:tcBorders>
            <w:shd w:val="clear" w:color="000000" w:fill="7F7F7F"/>
            <w:noWrap/>
            <w:vAlign w:val="center"/>
            <w:hideMark/>
          </w:tcPr>
          <w:p w:rsidR="00B25F5E" w:rsidRPr="0034783D" w:rsidRDefault="00B25F5E" w:rsidP="00D07A42">
            <w:pPr>
              <w:jc w:val="right"/>
              <w:rPr>
                <w:rFonts w:cs="Arial"/>
                <w:b/>
                <w:bCs/>
                <w:color w:val="FFFFFF"/>
                <w:szCs w:val="18"/>
                <w:lang w:eastAsia="en-AU"/>
              </w:rPr>
            </w:pPr>
            <w:r w:rsidRPr="0034783D">
              <w:rPr>
                <w:rFonts w:cs="Arial"/>
                <w:b/>
                <w:bCs/>
                <w:color w:val="FFFFFF"/>
                <w:szCs w:val="18"/>
                <w:lang w:eastAsia="en-AU"/>
              </w:rPr>
              <w:t>2010</w:t>
            </w:r>
          </w:p>
        </w:tc>
        <w:tc>
          <w:tcPr>
            <w:tcW w:w="1040" w:type="dxa"/>
            <w:tcBorders>
              <w:top w:val="nil"/>
              <w:left w:val="nil"/>
              <w:bottom w:val="nil"/>
              <w:right w:val="nil"/>
            </w:tcBorders>
            <w:shd w:val="clear" w:color="000000" w:fill="7F7F7F"/>
            <w:noWrap/>
            <w:vAlign w:val="center"/>
            <w:hideMark/>
          </w:tcPr>
          <w:p w:rsidR="00B25F5E" w:rsidRPr="0034783D" w:rsidRDefault="00B25F5E" w:rsidP="00D07A42">
            <w:pPr>
              <w:jc w:val="right"/>
              <w:rPr>
                <w:rFonts w:cs="Arial"/>
                <w:b/>
                <w:bCs/>
                <w:color w:val="FFFFFF"/>
                <w:szCs w:val="18"/>
                <w:lang w:eastAsia="en-AU"/>
              </w:rPr>
            </w:pPr>
            <w:r w:rsidRPr="0034783D">
              <w:rPr>
                <w:rFonts w:cs="Arial"/>
                <w:b/>
                <w:bCs/>
                <w:color w:val="FFFFFF"/>
                <w:szCs w:val="18"/>
                <w:lang w:eastAsia="en-AU"/>
              </w:rPr>
              <w:t>2011</w:t>
            </w:r>
          </w:p>
        </w:tc>
        <w:tc>
          <w:tcPr>
            <w:tcW w:w="1039" w:type="dxa"/>
            <w:tcBorders>
              <w:top w:val="nil"/>
              <w:left w:val="nil"/>
              <w:bottom w:val="nil"/>
              <w:right w:val="nil"/>
            </w:tcBorders>
            <w:shd w:val="clear" w:color="000000" w:fill="7F7F7F"/>
            <w:noWrap/>
            <w:vAlign w:val="center"/>
            <w:hideMark/>
          </w:tcPr>
          <w:p w:rsidR="00B25F5E" w:rsidRPr="0034783D" w:rsidRDefault="00B25F5E" w:rsidP="00D07A42">
            <w:pPr>
              <w:jc w:val="right"/>
              <w:rPr>
                <w:rFonts w:cs="Arial"/>
                <w:b/>
                <w:bCs/>
                <w:color w:val="FFFFFF"/>
                <w:szCs w:val="18"/>
                <w:lang w:eastAsia="en-AU"/>
              </w:rPr>
            </w:pPr>
            <w:r w:rsidRPr="0034783D">
              <w:rPr>
                <w:rFonts w:cs="Arial"/>
                <w:b/>
                <w:bCs/>
                <w:color w:val="FFFFFF"/>
                <w:szCs w:val="18"/>
                <w:lang w:eastAsia="en-AU"/>
              </w:rPr>
              <w:t>2012</w:t>
            </w:r>
          </w:p>
        </w:tc>
        <w:tc>
          <w:tcPr>
            <w:tcW w:w="1040" w:type="dxa"/>
            <w:tcBorders>
              <w:top w:val="nil"/>
              <w:left w:val="nil"/>
              <w:bottom w:val="nil"/>
              <w:right w:val="nil"/>
            </w:tcBorders>
            <w:shd w:val="clear" w:color="000000" w:fill="7F7F7F"/>
            <w:noWrap/>
            <w:vAlign w:val="center"/>
            <w:hideMark/>
          </w:tcPr>
          <w:p w:rsidR="00B25F5E" w:rsidRPr="0034783D" w:rsidRDefault="00B25F5E" w:rsidP="00D07A42">
            <w:pPr>
              <w:jc w:val="right"/>
              <w:rPr>
                <w:rFonts w:cs="Arial"/>
                <w:b/>
                <w:bCs/>
                <w:color w:val="FFFFFF"/>
                <w:szCs w:val="18"/>
                <w:lang w:eastAsia="en-AU"/>
              </w:rPr>
            </w:pPr>
            <w:r w:rsidRPr="0034783D">
              <w:rPr>
                <w:rFonts w:cs="Arial"/>
                <w:b/>
                <w:bCs/>
                <w:color w:val="FFFFFF"/>
                <w:szCs w:val="18"/>
                <w:lang w:eastAsia="en-AU"/>
              </w:rPr>
              <w:t>2013</w:t>
            </w:r>
          </w:p>
        </w:tc>
        <w:tc>
          <w:tcPr>
            <w:tcW w:w="1039" w:type="dxa"/>
            <w:tcBorders>
              <w:top w:val="nil"/>
              <w:left w:val="nil"/>
              <w:bottom w:val="nil"/>
              <w:right w:val="nil"/>
            </w:tcBorders>
            <w:shd w:val="clear" w:color="000000" w:fill="7F7F7F"/>
            <w:noWrap/>
            <w:vAlign w:val="center"/>
            <w:hideMark/>
          </w:tcPr>
          <w:p w:rsidR="00B25F5E" w:rsidRPr="0034783D" w:rsidRDefault="00B25F5E" w:rsidP="00D07A42">
            <w:pPr>
              <w:jc w:val="right"/>
              <w:rPr>
                <w:rFonts w:cs="Arial"/>
                <w:b/>
                <w:bCs/>
                <w:color w:val="FFFFFF"/>
                <w:szCs w:val="18"/>
                <w:lang w:eastAsia="en-AU"/>
              </w:rPr>
            </w:pPr>
            <w:r w:rsidRPr="0034783D">
              <w:rPr>
                <w:rFonts w:cs="Arial"/>
                <w:b/>
                <w:bCs/>
                <w:color w:val="FFFFFF"/>
                <w:szCs w:val="18"/>
                <w:lang w:eastAsia="en-AU"/>
              </w:rPr>
              <w:t>2014</w:t>
            </w:r>
          </w:p>
        </w:tc>
        <w:tc>
          <w:tcPr>
            <w:tcW w:w="1040" w:type="dxa"/>
            <w:tcBorders>
              <w:top w:val="nil"/>
              <w:left w:val="nil"/>
              <w:bottom w:val="nil"/>
              <w:right w:val="nil"/>
            </w:tcBorders>
            <w:shd w:val="clear" w:color="000000" w:fill="7F7F7F"/>
            <w:noWrap/>
            <w:vAlign w:val="center"/>
            <w:hideMark/>
          </w:tcPr>
          <w:p w:rsidR="00B25F5E" w:rsidRPr="0034783D" w:rsidRDefault="00B25F5E" w:rsidP="00D07A42">
            <w:pPr>
              <w:jc w:val="right"/>
              <w:rPr>
                <w:rFonts w:cs="Arial"/>
                <w:b/>
                <w:bCs/>
                <w:color w:val="FFFFFF"/>
                <w:szCs w:val="18"/>
                <w:lang w:eastAsia="en-AU"/>
              </w:rPr>
            </w:pPr>
            <w:r w:rsidRPr="0034783D">
              <w:rPr>
                <w:rFonts w:cs="Arial"/>
                <w:b/>
                <w:bCs/>
                <w:color w:val="FFFFFF"/>
                <w:szCs w:val="18"/>
                <w:lang w:eastAsia="en-AU"/>
              </w:rPr>
              <w:t>2015</w:t>
            </w:r>
          </w:p>
        </w:tc>
      </w:tr>
      <w:tr w:rsidR="00B25F5E" w:rsidRPr="0034783D" w:rsidTr="001949D9">
        <w:trPr>
          <w:trHeight w:val="300"/>
        </w:trPr>
        <w:tc>
          <w:tcPr>
            <w:tcW w:w="1858" w:type="dxa"/>
            <w:tcBorders>
              <w:top w:val="nil"/>
              <w:left w:val="nil"/>
              <w:right w:val="nil"/>
            </w:tcBorders>
            <w:shd w:val="clear" w:color="auto" w:fill="auto"/>
            <w:noWrap/>
            <w:vAlign w:val="center"/>
            <w:hideMark/>
          </w:tcPr>
          <w:p w:rsidR="00B25F5E" w:rsidRPr="0034783D" w:rsidRDefault="00B25F5E" w:rsidP="00D07A42">
            <w:pPr>
              <w:rPr>
                <w:rFonts w:cs="Arial"/>
                <w:color w:val="7F7F7F"/>
                <w:szCs w:val="18"/>
                <w:lang w:eastAsia="en-AU"/>
              </w:rPr>
            </w:pPr>
            <w:r>
              <w:rPr>
                <w:rFonts w:cs="Arial"/>
                <w:color w:val="7F7F7F"/>
                <w:szCs w:val="18"/>
                <w:lang w:eastAsia="en-AU"/>
              </w:rPr>
              <w:t>Students in Foundation</w:t>
            </w:r>
          </w:p>
        </w:tc>
        <w:tc>
          <w:tcPr>
            <w:tcW w:w="1039" w:type="dxa"/>
            <w:tcBorders>
              <w:top w:val="nil"/>
              <w:left w:val="nil"/>
              <w:right w:val="nil"/>
            </w:tcBorders>
            <w:shd w:val="clear" w:color="auto" w:fill="auto"/>
            <w:noWrap/>
            <w:vAlign w:val="center"/>
          </w:tcPr>
          <w:p w:rsidR="00B25F5E" w:rsidRPr="0034783D" w:rsidRDefault="001949D9" w:rsidP="001949D9">
            <w:pPr>
              <w:jc w:val="right"/>
              <w:rPr>
                <w:rFonts w:cs="Arial"/>
                <w:color w:val="7F7F7F"/>
                <w:szCs w:val="18"/>
                <w:lang w:eastAsia="en-AU"/>
              </w:rPr>
            </w:pPr>
            <w:r>
              <w:rPr>
                <w:rFonts w:cs="Arial"/>
                <w:color w:val="7F7F7F"/>
                <w:szCs w:val="18"/>
                <w:lang w:eastAsia="en-AU"/>
              </w:rPr>
              <w:t>2,594</w:t>
            </w:r>
          </w:p>
        </w:tc>
        <w:tc>
          <w:tcPr>
            <w:tcW w:w="1040" w:type="dxa"/>
            <w:tcBorders>
              <w:top w:val="nil"/>
              <w:left w:val="nil"/>
              <w:right w:val="nil"/>
            </w:tcBorders>
            <w:shd w:val="clear" w:color="auto" w:fill="auto"/>
            <w:noWrap/>
            <w:vAlign w:val="center"/>
          </w:tcPr>
          <w:p w:rsidR="00B25F5E" w:rsidRPr="0034783D" w:rsidRDefault="001949D9" w:rsidP="001949D9">
            <w:pPr>
              <w:jc w:val="right"/>
              <w:rPr>
                <w:rFonts w:cs="Arial"/>
                <w:color w:val="7F7F7F"/>
                <w:szCs w:val="18"/>
                <w:lang w:eastAsia="en-AU"/>
              </w:rPr>
            </w:pPr>
            <w:r>
              <w:rPr>
                <w:rFonts w:cs="Arial"/>
                <w:color w:val="7F7F7F"/>
                <w:szCs w:val="18"/>
                <w:lang w:eastAsia="en-AU"/>
              </w:rPr>
              <w:t>3,328</w:t>
            </w:r>
          </w:p>
        </w:tc>
        <w:tc>
          <w:tcPr>
            <w:tcW w:w="1039" w:type="dxa"/>
            <w:tcBorders>
              <w:top w:val="nil"/>
              <w:left w:val="nil"/>
              <w:right w:val="nil"/>
            </w:tcBorders>
            <w:shd w:val="clear" w:color="auto" w:fill="auto"/>
            <w:noWrap/>
            <w:vAlign w:val="center"/>
          </w:tcPr>
          <w:p w:rsidR="00B25F5E" w:rsidRPr="0034783D" w:rsidRDefault="001949D9" w:rsidP="001949D9">
            <w:pPr>
              <w:jc w:val="right"/>
              <w:rPr>
                <w:rFonts w:cs="Arial"/>
                <w:color w:val="7F7F7F"/>
                <w:szCs w:val="18"/>
                <w:lang w:eastAsia="en-AU"/>
              </w:rPr>
            </w:pPr>
            <w:r>
              <w:rPr>
                <w:rFonts w:cs="Arial"/>
                <w:color w:val="7F7F7F"/>
                <w:szCs w:val="18"/>
                <w:lang w:eastAsia="en-AU"/>
              </w:rPr>
              <w:t>6,907</w:t>
            </w:r>
          </w:p>
        </w:tc>
        <w:tc>
          <w:tcPr>
            <w:tcW w:w="1040" w:type="dxa"/>
            <w:tcBorders>
              <w:top w:val="nil"/>
              <w:left w:val="nil"/>
              <w:right w:val="nil"/>
            </w:tcBorders>
            <w:shd w:val="clear" w:color="auto" w:fill="auto"/>
            <w:noWrap/>
            <w:vAlign w:val="center"/>
          </w:tcPr>
          <w:p w:rsidR="00B25F5E" w:rsidRPr="0034783D" w:rsidRDefault="001949D9" w:rsidP="001949D9">
            <w:pPr>
              <w:jc w:val="right"/>
              <w:rPr>
                <w:rFonts w:cs="Arial"/>
                <w:color w:val="7F7F7F"/>
                <w:szCs w:val="18"/>
                <w:lang w:eastAsia="en-AU"/>
              </w:rPr>
            </w:pPr>
            <w:r>
              <w:rPr>
                <w:rFonts w:cs="Arial"/>
                <w:color w:val="7F7F7F"/>
                <w:szCs w:val="18"/>
                <w:lang w:eastAsia="en-AU"/>
              </w:rPr>
              <w:t>8,259</w:t>
            </w:r>
          </w:p>
        </w:tc>
        <w:tc>
          <w:tcPr>
            <w:tcW w:w="1039" w:type="dxa"/>
            <w:tcBorders>
              <w:top w:val="nil"/>
              <w:left w:val="nil"/>
              <w:right w:val="nil"/>
            </w:tcBorders>
            <w:shd w:val="clear" w:color="auto" w:fill="auto"/>
            <w:noWrap/>
            <w:vAlign w:val="center"/>
          </w:tcPr>
          <w:p w:rsidR="00B25F5E" w:rsidRPr="0034783D" w:rsidRDefault="001949D9" w:rsidP="001949D9">
            <w:pPr>
              <w:jc w:val="right"/>
              <w:rPr>
                <w:rFonts w:cs="Arial"/>
                <w:color w:val="7F7F7F"/>
                <w:szCs w:val="18"/>
                <w:lang w:eastAsia="en-AU"/>
              </w:rPr>
            </w:pPr>
            <w:r>
              <w:rPr>
                <w:rFonts w:cs="Arial"/>
                <w:color w:val="7F7F7F"/>
                <w:szCs w:val="18"/>
                <w:lang w:eastAsia="en-AU"/>
              </w:rPr>
              <w:t>4,853</w:t>
            </w:r>
          </w:p>
        </w:tc>
        <w:tc>
          <w:tcPr>
            <w:tcW w:w="1040" w:type="dxa"/>
            <w:tcBorders>
              <w:top w:val="nil"/>
              <w:left w:val="nil"/>
              <w:right w:val="nil"/>
            </w:tcBorders>
            <w:shd w:val="clear" w:color="auto" w:fill="auto"/>
            <w:noWrap/>
            <w:vAlign w:val="center"/>
          </w:tcPr>
          <w:p w:rsidR="00B25F5E" w:rsidRPr="0034783D" w:rsidRDefault="001949D9" w:rsidP="001949D9">
            <w:pPr>
              <w:jc w:val="right"/>
              <w:rPr>
                <w:rFonts w:cs="Arial"/>
                <w:color w:val="7F7F7F"/>
                <w:szCs w:val="18"/>
                <w:lang w:eastAsia="en-AU"/>
              </w:rPr>
            </w:pPr>
            <w:r>
              <w:rPr>
                <w:rFonts w:cs="Arial"/>
                <w:color w:val="7F7F7F"/>
                <w:szCs w:val="18"/>
                <w:lang w:eastAsia="en-AU"/>
              </w:rPr>
              <w:t>2,916</w:t>
            </w:r>
          </w:p>
        </w:tc>
      </w:tr>
      <w:tr w:rsidR="00B25F5E" w:rsidRPr="00B25F5E" w:rsidTr="001949D9">
        <w:trPr>
          <w:trHeight w:val="315"/>
        </w:trPr>
        <w:tc>
          <w:tcPr>
            <w:tcW w:w="1858" w:type="dxa"/>
            <w:tcBorders>
              <w:top w:val="nil"/>
              <w:left w:val="nil"/>
              <w:bottom w:val="single" w:sz="4" w:space="0" w:color="5F5F5F" w:themeColor="text2" w:themeShade="BF"/>
              <w:right w:val="nil"/>
            </w:tcBorders>
            <w:shd w:val="clear" w:color="auto" w:fill="auto"/>
            <w:noWrap/>
            <w:vAlign w:val="center"/>
            <w:hideMark/>
          </w:tcPr>
          <w:p w:rsidR="00B25F5E" w:rsidRPr="0034783D" w:rsidRDefault="00B25F5E" w:rsidP="00D07A42">
            <w:pPr>
              <w:rPr>
                <w:rFonts w:cs="Arial"/>
                <w:color w:val="7F7F7F"/>
                <w:szCs w:val="18"/>
                <w:lang w:eastAsia="en-AU"/>
              </w:rPr>
            </w:pPr>
            <w:r>
              <w:rPr>
                <w:rFonts w:cs="Arial"/>
                <w:color w:val="7F7F7F"/>
                <w:szCs w:val="18"/>
                <w:lang w:eastAsia="en-AU"/>
              </w:rPr>
              <w:t>All students</w:t>
            </w:r>
          </w:p>
        </w:tc>
        <w:tc>
          <w:tcPr>
            <w:tcW w:w="1039" w:type="dxa"/>
            <w:tcBorders>
              <w:top w:val="nil"/>
              <w:left w:val="nil"/>
              <w:bottom w:val="single" w:sz="4" w:space="0" w:color="5F5F5F" w:themeColor="text2" w:themeShade="BF"/>
              <w:right w:val="nil"/>
            </w:tcBorders>
            <w:shd w:val="clear" w:color="auto" w:fill="auto"/>
            <w:noWrap/>
            <w:vAlign w:val="center"/>
          </w:tcPr>
          <w:p w:rsidR="00B25F5E" w:rsidRPr="0034783D" w:rsidRDefault="001949D9" w:rsidP="001949D9">
            <w:pPr>
              <w:jc w:val="right"/>
              <w:rPr>
                <w:rFonts w:cs="Arial"/>
                <w:color w:val="7F7F7F"/>
                <w:szCs w:val="18"/>
                <w:lang w:eastAsia="en-AU"/>
              </w:rPr>
            </w:pPr>
            <w:r>
              <w:rPr>
                <w:rFonts w:cs="Arial"/>
                <w:color w:val="7F7F7F"/>
                <w:szCs w:val="18"/>
                <w:lang w:eastAsia="en-AU"/>
              </w:rPr>
              <w:t>21,084</w:t>
            </w:r>
          </w:p>
        </w:tc>
        <w:tc>
          <w:tcPr>
            <w:tcW w:w="1040" w:type="dxa"/>
            <w:tcBorders>
              <w:top w:val="nil"/>
              <w:left w:val="nil"/>
              <w:bottom w:val="single" w:sz="4" w:space="0" w:color="5F5F5F" w:themeColor="text2" w:themeShade="BF"/>
              <w:right w:val="nil"/>
            </w:tcBorders>
            <w:shd w:val="clear" w:color="auto" w:fill="auto"/>
            <w:noWrap/>
            <w:vAlign w:val="center"/>
          </w:tcPr>
          <w:p w:rsidR="00B25F5E" w:rsidRPr="0034783D" w:rsidRDefault="001949D9" w:rsidP="001949D9">
            <w:pPr>
              <w:jc w:val="right"/>
              <w:rPr>
                <w:rFonts w:cs="Arial"/>
                <w:color w:val="7F7F7F"/>
                <w:szCs w:val="18"/>
                <w:lang w:eastAsia="en-AU"/>
              </w:rPr>
            </w:pPr>
            <w:r>
              <w:rPr>
                <w:rFonts w:cs="Arial"/>
                <w:color w:val="7F7F7F"/>
                <w:szCs w:val="18"/>
                <w:lang w:eastAsia="en-AU"/>
              </w:rPr>
              <w:t>22,635</w:t>
            </w:r>
          </w:p>
        </w:tc>
        <w:tc>
          <w:tcPr>
            <w:tcW w:w="1039" w:type="dxa"/>
            <w:tcBorders>
              <w:top w:val="nil"/>
              <w:left w:val="nil"/>
              <w:bottom w:val="single" w:sz="4" w:space="0" w:color="5F5F5F" w:themeColor="text2" w:themeShade="BF"/>
              <w:right w:val="nil"/>
            </w:tcBorders>
            <w:shd w:val="clear" w:color="auto" w:fill="auto"/>
            <w:noWrap/>
            <w:vAlign w:val="center"/>
          </w:tcPr>
          <w:p w:rsidR="00B25F5E" w:rsidRPr="0034783D" w:rsidRDefault="001949D9" w:rsidP="001949D9">
            <w:pPr>
              <w:jc w:val="right"/>
              <w:rPr>
                <w:rFonts w:cs="Arial"/>
                <w:color w:val="7F7F7F"/>
                <w:szCs w:val="18"/>
                <w:lang w:eastAsia="en-AU"/>
              </w:rPr>
            </w:pPr>
            <w:r>
              <w:rPr>
                <w:rFonts w:cs="Arial"/>
                <w:color w:val="7F7F7F"/>
                <w:szCs w:val="18"/>
                <w:lang w:eastAsia="en-AU"/>
              </w:rPr>
              <w:t>24,943</w:t>
            </w:r>
          </w:p>
        </w:tc>
        <w:tc>
          <w:tcPr>
            <w:tcW w:w="1040" w:type="dxa"/>
            <w:tcBorders>
              <w:top w:val="nil"/>
              <w:left w:val="nil"/>
              <w:bottom w:val="single" w:sz="4" w:space="0" w:color="5F5F5F" w:themeColor="text2" w:themeShade="BF"/>
              <w:right w:val="nil"/>
            </w:tcBorders>
            <w:shd w:val="clear" w:color="auto" w:fill="auto"/>
            <w:noWrap/>
            <w:vAlign w:val="center"/>
          </w:tcPr>
          <w:p w:rsidR="00B25F5E" w:rsidRPr="0034783D" w:rsidRDefault="001949D9" w:rsidP="001949D9">
            <w:pPr>
              <w:jc w:val="right"/>
              <w:rPr>
                <w:rFonts w:cs="Arial"/>
                <w:color w:val="7F7F7F"/>
                <w:szCs w:val="18"/>
                <w:lang w:eastAsia="en-AU"/>
              </w:rPr>
            </w:pPr>
            <w:r>
              <w:rPr>
                <w:rFonts w:cs="Arial"/>
                <w:color w:val="7F7F7F"/>
                <w:szCs w:val="18"/>
                <w:lang w:eastAsia="en-AU"/>
              </w:rPr>
              <w:t>20,910</w:t>
            </w:r>
          </w:p>
        </w:tc>
        <w:tc>
          <w:tcPr>
            <w:tcW w:w="1039" w:type="dxa"/>
            <w:tcBorders>
              <w:top w:val="nil"/>
              <w:left w:val="nil"/>
              <w:bottom w:val="single" w:sz="4" w:space="0" w:color="5F5F5F" w:themeColor="text2" w:themeShade="BF"/>
              <w:right w:val="nil"/>
            </w:tcBorders>
            <w:shd w:val="clear" w:color="auto" w:fill="auto"/>
            <w:noWrap/>
            <w:vAlign w:val="center"/>
          </w:tcPr>
          <w:p w:rsidR="00B25F5E" w:rsidRPr="0034783D" w:rsidRDefault="001949D9" w:rsidP="001949D9">
            <w:pPr>
              <w:jc w:val="right"/>
              <w:rPr>
                <w:rFonts w:cs="Arial"/>
                <w:color w:val="7F7F7F"/>
                <w:szCs w:val="18"/>
                <w:lang w:eastAsia="en-AU"/>
              </w:rPr>
            </w:pPr>
            <w:r>
              <w:rPr>
                <w:rFonts w:cs="Arial"/>
                <w:color w:val="7F7F7F"/>
                <w:szCs w:val="18"/>
                <w:lang w:eastAsia="en-AU"/>
              </w:rPr>
              <w:t>20,571</w:t>
            </w:r>
          </w:p>
        </w:tc>
        <w:tc>
          <w:tcPr>
            <w:tcW w:w="1040" w:type="dxa"/>
            <w:tcBorders>
              <w:top w:val="nil"/>
              <w:left w:val="nil"/>
              <w:bottom w:val="single" w:sz="4" w:space="0" w:color="5F5F5F" w:themeColor="text2" w:themeShade="BF"/>
              <w:right w:val="nil"/>
            </w:tcBorders>
            <w:shd w:val="clear" w:color="auto" w:fill="auto"/>
            <w:noWrap/>
            <w:vAlign w:val="center"/>
          </w:tcPr>
          <w:p w:rsidR="00B25F5E" w:rsidRPr="0034783D" w:rsidRDefault="001949D9" w:rsidP="001949D9">
            <w:pPr>
              <w:jc w:val="right"/>
              <w:rPr>
                <w:rFonts w:cs="Arial"/>
                <w:color w:val="7F7F7F"/>
                <w:szCs w:val="18"/>
                <w:lang w:eastAsia="en-AU"/>
              </w:rPr>
            </w:pPr>
            <w:r>
              <w:rPr>
                <w:rFonts w:cs="Arial"/>
                <w:color w:val="7F7F7F"/>
                <w:szCs w:val="18"/>
                <w:lang w:eastAsia="en-AU"/>
              </w:rPr>
              <w:t>17,122</w:t>
            </w:r>
          </w:p>
        </w:tc>
      </w:tr>
      <w:tr w:rsidR="00B25F5E" w:rsidRPr="0034783D" w:rsidTr="00B25F5E">
        <w:trPr>
          <w:trHeight w:val="315"/>
        </w:trPr>
        <w:tc>
          <w:tcPr>
            <w:tcW w:w="1858" w:type="dxa"/>
            <w:tcBorders>
              <w:top w:val="single" w:sz="4" w:space="0" w:color="5F5F5F" w:themeColor="text2" w:themeShade="BF"/>
              <w:left w:val="nil"/>
              <w:bottom w:val="single" w:sz="12" w:space="0" w:color="7F7F7F"/>
              <w:right w:val="nil"/>
            </w:tcBorders>
            <w:shd w:val="clear" w:color="auto" w:fill="auto"/>
            <w:noWrap/>
            <w:vAlign w:val="center"/>
          </w:tcPr>
          <w:p w:rsidR="00B25F5E" w:rsidRPr="0034783D" w:rsidRDefault="00B25F5E" w:rsidP="00D07A42">
            <w:pPr>
              <w:rPr>
                <w:rFonts w:cs="Arial"/>
                <w:color w:val="7F7F7F"/>
                <w:szCs w:val="18"/>
                <w:lang w:eastAsia="en-AU"/>
              </w:rPr>
            </w:pPr>
            <w:r>
              <w:rPr>
                <w:rFonts w:cs="Arial"/>
                <w:color w:val="7F7F7F"/>
                <w:szCs w:val="18"/>
                <w:lang w:eastAsia="en-AU"/>
              </w:rPr>
              <w:t>% of students in Foundation</w:t>
            </w:r>
          </w:p>
        </w:tc>
        <w:tc>
          <w:tcPr>
            <w:tcW w:w="1039" w:type="dxa"/>
            <w:tcBorders>
              <w:top w:val="single" w:sz="4" w:space="0" w:color="5F5F5F" w:themeColor="text2" w:themeShade="BF"/>
              <w:left w:val="nil"/>
              <w:bottom w:val="single" w:sz="12" w:space="0" w:color="7F7F7F"/>
              <w:right w:val="nil"/>
            </w:tcBorders>
            <w:shd w:val="clear" w:color="auto" w:fill="auto"/>
            <w:noWrap/>
            <w:vAlign w:val="center"/>
          </w:tcPr>
          <w:p w:rsidR="00B25F5E" w:rsidRPr="0034783D" w:rsidRDefault="001949D9" w:rsidP="00D07A42">
            <w:pPr>
              <w:jc w:val="right"/>
              <w:rPr>
                <w:rFonts w:cs="Arial"/>
                <w:color w:val="7F7F7F"/>
                <w:szCs w:val="18"/>
                <w:lang w:eastAsia="en-AU"/>
              </w:rPr>
            </w:pPr>
            <w:r>
              <w:rPr>
                <w:rFonts w:cs="Arial"/>
                <w:color w:val="7F7F7F"/>
                <w:szCs w:val="18"/>
                <w:lang w:eastAsia="en-AU"/>
              </w:rPr>
              <w:t>12%</w:t>
            </w:r>
          </w:p>
        </w:tc>
        <w:tc>
          <w:tcPr>
            <w:tcW w:w="1040" w:type="dxa"/>
            <w:tcBorders>
              <w:top w:val="single" w:sz="4" w:space="0" w:color="5F5F5F" w:themeColor="text2" w:themeShade="BF"/>
              <w:left w:val="nil"/>
              <w:bottom w:val="single" w:sz="12" w:space="0" w:color="7F7F7F"/>
              <w:right w:val="nil"/>
            </w:tcBorders>
            <w:shd w:val="clear" w:color="auto" w:fill="auto"/>
            <w:noWrap/>
            <w:vAlign w:val="center"/>
          </w:tcPr>
          <w:p w:rsidR="00B25F5E" w:rsidRPr="0034783D" w:rsidRDefault="001949D9" w:rsidP="00D07A42">
            <w:pPr>
              <w:jc w:val="right"/>
              <w:rPr>
                <w:rFonts w:cs="Arial"/>
                <w:color w:val="7F7F7F"/>
                <w:szCs w:val="18"/>
                <w:lang w:eastAsia="en-AU"/>
              </w:rPr>
            </w:pPr>
            <w:r>
              <w:rPr>
                <w:rFonts w:cs="Arial"/>
                <w:color w:val="7F7F7F"/>
                <w:szCs w:val="18"/>
                <w:lang w:eastAsia="en-AU"/>
              </w:rPr>
              <w:t>15%</w:t>
            </w:r>
          </w:p>
        </w:tc>
        <w:tc>
          <w:tcPr>
            <w:tcW w:w="1039" w:type="dxa"/>
            <w:tcBorders>
              <w:top w:val="single" w:sz="4" w:space="0" w:color="5F5F5F" w:themeColor="text2" w:themeShade="BF"/>
              <w:left w:val="nil"/>
              <w:bottom w:val="single" w:sz="12" w:space="0" w:color="7F7F7F"/>
              <w:right w:val="nil"/>
            </w:tcBorders>
            <w:shd w:val="clear" w:color="auto" w:fill="auto"/>
            <w:noWrap/>
            <w:vAlign w:val="center"/>
          </w:tcPr>
          <w:p w:rsidR="00B25F5E" w:rsidRPr="0034783D" w:rsidRDefault="001949D9" w:rsidP="00D07A42">
            <w:pPr>
              <w:jc w:val="right"/>
              <w:rPr>
                <w:rFonts w:cs="Arial"/>
                <w:color w:val="7F7F7F"/>
                <w:szCs w:val="18"/>
                <w:lang w:eastAsia="en-AU"/>
              </w:rPr>
            </w:pPr>
            <w:r>
              <w:rPr>
                <w:rFonts w:cs="Arial"/>
                <w:color w:val="7F7F7F"/>
                <w:szCs w:val="18"/>
                <w:lang w:eastAsia="en-AU"/>
              </w:rPr>
              <w:t>28%</w:t>
            </w:r>
          </w:p>
        </w:tc>
        <w:tc>
          <w:tcPr>
            <w:tcW w:w="1040" w:type="dxa"/>
            <w:tcBorders>
              <w:top w:val="single" w:sz="4" w:space="0" w:color="5F5F5F" w:themeColor="text2" w:themeShade="BF"/>
              <w:left w:val="nil"/>
              <w:bottom w:val="single" w:sz="12" w:space="0" w:color="7F7F7F"/>
              <w:right w:val="nil"/>
            </w:tcBorders>
            <w:shd w:val="clear" w:color="auto" w:fill="auto"/>
            <w:noWrap/>
            <w:vAlign w:val="center"/>
          </w:tcPr>
          <w:p w:rsidR="00B25F5E" w:rsidRPr="0034783D" w:rsidRDefault="001949D9" w:rsidP="00D07A42">
            <w:pPr>
              <w:jc w:val="right"/>
              <w:rPr>
                <w:rFonts w:cs="Arial"/>
                <w:color w:val="7F7F7F"/>
                <w:szCs w:val="18"/>
                <w:lang w:eastAsia="en-AU"/>
              </w:rPr>
            </w:pPr>
            <w:r>
              <w:rPr>
                <w:rFonts w:cs="Arial"/>
                <w:color w:val="7F7F7F"/>
                <w:szCs w:val="18"/>
                <w:lang w:eastAsia="en-AU"/>
              </w:rPr>
              <w:t>39%</w:t>
            </w:r>
          </w:p>
        </w:tc>
        <w:tc>
          <w:tcPr>
            <w:tcW w:w="1039" w:type="dxa"/>
            <w:tcBorders>
              <w:top w:val="single" w:sz="4" w:space="0" w:color="5F5F5F" w:themeColor="text2" w:themeShade="BF"/>
              <w:left w:val="nil"/>
              <w:bottom w:val="single" w:sz="12" w:space="0" w:color="7F7F7F"/>
              <w:right w:val="nil"/>
            </w:tcBorders>
            <w:shd w:val="clear" w:color="auto" w:fill="auto"/>
            <w:noWrap/>
            <w:vAlign w:val="center"/>
          </w:tcPr>
          <w:p w:rsidR="00B25F5E" w:rsidRPr="0034783D" w:rsidRDefault="001949D9" w:rsidP="00D07A42">
            <w:pPr>
              <w:jc w:val="right"/>
              <w:rPr>
                <w:rFonts w:cs="Arial"/>
                <w:color w:val="7F7F7F"/>
                <w:szCs w:val="18"/>
                <w:lang w:eastAsia="en-AU"/>
              </w:rPr>
            </w:pPr>
            <w:r>
              <w:rPr>
                <w:rFonts w:cs="Arial"/>
                <w:color w:val="7F7F7F"/>
                <w:szCs w:val="18"/>
                <w:lang w:eastAsia="en-AU"/>
              </w:rPr>
              <w:t>24%</w:t>
            </w:r>
          </w:p>
        </w:tc>
        <w:tc>
          <w:tcPr>
            <w:tcW w:w="1040" w:type="dxa"/>
            <w:tcBorders>
              <w:top w:val="single" w:sz="4" w:space="0" w:color="5F5F5F" w:themeColor="text2" w:themeShade="BF"/>
              <w:left w:val="nil"/>
              <w:bottom w:val="single" w:sz="12" w:space="0" w:color="7F7F7F"/>
              <w:right w:val="nil"/>
            </w:tcBorders>
            <w:shd w:val="clear" w:color="auto" w:fill="auto"/>
            <w:noWrap/>
            <w:vAlign w:val="center"/>
          </w:tcPr>
          <w:p w:rsidR="00B25F5E" w:rsidRPr="0034783D" w:rsidRDefault="001949D9" w:rsidP="00D07A42">
            <w:pPr>
              <w:jc w:val="right"/>
              <w:rPr>
                <w:rFonts w:cs="Arial"/>
                <w:color w:val="7F7F7F"/>
                <w:szCs w:val="18"/>
                <w:lang w:eastAsia="en-AU"/>
              </w:rPr>
            </w:pPr>
            <w:r>
              <w:rPr>
                <w:rFonts w:cs="Arial"/>
                <w:color w:val="7F7F7F"/>
                <w:szCs w:val="18"/>
                <w:lang w:eastAsia="en-AU"/>
              </w:rPr>
              <w:t>17%</w:t>
            </w:r>
          </w:p>
        </w:tc>
      </w:tr>
    </w:tbl>
    <w:p w:rsidR="00B25F5E" w:rsidRDefault="00B25F5E" w:rsidP="00B25F5E"/>
    <w:p w:rsidR="00B25F5E" w:rsidRDefault="00B25F5E" w:rsidP="00B25F5E"/>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B25F5E" w:rsidTr="00D07A42">
        <w:tc>
          <w:tcPr>
            <w:tcW w:w="1134" w:type="dxa"/>
            <w:tcMar>
              <w:left w:w="0" w:type="dxa"/>
              <w:right w:w="0" w:type="dxa"/>
            </w:tcMar>
          </w:tcPr>
          <w:p w:rsidR="00B25F5E" w:rsidRDefault="0005261F" w:rsidP="00D07A42">
            <w:pPr>
              <w:pStyle w:val="Quote"/>
              <w:tabs>
                <w:tab w:val="left" w:pos="1134"/>
              </w:tabs>
              <w:rPr>
                <w:b w:val="0"/>
                <w:color w:val="B41F22" w:themeColor="accent1"/>
              </w:rPr>
            </w:pPr>
            <w:r>
              <w:rPr>
                <w:b w:val="0"/>
                <w:color w:val="B41F22" w:themeColor="accent1"/>
              </w:rPr>
              <w:t>Table 2.11</w:t>
            </w:r>
            <w:r w:rsidR="00B25F5E">
              <w:rPr>
                <w:b w:val="0"/>
                <w:color w:val="B41F22" w:themeColor="accent1"/>
              </w:rPr>
              <w:t>.2:</w:t>
            </w:r>
          </w:p>
        </w:tc>
        <w:tc>
          <w:tcPr>
            <w:tcW w:w="6946" w:type="dxa"/>
            <w:tcMar>
              <w:left w:w="0" w:type="dxa"/>
              <w:right w:w="0" w:type="dxa"/>
            </w:tcMar>
          </w:tcPr>
          <w:p w:rsidR="00B25F5E" w:rsidRDefault="00B25F5E" w:rsidP="00D07A42">
            <w:pPr>
              <w:pStyle w:val="Quote"/>
              <w:tabs>
                <w:tab w:val="left" w:pos="1134"/>
              </w:tabs>
              <w:rPr>
                <w:b w:val="0"/>
                <w:color w:val="B41F22" w:themeColor="accent1"/>
              </w:rPr>
            </w:pPr>
            <w:r w:rsidRPr="001347A5">
              <w:rPr>
                <w:b w:val="0"/>
                <w:color w:val="B41F22" w:themeColor="accent1"/>
              </w:rPr>
              <w:t xml:space="preserve">Change in </w:t>
            </w:r>
            <w:r w:rsidR="001949D9">
              <w:rPr>
                <w:b w:val="0"/>
                <w:color w:val="B41F22" w:themeColor="accent1"/>
              </w:rPr>
              <w:t>Early school leavers 15-19 years not at school in government subsidised training</w:t>
            </w:r>
            <w:r w:rsidR="001949D9" w:rsidRPr="001347A5">
              <w:rPr>
                <w:b w:val="0"/>
                <w:color w:val="B41F22" w:themeColor="accent1"/>
              </w:rPr>
              <w:t>, 2010 to 2015 (half year)</w:t>
            </w:r>
          </w:p>
        </w:tc>
      </w:tr>
    </w:tbl>
    <w:tbl>
      <w:tblPr>
        <w:tblW w:w="8095" w:type="dxa"/>
        <w:tblInd w:w="93" w:type="dxa"/>
        <w:tblLayout w:type="fixed"/>
        <w:tblLook w:val="04A0" w:firstRow="1" w:lastRow="0" w:firstColumn="1" w:lastColumn="0" w:noHBand="0" w:noVBand="1"/>
      </w:tblPr>
      <w:tblGrid>
        <w:gridCol w:w="2000"/>
        <w:gridCol w:w="1219"/>
        <w:gridCol w:w="1219"/>
        <w:gridCol w:w="1219"/>
        <w:gridCol w:w="1219"/>
        <w:gridCol w:w="1219"/>
      </w:tblGrid>
      <w:tr w:rsidR="00B25F5E" w:rsidRPr="0034783D" w:rsidTr="00D07A42">
        <w:trPr>
          <w:trHeight w:val="720"/>
        </w:trPr>
        <w:tc>
          <w:tcPr>
            <w:tcW w:w="2000" w:type="dxa"/>
            <w:tcBorders>
              <w:top w:val="nil"/>
              <w:left w:val="nil"/>
              <w:bottom w:val="nil"/>
              <w:right w:val="nil"/>
            </w:tcBorders>
            <w:shd w:val="clear" w:color="000000" w:fill="7F7F7F"/>
            <w:noWrap/>
            <w:vAlign w:val="center"/>
            <w:hideMark/>
          </w:tcPr>
          <w:p w:rsidR="00B25F5E" w:rsidRPr="0034783D" w:rsidRDefault="00B25F5E" w:rsidP="00D07A42">
            <w:pPr>
              <w:rPr>
                <w:rFonts w:cs="Arial"/>
                <w:color w:val="FFFFFF"/>
                <w:szCs w:val="18"/>
                <w:lang w:eastAsia="en-AU"/>
              </w:rPr>
            </w:pPr>
            <w:r w:rsidRPr="0034783D">
              <w:rPr>
                <w:rFonts w:cs="Arial"/>
                <w:color w:val="FFFFFF"/>
                <w:szCs w:val="18"/>
                <w:lang w:eastAsia="en-AU"/>
              </w:rPr>
              <w:t> </w:t>
            </w:r>
          </w:p>
        </w:tc>
        <w:tc>
          <w:tcPr>
            <w:tcW w:w="1219" w:type="dxa"/>
            <w:tcBorders>
              <w:top w:val="nil"/>
              <w:left w:val="nil"/>
              <w:bottom w:val="nil"/>
              <w:right w:val="nil"/>
            </w:tcBorders>
            <w:shd w:val="clear" w:color="000000" w:fill="7F7F7F"/>
            <w:vAlign w:val="center"/>
            <w:hideMark/>
          </w:tcPr>
          <w:p w:rsidR="00B25F5E" w:rsidRPr="0034783D" w:rsidRDefault="00B25F5E" w:rsidP="00D07A42">
            <w:pPr>
              <w:jc w:val="right"/>
              <w:rPr>
                <w:rFonts w:cs="Arial"/>
                <w:b/>
                <w:bCs/>
                <w:color w:val="FFFFFF"/>
                <w:szCs w:val="18"/>
                <w:lang w:eastAsia="en-AU"/>
              </w:rPr>
            </w:pPr>
            <w:r w:rsidRPr="0034783D">
              <w:rPr>
                <w:rFonts w:cs="Arial"/>
                <w:b/>
                <w:bCs/>
                <w:color w:val="FFFFFF"/>
                <w:szCs w:val="18"/>
                <w:lang w:eastAsia="en-AU"/>
              </w:rPr>
              <w:t>% change 2010 to 2015</w:t>
            </w:r>
          </w:p>
        </w:tc>
        <w:tc>
          <w:tcPr>
            <w:tcW w:w="1219" w:type="dxa"/>
            <w:tcBorders>
              <w:top w:val="nil"/>
              <w:left w:val="nil"/>
              <w:bottom w:val="nil"/>
              <w:right w:val="nil"/>
            </w:tcBorders>
            <w:shd w:val="clear" w:color="000000" w:fill="7F7F7F"/>
            <w:vAlign w:val="center"/>
            <w:hideMark/>
          </w:tcPr>
          <w:p w:rsidR="00B25F5E" w:rsidRPr="0034783D" w:rsidRDefault="00B25F5E" w:rsidP="00D07A42">
            <w:pPr>
              <w:jc w:val="right"/>
              <w:rPr>
                <w:rFonts w:cs="Arial"/>
                <w:b/>
                <w:bCs/>
                <w:color w:val="FFFFFF"/>
                <w:szCs w:val="18"/>
                <w:lang w:eastAsia="en-AU"/>
              </w:rPr>
            </w:pPr>
            <w:r w:rsidRPr="0034783D">
              <w:rPr>
                <w:rFonts w:cs="Arial"/>
                <w:b/>
                <w:bCs/>
                <w:color w:val="FFFFFF"/>
                <w:szCs w:val="18"/>
                <w:lang w:eastAsia="en-AU"/>
              </w:rPr>
              <w:t>% change 2011 to 2015</w:t>
            </w:r>
          </w:p>
        </w:tc>
        <w:tc>
          <w:tcPr>
            <w:tcW w:w="1219" w:type="dxa"/>
            <w:tcBorders>
              <w:top w:val="nil"/>
              <w:left w:val="nil"/>
              <w:bottom w:val="nil"/>
              <w:right w:val="nil"/>
            </w:tcBorders>
            <w:shd w:val="clear" w:color="000000" w:fill="7F7F7F"/>
            <w:vAlign w:val="center"/>
            <w:hideMark/>
          </w:tcPr>
          <w:p w:rsidR="00B25F5E" w:rsidRPr="0034783D" w:rsidRDefault="00B25F5E" w:rsidP="00D07A42">
            <w:pPr>
              <w:jc w:val="right"/>
              <w:rPr>
                <w:rFonts w:cs="Arial"/>
                <w:b/>
                <w:bCs/>
                <w:color w:val="FFFFFF"/>
                <w:szCs w:val="18"/>
                <w:lang w:eastAsia="en-AU"/>
              </w:rPr>
            </w:pPr>
            <w:r w:rsidRPr="0034783D">
              <w:rPr>
                <w:rFonts w:cs="Arial"/>
                <w:b/>
                <w:bCs/>
                <w:color w:val="FFFFFF"/>
                <w:szCs w:val="18"/>
                <w:lang w:eastAsia="en-AU"/>
              </w:rPr>
              <w:t>% change 2012 to 2015</w:t>
            </w:r>
          </w:p>
        </w:tc>
        <w:tc>
          <w:tcPr>
            <w:tcW w:w="1219" w:type="dxa"/>
            <w:tcBorders>
              <w:top w:val="nil"/>
              <w:left w:val="nil"/>
              <w:bottom w:val="nil"/>
              <w:right w:val="nil"/>
            </w:tcBorders>
            <w:shd w:val="clear" w:color="000000" w:fill="7F7F7F"/>
            <w:vAlign w:val="center"/>
            <w:hideMark/>
          </w:tcPr>
          <w:p w:rsidR="00B25F5E" w:rsidRPr="0034783D" w:rsidRDefault="00B25F5E" w:rsidP="00D07A42">
            <w:pPr>
              <w:jc w:val="right"/>
              <w:rPr>
                <w:rFonts w:cs="Arial"/>
                <w:b/>
                <w:bCs/>
                <w:color w:val="FFFFFF"/>
                <w:szCs w:val="18"/>
                <w:lang w:eastAsia="en-AU"/>
              </w:rPr>
            </w:pPr>
            <w:r w:rsidRPr="0034783D">
              <w:rPr>
                <w:rFonts w:cs="Arial"/>
                <w:b/>
                <w:bCs/>
                <w:color w:val="FFFFFF"/>
                <w:szCs w:val="18"/>
                <w:lang w:eastAsia="en-AU"/>
              </w:rPr>
              <w:t>% change 2013 to 2015</w:t>
            </w:r>
          </w:p>
        </w:tc>
        <w:tc>
          <w:tcPr>
            <w:tcW w:w="1219" w:type="dxa"/>
            <w:tcBorders>
              <w:top w:val="nil"/>
              <w:left w:val="nil"/>
              <w:bottom w:val="nil"/>
              <w:right w:val="nil"/>
            </w:tcBorders>
            <w:shd w:val="clear" w:color="000000" w:fill="7F7F7F"/>
            <w:vAlign w:val="center"/>
            <w:hideMark/>
          </w:tcPr>
          <w:p w:rsidR="00B25F5E" w:rsidRPr="0034783D" w:rsidRDefault="00B25F5E" w:rsidP="00D07A42">
            <w:pPr>
              <w:jc w:val="right"/>
              <w:rPr>
                <w:rFonts w:cs="Arial"/>
                <w:b/>
                <w:bCs/>
                <w:color w:val="FFFFFF"/>
                <w:szCs w:val="18"/>
                <w:lang w:eastAsia="en-AU"/>
              </w:rPr>
            </w:pPr>
            <w:r w:rsidRPr="0034783D">
              <w:rPr>
                <w:rFonts w:cs="Arial"/>
                <w:b/>
                <w:bCs/>
                <w:color w:val="FFFFFF"/>
                <w:szCs w:val="18"/>
                <w:lang w:eastAsia="en-AU"/>
              </w:rPr>
              <w:t>% change 2014 to 2015</w:t>
            </w:r>
          </w:p>
        </w:tc>
      </w:tr>
      <w:tr w:rsidR="00B25F5E" w:rsidRPr="0034783D" w:rsidTr="001949D9">
        <w:trPr>
          <w:trHeight w:val="300"/>
        </w:trPr>
        <w:tc>
          <w:tcPr>
            <w:tcW w:w="2000" w:type="dxa"/>
            <w:tcBorders>
              <w:top w:val="nil"/>
              <w:left w:val="nil"/>
              <w:bottom w:val="nil"/>
              <w:right w:val="nil"/>
            </w:tcBorders>
            <w:shd w:val="clear" w:color="auto" w:fill="auto"/>
            <w:noWrap/>
            <w:vAlign w:val="center"/>
            <w:hideMark/>
          </w:tcPr>
          <w:p w:rsidR="00B25F5E" w:rsidRPr="0034783D" w:rsidRDefault="001949D9" w:rsidP="00D07A42">
            <w:pPr>
              <w:rPr>
                <w:rFonts w:cs="Arial"/>
                <w:color w:val="7F7F7F"/>
                <w:szCs w:val="18"/>
                <w:lang w:eastAsia="en-AU"/>
              </w:rPr>
            </w:pPr>
            <w:r>
              <w:rPr>
                <w:rFonts w:cs="Arial"/>
                <w:color w:val="7F7F7F"/>
                <w:szCs w:val="18"/>
                <w:lang w:eastAsia="en-AU"/>
              </w:rPr>
              <w:t>Students in Foundation</w:t>
            </w:r>
          </w:p>
        </w:tc>
        <w:tc>
          <w:tcPr>
            <w:tcW w:w="1219" w:type="dxa"/>
            <w:tcBorders>
              <w:top w:val="nil"/>
              <w:left w:val="nil"/>
              <w:bottom w:val="nil"/>
              <w:right w:val="nil"/>
            </w:tcBorders>
            <w:shd w:val="clear" w:color="auto" w:fill="auto"/>
            <w:noWrap/>
            <w:vAlign w:val="center"/>
          </w:tcPr>
          <w:p w:rsidR="00B25F5E" w:rsidRPr="0034783D" w:rsidRDefault="001949D9" w:rsidP="00D07A42">
            <w:pPr>
              <w:jc w:val="right"/>
              <w:rPr>
                <w:rFonts w:cs="Arial"/>
                <w:color w:val="7F7F7F"/>
                <w:szCs w:val="18"/>
                <w:lang w:eastAsia="en-AU"/>
              </w:rPr>
            </w:pPr>
            <w:r>
              <w:rPr>
                <w:rFonts w:cs="Arial"/>
                <w:color w:val="7F7F7F"/>
                <w:szCs w:val="18"/>
                <w:lang w:eastAsia="en-AU"/>
              </w:rPr>
              <w:t>12%</w:t>
            </w:r>
          </w:p>
        </w:tc>
        <w:tc>
          <w:tcPr>
            <w:tcW w:w="1219" w:type="dxa"/>
            <w:tcBorders>
              <w:top w:val="nil"/>
              <w:left w:val="nil"/>
              <w:bottom w:val="nil"/>
              <w:right w:val="nil"/>
            </w:tcBorders>
            <w:shd w:val="clear" w:color="auto" w:fill="auto"/>
            <w:noWrap/>
            <w:vAlign w:val="center"/>
          </w:tcPr>
          <w:p w:rsidR="00B25F5E" w:rsidRPr="0034783D" w:rsidRDefault="001949D9" w:rsidP="00D07A42">
            <w:pPr>
              <w:jc w:val="right"/>
              <w:rPr>
                <w:rFonts w:cs="Arial"/>
                <w:color w:val="7F7F7F"/>
                <w:szCs w:val="18"/>
                <w:lang w:eastAsia="en-AU"/>
              </w:rPr>
            </w:pPr>
            <w:r>
              <w:rPr>
                <w:rFonts w:cs="Arial"/>
                <w:color w:val="7F7F7F"/>
                <w:szCs w:val="18"/>
                <w:lang w:eastAsia="en-AU"/>
              </w:rPr>
              <w:t>-12%</w:t>
            </w:r>
          </w:p>
        </w:tc>
        <w:tc>
          <w:tcPr>
            <w:tcW w:w="1219" w:type="dxa"/>
            <w:tcBorders>
              <w:top w:val="nil"/>
              <w:left w:val="nil"/>
              <w:bottom w:val="nil"/>
              <w:right w:val="nil"/>
            </w:tcBorders>
            <w:shd w:val="clear" w:color="auto" w:fill="auto"/>
            <w:noWrap/>
            <w:vAlign w:val="center"/>
          </w:tcPr>
          <w:p w:rsidR="00B25F5E" w:rsidRPr="0034783D" w:rsidRDefault="001949D9" w:rsidP="00D07A42">
            <w:pPr>
              <w:jc w:val="right"/>
              <w:rPr>
                <w:rFonts w:cs="Arial"/>
                <w:color w:val="7F7F7F"/>
                <w:szCs w:val="18"/>
                <w:lang w:eastAsia="en-AU"/>
              </w:rPr>
            </w:pPr>
            <w:r>
              <w:rPr>
                <w:rFonts w:cs="Arial"/>
                <w:color w:val="7F7F7F"/>
                <w:szCs w:val="18"/>
                <w:lang w:eastAsia="en-AU"/>
              </w:rPr>
              <w:t>-58%</w:t>
            </w:r>
          </w:p>
        </w:tc>
        <w:tc>
          <w:tcPr>
            <w:tcW w:w="1219" w:type="dxa"/>
            <w:tcBorders>
              <w:top w:val="nil"/>
              <w:left w:val="nil"/>
              <w:bottom w:val="nil"/>
              <w:right w:val="nil"/>
            </w:tcBorders>
            <w:shd w:val="clear" w:color="auto" w:fill="auto"/>
            <w:noWrap/>
            <w:vAlign w:val="center"/>
          </w:tcPr>
          <w:p w:rsidR="00B25F5E" w:rsidRPr="0034783D" w:rsidRDefault="001949D9" w:rsidP="00D07A42">
            <w:pPr>
              <w:jc w:val="right"/>
              <w:rPr>
                <w:rFonts w:cs="Arial"/>
                <w:color w:val="7F7F7F"/>
                <w:szCs w:val="18"/>
                <w:lang w:eastAsia="en-AU"/>
              </w:rPr>
            </w:pPr>
            <w:r>
              <w:rPr>
                <w:rFonts w:cs="Arial"/>
                <w:color w:val="7F7F7F"/>
                <w:szCs w:val="18"/>
                <w:lang w:eastAsia="en-AU"/>
              </w:rPr>
              <w:t>-65%</w:t>
            </w:r>
          </w:p>
        </w:tc>
        <w:tc>
          <w:tcPr>
            <w:tcW w:w="1219" w:type="dxa"/>
            <w:tcBorders>
              <w:top w:val="nil"/>
              <w:left w:val="nil"/>
              <w:bottom w:val="nil"/>
              <w:right w:val="nil"/>
            </w:tcBorders>
            <w:shd w:val="clear" w:color="auto" w:fill="auto"/>
            <w:noWrap/>
            <w:vAlign w:val="center"/>
          </w:tcPr>
          <w:p w:rsidR="00B25F5E" w:rsidRPr="0034783D" w:rsidRDefault="001949D9" w:rsidP="00D07A42">
            <w:pPr>
              <w:jc w:val="right"/>
              <w:rPr>
                <w:rFonts w:cs="Arial"/>
                <w:color w:val="7F7F7F"/>
                <w:szCs w:val="18"/>
                <w:lang w:eastAsia="en-AU"/>
              </w:rPr>
            </w:pPr>
            <w:r>
              <w:rPr>
                <w:rFonts w:cs="Arial"/>
                <w:color w:val="7F7F7F"/>
                <w:szCs w:val="18"/>
                <w:lang w:eastAsia="en-AU"/>
              </w:rPr>
              <w:t>-40%</w:t>
            </w:r>
          </w:p>
        </w:tc>
      </w:tr>
      <w:tr w:rsidR="00B25F5E" w:rsidRPr="0034783D" w:rsidTr="001949D9">
        <w:trPr>
          <w:trHeight w:val="315"/>
        </w:trPr>
        <w:tc>
          <w:tcPr>
            <w:tcW w:w="2000" w:type="dxa"/>
            <w:tcBorders>
              <w:top w:val="nil"/>
              <w:left w:val="nil"/>
              <w:bottom w:val="single" w:sz="12" w:space="0" w:color="7F7F7F"/>
              <w:right w:val="nil"/>
            </w:tcBorders>
            <w:shd w:val="clear" w:color="auto" w:fill="auto"/>
            <w:noWrap/>
            <w:vAlign w:val="center"/>
            <w:hideMark/>
          </w:tcPr>
          <w:p w:rsidR="00B25F5E" w:rsidRPr="0034783D" w:rsidRDefault="001949D9" w:rsidP="00D07A42">
            <w:pPr>
              <w:rPr>
                <w:rFonts w:cs="Arial"/>
                <w:color w:val="7F7F7F"/>
                <w:szCs w:val="18"/>
                <w:lang w:eastAsia="en-AU"/>
              </w:rPr>
            </w:pPr>
            <w:r>
              <w:rPr>
                <w:rFonts w:cs="Arial"/>
                <w:color w:val="7F7F7F"/>
                <w:szCs w:val="18"/>
                <w:lang w:eastAsia="en-AU"/>
              </w:rPr>
              <w:t>All students</w:t>
            </w:r>
          </w:p>
        </w:tc>
        <w:tc>
          <w:tcPr>
            <w:tcW w:w="1219" w:type="dxa"/>
            <w:tcBorders>
              <w:top w:val="nil"/>
              <w:left w:val="nil"/>
              <w:bottom w:val="single" w:sz="12" w:space="0" w:color="7F7F7F"/>
              <w:right w:val="nil"/>
            </w:tcBorders>
            <w:shd w:val="clear" w:color="auto" w:fill="auto"/>
            <w:noWrap/>
            <w:vAlign w:val="center"/>
          </w:tcPr>
          <w:p w:rsidR="00B25F5E" w:rsidRPr="0034783D" w:rsidRDefault="001949D9" w:rsidP="00D07A42">
            <w:pPr>
              <w:jc w:val="right"/>
              <w:rPr>
                <w:rFonts w:cs="Arial"/>
                <w:color w:val="7F7F7F"/>
                <w:szCs w:val="18"/>
                <w:lang w:eastAsia="en-AU"/>
              </w:rPr>
            </w:pPr>
            <w:r>
              <w:rPr>
                <w:rFonts w:cs="Arial"/>
                <w:color w:val="7F7F7F"/>
                <w:szCs w:val="18"/>
                <w:lang w:eastAsia="en-AU"/>
              </w:rPr>
              <w:t>-19%</w:t>
            </w:r>
          </w:p>
        </w:tc>
        <w:tc>
          <w:tcPr>
            <w:tcW w:w="1219" w:type="dxa"/>
            <w:tcBorders>
              <w:top w:val="nil"/>
              <w:left w:val="nil"/>
              <w:bottom w:val="single" w:sz="12" w:space="0" w:color="7F7F7F"/>
              <w:right w:val="nil"/>
            </w:tcBorders>
            <w:shd w:val="clear" w:color="auto" w:fill="auto"/>
            <w:noWrap/>
            <w:vAlign w:val="center"/>
          </w:tcPr>
          <w:p w:rsidR="00B25F5E" w:rsidRPr="0034783D" w:rsidRDefault="001949D9" w:rsidP="00D07A42">
            <w:pPr>
              <w:jc w:val="right"/>
              <w:rPr>
                <w:rFonts w:cs="Arial"/>
                <w:color w:val="7F7F7F"/>
                <w:szCs w:val="18"/>
                <w:lang w:eastAsia="en-AU"/>
              </w:rPr>
            </w:pPr>
            <w:r>
              <w:rPr>
                <w:rFonts w:cs="Arial"/>
                <w:color w:val="7F7F7F"/>
                <w:szCs w:val="18"/>
                <w:lang w:eastAsia="en-AU"/>
              </w:rPr>
              <w:t>-24%</w:t>
            </w:r>
          </w:p>
        </w:tc>
        <w:tc>
          <w:tcPr>
            <w:tcW w:w="1219" w:type="dxa"/>
            <w:tcBorders>
              <w:top w:val="nil"/>
              <w:left w:val="nil"/>
              <w:bottom w:val="single" w:sz="12" w:space="0" w:color="7F7F7F"/>
              <w:right w:val="nil"/>
            </w:tcBorders>
            <w:shd w:val="clear" w:color="auto" w:fill="auto"/>
            <w:noWrap/>
            <w:vAlign w:val="center"/>
          </w:tcPr>
          <w:p w:rsidR="00B25F5E" w:rsidRPr="0034783D" w:rsidRDefault="001949D9" w:rsidP="00D07A42">
            <w:pPr>
              <w:jc w:val="right"/>
              <w:rPr>
                <w:rFonts w:cs="Arial"/>
                <w:color w:val="7F7F7F"/>
                <w:szCs w:val="18"/>
                <w:lang w:eastAsia="en-AU"/>
              </w:rPr>
            </w:pPr>
            <w:r>
              <w:rPr>
                <w:rFonts w:cs="Arial"/>
                <w:color w:val="7F7F7F"/>
                <w:szCs w:val="18"/>
                <w:lang w:eastAsia="en-AU"/>
              </w:rPr>
              <w:t>-31%</w:t>
            </w:r>
          </w:p>
        </w:tc>
        <w:tc>
          <w:tcPr>
            <w:tcW w:w="1219" w:type="dxa"/>
            <w:tcBorders>
              <w:top w:val="nil"/>
              <w:left w:val="nil"/>
              <w:bottom w:val="single" w:sz="12" w:space="0" w:color="7F7F7F"/>
              <w:right w:val="nil"/>
            </w:tcBorders>
            <w:shd w:val="clear" w:color="auto" w:fill="auto"/>
            <w:noWrap/>
            <w:vAlign w:val="center"/>
          </w:tcPr>
          <w:p w:rsidR="00B25F5E" w:rsidRPr="0034783D" w:rsidRDefault="001949D9" w:rsidP="00D07A42">
            <w:pPr>
              <w:jc w:val="right"/>
              <w:rPr>
                <w:rFonts w:cs="Arial"/>
                <w:color w:val="7F7F7F"/>
                <w:szCs w:val="18"/>
                <w:lang w:eastAsia="en-AU"/>
              </w:rPr>
            </w:pPr>
            <w:r>
              <w:rPr>
                <w:rFonts w:cs="Arial"/>
                <w:color w:val="7F7F7F"/>
                <w:szCs w:val="18"/>
                <w:lang w:eastAsia="en-AU"/>
              </w:rPr>
              <w:t>-18%</w:t>
            </w:r>
          </w:p>
        </w:tc>
        <w:tc>
          <w:tcPr>
            <w:tcW w:w="1219" w:type="dxa"/>
            <w:tcBorders>
              <w:top w:val="nil"/>
              <w:left w:val="nil"/>
              <w:bottom w:val="single" w:sz="12" w:space="0" w:color="7F7F7F"/>
              <w:right w:val="nil"/>
            </w:tcBorders>
            <w:shd w:val="clear" w:color="auto" w:fill="auto"/>
            <w:noWrap/>
            <w:vAlign w:val="center"/>
          </w:tcPr>
          <w:p w:rsidR="00B25F5E" w:rsidRPr="0034783D" w:rsidRDefault="001949D9" w:rsidP="00D07A42">
            <w:pPr>
              <w:jc w:val="right"/>
              <w:rPr>
                <w:rFonts w:cs="Arial"/>
                <w:color w:val="7F7F7F"/>
                <w:szCs w:val="18"/>
                <w:lang w:eastAsia="en-AU"/>
              </w:rPr>
            </w:pPr>
            <w:r>
              <w:rPr>
                <w:rFonts w:cs="Arial"/>
                <w:color w:val="7F7F7F"/>
                <w:szCs w:val="18"/>
                <w:lang w:eastAsia="en-AU"/>
              </w:rPr>
              <w:t>-17%</w:t>
            </w:r>
          </w:p>
        </w:tc>
      </w:tr>
    </w:tbl>
    <w:p w:rsidR="00B25F5E" w:rsidRDefault="00B25F5E" w:rsidP="00B25F5E"/>
    <w:p w:rsidR="00FE2A45" w:rsidRDefault="00FE2A45">
      <w:pPr>
        <w:rPr>
          <w:rFonts w:cs="Arial"/>
          <w:bCs/>
          <w:color w:val="7F7F7F" w:themeColor="text2"/>
          <w:kern w:val="32"/>
          <w:szCs w:val="18"/>
        </w:rPr>
      </w:pPr>
      <w:r>
        <w:rPr>
          <w:rFonts w:cs="Arial"/>
          <w:bCs/>
          <w:color w:val="7F7F7F" w:themeColor="text2"/>
          <w:kern w:val="32"/>
          <w:szCs w:val="18"/>
        </w:rPr>
        <w:br w:type="page"/>
      </w:r>
    </w:p>
    <w:p w:rsidR="00BD0636" w:rsidRDefault="00BD0636">
      <w:pPr>
        <w:rPr>
          <w:rFonts w:cs="Arial"/>
          <w:bCs/>
          <w:color w:val="B41F22" w:themeColor="accent1"/>
          <w:kern w:val="32"/>
          <w:sz w:val="36"/>
          <w:szCs w:val="36"/>
        </w:rPr>
      </w:pPr>
      <w:bookmarkStart w:id="28" w:name="_Toc432758336"/>
      <w:r>
        <w:rPr>
          <w:color w:val="B41F22" w:themeColor="accent1"/>
        </w:rPr>
        <w:lastRenderedPageBreak/>
        <w:br w:type="page"/>
      </w:r>
    </w:p>
    <w:p w:rsidR="00AB62FC" w:rsidRPr="00D1393F" w:rsidRDefault="00AB62FC">
      <w:pPr>
        <w:pStyle w:val="Heading1"/>
        <w:rPr>
          <w:color w:val="B41F22" w:themeColor="accent1"/>
        </w:rPr>
      </w:pPr>
      <w:r w:rsidRPr="00D1393F">
        <w:rPr>
          <w:color w:val="B41F22" w:themeColor="accent1"/>
        </w:rPr>
        <w:lastRenderedPageBreak/>
        <w:t>Apprenticeships and Traineeships</w:t>
      </w:r>
      <w:bookmarkEnd w:id="28"/>
    </w:p>
    <w:p w:rsidR="00AB62FC" w:rsidRPr="00D1393F" w:rsidRDefault="00AB62FC" w:rsidP="00AB62FC">
      <w:pPr>
        <w:pStyle w:val="Heading2"/>
        <w:rPr>
          <w:color w:val="B41F22" w:themeColor="accent1"/>
        </w:rPr>
      </w:pPr>
      <w:bookmarkStart w:id="29" w:name="_Toc432758337"/>
      <w:r w:rsidRPr="00D1393F">
        <w:rPr>
          <w:color w:val="B41F22" w:themeColor="accent1"/>
        </w:rPr>
        <w:t>Apprenticeships and Traineeships</w:t>
      </w:r>
      <w:r w:rsidR="00764C31" w:rsidRPr="00D1393F">
        <w:rPr>
          <w:color w:val="B41F22" w:themeColor="accent1"/>
        </w:rPr>
        <w:t xml:space="preserve"> Overall</w:t>
      </w:r>
      <w:bookmarkEnd w:id="29"/>
    </w:p>
    <w:p w:rsidR="00AB62FC" w:rsidRPr="00365EB2" w:rsidRDefault="00AB62FC" w:rsidP="00AB62FC"/>
    <w:p w:rsidR="00CB11A4" w:rsidRPr="00365EB2" w:rsidRDefault="00CB11A4" w:rsidP="00CB11A4">
      <w:pPr>
        <w:pStyle w:val="Quote"/>
        <w:pBdr>
          <w:top w:val="single" w:sz="4" w:space="1" w:color="7F7F7F" w:themeColor="text2"/>
          <w:left w:val="single" w:sz="4" w:space="4" w:color="7F7F7F" w:themeColor="text2"/>
          <w:bottom w:val="single" w:sz="4" w:space="1" w:color="7F7F7F" w:themeColor="text2"/>
          <w:right w:val="single" w:sz="4" w:space="4" w:color="7F7F7F" w:themeColor="text2"/>
        </w:pBdr>
        <w:spacing w:after="120"/>
      </w:pPr>
      <w:r w:rsidRPr="00BB466D">
        <w:t>Key points</w:t>
      </w:r>
    </w:p>
    <w:p w:rsidR="00CB11A4" w:rsidRPr="002F6569" w:rsidRDefault="00CB11A4" w:rsidP="00CB11A4">
      <w:pPr>
        <w:pStyle w:val="ListParagraph"/>
        <w:numPr>
          <w:ilvl w:val="0"/>
          <w:numId w:val="18"/>
        </w:numPr>
        <w:pBdr>
          <w:top w:val="single" w:sz="4" w:space="1" w:color="7F7F7F" w:themeColor="text2"/>
          <w:left w:val="single" w:sz="4" w:space="4" w:color="7F7F7F" w:themeColor="text2"/>
          <w:bottom w:val="single" w:sz="4" w:space="1" w:color="7F7F7F" w:themeColor="text2"/>
          <w:right w:val="single" w:sz="4" w:space="4" w:color="7F7F7F" w:themeColor="text2"/>
        </w:pBdr>
        <w:spacing w:after="120"/>
        <w:ind w:left="425" w:hanging="425"/>
        <w:contextualSpacing w:val="0"/>
        <w:rPr>
          <w:color w:val="7F7F7F" w:themeColor="text2"/>
        </w:rPr>
      </w:pPr>
      <w:r w:rsidRPr="002F6569">
        <w:rPr>
          <w:color w:val="7F7F7F" w:themeColor="text2"/>
        </w:rPr>
        <w:t xml:space="preserve">There were 54,686 students who </w:t>
      </w:r>
      <w:proofErr w:type="gramStart"/>
      <w:r w:rsidRPr="002F6569">
        <w:rPr>
          <w:color w:val="7F7F7F" w:themeColor="text2"/>
        </w:rPr>
        <w:t>were enrolled</w:t>
      </w:r>
      <w:proofErr w:type="gramEnd"/>
      <w:r w:rsidRPr="002F6569">
        <w:rPr>
          <w:color w:val="7F7F7F" w:themeColor="text2"/>
        </w:rPr>
        <w:t xml:space="preserve"> in 55,781 government subsidised apprenticeship or traineeship courses in 2015 (half year).</w:t>
      </w:r>
    </w:p>
    <w:p w:rsidR="00CB11A4" w:rsidRPr="002F6569" w:rsidRDefault="00CB11A4" w:rsidP="00CB11A4">
      <w:pPr>
        <w:pStyle w:val="ListParagraph"/>
        <w:numPr>
          <w:ilvl w:val="0"/>
          <w:numId w:val="18"/>
        </w:numPr>
        <w:pBdr>
          <w:top w:val="single" w:sz="4" w:space="1" w:color="7F7F7F" w:themeColor="text2"/>
          <w:left w:val="single" w:sz="4" w:space="4" w:color="7F7F7F" w:themeColor="text2"/>
          <w:bottom w:val="single" w:sz="4" w:space="1" w:color="7F7F7F" w:themeColor="text2"/>
          <w:right w:val="single" w:sz="4" w:space="4" w:color="7F7F7F" w:themeColor="text2"/>
        </w:pBdr>
        <w:ind w:left="425" w:hanging="425"/>
        <w:contextualSpacing w:val="0"/>
        <w:rPr>
          <w:color w:val="7F7F7F" w:themeColor="text2"/>
        </w:rPr>
      </w:pPr>
      <w:r w:rsidRPr="002F6569">
        <w:rPr>
          <w:color w:val="7F7F7F" w:themeColor="text2"/>
        </w:rPr>
        <w:t xml:space="preserve">The number of students enrolled in government subsidised apprenticeship or traineeship courses decreased by 15 per cent from 2014 (half year) to 2015 (half year). </w:t>
      </w:r>
      <w:proofErr w:type="gramStart"/>
      <w:r w:rsidRPr="002F6569">
        <w:rPr>
          <w:color w:val="7F7F7F" w:themeColor="text2"/>
        </w:rPr>
        <w:t>The number of enrolments over the same period decreased by 14 per cent.</w:t>
      </w:r>
      <w:proofErr w:type="gramEnd"/>
    </w:p>
    <w:p w:rsidR="00CB11A4" w:rsidRPr="004841FC" w:rsidRDefault="00CB11A4" w:rsidP="00CB11A4">
      <w:pPr>
        <w:pBdr>
          <w:top w:val="single" w:sz="4" w:space="1" w:color="7F7F7F" w:themeColor="text2"/>
          <w:left w:val="single" w:sz="4" w:space="4" w:color="7F7F7F" w:themeColor="text2"/>
          <w:bottom w:val="single" w:sz="4" w:space="1" w:color="7F7F7F" w:themeColor="text2"/>
          <w:right w:val="single" w:sz="4" w:space="4" w:color="7F7F7F" w:themeColor="text2"/>
        </w:pBdr>
        <w:rPr>
          <w:szCs w:val="18"/>
        </w:rPr>
      </w:pPr>
    </w:p>
    <w:p w:rsidR="00CB11A4" w:rsidRDefault="00CB11A4" w:rsidP="00CB11A4">
      <w:pPr>
        <w:pStyle w:val="Quote"/>
        <w:rPr>
          <w:b w:val="0"/>
          <w:sz w:val="18"/>
          <w:szCs w:val="18"/>
        </w:rPr>
      </w:pPr>
    </w:p>
    <w:p w:rsidR="00CB11A4" w:rsidRDefault="00CB11A4" w:rsidP="00AB62FC"/>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332F33" w:rsidTr="00CB11A4">
        <w:tc>
          <w:tcPr>
            <w:tcW w:w="1134" w:type="dxa"/>
            <w:tcMar>
              <w:left w:w="0" w:type="dxa"/>
              <w:right w:w="0" w:type="dxa"/>
            </w:tcMar>
          </w:tcPr>
          <w:p w:rsidR="00332F33" w:rsidRDefault="00332F33" w:rsidP="00C53522">
            <w:pPr>
              <w:pStyle w:val="Quote"/>
              <w:tabs>
                <w:tab w:val="left" w:pos="1134"/>
              </w:tabs>
              <w:rPr>
                <w:b w:val="0"/>
                <w:color w:val="B41F22" w:themeColor="accent1"/>
              </w:rPr>
            </w:pPr>
            <w:r>
              <w:rPr>
                <w:b w:val="0"/>
                <w:color w:val="B41F22" w:themeColor="accent1"/>
              </w:rPr>
              <w:t xml:space="preserve">Table </w:t>
            </w:r>
            <w:r w:rsidR="001949D9">
              <w:rPr>
                <w:b w:val="0"/>
                <w:color w:val="B41F22" w:themeColor="accent1"/>
              </w:rPr>
              <w:t>3</w:t>
            </w:r>
            <w:r>
              <w:rPr>
                <w:b w:val="0"/>
                <w:color w:val="B41F22" w:themeColor="accent1"/>
              </w:rPr>
              <w:t>.</w:t>
            </w:r>
            <w:r w:rsidR="00C53522">
              <w:rPr>
                <w:b w:val="0"/>
                <w:color w:val="B41F22" w:themeColor="accent1"/>
              </w:rPr>
              <w:t>1</w:t>
            </w:r>
            <w:r>
              <w:rPr>
                <w:b w:val="0"/>
                <w:color w:val="B41F22" w:themeColor="accent1"/>
              </w:rPr>
              <w:t>.1:</w:t>
            </w:r>
          </w:p>
        </w:tc>
        <w:tc>
          <w:tcPr>
            <w:tcW w:w="6946" w:type="dxa"/>
            <w:tcMar>
              <w:left w:w="0" w:type="dxa"/>
              <w:right w:w="0" w:type="dxa"/>
            </w:tcMar>
          </w:tcPr>
          <w:p w:rsidR="00332F33" w:rsidRDefault="00332F33" w:rsidP="00CB11A4">
            <w:pPr>
              <w:pStyle w:val="Quote"/>
              <w:tabs>
                <w:tab w:val="left" w:pos="1134"/>
              </w:tabs>
              <w:rPr>
                <w:b w:val="0"/>
                <w:color w:val="B41F22" w:themeColor="accent1"/>
              </w:rPr>
            </w:pPr>
            <w:r w:rsidRPr="00332F33">
              <w:rPr>
                <w:b w:val="0"/>
                <w:color w:val="B41F22" w:themeColor="accent1"/>
              </w:rPr>
              <w:t>Government subsidised training in apprenticeships and traineeships by number of students and course enrolments, 2010 to 2015 (half year)</w:t>
            </w:r>
          </w:p>
        </w:tc>
      </w:tr>
    </w:tbl>
    <w:tbl>
      <w:tblPr>
        <w:tblW w:w="8095" w:type="dxa"/>
        <w:tblInd w:w="93" w:type="dxa"/>
        <w:tblLayout w:type="fixed"/>
        <w:tblLook w:val="04A0" w:firstRow="1" w:lastRow="0" w:firstColumn="1" w:lastColumn="0" w:noHBand="0" w:noVBand="1"/>
      </w:tblPr>
      <w:tblGrid>
        <w:gridCol w:w="2600"/>
        <w:gridCol w:w="915"/>
        <w:gridCol w:w="916"/>
        <w:gridCol w:w="916"/>
        <w:gridCol w:w="916"/>
        <w:gridCol w:w="916"/>
        <w:gridCol w:w="916"/>
      </w:tblGrid>
      <w:tr w:rsidR="00332F33" w:rsidRPr="00332F33" w:rsidTr="00332F33">
        <w:trPr>
          <w:trHeight w:val="300"/>
        </w:trPr>
        <w:tc>
          <w:tcPr>
            <w:tcW w:w="2600" w:type="dxa"/>
            <w:tcBorders>
              <w:top w:val="nil"/>
              <w:left w:val="nil"/>
              <w:bottom w:val="nil"/>
              <w:right w:val="nil"/>
            </w:tcBorders>
            <w:shd w:val="clear" w:color="000000" w:fill="7F7F7F"/>
            <w:noWrap/>
            <w:vAlign w:val="center"/>
            <w:hideMark/>
          </w:tcPr>
          <w:p w:rsidR="00332F33" w:rsidRPr="00332F33" w:rsidRDefault="00332F33" w:rsidP="00332F33">
            <w:pPr>
              <w:rPr>
                <w:rFonts w:cs="Arial"/>
                <w:color w:val="FFFFFF"/>
                <w:szCs w:val="18"/>
                <w:lang w:eastAsia="en-AU"/>
              </w:rPr>
            </w:pPr>
            <w:r w:rsidRPr="00332F33">
              <w:rPr>
                <w:rFonts w:cs="Arial"/>
                <w:color w:val="FFFFFF"/>
                <w:szCs w:val="18"/>
                <w:lang w:eastAsia="en-AU"/>
              </w:rPr>
              <w:t> </w:t>
            </w:r>
          </w:p>
        </w:tc>
        <w:tc>
          <w:tcPr>
            <w:tcW w:w="915" w:type="dxa"/>
            <w:tcBorders>
              <w:top w:val="nil"/>
              <w:left w:val="nil"/>
              <w:bottom w:val="nil"/>
              <w:right w:val="nil"/>
            </w:tcBorders>
            <w:shd w:val="clear" w:color="000000" w:fill="7F7F7F"/>
            <w:noWrap/>
            <w:vAlign w:val="center"/>
            <w:hideMark/>
          </w:tcPr>
          <w:p w:rsidR="00332F33" w:rsidRPr="00332F33" w:rsidRDefault="00332F33" w:rsidP="00332F33">
            <w:pPr>
              <w:jc w:val="right"/>
              <w:rPr>
                <w:rFonts w:cs="Arial"/>
                <w:b/>
                <w:bCs/>
                <w:color w:val="FFFFFF"/>
                <w:szCs w:val="18"/>
                <w:lang w:eastAsia="en-AU"/>
              </w:rPr>
            </w:pPr>
            <w:r w:rsidRPr="00332F33">
              <w:rPr>
                <w:rFonts w:cs="Arial"/>
                <w:b/>
                <w:bCs/>
                <w:color w:val="FFFFFF"/>
                <w:szCs w:val="18"/>
                <w:lang w:eastAsia="en-AU"/>
              </w:rPr>
              <w:t>2010</w:t>
            </w:r>
          </w:p>
        </w:tc>
        <w:tc>
          <w:tcPr>
            <w:tcW w:w="916" w:type="dxa"/>
            <w:tcBorders>
              <w:top w:val="nil"/>
              <w:left w:val="nil"/>
              <w:bottom w:val="nil"/>
              <w:right w:val="nil"/>
            </w:tcBorders>
            <w:shd w:val="clear" w:color="000000" w:fill="7F7F7F"/>
            <w:noWrap/>
            <w:vAlign w:val="center"/>
            <w:hideMark/>
          </w:tcPr>
          <w:p w:rsidR="00332F33" w:rsidRPr="00332F33" w:rsidRDefault="00332F33" w:rsidP="00332F33">
            <w:pPr>
              <w:jc w:val="right"/>
              <w:rPr>
                <w:rFonts w:cs="Arial"/>
                <w:b/>
                <w:bCs/>
                <w:color w:val="FFFFFF"/>
                <w:szCs w:val="18"/>
                <w:lang w:eastAsia="en-AU"/>
              </w:rPr>
            </w:pPr>
            <w:r w:rsidRPr="00332F33">
              <w:rPr>
                <w:rFonts w:cs="Arial"/>
                <w:b/>
                <w:bCs/>
                <w:color w:val="FFFFFF"/>
                <w:szCs w:val="18"/>
                <w:lang w:eastAsia="en-AU"/>
              </w:rPr>
              <w:t>2011</w:t>
            </w:r>
          </w:p>
        </w:tc>
        <w:tc>
          <w:tcPr>
            <w:tcW w:w="916" w:type="dxa"/>
            <w:tcBorders>
              <w:top w:val="nil"/>
              <w:left w:val="nil"/>
              <w:bottom w:val="nil"/>
              <w:right w:val="nil"/>
            </w:tcBorders>
            <w:shd w:val="clear" w:color="000000" w:fill="7F7F7F"/>
            <w:noWrap/>
            <w:vAlign w:val="center"/>
            <w:hideMark/>
          </w:tcPr>
          <w:p w:rsidR="00332F33" w:rsidRPr="00332F33" w:rsidRDefault="00332F33" w:rsidP="00332F33">
            <w:pPr>
              <w:jc w:val="right"/>
              <w:rPr>
                <w:rFonts w:cs="Arial"/>
                <w:b/>
                <w:bCs/>
                <w:color w:val="FFFFFF"/>
                <w:szCs w:val="18"/>
                <w:lang w:eastAsia="en-AU"/>
              </w:rPr>
            </w:pPr>
            <w:r w:rsidRPr="00332F33">
              <w:rPr>
                <w:rFonts w:cs="Arial"/>
                <w:b/>
                <w:bCs/>
                <w:color w:val="FFFFFF"/>
                <w:szCs w:val="18"/>
                <w:lang w:eastAsia="en-AU"/>
              </w:rPr>
              <w:t>2012</w:t>
            </w:r>
          </w:p>
        </w:tc>
        <w:tc>
          <w:tcPr>
            <w:tcW w:w="916" w:type="dxa"/>
            <w:tcBorders>
              <w:top w:val="nil"/>
              <w:left w:val="nil"/>
              <w:bottom w:val="nil"/>
              <w:right w:val="nil"/>
            </w:tcBorders>
            <w:shd w:val="clear" w:color="000000" w:fill="7F7F7F"/>
            <w:noWrap/>
            <w:vAlign w:val="center"/>
            <w:hideMark/>
          </w:tcPr>
          <w:p w:rsidR="00332F33" w:rsidRPr="00332F33" w:rsidRDefault="00332F33" w:rsidP="00332F33">
            <w:pPr>
              <w:jc w:val="right"/>
              <w:rPr>
                <w:rFonts w:cs="Arial"/>
                <w:b/>
                <w:bCs/>
                <w:color w:val="FFFFFF"/>
                <w:szCs w:val="18"/>
                <w:lang w:eastAsia="en-AU"/>
              </w:rPr>
            </w:pPr>
            <w:r w:rsidRPr="00332F33">
              <w:rPr>
                <w:rFonts w:cs="Arial"/>
                <w:b/>
                <w:bCs/>
                <w:color w:val="FFFFFF"/>
                <w:szCs w:val="18"/>
                <w:lang w:eastAsia="en-AU"/>
              </w:rPr>
              <w:t>2013</w:t>
            </w:r>
          </w:p>
        </w:tc>
        <w:tc>
          <w:tcPr>
            <w:tcW w:w="916" w:type="dxa"/>
            <w:tcBorders>
              <w:top w:val="nil"/>
              <w:left w:val="nil"/>
              <w:bottom w:val="nil"/>
              <w:right w:val="nil"/>
            </w:tcBorders>
            <w:shd w:val="clear" w:color="000000" w:fill="7F7F7F"/>
            <w:noWrap/>
            <w:vAlign w:val="center"/>
            <w:hideMark/>
          </w:tcPr>
          <w:p w:rsidR="00332F33" w:rsidRPr="00332F33" w:rsidRDefault="00332F33" w:rsidP="00332F33">
            <w:pPr>
              <w:jc w:val="right"/>
              <w:rPr>
                <w:rFonts w:cs="Arial"/>
                <w:b/>
                <w:bCs/>
                <w:color w:val="FFFFFF"/>
                <w:szCs w:val="18"/>
                <w:lang w:eastAsia="en-AU"/>
              </w:rPr>
            </w:pPr>
            <w:r w:rsidRPr="00332F33">
              <w:rPr>
                <w:rFonts w:cs="Arial"/>
                <w:b/>
                <w:bCs/>
                <w:color w:val="FFFFFF"/>
                <w:szCs w:val="18"/>
                <w:lang w:eastAsia="en-AU"/>
              </w:rPr>
              <w:t>2014</w:t>
            </w:r>
          </w:p>
        </w:tc>
        <w:tc>
          <w:tcPr>
            <w:tcW w:w="916" w:type="dxa"/>
            <w:tcBorders>
              <w:top w:val="nil"/>
              <w:left w:val="nil"/>
              <w:bottom w:val="nil"/>
              <w:right w:val="nil"/>
            </w:tcBorders>
            <w:shd w:val="clear" w:color="000000" w:fill="7F7F7F"/>
            <w:noWrap/>
            <w:vAlign w:val="center"/>
            <w:hideMark/>
          </w:tcPr>
          <w:p w:rsidR="00332F33" w:rsidRPr="00332F33" w:rsidRDefault="00332F33" w:rsidP="00332F33">
            <w:pPr>
              <w:jc w:val="right"/>
              <w:rPr>
                <w:rFonts w:cs="Arial"/>
                <w:b/>
                <w:bCs/>
                <w:color w:val="FFFFFF"/>
                <w:szCs w:val="18"/>
                <w:lang w:eastAsia="en-AU"/>
              </w:rPr>
            </w:pPr>
            <w:r w:rsidRPr="00332F33">
              <w:rPr>
                <w:rFonts w:cs="Arial"/>
                <w:b/>
                <w:bCs/>
                <w:color w:val="FFFFFF"/>
                <w:szCs w:val="18"/>
                <w:lang w:eastAsia="en-AU"/>
              </w:rPr>
              <w:t>2015</w:t>
            </w:r>
          </w:p>
        </w:tc>
      </w:tr>
      <w:tr w:rsidR="00332F33" w:rsidRPr="00332F33" w:rsidTr="00332F33">
        <w:trPr>
          <w:trHeight w:val="300"/>
        </w:trPr>
        <w:tc>
          <w:tcPr>
            <w:tcW w:w="2600" w:type="dxa"/>
            <w:tcBorders>
              <w:top w:val="nil"/>
              <w:left w:val="nil"/>
              <w:bottom w:val="nil"/>
              <w:right w:val="nil"/>
            </w:tcBorders>
            <w:shd w:val="clear" w:color="auto" w:fill="auto"/>
            <w:noWrap/>
            <w:vAlign w:val="center"/>
            <w:hideMark/>
          </w:tcPr>
          <w:p w:rsidR="00332F33" w:rsidRPr="00332F33" w:rsidRDefault="00332F33" w:rsidP="00332F33">
            <w:pPr>
              <w:rPr>
                <w:rFonts w:cs="Arial"/>
                <w:color w:val="7F7F7F"/>
                <w:szCs w:val="18"/>
                <w:lang w:eastAsia="en-AU"/>
              </w:rPr>
            </w:pPr>
            <w:r w:rsidRPr="00332F33">
              <w:rPr>
                <w:rFonts w:cs="Arial"/>
                <w:color w:val="7F7F7F"/>
                <w:szCs w:val="18"/>
                <w:lang w:eastAsia="en-AU"/>
              </w:rPr>
              <w:t>Students</w:t>
            </w:r>
          </w:p>
        </w:tc>
        <w:tc>
          <w:tcPr>
            <w:tcW w:w="915" w:type="dxa"/>
            <w:tcBorders>
              <w:top w:val="nil"/>
              <w:left w:val="nil"/>
              <w:bottom w:val="nil"/>
              <w:right w:val="nil"/>
            </w:tcBorders>
            <w:shd w:val="clear" w:color="auto" w:fill="auto"/>
            <w:noWrap/>
            <w:vAlign w:val="center"/>
            <w:hideMark/>
          </w:tcPr>
          <w:p w:rsidR="00332F33" w:rsidRPr="00332F33" w:rsidRDefault="00332F33" w:rsidP="00332F33">
            <w:pPr>
              <w:jc w:val="right"/>
              <w:rPr>
                <w:rFonts w:cs="Arial"/>
                <w:color w:val="7F7F7F"/>
                <w:szCs w:val="18"/>
                <w:lang w:eastAsia="en-AU"/>
              </w:rPr>
            </w:pPr>
            <w:r w:rsidRPr="00332F33">
              <w:rPr>
                <w:rFonts w:cs="Arial"/>
                <w:color w:val="7F7F7F"/>
                <w:szCs w:val="18"/>
                <w:lang w:eastAsia="en-AU"/>
              </w:rPr>
              <w:t>68,590</w:t>
            </w:r>
          </w:p>
        </w:tc>
        <w:tc>
          <w:tcPr>
            <w:tcW w:w="916" w:type="dxa"/>
            <w:tcBorders>
              <w:top w:val="nil"/>
              <w:left w:val="nil"/>
              <w:bottom w:val="nil"/>
              <w:right w:val="nil"/>
            </w:tcBorders>
            <w:shd w:val="clear" w:color="auto" w:fill="auto"/>
            <w:noWrap/>
            <w:vAlign w:val="center"/>
            <w:hideMark/>
          </w:tcPr>
          <w:p w:rsidR="00332F33" w:rsidRPr="00332F33" w:rsidRDefault="00332F33" w:rsidP="00332F33">
            <w:pPr>
              <w:jc w:val="right"/>
              <w:rPr>
                <w:rFonts w:cs="Arial"/>
                <w:color w:val="7F7F7F"/>
                <w:szCs w:val="18"/>
                <w:lang w:eastAsia="en-AU"/>
              </w:rPr>
            </w:pPr>
            <w:r w:rsidRPr="00332F33">
              <w:rPr>
                <w:rFonts w:cs="Arial"/>
                <w:color w:val="7F7F7F"/>
                <w:szCs w:val="18"/>
                <w:lang w:eastAsia="en-AU"/>
              </w:rPr>
              <w:t>83,641</w:t>
            </w:r>
          </w:p>
        </w:tc>
        <w:tc>
          <w:tcPr>
            <w:tcW w:w="916" w:type="dxa"/>
            <w:tcBorders>
              <w:top w:val="nil"/>
              <w:left w:val="nil"/>
              <w:bottom w:val="nil"/>
              <w:right w:val="nil"/>
            </w:tcBorders>
            <w:shd w:val="clear" w:color="auto" w:fill="auto"/>
            <w:noWrap/>
            <w:vAlign w:val="center"/>
            <w:hideMark/>
          </w:tcPr>
          <w:p w:rsidR="00332F33" w:rsidRPr="00332F33" w:rsidRDefault="00332F33" w:rsidP="00332F33">
            <w:pPr>
              <w:jc w:val="right"/>
              <w:rPr>
                <w:rFonts w:cs="Arial"/>
                <w:color w:val="7F7F7F"/>
                <w:szCs w:val="18"/>
                <w:lang w:eastAsia="en-AU"/>
              </w:rPr>
            </w:pPr>
            <w:r w:rsidRPr="00332F33">
              <w:rPr>
                <w:rFonts w:cs="Arial"/>
                <w:color w:val="7F7F7F"/>
                <w:szCs w:val="18"/>
                <w:lang w:eastAsia="en-AU"/>
              </w:rPr>
              <w:t>100,820</w:t>
            </w:r>
          </w:p>
        </w:tc>
        <w:tc>
          <w:tcPr>
            <w:tcW w:w="916" w:type="dxa"/>
            <w:tcBorders>
              <w:top w:val="nil"/>
              <w:left w:val="nil"/>
              <w:bottom w:val="nil"/>
              <w:right w:val="nil"/>
            </w:tcBorders>
            <w:shd w:val="clear" w:color="auto" w:fill="auto"/>
            <w:noWrap/>
            <w:vAlign w:val="center"/>
            <w:hideMark/>
          </w:tcPr>
          <w:p w:rsidR="00332F33" w:rsidRPr="00332F33" w:rsidRDefault="00332F33" w:rsidP="00332F33">
            <w:pPr>
              <w:jc w:val="right"/>
              <w:rPr>
                <w:rFonts w:cs="Arial"/>
                <w:color w:val="7F7F7F"/>
                <w:szCs w:val="18"/>
                <w:lang w:eastAsia="en-AU"/>
              </w:rPr>
            </w:pPr>
            <w:r w:rsidRPr="00332F33">
              <w:rPr>
                <w:rFonts w:cs="Arial"/>
                <w:color w:val="7F7F7F"/>
                <w:szCs w:val="18"/>
                <w:lang w:eastAsia="en-AU"/>
              </w:rPr>
              <w:t>75,208</w:t>
            </w:r>
          </w:p>
        </w:tc>
        <w:tc>
          <w:tcPr>
            <w:tcW w:w="916" w:type="dxa"/>
            <w:tcBorders>
              <w:top w:val="nil"/>
              <w:left w:val="nil"/>
              <w:bottom w:val="nil"/>
              <w:right w:val="nil"/>
            </w:tcBorders>
            <w:shd w:val="clear" w:color="auto" w:fill="auto"/>
            <w:noWrap/>
            <w:vAlign w:val="center"/>
            <w:hideMark/>
          </w:tcPr>
          <w:p w:rsidR="00332F33" w:rsidRPr="00332F33" w:rsidRDefault="00332F33" w:rsidP="00332F33">
            <w:pPr>
              <w:jc w:val="right"/>
              <w:rPr>
                <w:rFonts w:cs="Arial"/>
                <w:color w:val="7F7F7F"/>
                <w:szCs w:val="18"/>
                <w:lang w:eastAsia="en-AU"/>
              </w:rPr>
            </w:pPr>
            <w:r w:rsidRPr="00332F33">
              <w:rPr>
                <w:rFonts w:cs="Arial"/>
                <w:color w:val="7F7F7F"/>
                <w:szCs w:val="18"/>
                <w:lang w:eastAsia="en-AU"/>
              </w:rPr>
              <w:t>64,528</w:t>
            </w:r>
          </w:p>
        </w:tc>
        <w:tc>
          <w:tcPr>
            <w:tcW w:w="916" w:type="dxa"/>
            <w:tcBorders>
              <w:top w:val="nil"/>
              <w:left w:val="nil"/>
              <w:bottom w:val="nil"/>
              <w:right w:val="nil"/>
            </w:tcBorders>
            <w:shd w:val="clear" w:color="auto" w:fill="auto"/>
            <w:noWrap/>
            <w:vAlign w:val="center"/>
            <w:hideMark/>
          </w:tcPr>
          <w:p w:rsidR="00332F33" w:rsidRPr="00332F33" w:rsidRDefault="00332F33" w:rsidP="00332F33">
            <w:pPr>
              <w:jc w:val="right"/>
              <w:rPr>
                <w:rFonts w:cs="Arial"/>
                <w:color w:val="7F7F7F"/>
                <w:szCs w:val="18"/>
                <w:lang w:eastAsia="en-AU"/>
              </w:rPr>
            </w:pPr>
            <w:r w:rsidRPr="00332F33">
              <w:rPr>
                <w:rFonts w:cs="Arial"/>
                <w:color w:val="7F7F7F"/>
                <w:szCs w:val="18"/>
                <w:lang w:eastAsia="en-AU"/>
              </w:rPr>
              <w:t>54,686</w:t>
            </w:r>
          </w:p>
        </w:tc>
      </w:tr>
      <w:tr w:rsidR="00332F33" w:rsidRPr="00332F33" w:rsidTr="00332F33">
        <w:trPr>
          <w:trHeight w:val="315"/>
        </w:trPr>
        <w:tc>
          <w:tcPr>
            <w:tcW w:w="2600" w:type="dxa"/>
            <w:tcBorders>
              <w:top w:val="nil"/>
              <w:left w:val="nil"/>
              <w:bottom w:val="single" w:sz="12" w:space="0" w:color="7F7F7F"/>
              <w:right w:val="nil"/>
            </w:tcBorders>
            <w:shd w:val="clear" w:color="auto" w:fill="auto"/>
            <w:noWrap/>
            <w:vAlign w:val="center"/>
            <w:hideMark/>
          </w:tcPr>
          <w:p w:rsidR="00332F33" w:rsidRPr="00332F33" w:rsidRDefault="00332F33" w:rsidP="00332F33">
            <w:pPr>
              <w:rPr>
                <w:rFonts w:cs="Arial"/>
                <w:color w:val="7F7F7F"/>
                <w:szCs w:val="18"/>
                <w:lang w:eastAsia="en-AU"/>
              </w:rPr>
            </w:pPr>
            <w:r w:rsidRPr="00332F33">
              <w:rPr>
                <w:rFonts w:cs="Arial"/>
                <w:color w:val="7F7F7F"/>
                <w:szCs w:val="18"/>
                <w:lang w:eastAsia="en-AU"/>
              </w:rPr>
              <w:t>Course Enrolments</w:t>
            </w:r>
          </w:p>
        </w:tc>
        <w:tc>
          <w:tcPr>
            <w:tcW w:w="915" w:type="dxa"/>
            <w:tcBorders>
              <w:top w:val="nil"/>
              <w:left w:val="nil"/>
              <w:bottom w:val="single" w:sz="12" w:space="0" w:color="7F7F7F"/>
              <w:right w:val="nil"/>
            </w:tcBorders>
            <w:shd w:val="clear" w:color="auto" w:fill="auto"/>
            <w:noWrap/>
            <w:vAlign w:val="center"/>
            <w:hideMark/>
          </w:tcPr>
          <w:p w:rsidR="00332F33" w:rsidRPr="00332F33" w:rsidRDefault="00332F33" w:rsidP="00332F33">
            <w:pPr>
              <w:jc w:val="right"/>
              <w:rPr>
                <w:rFonts w:cs="Arial"/>
                <w:color w:val="7F7F7F"/>
                <w:szCs w:val="18"/>
                <w:lang w:eastAsia="en-AU"/>
              </w:rPr>
            </w:pPr>
            <w:r w:rsidRPr="00332F33">
              <w:rPr>
                <w:rFonts w:cs="Arial"/>
                <w:color w:val="7F7F7F"/>
                <w:szCs w:val="18"/>
                <w:lang w:eastAsia="en-AU"/>
              </w:rPr>
              <w:t>69,400</w:t>
            </w:r>
          </w:p>
        </w:tc>
        <w:tc>
          <w:tcPr>
            <w:tcW w:w="916" w:type="dxa"/>
            <w:tcBorders>
              <w:top w:val="nil"/>
              <w:left w:val="nil"/>
              <w:bottom w:val="single" w:sz="12" w:space="0" w:color="7F7F7F"/>
              <w:right w:val="nil"/>
            </w:tcBorders>
            <w:shd w:val="clear" w:color="auto" w:fill="auto"/>
            <w:noWrap/>
            <w:vAlign w:val="center"/>
            <w:hideMark/>
          </w:tcPr>
          <w:p w:rsidR="00332F33" w:rsidRPr="00332F33" w:rsidRDefault="00332F33" w:rsidP="00332F33">
            <w:pPr>
              <w:jc w:val="right"/>
              <w:rPr>
                <w:rFonts w:cs="Arial"/>
                <w:color w:val="7F7F7F"/>
                <w:szCs w:val="18"/>
                <w:lang w:eastAsia="en-AU"/>
              </w:rPr>
            </w:pPr>
            <w:r w:rsidRPr="00332F33">
              <w:rPr>
                <w:rFonts w:cs="Arial"/>
                <w:color w:val="7F7F7F"/>
                <w:szCs w:val="18"/>
                <w:lang w:eastAsia="en-AU"/>
              </w:rPr>
              <w:t>84,284</w:t>
            </w:r>
          </w:p>
        </w:tc>
        <w:tc>
          <w:tcPr>
            <w:tcW w:w="916" w:type="dxa"/>
            <w:tcBorders>
              <w:top w:val="nil"/>
              <w:left w:val="nil"/>
              <w:bottom w:val="single" w:sz="12" w:space="0" w:color="7F7F7F"/>
              <w:right w:val="nil"/>
            </w:tcBorders>
            <w:shd w:val="clear" w:color="auto" w:fill="auto"/>
            <w:noWrap/>
            <w:vAlign w:val="center"/>
            <w:hideMark/>
          </w:tcPr>
          <w:p w:rsidR="00332F33" w:rsidRPr="00332F33" w:rsidRDefault="00332F33" w:rsidP="00332F33">
            <w:pPr>
              <w:jc w:val="right"/>
              <w:rPr>
                <w:rFonts w:cs="Arial"/>
                <w:color w:val="7F7F7F"/>
                <w:szCs w:val="18"/>
                <w:lang w:eastAsia="en-AU"/>
              </w:rPr>
            </w:pPr>
            <w:r w:rsidRPr="00332F33">
              <w:rPr>
                <w:rFonts w:cs="Arial"/>
                <w:color w:val="7F7F7F"/>
                <w:szCs w:val="18"/>
                <w:lang w:eastAsia="en-AU"/>
              </w:rPr>
              <w:t>101,264</w:t>
            </w:r>
          </w:p>
        </w:tc>
        <w:tc>
          <w:tcPr>
            <w:tcW w:w="916" w:type="dxa"/>
            <w:tcBorders>
              <w:top w:val="nil"/>
              <w:left w:val="nil"/>
              <w:bottom w:val="single" w:sz="12" w:space="0" w:color="7F7F7F"/>
              <w:right w:val="nil"/>
            </w:tcBorders>
            <w:shd w:val="clear" w:color="auto" w:fill="auto"/>
            <w:noWrap/>
            <w:vAlign w:val="center"/>
            <w:hideMark/>
          </w:tcPr>
          <w:p w:rsidR="00332F33" w:rsidRPr="00332F33" w:rsidRDefault="00332F33" w:rsidP="00332F33">
            <w:pPr>
              <w:jc w:val="right"/>
              <w:rPr>
                <w:rFonts w:cs="Arial"/>
                <w:color w:val="7F7F7F"/>
                <w:szCs w:val="18"/>
                <w:lang w:eastAsia="en-AU"/>
              </w:rPr>
            </w:pPr>
            <w:r w:rsidRPr="00332F33">
              <w:rPr>
                <w:rFonts w:cs="Arial"/>
                <w:color w:val="7F7F7F"/>
                <w:szCs w:val="18"/>
                <w:lang w:eastAsia="en-AU"/>
              </w:rPr>
              <w:t>75,466</w:t>
            </w:r>
          </w:p>
        </w:tc>
        <w:tc>
          <w:tcPr>
            <w:tcW w:w="916" w:type="dxa"/>
            <w:tcBorders>
              <w:top w:val="nil"/>
              <w:left w:val="nil"/>
              <w:bottom w:val="single" w:sz="12" w:space="0" w:color="7F7F7F"/>
              <w:right w:val="nil"/>
            </w:tcBorders>
            <w:shd w:val="clear" w:color="auto" w:fill="auto"/>
            <w:noWrap/>
            <w:vAlign w:val="center"/>
            <w:hideMark/>
          </w:tcPr>
          <w:p w:rsidR="00332F33" w:rsidRPr="00332F33" w:rsidRDefault="00332F33" w:rsidP="00332F33">
            <w:pPr>
              <w:jc w:val="right"/>
              <w:rPr>
                <w:rFonts w:cs="Arial"/>
                <w:color w:val="7F7F7F"/>
                <w:szCs w:val="18"/>
                <w:lang w:eastAsia="en-AU"/>
              </w:rPr>
            </w:pPr>
            <w:r w:rsidRPr="00332F33">
              <w:rPr>
                <w:rFonts w:cs="Arial"/>
                <w:color w:val="7F7F7F"/>
                <w:szCs w:val="18"/>
                <w:lang w:eastAsia="en-AU"/>
              </w:rPr>
              <w:t>65,030</w:t>
            </w:r>
          </w:p>
        </w:tc>
        <w:tc>
          <w:tcPr>
            <w:tcW w:w="916" w:type="dxa"/>
            <w:tcBorders>
              <w:top w:val="nil"/>
              <w:left w:val="nil"/>
              <w:bottom w:val="single" w:sz="12" w:space="0" w:color="7F7F7F"/>
              <w:right w:val="nil"/>
            </w:tcBorders>
            <w:shd w:val="clear" w:color="auto" w:fill="auto"/>
            <w:noWrap/>
            <w:vAlign w:val="center"/>
            <w:hideMark/>
          </w:tcPr>
          <w:p w:rsidR="00332F33" w:rsidRPr="00332F33" w:rsidRDefault="00332F33" w:rsidP="00332F33">
            <w:pPr>
              <w:jc w:val="right"/>
              <w:rPr>
                <w:rFonts w:cs="Arial"/>
                <w:color w:val="7F7F7F"/>
                <w:szCs w:val="18"/>
                <w:lang w:eastAsia="en-AU"/>
              </w:rPr>
            </w:pPr>
            <w:r w:rsidRPr="00332F33">
              <w:rPr>
                <w:rFonts w:cs="Arial"/>
                <w:color w:val="7F7F7F"/>
                <w:szCs w:val="18"/>
                <w:lang w:eastAsia="en-AU"/>
              </w:rPr>
              <w:t>55,781</w:t>
            </w:r>
          </w:p>
        </w:tc>
      </w:tr>
    </w:tbl>
    <w:p w:rsidR="00AB62FC" w:rsidRDefault="00AB62FC" w:rsidP="00AB62FC"/>
    <w:p w:rsidR="00332F33" w:rsidRDefault="00332F33" w:rsidP="00AB62FC"/>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332F33" w:rsidTr="00CB11A4">
        <w:tc>
          <w:tcPr>
            <w:tcW w:w="1134" w:type="dxa"/>
            <w:tcMar>
              <w:left w:w="0" w:type="dxa"/>
              <w:right w:w="0" w:type="dxa"/>
            </w:tcMar>
          </w:tcPr>
          <w:p w:rsidR="00332F33" w:rsidRDefault="00332F33" w:rsidP="00C53522">
            <w:pPr>
              <w:pStyle w:val="Quote"/>
              <w:tabs>
                <w:tab w:val="left" w:pos="1134"/>
              </w:tabs>
              <w:rPr>
                <w:b w:val="0"/>
                <w:color w:val="B41F22" w:themeColor="accent1"/>
              </w:rPr>
            </w:pPr>
            <w:r>
              <w:rPr>
                <w:b w:val="0"/>
                <w:color w:val="B41F22" w:themeColor="accent1"/>
              </w:rPr>
              <w:t xml:space="preserve">Table </w:t>
            </w:r>
            <w:r w:rsidR="0005261F">
              <w:rPr>
                <w:b w:val="0"/>
                <w:color w:val="B41F22" w:themeColor="accent1"/>
              </w:rPr>
              <w:t>3</w:t>
            </w:r>
            <w:r>
              <w:rPr>
                <w:b w:val="0"/>
                <w:color w:val="B41F22" w:themeColor="accent1"/>
              </w:rPr>
              <w:t>.</w:t>
            </w:r>
            <w:r w:rsidR="00C53522">
              <w:rPr>
                <w:b w:val="0"/>
                <w:color w:val="B41F22" w:themeColor="accent1"/>
              </w:rPr>
              <w:t>1</w:t>
            </w:r>
            <w:r>
              <w:rPr>
                <w:b w:val="0"/>
                <w:color w:val="B41F22" w:themeColor="accent1"/>
              </w:rPr>
              <w:t>.2:</w:t>
            </w:r>
          </w:p>
        </w:tc>
        <w:tc>
          <w:tcPr>
            <w:tcW w:w="6946" w:type="dxa"/>
            <w:tcMar>
              <w:left w:w="0" w:type="dxa"/>
              <w:right w:w="0" w:type="dxa"/>
            </w:tcMar>
          </w:tcPr>
          <w:p w:rsidR="00332F33" w:rsidRDefault="00332F33" w:rsidP="00CB11A4">
            <w:pPr>
              <w:pStyle w:val="Quote"/>
              <w:tabs>
                <w:tab w:val="left" w:pos="1134"/>
              </w:tabs>
              <w:rPr>
                <w:b w:val="0"/>
                <w:color w:val="B41F22" w:themeColor="accent1"/>
              </w:rPr>
            </w:pPr>
            <w:r w:rsidRPr="00332F33">
              <w:rPr>
                <w:b w:val="0"/>
                <w:color w:val="B41F22" w:themeColor="accent1"/>
              </w:rPr>
              <w:t>Government subsidised training in apprenticeships and traineeships: change in number of students and course enrolments (half year)</w:t>
            </w:r>
          </w:p>
        </w:tc>
      </w:tr>
    </w:tbl>
    <w:tbl>
      <w:tblPr>
        <w:tblW w:w="8095" w:type="dxa"/>
        <w:tblInd w:w="93" w:type="dxa"/>
        <w:tblLayout w:type="fixed"/>
        <w:tblLook w:val="04A0" w:firstRow="1" w:lastRow="0" w:firstColumn="1" w:lastColumn="0" w:noHBand="0" w:noVBand="1"/>
      </w:tblPr>
      <w:tblGrid>
        <w:gridCol w:w="2600"/>
        <w:gridCol w:w="1099"/>
        <w:gridCol w:w="1099"/>
        <w:gridCol w:w="1099"/>
        <w:gridCol w:w="1099"/>
        <w:gridCol w:w="1099"/>
      </w:tblGrid>
      <w:tr w:rsidR="00332F33" w:rsidRPr="00332F33" w:rsidTr="00332F33">
        <w:trPr>
          <w:trHeight w:val="720"/>
        </w:trPr>
        <w:tc>
          <w:tcPr>
            <w:tcW w:w="2600" w:type="dxa"/>
            <w:tcBorders>
              <w:top w:val="nil"/>
              <w:left w:val="nil"/>
              <w:bottom w:val="nil"/>
              <w:right w:val="nil"/>
            </w:tcBorders>
            <w:shd w:val="clear" w:color="000000" w:fill="7F7F7F"/>
            <w:noWrap/>
            <w:vAlign w:val="center"/>
            <w:hideMark/>
          </w:tcPr>
          <w:p w:rsidR="00332F33" w:rsidRPr="00332F33" w:rsidRDefault="00332F33" w:rsidP="00332F33">
            <w:pPr>
              <w:rPr>
                <w:rFonts w:cs="Arial"/>
                <w:color w:val="FFFFFF"/>
                <w:szCs w:val="18"/>
                <w:lang w:eastAsia="en-AU"/>
              </w:rPr>
            </w:pPr>
            <w:r w:rsidRPr="00332F33">
              <w:rPr>
                <w:rFonts w:cs="Arial"/>
                <w:color w:val="FFFFFF"/>
                <w:szCs w:val="18"/>
                <w:lang w:eastAsia="en-AU"/>
              </w:rPr>
              <w:t> </w:t>
            </w:r>
          </w:p>
        </w:tc>
        <w:tc>
          <w:tcPr>
            <w:tcW w:w="1099" w:type="dxa"/>
            <w:tcBorders>
              <w:top w:val="nil"/>
              <w:left w:val="nil"/>
              <w:bottom w:val="nil"/>
              <w:right w:val="nil"/>
            </w:tcBorders>
            <w:shd w:val="clear" w:color="000000" w:fill="7F7F7F"/>
            <w:vAlign w:val="center"/>
            <w:hideMark/>
          </w:tcPr>
          <w:p w:rsidR="00332F33" w:rsidRPr="00332F33" w:rsidRDefault="00332F33" w:rsidP="00332F33">
            <w:pPr>
              <w:jc w:val="right"/>
              <w:rPr>
                <w:rFonts w:cs="Arial"/>
                <w:b/>
                <w:bCs/>
                <w:color w:val="FFFFFF"/>
                <w:szCs w:val="18"/>
                <w:lang w:eastAsia="en-AU"/>
              </w:rPr>
            </w:pPr>
            <w:r w:rsidRPr="00332F33">
              <w:rPr>
                <w:rFonts w:cs="Arial"/>
                <w:b/>
                <w:bCs/>
                <w:color w:val="FFFFFF"/>
                <w:szCs w:val="18"/>
                <w:lang w:eastAsia="en-AU"/>
              </w:rPr>
              <w:t>% change 2010 to 2015</w:t>
            </w:r>
          </w:p>
        </w:tc>
        <w:tc>
          <w:tcPr>
            <w:tcW w:w="1099" w:type="dxa"/>
            <w:tcBorders>
              <w:top w:val="nil"/>
              <w:left w:val="nil"/>
              <w:bottom w:val="nil"/>
              <w:right w:val="nil"/>
            </w:tcBorders>
            <w:shd w:val="clear" w:color="000000" w:fill="7F7F7F"/>
            <w:vAlign w:val="center"/>
            <w:hideMark/>
          </w:tcPr>
          <w:p w:rsidR="00332F33" w:rsidRPr="00332F33" w:rsidRDefault="00332F33" w:rsidP="00332F33">
            <w:pPr>
              <w:jc w:val="right"/>
              <w:rPr>
                <w:rFonts w:cs="Arial"/>
                <w:b/>
                <w:bCs/>
                <w:color w:val="FFFFFF"/>
                <w:szCs w:val="18"/>
                <w:lang w:eastAsia="en-AU"/>
              </w:rPr>
            </w:pPr>
            <w:r w:rsidRPr="00332F33">
              <w:rPr>
                <w:rFonts w:cs="Arial"/>
                <w:b/>
                <w:bCs/>
                <w:color w:val="FFFFFF"/>
                <w:szCs w:val="18"/>
                <w:lang w:eastAsia="en-AU"/>
              </w:rPr>
              <w:t>% change 2011 to 2015</w:t>
            </w:r>
          </w:p>
        </w:tc>
        <w:tc>
          <w:tcPr>
            <w:tcW w:w="1099" w:type="dxa"/>
            <w:tcBorders>
              <w:top w:val="nil"/>
              <w:left w:val="nil"/>
              <w:bottom w:val="nil"/>
              <w:right w:val="nil"/>
            </w:tcBorders>
            <w:shd w:val="clear" w:color="000000" w:fill="7F7F7F"/>
            <w:vAlign w:val="center"/>
            <w:hideMark/>
          </w:tcPr>
          <w:p w:rsidR="00332F33" w:rsidRPr="00332F33" w:rsidRDefault="00332F33" w:rsidP="00332F33">
            <w:pPr>
              <w:jc w:val="right"/>
              <w:rPr>
                <w:rFonts w:cs="Arial"/>
                <w:b/>
                <w:bCs/>
                <w:color w:val="FFFFFF"/>
                <w:szCs w:val="18"/>
                <w:lang w:eastAsia="en-AU"/>
              </w:rPr>
            </w:pPr>
            <w:r w:rsidRPr="00332F33">
              <w:rPr>
                <w:rFonts w:cs="Arial"/>
                <w:b/>
                <w:bCs/>
                <w:color w:val="FFFFFF"/>
                <w:szCs w:val="18"/>
                <w:lang w:eastAsia="en-AU"/>
              </w:rPr>
              <w:t>% change 2012 to 2015</w:t>
            </w:r>
          </w:p>
        </w:tc>
        <w:tc>
          <w:tcPr>
            <w:tcW w:w="1099" w:type="dxa"/>
            <w:tcBorders>
              <w:top w:val="nil"/>
              <w:left w:val="nil"/>
              <w:bottom w:val="nil"/>
              <w:right w:val="nil"/>
            </w:tcBorders>
            <w:shd w:val="clear" w:color="000000" w:fill="7F7F7F"/>
            <w:vAlign w:val="center"/>
            <w:hideMark/>
          </w:tcPr>
          <w:p w:rsidR="00332F33" w:rsidRPr="00332F33" w:rsidRDefault="00332F33" w:rsidP="00332F33">
            <w:pPr>
              <w:jc w:val="right"/>
              <w:rPr>
                <w:rFonts w:cs="Arial"/>
                <w:b/>
                <w:bCs/>
                <w:color w:val="FFFFFF"/>
                <w:szCs w:val="18"/>
                <w:lang w:eastAsia="en-AU"/>
              </w:rPr>
            </w:pPr>
            <w:r w:rsidRPr="00332F33">
              <w:rPr>
                <w:rFonts w:cs="Arial"/>
                <w:b/>
                <w:bCs/>
                <w:color w:val="FFFFFF"/>
                <w:szCs w:val="18"/>
                <w:lang w:eastAsia="en-AU"/>
              </w:rPr>
              <w:t>% change 2013 to 2015</w:t>
            </w:r>
          </w:p>
        </w:tc>
        <w:tc>
          <w:tcPr>
            <w:tcW w:w="1099" w:type="dxa"/>
            <w:tcBorders>
              <w:top w:val="nil"/>
              <w:left w:val="nil"/>
              <w:bottom w:val="nil"/>
              <w:right w:val="nil"/>
            </w:tcBorders>
            <w:shd w:val="clear" w:color="000000" w:fill="7F7F7F"/>
            <w:vAlign w:val="center"/>
            <w:hideMark/>
          </w:tcPr>
          <w:p w:rsidR="00332F33" w:rsidRPr="00332F33" w:rsidRDefault="00332F33" w:rsidP="00332F33">
            <w:pPr>
              <w:jc w:val="right"/>
              <w:rPr>
                <w:rFonts w:cs="Arial"/>
                <w:b/>
                <w:bCs/>
                <w:color w:val="FFFFFF"/>
                <w:szCs w:val="18"/>
                <w:lang w:eastAsia="en-AU"/>
              </w:rPr>
            </w:pPr>
            <w:r w:rsidRPr="00332F33">
              <w:rPr>
                <w:rFonts w:cs="Arial"/>
                <w:b/>
                <w:bCs/>
                <w:color w:val="FFFFFF"/>
                <w:szCs w:val="18"/>
                <w:lang w:eastAsia="en-AU"/>
              </w:rPr>
              <w:t>% change 2014 to 2015</w:t>
            </w:r>
          </w:p>
        </w:tc>
      </w:tr>
      <w:tr w:rsidR="00332F33" w:rsidRPr="00332F33" w:rsidTr="00332F33">
        <w:trPr>
          <w:trHeight w:val="300"/>
        </w:trPr>
        <w:tc>
          <w:tcPr>
            <w:tcW w:w="2600" w:type="dxa"/>
            <w:tcBorders>
              <w:top w:val="nil"/>
              <w:left w:val="nil"/>
              <w:bottom w:val="nil"/>
              <w:right w:val="nil"/>
            </w:tcBorders>
            <w:shd w:val="clear" w:color="auto" w:fill="auto"/>
            <w:noWrap/>
            <w:vAlign w:val="center"/>
            <w:hideMark/>
          </w:tcPr>
          <w:p w:rsidR="00332F33" w:rsidRPr="00332F33" w:rsidRDefault="00332F33" w:rsidP="00332F33">
            <w:pPr>
              <w:rPr>
                <w:rFonts w:cs="Arial"/>
                <w:color w:val="7F7F7F"/>
                <w:szCs w:val="18"/>
                <w:lang w:eastAsia="en-AU"/>
              </w:rPr>
            </w:pPr>
            <w:r w:rsidRPr="00332F33">
              <w:rPr>
                <w:rFonts w:cs="Arial"/>
                <w:color w:val="7F7F7F"/>
                <w:szCs w:val="18"/>
                <w:lang w:eastAsia="en-AU"/>
              </w:rPr>
              <w:t>Students</w:t>
            </w:r>
          </w:p>
        </w:tc>
        <w:tc>
          <w:tcPr>
            <w:tcW w:w="1099" w:type="dxa"/>
            <w:tcBorders>
              <w:top w:val="nil"/>
              <w:left w:val="nil"/>
              <w:bottom w:val="nil"/>
              <w:right w:val="nil"/>
            </w:tcBorders>
            <w:shd w:val="clear" w:color="auto" w:fill="auto"/>
            <w:noWrap/>
            <w:vAlign w:val="center"/>
            <w:hideMark/>
          </w:tcPr>
          <w:p w:rsidR="00332F33" w:rsidRPr="00332F33" w:rsidRDefault="00332F33" w:rsidP="00332F33">
            <w:pPr>
              <w:jc w:val="right"/>
              <w:rPr>
                <w:rFonts w:cs="Arial"/>
                <w:color w:val="7F7F7F"/>
                <w:szCs w:val="18"/>
                <w:lang w:eastAsia="en-AU"/>
              </w:rPr>
            </w:pPr>
            <w:r w:rsidRPr="00332F33">
              <w:rPr>
                <w:rFonts w:cs="Arial"/>
                <w:color w:val="7F7F7F"/>
                <w:szCs w:val="18"/>
                <w:lang w:eastAsia="en-AU"/>
              </w:rPr>
              <w:t>-20%</w:t>
            </w:r>
          </w:p>
        </w:tc>
        <w:tc>
          <w:tcPr>
            <w:tcW w:w="1099" w:type="dxa"/>
            <w:tcBorders>
              <w:top w:val="nil"/>
              <w:left w:val="nil"/>
              <w:bottom w:val="nil"/>
              <w:right w:val="nil"/>
            </w:tcBorders>
            <w:shd w:val="clear" w:color="auto" w:fill="auto"/>
            <w:noWrap/>
            <w:vAlign w:val="center"/>
            <w:hideMark/>
          </w:tcPr>
          <w:p w:rsidR="00332F33" w:rsidRPr="00332F33" w:rsidRDefault="00332F33" w:rsidP="00332F33">
            <w:pPr>
              <w:jc w:val="right"/>
              <w:rPr>
                <w:rFonts w:cs="Arial"/>
                <w:color w:val="7F7F7F"/>
                <w:szCs w:val="18"/>
                <w:lang w:eastAsia="en-AU"/>
              </w:rPr>
            </w:pPr>
            <w:r w:rsidRPr="00332F33">
              <w:rPr>
                <w:rFonts w:cs="Arial"/>
                <w:color w:val="7F7F7F"/>
                <w:szCs w:val="18"/>
                <w:lang w:eastAsia="en-AU"/>
              </w:rPr>
              <w:t>-35%</w:t>
            </w:r>
          </w:p>
        </w:tc>
        <w:tc>
          <w:tcPr>
            <w:tcW w:w="1099" w:type="dxa"/>
            <w:tcBorders>
              <w:top w:val="nil"/>
              <w:left w:val="nil"/>
              <w:bottom w:val="nil"/>
              <w:right w:val="nil"/>
            </w:tcBorders>
            <w:shd w:val="clear" w:color="auto" w:fill="auto"/>
            <w:noWrap/>
            <w:vAlign w:val="center"/>
            <w:hideMark/>
          </w:tcPr>
          <w:p w:rsidR="00332F33" w:rsidRPr="00332F33" w:rsidRDefault="00332F33" w:rsidP="00332F33">
            <w:pPr>
              <w:jc w:val="right"/>
              <w:rPr>
                <w:rFonts w:cs="Arial"/>
                <w:color w:val="7F7F7F"/>
                <w:szCs w:val="18"/>
                <w:lang w:eastAsia="en-AU"/>
              </w:rPr>
            </w:pPr>
            <w:r w:rsidRPr="00332F33">
              <w:rPr>
                <w:rFonts w:cs="Arial"/>
                <w:color w:val="7F7F7F"/>
                <w:szCs w:val="18"/>
                <w:lang w:eastAsia="en-AU"/>
              </w:rPr>
              <w:t>-46%</w:t>
            </w:r>
          </w:p>
        </w:tc>
        <w:tc>
          <w:tcPr>
            <w:tcW w:w="1099" w:type="dxa"/>
            <w:tcBorders>
              <w:top w:val="nil"/>
              <w:left w:val="nil"/>
              <w:bottom w:val="nil"/>
              <w:right w:val="nil"/>
            </w:tcBorders>
            <w:shd w:val="clear" w:color="auto" w:fill="auto"/>
            <w:noWrap/>
            <w:vAlign w:val="center"/>
            <w:hideMark/>
          </w:tcPr>
          <w:p w:rsidR="00332F33" w:rsidRPr="00332F33" w:rsidRDefault="00332F33" w:rsidP="00332F33">
            <w:pPr>
              <w:jc w:val="right"/>
              <w:rPr>
                <w:rFonts w:cs="Arial"/>
                <w:color w:val="7F7F7F"/>
                <w:szCs w:val="18"/>
                <w:lang w:eastAsia="en-AU"/>
              </w:rPr>
            </w:pPr>
            <w:r w:rsidRPr="00332F33">
              <w:rPr>
                <w:rFonts w:cs="Arial"/>
                <w:color w:val="7F7F7F"/>
                <w:szCs w:val="18"/>
                <w:lang w:eastAsia="en-AU"/>
              </w:rPr>
              <w:t>-27%</w:t>
            </w:r>
          </w:p>
        </w:tc>
        <w:tc>
          <w:tcPr>
            <w:tcW w:w="1099" w:type="dxa"/>
            <w:tcBorders>
              <w:top w:val="nil"/>
              <w:left w:val="nil"/>
              <w:bottom w:val="nil"/>
              <w:right w:val="nil"/>
            </w:tcBorders>
            <w:shd w:val="clear" w:color="auto" w:fill="auto"/>
            <w:noWrap/>
            <w:vAlign w:val="center"/>
            <w:hideMark/>
          </w:tcPr>
          <w:p w:rsidR="00332F33" w:rsidRPr="00332F33" w:rsidRDefault="00332F33" w:rsidP="00332F33">
            <w:pPr>
              <w:jc w:val="right"/>
              <w:rPr>
                <w:rFonts w:cs="Arial"/>
                <w:color w:val="7F7F7F"/>
                <w:szCs w:val="18"/>
                <w:lang w:eastAsia="en-AU"/>
              </w:rPr>
            </w:pPr>
            <w:r w:rsidRPr="00332F33">
              <w:rPr>
                <w:rFonts w:cs="Arial"/>
                <w:color w:val="7F7F7F"/>
                <w:szCs w:val="18"/>
                <w:lang w:eastAsia="en-AU"/>
              </w:rPr>
              <w:t>-15%</w:t>
            </w:r>
          </w:p>
        </w:tc>
      </w:tr>
      <w:tr w:rsidR="00332F33" w:rsidRPr="00332F33" w:rsidTr="00332F33">
        <w:trPr>
          <w:trHeight w:val="315"/>
        </w:trPr>
        <w:tc>
          <w:tcPr>
            <w:tcW w:w="2600" w:type="dxa"/>
            <w:tcBorders>
              <w:top w:val="nil"/>
              <w:left w:val="nil"/>
              <w:bottom w:val="single" w:sz="12" w:space="0" w:color="7F7F7F"/>
              <w:right w:val="nil"/>
            </w:tcBorders>
            <w:shd w:val="clear" w:color="auto" w:fill="auto"/>
            <w:noWrap/>
            <w:vAlign w:val="center"/>
            <w:hideMark/>
          </w:tcPr>
          <w:p w:rsidR="00332F33" w:rsidRPr="00332F33" w:rsidRDefault="00332F33" w:rsidP="00332F33">
            <w:pPr>
              <w:rPr>
                <w:rFonts w:cs="Arial"/>
                <w:color w:val="7F7F7F"/>
                <w:szCs w:val="18"/>
                <w:lang w:eastAsia="en-AU"/>
              </w:rPr>
            </w:pPr>
            <w:r w:rsidRPr="00332F33">
              <w:rPr>
                <w:rFonts w:cs="Arial"/>
                <w:color w:val="7F7F7F"/>
                <w:szCs w:val="18"/>
                <w:lang w:eastAsia="en-AU"/>
              </w:rPr>
              <w:t>Course Enrolments</w:t>
            </w:r>
          </w:p>
        </w:tc>
        <w:tc>
          <w:tcPr>
            <w:tcW w:w="1099" w:type="dxa"/>
            <w:tcBorders>
              <w:top w:val="nil"/>
              <w:left w:val="nil"/>
              <w:bottom w:val="single" w:sz="12" w:space="0" w:color="7F7F7F"/>
              <w:right w:val="nil"/>
            </w:tcBorders>
            <w:shd w:val="clear" w:color="auto" w:fill="auto"/>
            <w:noWrap/>
            <w:vAlign w:val="center"/>
            <w:hideMark/>
          </w:tcPr>
          <w:p w:rsidR="00332F33" w:rsidRPr="00332F33" w:rsidRDefault="00332F33" w:rsidP="00332F33">
            <w:pPr>
              <w:jc w:val="right"/>
              <w:rPr>
                <w:rFonts w:cs="Arial"/>
                <w:color w:val="7F7F7F"/>
                <w:szCs w:val="18"/>
                <w:lang w:eastAsia="en-AU"/>
              </w:rPr>
            </w:pPr>
            <w:r w:rsidRPr="00332F33">
              <w:rPr>
                <w:rFonts w:cs="Arial"/>
                <w:color w:val="7F7F7F"/>
                <w:szCs w:val="18"/>
                <w:lang w:eastAsia="en-AU"/>
              </w:rPr>
              <w:t>-20%</w:t>
            </w:r>
          </w:p>
        </w:tc>
        <w:tc>
          <w:tcPr>
            <w:tcW w:w="1099" w:type="dxa"/>
            <w:tcBorders>
              <w:top w:val="nil"/>
              <w:left w:val="nil"/>
              <w:bottom w:val="single" w:sz="12" w:space="0" w:color="7F7F7F"/>
              <w:right w:val="nil"/>
            </w:tcBorders>
            <w:shd w:val="clear" w:color="auto" w:fill="auto"/>
            <w:noWrap/>
            <w:vAlign w:val="center"/>
            <w:hideMark/>
          </w:tcPr>
          <w:p w:rsidR="00332F33" w:rsidRPr="00332F33" w:rsidRDefault="00332F33" w:rsidP="00332F33">
            <w:pPr>
              <w:jc w:val="right"/>
              <w:rPr>
                <w:rFonts w:cs="Arial"/>
                <w:color w:val="7F7F7F"/>
                <w:szCs w:val="18"/>
                <w:lang w:eastAsia="en-AU"/>
              </w:rPr>
            </w:pPr>
            <w:r w:rsidRPr="00332F33">
              <w:rPr>
                <w:rFonts w:cs="Arial"/>
                <w:color w:val="7F7F7F"/>
                <w:szCs w:val="18"/>
                <w:lang w:eastAsia="en-AU"/>
              </w:rPr>
              <w:t>-34%</w:t>
            </w:r>
          </w:p>
        </w:tc>
        <w:tc>
          <w:tcPr>
            <w:tcW w:w="1099" w:type="dxa"/>
            <w:tcBorders>
              <w:top w:val="nil"/>
              <w:left w:val="nil"/>
              <w:bottom w:val="single" w:sz="12" w:space="0" w:color="7F7F7F"/>
              <w:right w:val="nil"/>
            </w:tcBorders>
            <w:shd w:val="clear" w:color="auto" w:fill="auto"/>
            <w:noWrap/>
            <w:vAlign w:val="center"/>
            <w:hideMark/>
          </w:tcPr>
          <w:p w:rsidR="00332F33" w:rsidRPr="00332F33" w:rsidRDefault="00332F33" w:rsidP="00332F33">
            <w:pPr>
              <w:jc w:val="right"/>
              <w:rPr>
                <w:rFonts w:cs="Arial"/>
                <w:color w:val="7F7F7F"/>
                <w:szCs w:val="18"/>
                <w:lang w:eastAsia="en-AU"/>
              </w:rPr>
            </w:pPr>
            <w:r w:rsidRPr="00332F33">
              <w:rPr>
                <w:rFonts w:cs="Arial"/>
                <w:color w:val="7F7F7F"/>
                <w:szCs w:val="18"/>
                <w:lang w:eastAsia="en-AU"/>
              </w:rPr>
              <w:t>-45%</w:t>
            </w:r>
          </w:p>
        </w:tc>
        <w:tc>
          <w:tcPr>
            <w:tcW w:w="1099" w:type="dxa"/>
            <w:tcBorders>
              <w:top w:val="nil"/>
              <w:left w:val="nil"/>
              <w:bottom w:val="single" w:sz="12" w:space="0" w:color="7F7F7F"/>
              <w:right w:val="nil"/>
            </w:tcBorders>
            <w:shd w:val="clear" w:color="auto" w:fill="auto"/>
            <w:noWrap/>
            <w:vAlign w:val="center"/>
            <w:hideMark/>
          </w:tcPr>
          <w:p w:rsidR="00332F33" w:rsidRPr="00332F33" w:rsidRDefault="00332F33" w:rsidP="00332F33">
            <w:pPr>
              <w:jc w:val="right"/>
              <w:rPr>
                <w:rFonts w:cs="Arial"/>
                <w:color w:val="7F7F7F"/>
                <w:szCs w:val="18"/>
                <w:lang w:eastAsia="en-AU"/>
              </w:rPr>
            </w:pPr>
            <w:r w:rsidRPr="00332F33">
              <w:rPr>
                <w:rFonts w:cs="Arial"/>
                <w:color w:val="7F7F7F"/>
                <w:szCs w:val="18"/>
                <w:lang w:eastAsia="en-AU"/>
              </w:rPr>
              <w:t>-26%</w:t>
            </w:r>
          </w:p>
        </w:tc>
        <w:tc>
          <w:tcPr>
            <w:tcW w:w="1099" w:type="dxa"/>
            <w:tcBorders>
              <w:top w:val="nil"/>
              <w:left w:val="nil"/>
              <w:bottom w:val="single" w:sz="12" w:space="0" w:color="7F7F7F"/>
              <w:right w:val="nil"/>
            </w:tcBorders>
            <w:shd w:val="clear" w:color="auto" w:fill="auto"/>
            <w:noWrap/>
            <w:vAlign w:val="center"/>
            <w:hideMark/>
          </w:tcPr>
          <w:p w:rsidR="00332F33" w:rsidRPr="00332F33" w:rsidRDefault="00332F33" w:rsidP="00332F33">
            <w:pPr>
              <w:jc w:val="right"/>
              <w:rPr>
                <w:rFonts w:cs="Arial"/>
                <w:color w:val="7F7F7F"/>
                <w:szCs w:val="18"/>
                <w:lang w:eastAsia="en-AU"/>
              </w:rPr>
            </w:pPr>
            <w:r w:rsidRPr="00332F33">
              <w:rPr>
                <w:rFonts w:cs="Arial"/>
                <w:color w:val="7F7F7F"/>
                <w:szCs w:val="18"/>
                <w:lang w:eastAsia="en-AU"/>
              </w:rPr>
              <w:t>-14%</w:t>
            </w:r>
          </w:p>
        </w:tc>
      </w:tr>
    </w:tbl>
    <w:p w:rsidR="00332F33" w:rsidRDefault="00332F33" w:rsidP="00AB62FC"/>
    <w:p w:rsidR="00332F33" w:rsidRDefault="00332F33" w:rsidP="00AB62FC"/>
    <w:p w:rsidR="00AB62FC" w:rsidRPr="00365EB2" w:rsidRDefault="00AB62FC" w:rsidP="00AB62FC">
      <w:r w:rsidRPr="00365EB2">
        <w:br w:type="page"/>
      </w:r>
    </w:p>
    <w:p w:rsidR="00AB62FC" w:rsidRPr="00332F33" w:rsidRDefault="00AB62FC" w:rsidP="00AB62FC">
      <w:pPr>
        <w:pStyle w:val="Heading2"/>
        <w:rPr>
          <w:color w:val="B41F22" w:themeColor="accent1"/>
        </w:rPr>
      </w:pPr>
      <w:bookmarkStart w:id="30" w:name="_Toc432758338"/>
      <w:r w:rsidRPr="00332F33">
        <w:rPr>
          <w:color w:val="B41F22" w:themeColor="accent1"/>
        </w:rPr>
        <w:lastRenderedPageBreak/>
        <w:t>Apprenticeships</w:t>
      </w:r>
      <w:bookmarkEnd w:id="30"/>
    </w:p>
    <w:p w:rsidR="00AB62FC" w:rsidRPr="00365EB2" w:rsidRDefault="00AB62FC" w:rsidP="00AB62FC"/>
    <w:p w:rsidR="00AB62FC" w:rsidRPr="00365EB2" w:rsidRDefault="00AB62FC" w:rsidP="00332F33">
      <w:pPr>
        <w:pStyle w:val="Quote"/>
        <w:pBdr>
          <w:top w:val="single" w:sz="4" w:space="1" w:color="7F7F7F" w:themeColor="text2"/>
          <w:left w:val="single" w:sz="4" w:space="4" w:color="7F7F7F" w:themeColor="text2"/>
          <w:bottom w:val="single" w:sz="4" w:space="1" w:color="7F7F7F" w:themeColor="text2"/>
          <w:right w:val="single" w:sz="4" w:space="4" w:color="7F7F7F" w:themeColor="text2"/>
        </w:pBdr>
        <w:spacing w:after="120"/>
      </w:pPr>
      <w:r w:rsidRPr="00BB466D">
        <w:t>Key points</w:t>
      </w:r>
    </w:p>
    <w:p w:rsidR="00AB62FC" w:rsidRPr="002F6569" w:rsidRDefault="00AB62FC" w:rsidP="00332F33">
      <w:pPr>
        <w:pStyle w:val="ListParagraph"/>
        <w:numPr>
          <w:ilvl w:val="0"/>
          <w:numId w:val="18"/>
        </w:numPr>
        <w:pBdr>
          <w:top w:val="single" w:sz="4" w:space="1" w:color="7F7F7F" w:themeColor="text2"/>
          <w:left w:val="single" w:sz="4" w:space="4" w:color="7F7F7F" w:themeColor="text2"/>
          <w:bottom w:val="single" w:sz="4" w:space="1" w:color="7F7F7F" w:themeColor="text2"/>
          <w:right w:val="single" w:sz="4" w:space="4" w:color="7F7F7F" w:themeColor="text2"/>
        </w:pBdr>
        <w:spacing w:after="120"/>
        <w:ind w:left="425" w:hanging="425"/>
        <w:contextualSpacing w:val="0"/>
        <w:rPr>
          <w:color w:val="7F7F7F" w:themeColor="text2"/>
        </w:rPr>
      </w:pPr>
      <w:r w:rsidRPr="002F6569">
        <w:rPr>
          <w:color w:val="7F7F7F" w:themeColor="text2"/>
        </w:rPr>
        <w:t>In 201</w:t>
      </w:r>
      <w:r w:rsidR="00CB11A4" w:rsidRPr="002F6569">
        <w:rPr>
          <w:color w:val="7F7F7F" w:themeColor="text2"/>
        </w:rPr>
        <w:t>5 (half year)</w:t>
      </w:r>
      <w:r w:rsidRPr="002F6569">
        <w:rPr>
          <w:color w:val="7F7F7F" w:themeColor="text2"/>
        </w:rPr>
        <w:t xml:space="preserve">, there were </w:t>
      </w:r>
      <w:r w:rsidR="00CB11A4" w:rsidRPr="002F6569">
        <w:rPr>
          <w:color w:val="7F7F7F" w:themeColor="text2"/>
        </w:rPr>
        <w:t>35</w:t>
      </w:r>
      <w:r w:rsidRPr="002F6569">
        <w:rPr>
          <w:color w:val="7F7F7F" w:themeColor="text2"/>
        </w:rPr>
        <w:t>,</w:t>
      </w:r>
      <w:r w:rsidR="00CB11A4" w:rsidRPr="002F6569">
        <w:rPr>
          <w:color w:val="7F7F7F" w:themeColor="text2"/>
        </w:rPr>
        <w:t>523</w:t>
      </w:r>
      <w:r w:rsidRPr="002F6569">
        <w:rPr>
          <w:color w:val="7F7F7F" w:themeColor="text2"/>
        </w:rPr>
        <w:t xml:space="preserve"> government subsidised </w:t>
      </w:r>
      <w:r w:rsidR="00EE40C8" w:rsidRPr="002F6569">
        <w:rPr>
          <w:color w:val="7F7F7F" w:themeColor="text2"/>
        </w:rPr>
        <w:t>a</w:t>
      </w:r>
      <w:r w:rsidRPr="002F6569">
        <w:rPr>
          <w:color w:val="7F7F7F" w:themeColor="text2"/>
        </w:rPr>
        <w:t>pprentice course enrolments.</w:t>
      </w:r>
      <w:r w:rsidR="00CB11A4" w:rsidRPr="002F6569">
        <w:rPr>
          <w:color w:val="7F7F7F" w:themeColor="text2"/>
        </w:rPr>
        <w:t xml:space="preserve"> This was an increase of 4 per cent from the same period in 2014.</w:t>
      </w:r>
    </w:p>
    <w:p w:rsidR="00AB62FC" w:rsidRPr="002F6569" w:rsidRDefault="00335F98" w:rsidP="00332F33">
      <w:pPr>
        <w:pStyle w:val="ListParagraph"/>
        <w:numPr>
          <w:ilvl w:val="0"/>
          <w:numId w:val="18"/>
        </w:numPr>
        <w:pBdr>
          <w:top w:val="single" w:sz="4" w:space="1" w:color="7F7F7F" w:themeColor="text2"/>
          <w:left w:val="single" w:sz="4" w:space="4" w:color="7F7F7F" w:themeColor="text2"/>
          <w:bottom w:val="single" w:sz="4" w:space="1" w:color="7F7F7F" w:themeColor="text2"/>
          <w:right w:val="single" w:sz="4" w:space="4" w:color="7F7F7F" w:themeColor="text2"/>
        </w:pBdr>
        <w:spacing w:after="120"/>
        <w:ind w:left="425" w:hanging="425"/>
        <w:contextualSpacing w:val="0"/>
        <w:rPr>
          <w:color w:val="7F7F7F" w:themeColor="text2"/>
        </w:rPr>
      </w:pPr>
      <w:r w:rsidRPr="002F6569">
        <w:rPr>
          <w:color w:val="7F7F7F" w:themeColor="text2"/>
        </w:rPr>
        <w:t xml:space="preserve">In 2015 (half year), 30 per cent </w:t>
      </w:r>
      <w:r w:rsidR="00AB62FC" w:rsidRPr="002F6569">
        <w:rPr>
          <w:color w:val="7F7F7F" w:themeColor="text2"/>
        </w:rPr>
        <w:t xml:space="preserve">of </w:t>
      </w:r>
      <w:r w:rsidR="00EE40C8" w:rsidRPr="002F6569">
        <w:rPr>
          <w:color w:val="7F7F7F" w:themeColor="text2"/>
        </w:rPr>
        <w:t>a</w:t>
      </w:r>
      <w:r w:rsidR="00AB62FC" w:rsidRPr="002F6569">
        <w:rPr>
          <w:color w:val="7F7F7F" w:themeColor="text2"/>
        </w:rPr>
        <w:t xml:space="preserve">pprentice </w:t>
      </w:r>
      <w:r w:rsidR="00764C31" w:rsidRPr="002F6569">
        <w:rPr>
          <w:color w:val="7F7F7F" w:themeColor="text2"/>
        </w:rPr>
        <w:t xml:space="preserve">course enrolments were </w:t>
      </w:r>
      <w:r w:rsidR="00AB62FC" w:rsidRPr="002F6569">
        <w:rPr>
          <w:color w:val="7F7F7F" w:themeColor="text2"/>
        </w:rPr>
        <w:t xml:space="preserve">by students aged 15 to 19. Enrolments by this age group were </w:t>
      </w:r>
      <w:r w:rsidRPr="002F6569">
        <w:rPr>
          <w:color w:val="7F7F7F" w:themeColor="text2"/>
        </w:rPr>
        <w:t>slightly higher than the same period in 2014</w:t>
      </w:r>
      <w:r w:rsidR="00AB62FC" w:rsidRPr="002F6569">
        <w:rPr>
          <w:color w:val="7F7F7F" w:themeColor="text2"/>
        </w:rPr>
        <w:t>.</w:t>
      </w:r>
    </w:p>
    <w:p w:rsidR="00AB62FC" w:rsidRPr="002F6569" w:rsidRDefault="00AB62FC" w:rsidP="00332F33">
      <w:pPr>
        <w:pStyle w:val="ListParagraph"/>
        <w:numPr>
          <w:ilvl w:val="0"/>
          <w:numId w:val="18"/>
        </w:numPr>
        <w:pBdr>
          <w:top w:val="single" w:sz="4" w:space="1" w:color="7F7F7F" w:themeColor="text2"/>
          <w:left w:val="single" w:sz="4" w:space="4" w:color="7F7F7F" w:themeColor="text2"/>
          <w:bottom w:val="single" w:sz="4" w:space="1" w:color="7F7F7F" w:themeColor="text2"/>
          <w:right w:val="single" w:sz="4" w:space="4" w:color="7F7F7F" w:themeColor="text2"/>
        </w:pBdr>
        <w:ind w:left="425" w:hanging="425"/>
        <w:contextualSpacing w:val="0"/>
        <w:rPr>
          <w:color w:val="7F7F7F" w:themeColor="text2"/>
        </w:rPr>
      </w:pPr>
      <w:r w:rsidRPr="002F6569">
        <w:rPr>
          <w:color w:val="7F7F7F" w:themeColor="text2"/>
        </w:rPr>
        <w:t xml:space="preserve">The vast majority of </w:t>
      </w:r>
      <w:r w:rsidR="00EE40C8" w:rsidRPr="002F6569">
        <w:rPr>
          <w:color w:val="7F7F7F" w:themeColor="text2"/>
        </w:rPr>
        <w:t>a</w:t>
      </w:r>
      <w:r w:rsidRPr="002F6569">
        <w:rPr>
          <w:color w:val="7F7F7F" w:themeColor="text2"/>
        </w:rPr>
        <w:t xml:space="preserve">pprentice course enrolments were in occupations classified as Technicians and Trade Workers, which include Automotive and Engineering Trades Workers, Construction Trades Workers, </w:t>
      </w:r>
      <w:proofErr w:type="spellStart"/>
      <w:r w:rsidRPr="002F6569">
        <w:rPr>
          <w:color w:val="7F7F7F" w:themeColor="text2"/>
        </w:rPr>
        <w:t>Electrotechnology</w:t>
      </w:r>
      <w:proofErr w:type="spellEnd"/>
      <w:r w:rsidRPr="002F6569">
        <w:rPr>
          <w:color w:val="7F7F7F" w:themeColor="text2"/>
        </w:rPr>
        <w:t xml:space="preserve"> and Telecommunications Trades Workers, Engineering ICT and Science Technicians, Food Trades Workers, Other Technicians and Trades Workers, and Skilled Animal and Horticultural Workers.</w:t>
      </w:r>
    </w:p>
    <w:p w:rsidR="00332F33" w:rsidRPr="002F6569" w:rsidRDefault="00332F33" w:rsidP="00332F33">
      <w:pPr>
        <w:pBdr>
          <w:top w:val="single" w:sz="4" w:space="1" w:color="7F7F7F" w:themeColor="text2"/>
          <w:left w:val="single" w:sz="4" w:space="4" w:color="7F7F7F" w:themeColor="text2"/>
          <w:bottom w:val="single" w:sz="4" w:space="1" w:color="7F7F7F" w:themeColor="text2"/>
          <w:right w:val="single" w:sz="4" w:space="4" w:color="7F7F7F" w:themeColor="text2"/>
        </w:pBdr>
        <w:rPr>
          <w:color w:val="7F7F7F" w:themeColor="text2"/>
        </w:rPr>
      </w:pPr>
    </w:p>
    <w:p w:rsidR="00AB62FC" w:rsidRDefault="00AB62FC" w:rsidP="00AB62FC"/>
    <w:p w:rsidR="00332F33" w:rsidRPr="00365EB2" w:rsidRDefault="00332F33" w:rsidP="00AB62FC"/>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CB11A4" w:rsidTr="00CB11A4">
        <w:tc>
          <w:tcPr>
            <w:tcW w:w="1134" w:type="dxa"/>
            <w:tcMar>
              <w:left w:w="0" w:type="dxa"/>
              <w:right w:w="0" w:type="dxa"/>
            </w:tcMar>
          </w:tcPr>
          <w:p w:rsidR="00CB11A4" w:rsidRDefault="00CB11A4" w:rsidP="0005261F">
            <w:pPr>
              <w:pStyle w:val="Quote"/>
              <w:tabs>
                <w:tab w:val="left" w:pos="1134"/>
              </w:tabs>
              <w:rPr>
                <w:b w:val="0"/>
                <w:color w:val="B41F22" w:themeColor="accent1"/>
              </w:rPr>
            </w:pPr>
            <w:r>
              <w:rPr>
                <w:b w:val="0"/>
                <w:color w:val="B41F22" w:themeColor="accent1"/>
              </w:rPr>
              <w:t xml:space="preserve">Figure </w:t>
            </w:r>
            <w:r w:rsidR="0005261F">
              <w:rPr>
                <w:b w:val="0"/>
                <w:color w:val="B41F22" w:themeColor="accent1"/>
              </w:rPr>
              <w:t>3</w:t>
            </w:r>
            <w:r>
              <w:rPr>
                <w:b w:val="0"/>
                <w:color w:val="B41F22" w:themeColor="accent1"/>
              </w:rPr>
              <w:t>.1:</w:t>
            </w:r>
          </w:p>
        </w:tc>
        <w:tc>
          <w:tcPr>
            <w:tcW w:w="6946" w:type="dxa"/>
            <w:tcMar>
              <w:left w:w="0" w:type="dxa"/>
              <w:right w:w="0" w:type="dxa"/>
            </w:tcMar>
          </w:tcPr>
          <w:p w:rsidR="00CB11A4" w:rsidRDefault="00CB11A4" w:rsidP="00CB11A4">
            <w:pPr>
              <w:pStyle w:val="Quote"/>
              <w:tabs>
                <w:tab w:val="left" w:pos="1134"/>
              </w:tabs>
              <w:rPr>
                <w:b w:val="0"/>
                <w:color w:val="B41F22" w:themeColor="accent1"/>
              </w:rPr>
            </w:pPr>
            <w:r w:rsidRPr="00CB11A4">
              <w:rPr>
                <w:b w:val="0"/>
                <w:color w:val="B41F22" w:themeColor="accent1"/>
              </w:rPr>
              <w:t>Government subsidised apprentice course enrolments, 2010 to 2015 (half year)</w:t>
            </w:r>
          </w:p>
        </w:tc>
      </w:tr>
    </w:tbl>
    <w:p w:rsidR="00AB62FC" w:rsidRDefault="009D4E26" w:rsidP="00AB62FC">
      <w:r>
        <w:rPr>
          <w:noProof/>
          <w:lang w:eastAsia="en-AU"/>
        </w:rPr>
        <w:drawing>
          <wp:inline distT="0" distB="0" distL="0" distR="0" wp14:anchorId="25057A2F" wp14:editId="5E2D2275">
            <wp:extent cx="5220000" cy="313126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220000" cy="3131269"/>
                    </a:xfrm>
                    <a:prstGeom prst="rect">
                      <a:avLst/>
                    </a:prstGeom>
                    <a:noFill/>
                  </pic:spPr>
                </pic:pic>
              </a:graphicData>
            </a:graphic>
          </wp:inline>
        </w:drawing>
      </w:r>
    </w:p>
    <w:p w:rsidR="009D4E26" w:rsidRDefault="009D4E26" w:rsidP="00AB62FC"/>
    <w:p w:rsidR="00BD7EDA" w:rsidRPr="00AD726B" w:rsidRDefault="00BD7EDA" w:rsidP="00AB62FC"/>
    <w:p w:rsidR="00AB62FC" w:rsidRPr="00365EB2" w:rsidRDefault="00AB62FC" w:rsidP="00AB62FC">
      <w:pPr>
        <w:rPr>
          <w:b/>
          <w:color w:val="7F7F7F" w:themeColor="text2"/>
          <w:sz w:val="19"/>
          <w:szCs w:val="19"/>
        </w:rPr>
      </w:pPr>
      <w:r w:rsidRPr="00AD7BB0">
        <w:br w:type="page"/>
      </w: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C53522" w:rsidTr="009A29C5">
        <w:tc>
          <w:tcPr>
            <w:tcW w:w="1134" w:type="dxa"/>
            <w:tcMar>
              <w:left w:w="0" w:type="dxa"/>
              <w:right w:w="0" w:type="dxa"/>
            </w:tcMar>
          </w:tcPr>
          <w:p w:rsidR="00C53522" w:rsidRDefault="00C53522" w:rsidP="0005261F">
            <w:pPr>
              <w:pStyle w:val="Quote"/>
              <w:tabs>
                <w:tab w:val="left" w:pos="1134"/>
              </w:tabs>
              <w:rPr>
                <w:b w:val="0"/>
                <w:color w:val="B41F22" w:themeColor="accent1"/>
              </w:rPr>
            </w:pPr>
            <w:r>
              <w:rPr>
                <w:b w:val="0"/>
                <w:color w:val="B41F22" w:themeColor="accent1"/>
              </w:rPr>
              <w:lastRenderedPageBreak/>
              <w:t xml:space="preserve">Table </w:t>
            </w:r>
            <w:r w:rsidR="0005261F">
              <w:rPr>
                <w:b w:val="0"/>
                <w:color w:val="B41F22" w:themeColor="accent1"/>
              </w:rPr>
              <w:t>3</w:t>
            </w:r>
            <w:r>
              <w:rPr>
                <w:b w:val="0"/>
                <w:color w:val="B41F22" w:themeColor="accent1"/>
              </w:rPr>
              <w:t>.2.1:</w:t>
            </w:r>
          </w:p>
        </w:tc>
        <w:tc>
          <w:tcPr>
            <w:tcW w:w="6946" w:type="dxa"/>
            <w:tcMar>
              <w:left w:w="0" w:type="dxa"/>
              <w:right w:w="0" w:type="dxa"/>
            </w:tcMar>
          </w:tcPr>
          <w:p w:rsidR="00C53522" w:rsidRDefault="00C53522" w:rsidP="009A29C5">
            <w:pPr>
              <w:pStyle w:val="Quote"/>
              <w:tabs>
                <w:tab w:val="left" w:pos="1134"/>
              </w:tabs>
              <w:rPr>
                <w:b w:val="0"/>
                <w:color w:val="B41F22" w:themeColor="accent1"/>
              </w:rPr>
            </w:pPr>
            <w:r w:rsidRPr="00C53522">
              <w:rPr>
                <w:b w:val="0"/>
                <w:color w:val="B41F22" w:themeColor="accent1"/>
              </w:rPr>
              <w:t>Number of students and enrolments in government subsidised apprentice courses, 2010 to 2015 (half year)</w:t>
            </w:r>
          </w:p>
        </w:tc>
      </w:tr>
    </w:tbl>
    <w:tbl>
      <w:tblPr>
        <w:tblW w:w="8095" w:type="dxa"/>
        <w:tblInd w:w="93" w:type="dxa"/>
        <w:tblLayout w:type="fixed"/>
        <w:tblLook w:val="04A0" w:firstRow="1" w:lastRow="0" w:firstColumn="1" w:lastColumn="0" w:noHBand="0" w:noVBand="1"/>
      </w:tblPr>
      <w:tblGrid>
        <w:gridCol w:w="2142"/>
        <w:gridCol w:w="992"/>
        <w:gridCol w:w="992"/>
        <w:gridCol w:w="992"/>
        <w:gridCol w:w="992"/>
        <w:gridCol w:w="992"/>
        <w:gridCol w:w="993"/>
      </w:tblGrid>
      <w:tr w:rsidR="00C53522" w:rsidRPr="00C53522" w:rsidTr="00C53522">
        <w:trPr>
          <w:trHeight w:val="300"/>
        </w:trPr>
        <w:tc>
          <w:tcPr>
            <w:tcW w:w="2142" w:type="dxa"/>
            <w:tcBorders>
              <w:top w:val="nil"/>
              <w:left w:val="nil"/>
              <w:bottom w:val="nil"/>
              <w:right w:val="nil"/>
            </w:tcBorders>
            <w:shd w:val="clear" w:color="000000" w:fill="7F7F7F"/>
            <w:noWrap/>
            <w:vAlign w:val="center"/>
            <w:hideMark/>
          </w:tcPr>
          <w:p w:rsidR="00C53522" w:rsidRPr="00C53522" w:rsidRDefault="00C53522" w:rsidP="00C53522">
            <w:pPr>
              <w:rPr>
                <w:rFonts w:cs="Arial"/>
                <w:color w:val="FFFFFF"/>
                <w:szCs w:val="18"/>
                <w:lang w:eastAsia="en-AU"/>
              </w:rPr>
            </w:pPr>
            <w:r w:rsidRPr="00C53522">
              <w:rPr>
                <w:rFonts w:cs="Arial"/>
                <w:color w:val="FFFFFF"/>
                <w:szCs w:val="18"/>
                <w:lang w:eastAsia="en-AU"/>
              </w:rPr>
              <w:t> </w:t>
            </w:r>
          </w:p>
        </w:tc>
        <w:tc>
          <w:tcPr>
            <w:tcW w:w="992" w:type="dxa"/>
            <w:tcBorders>
              <w:top w:val="nil"/>
              <w:left w:val="nil"/>
              <w:bottom w:val="nil"/>
              <w:right w:val="nil"/>
            </w:tcBorders>
            <w:shd w:val="clear" w:color="000000" w:fill="7F7F7F"/>
            <w:noWrap/>
            <w:vAlign w:val="center"/>
            <w:hideMark/>
          </w:tcPr>
          <w:p w:rsidR="00C53522" w:rsidRPr="00C53522" w:rsidRDefault="00C53522" w:rsidP="00C53522">
            <w:pPr>
              <w:jc w:val="right"/>
              <w:rPr>
                <w:rFonts w:cs="Arial"/>
                <w:b/>
                <w:bCs/>
                <w:color w:val="FFFFFF"/>
                <w:szCs w:val="18"/>
                <w:lang w:eastAsia="en-AU"/>
              </w:rPr>
            </w:pPr>
            <w:r w:rsidRPr="00C53522">
              <w:rPr>
                <w:rFonts w:cs="Arial"/>
                <w:b/>
                <w:bCs/>
                <w:color w:val="FFFFFF"/>
                <w:szCs w:val="18"/>
                <w:lang w:eastAsia="en-AU"/>
              </w:rPr>
              <w:t>2010</w:t>
            </w:r>
          </w:p>
        </w:tc>
        <w:tc>
          <w:tcPr>
            <w:tcW w:w="992" w:type="dxa"/>
            <w:tcBorders>
              <w:top w:val="nil"/>
              <w:left w:val="nil"/>
              <w:bottom w:val="nil"/>
              <w:right w:val="nil"/>
            </w:tcBorders>
            <w:shd w:val="clear" w:color="000000" w:fill="7F7F7F"/>
            <w:noWrap/>
            <w:vAlign w:val="center"/>
            <w:hideMark/>
          </w:tcPr>
          <w:p w:rsidR="00C53522" w:rsidRPr="00C53522" w:rsidRDefault="00C53522" w:rsidP="00C53522">
            <w:pPr>
              <w:jc w:val="right"/>
              <w:rPr>
                <w:rFonts w:cs="Arial"/>
                <w:b/>
                <w:bCs/>
                <w:color w:val="FFFFFF"/>
                <w:szCs w:val="18"/>
                <w:lang w:eastAsia="en-AU"/>
              </w:rPr>
            </w:pPr>
            <w:r w:rsidRPr="00C53522">
              <w:rPr>
                <w:rFonts w:cs="Arial"/>
                <w:b/>
                <w:bCs/>
                <w:color w:val="FFFFFF"/>
                <w:szCs w:val="18"/>
                <w:lang w:eastAsia="en-AU"/>
              </w:rPr>
              <w:t>2011</w:t>
            </w:r>
          </w:p>
        </w:tc>
        <w:tc>
          <w:tcPr>
            <w:tcW w:w="992" w:type="dxa"/>
            <w:tcBorders>
              <w:top w:val="nil"/>
              <w:left w:val="nil"/>
              <w:bottom w:val="nil"/>
              <w:right w:val="nil"/>
            </w:tcBorders>
            <w:shd w:val="clear" w:color="000000" w:fill="7F7F7F"/>
            <w:noWrap/>
            <w:vAlign w:val="center"/>
            <w:hideMark/>
          </w:tcPr>
          <w:p w:rsidR="00C53522" w:rsidRPr="00C53522" w:rsidRDefault="00C53522" w:rsidP="00C53522">
            <w:pPr>
              <w:jc w:val="right"/>
              <w:rPr>
                <w:rFonts w:cs="Arial"/>
                <w:b/>
                <w:bCs/>
                <w:color w:val="FFFFFF"/>
                <w:szCs w:val="18"/>
                <w:lang w:eastAsia="en-AU"/>
              </w:rPr>
            </w:pPr>
            <w:r w:rsidRPr="00C53522">
              <w:rPr>
                <w:rFonts w:cs="Arial"/>
                <w:b/>
                <w:bCs/>
                <w:color w:val="FFFFFF"/>
                <w:szCs w:val="18"/>
                <w:lang w:eastAsia="en-AU"/>
              </w:rPr>
              <w:t>2012</w:t>
            </w:r>
          </w:p>
        </w:tc>
        <w:tc>
          <w:tcPr>
            <w:tcW w:w="992" w:type="dxa"/>
            <w:tcBorders>
              <w:top w:val="nil"/>
              <w:left w:val="nil"/>
              <w:bottom w:val="nil"/>
              <w:right w:val="nil"/>
            </w:tcBorders>
            <w:shd w:val="clear" w:color="000000" w:fill="7F7F7F"/>
            <w:noWrap/>
            <w:vAlign w:val="center"/>
            <w:hideMark/>
          </w:tcPr>
          <w:p w:rsidR="00C53522" w:rsidRPr="00C53522" w:rsidRDefault="00C53522" w:rsidP="00C53522">
            <w:pPr>
              <w:jc w:val="right"/>
              <w:rPr>
                <w:rFonts w:cs="Arial"/>
                <w:b/>
                <w:bCs/>
                <w:color w:val="FFFFFF"/>
                <w:szCs w:val="18"/>
                <w:lang w:eastAsia="en-AU"/>
              </w:rPr>
            </w:pPr>
            <w:r w:rsidRPr="00C53522">
              <w:rPr>
                <w:rFonts w:cs="Arial"/>
                <w:b/>
                <w:bCs/>
                <w:color w:val="FFFFFF"/>
                <w:szCs w:val="18"/>
                <w:lang w:eastAsia="en-AU"/>
              </w:rPr>
              <w:t>2013</w:t>
            </w:r>
          </w:p>
        </w:tc>
        <w:tc>
          <w:tcPr>
            <w:tcW w:w="992" w:type="dxa"/>
            <w:tcBorders>
              <w:top w:val="nil"/>
              <w:left w:val="nil"/>
              <w:bottom w:val="nil"/>
              <w:right w:val="nil"/>
            </w:tcBorders>
            <w:shd w:val="clear" w:color="000000" w:fill="7F7F7F"/>
            <w:noWrap/>
            <w:vAlign w:val="center"/>
            <w:hideMark/>
          </w:tcPr>
          <w:p w:rsidR="00C53522" w:rsidRPr="00C53522" w:rsidRDefault="00C53522" w:rsidP="00C53522">
            <w:pPr>
              <w:jc w:val="right"/>
              <w:rPr>
                <w:rFonts w:cs="Arial"/>
                <w:b/>
                <w:bCs/>
                <w:color w:val="FFFFFF"/>
                <w:szCs w:val="18"/>
                <w:lang w:eastAsia="en-AU"/>
              </w:rPr>
            </w:pPr>
            <w:r w:rsidRPr="00C53522">
              <w:rPr>
                <w:rFonts w:cs="Arial"/>
                <w:b/>
                <w:bCs/>
                <w:color w:val="FFFFFF"/>
                <w:szCs w:val="18"/>
                <w:lang w:eastAsia="en-AU"/>
              </w:rPr>
              <w:t>2014</w:t>
            </w:r>
          </w:p>
        </w:tc>
        <w:tc>
          <w:tcPr>
            <w:tcW w:w="993" w:type="dxa"/>
            <w:tcBorders>
              <w:top w:val="nil"/>
              <w:left w:val="nil"/>
              <w:bottom w:val="nil"/>
              <w:right w:val="nil"/>
            </w:tcBorders>
            <w:shd w:val="clear" w:color="000000" w:fill="7F7F7F"/>
            <w:noWrap/>
            <w:vAlign w:val="center"/>
            <w:hideMark/>
          </w:tcPr>
          <w:p w:rsidR="00C53522" w:rsidRPr="00C53522" w:rsidRDefault="00C53522" w:rsidP="00C53522">
            <w:pPr>
              <w:jc w:val="right"/>
              <w:rPr>
                <w:rFonts w:cs="Arial"/>
                <w:b/>
                <w:bCs/>
                <w:color w:val="FFFFFF"/>
                <w:szCs w:val="18"/>
                <w:lang w:eastAsia="en-AU"/>
              </w:rPr>
            </w:pPr>
            <w:r w:rsidRPr="00C53522">
              <w:rPr>
                <w:rFonts w:cs="Arial"/>
                <w:b/>
                <w:bCs/>
                <w:color w:val="FFFFFF"/>
                <w:szCs w:val="18"/>
                <w:lang w:eastAsia="en-AU"/>
              </w:rPr>
              <w:t>2015</w:t>
            </w:r>
          </w:p>
        </w:tc>
      </w:tr>
      <w:tr w:rsidR="00C53522" w:rsidRPr="00C53522" w:rsidTr="00C53522">
        <w:trPr>
          <w:trHeight w:val="300"/>
        </w:trPr>
        <w:tc>
          <w:tcPr>
            <w:tcW w:w="2142" w:type="dxa"/>
            <w:tcBorders>
              <w:top w:val="nil"/>
              <w:left w:val="nil"/>
              <w:bottom w:val="nil"/>
              <w:right w:val="nil"/>
            </w:tcBorders>
            <w:shd w:val="clear" w:color="auto" w:fill="auto"/>
            <w:noWrap/>
            <w:vAlign w:val="center"/>
            <w:hideMark/>
          </w:tcPr>
          <w:p w:rsidR="00C53522" w:rsidRPr="00C53522" w:rsidRDefault="00C53522" w:rsidP="00C53522">
            <w:pPr>
              <w:rPr>
                <w:rFonts w:cs="Arial"/>
                <w:color w:val="7F7F7F"/>
                <w:szCs w:val="18"/>
                <w:lang w:eastAsia="en-AU"/>
              </w:rPr>
            </w:pPr>
            <w:r w:rsidRPr="00C53522">
              <w:rPr>
                <w:rFonts w:cs="Arial"/>
                <w:color w:val="7F7F7F"/>
                <w:szCs w:val="18"/>
                <w:lang w:eastAsia="en-AU"/>
              </w:rPr>
              <w:t>Students</w:t>
            </w:r>
          </w:p>
        </w:tc>
        <w:tc>
          <w:tcPr>
            <w:tcW w:w="992" w:type="dxa"/>
            <w:tcBorders>
              <w:top w:val="nil"/>
              <w:left w:val="nil"/>
              <w:bottom w:val="nil"/>
              <w:right w:val="nil"/>
            </w:tcBorders>
            <w:shd w:val="clear" w:color="auto" w:fill="auto"/>
            <w:noWrap/>
            <w:vAlign w:val="center"/>
            <w:hideMark/>
          </w:tcPr>
          <w:p w:rsidR="00C53522" w:rsidRPr="00C53522" w:rsidRDefault="00C53522" w:rsidP="00C53522">
            <w:pPr>
              <w:jc w:val="right"/>
              <w:rPr>
                <w:rFonts w:cs="Arial"/>
                <w:color w:val="7F7F7F"/>
                <w:szCs w:val="18"/>
                <w:lang w:eastAsia="en-AU"/>
              </w:rPr>
            </w:pPr>
            <w:r w:rsidRPr="00C53522">
              <w:rPr>
                <w:rFonts w:cs="Arial"/>
                <w:color w:val="7F7F7F"/>
                <w:szCs w:val="18"/>
                <w:lang w:eastAsia="en-AU"/>
              </w:rPr>
              <w:t>34,924</w:t>
            </w:r>
          </w:p>
        </w:tc>
        <w:tc>
          <w:tcPr>
            <w:tcW w:w="992" w:type="dxa"/>
            <w:tcBorders>
              <w:top w:val="nil"/>
              <w:left w:val="nil"/>
              <w:bottom w:val="nil"/>
              <w:right w:val="nil"/>
            </w:tcBorders>
            <w:shd w:val="clear" w:color="auto" w:fill="auto"/>
            <w:noWrap/>
            <w:vAlign w:val="center"/>
            <w:hideMark/>
          </w:tcPr>
          <w:p w:rsidR="00C53522" w:rsidRPr="00C53522" w:rsidRDefault="00C53522" w:rsidP="00C53522">
            <w:pPr>
              <w:jc w:val="right"/>
              <w:rPr>
                <w:rFonts w:cs="Arial"/>
                <w:color w:val="7F7F7F"/>
                <w:szCs w:val="18"/>
                <w:lang w:eastAsia="en-AU"/>
              </w:rPr>
            </w:pPr>
            <w:r w:rsidRPr="00C53522">
              <w:rPr>
                <w:rFonts w:cs="Arial"/>
                <w:color w:val="7F7F7F"/>
                <w:szCs w:val="18"/>
                <w:lang w:eastAsia="en-AU"/>
              </w:rPr>
              <w:t>37,244</w:t>
            </w:r>
          </w:p>
        </w:tc>
        <w:tc>
          <w:tcPr>
            <w:tcW w:w="992" w:type="dxa"/>
            <w:tcBorders>
              <w:top w:val="nil"/>
              <w:left w:val="nil"/>
              <w:bottom w:val="nil"/>
              <w:right w:val="nil"/>
            </w:tcBorders>
            <w:shd w:val="clear" w:color="auto" w:fill="auto"/>
            <w:noWrap/>
            <w:vAlign w:val="center"/>
            <w:hideMark/>
          </w:tcPr>
          <w:p w:rsidR="00C53522" w:rsidRPr="00C53522" w:rsidRDefault="00C53522" w:rsidP="00C53522">
            <w:pPr>
              <w:jc w:val="right"/>
              <w:rPr>
                <w:rFonts w:cs="Arial"/>
                <w:color w:val="7F7F7F"/>
                <w:szCs w:val="18"/>
                <w:lang w:eastAsia="en-AU"/>
              </w:rPr>
            </w:pPr>
            <w:r w:rsidRPr="00C53522">
              <w:rPr>
                <w:rFonts w:cs="Arial"/>
                <w:color w:val="7F7F7F"/>
                <w:szCs w:val="18"/>
                <w:lang w:eastAsia="en-AU"/>
              </w:rPr>
              <w:t>37,618</w:t>
            </w:r>
          </w:p>
        </w:tc>
        <w:tc>
          <w:tcPr>
            <w:tcW w:w="992" w:type="dxa"/>
            <w:tcBorders>
              <w:top w:val="nil"/>
              <w:left w:val="nil"/>
              <w:bottom w:val="nil"/>
              <w:right w:val="nil"/>
            </w:tcBorders>
            <w:shd w:val="clear" w:color="auto" w:fill="auto"/>
            <w:noWrap/>
            <w:vAlign w:val="center"/>
            <w:hideMark/>
          </w:tcPr>
          <w:p w:rsidR="00C53522" w:rsidRPr="00C53522" w:rsidRDefault="00C53522" w:rsidP="00C53522">
            <w:pPr>
              <w:jc w:val="right"/>
              <w:rPr>
                <w:rFonts w:cs="Arial"/>
                <w:color w:val="7F7F7F"/>
                <w:szCs w:val="18"/>
                <w:lang w:eastAsia="en-AU"/>
              </w:rPr>
            </w:pPr>
            <w:r w:rsidRPr="00C53522">
              <w:rPr>
                <w:rFonts w:cs="Arial"/>
                <w:color w:val="7F7F7F"/>
                <w:szCs w:val="18"/>
                <w:lang w:eastAsia="en-AU"/>
              </w:rPr>
              <w:t>34,245</w:t>
            </w:r>
          </w:p>
        </w:tc>
        <w:tc>
          <w:tcPr>
            <w:tcW w:w="992" w:type="dxa"/>
            <w:tcBorders>
              <w:top w:val="nil"/>
              <w:left w:val="nil"/>
              <w:bottom w:val="nil"/>
              <w:right w:val="nil"/>
            </w:tcBorders>
            <w:shd w:val="clear" w:color="auto" w:fill="auto"/>
            <w:noWrap/>
            <w:vAlign w:val="center"/>
            <w:hideMark/>
          </w:tcPr>
          <w:p w:rsidR="00C53522" w:rsidRPr="00C53522" w:rsidRDefault="00C53522" w:rsidP="00C53522">
            <w:pPr>
              <w:jc w:val="right"/>
              <w:rPr>
                <w:rFonts w:cs="Arial"/>
                <w:color w:val="7F7F7F"/>
                <w:szCs w:val="18"/>
                <w:lang w:eastAsia="en-AU"/>
              </w:rPr>
            </w:pPr>
            <w:r w:rsidRPr="00C53522">
              <w:rPr>
                <w:rFonts w:cs="Arial"/>
                <w:color w:val="7F7F7F"/>
                <w:szCs w:val="18"/>
                <w:lang w:eastAsia="en-AU"/>
              </w:rPr>
              <w:t>34,020</w:t>
            </w:r>
          </w:p>
        </w:tc>
        <w:tc>
          <w:tcPr>
            <w:tcW w:w="993" w:type="dxa"/>
            <w:tcBorders>
              <w:top w:val="nil"/>
              <w:left w:val="nil"/>
              <w:bottom w:val="nil"/>
              <w:right w:val="nil"/>
            </w:tcBorders>
            <w:shd w:val="clear" w:color="auto" w:fill="auto"/>
            <w:noWrap/>
            <w:vAlign w:val="center"/>
            <w:hideMark/>
          </w:tcPr>
          <w:p w:rsidR="00C53522" w:rsidRPr="00C53522" w:rsidRDefault="00C53522" w:rsidP="00C53522">
            <w:pPr>
              <w:jc w:val="right"/>
              <w:rPr>
                <w:rFonts w:cs="Arial"/>
                <w:color w:val="7F7F7F"/>
                <w:szCs w:val="18"/>
                <w:lang w:eastAsia="en-AU"/>
              </w:rPr>
            </w:pPr>
            <w:r w:rsidRPr="00C53522">
              <w:rPr>
                <w:rFonts w:cs="Arial"/>
                <w:color w:val="7F7F7F"/>
                <w:szCs w:val="18"/>
                <w:lang w:eastAsia="en-AU"/>
              </w:rPr>
              <w:t>34,591</w:t>
            </w:r>
          </w:p>
        </w:tc>
      </w:tr>
      <w:tr w:rsidR="00C53522" w:rsidRPr="00C53522" w:rsidTr="00C53522">
        <w:trPr>
          <w:trHeight w:val="300"/>
        </w:trPr>
        <w:tc>
          <w:tcPr>
            <w:tcW w:w="2142" w:type="dxa"/>
            <w:tcBorders>
              <w:top w:val="nil"/>
              <w:left w:val="nil"/>
              <w:bottom w:val="single" w:sz="12" w:space="0" w:color="7F7F7F"/>
              <w:right w:val="nil"/>
            </w:tcBorders>
            <w:shd w:val="clear" w:color="auto" w:fill="auto"/>
            <w:noWrap/>
            <w:vAlign w:val="center"/>
            <w:hideMark/>
          </w:tcPr>
          <w:p w:rsidR="00C53522" w:rsidRPr="00C53522" w:rsidRDefault="00C53522" w:rsidP="00C53522">
            <w:pPr>
              <w:rPr>
                <w:rFonts w:cs="Arial"/>
                <w:color w:val="7F7F7F"/>
                <w:szCs w:val="18"/>
                <w:lang w:eastAsia="en-AU"/>
              </w:rPr>
            </w:pPr>
            <w:r w:rsidRPr="00C53522">
              <w:rPr>
                <w:rFonts w:cs="Arial"/>
                <w:color w:val="7F7F7F"/>
                <w:szCs w:val="18"/>
                <w:lang w:eastAsia="en-AU"/>
              </w:rPr>
              <w:t>Course Enrolments</w:t>
            </w:r>
          </w:p>
        </w:tc>
        <w:tc>
          <w:tcPr>
            <w:tcW w:w="992" w:type="dxa"/>
            <w:tcBorders>
              <w:top w:val="nil"/>
              <w:left w:val="nil"/>
              <w:bottom w:val="single" w:sz="12" w:space="0" w:color="7F7F7F"/>
              <w:right w:val="nil"/>
            </w:tcBorders>
            <w:shd w:val="clear" w:color="auto" w:fill="auto"/>
            <w:noWrap/>
            <w:vAlign w:val="center"/>
            <w:hideMark/>
          </w:tcPr>
          <w:p w:rsidR="00C53522" w:rsidRPr="00C53522" w:rsidRDefault="00C53522" w:rsidP="00C53522">
            <w:pPr>
              <w:jc w:val="right"/>
              <w:rPr>
                <w:rFonts w:cs="Arial"/>
                <w:color w:val="7F7F7F"/>
                <w:szCs w:val="18"/>
                <w:lang w:eastAsia="en-AU"/>
              </w:rPr>
            </w:pPr>
            <w:r w:rsidRPr="00C53522">
              <w:rPr>
                <w:rFonts w:cs="Arial"/>
                <w:color w:val="7F7F7F"/>
                <w:szCs w:val="18"/>
                <w:lang w:eastAsia="en-AU"/>
              </w:rPr>
              <w:t>35,138</w:t>
            </w:r>
          </w:p>
        </w:tc>
        <w:tc>
          <w:tcPr>
            <w:tcW w:w="992" w:type="dxa"/>
            <w:tcBorders>
              <w:top w:val="nil"/>
              <w:left w:val="nil"/>
              <w:bottom w:val="single" w:sz="12" w:space="0" w:color="7F7F7F"/>
              <w:right w:val="nil"/>
            </w:tcBorders>
            <w:shd w:val="clear" w:color="auto" w:fill="auto"/>
            <w:noWrap/>
            <w:vAlign w:val="center"/>
            <w:hideMark/>
          </w:tcPr>
          <w:p w:rsidR="00C53522" w:rsidRPr="00C53522" w:rsidRDefault="00C53522" w:rsidP="00C53522">
            <w:pPr>
              <w:jc w:val="right"/>
              <w:rPr>
                <w:rFonts w:cs="Arial"/>
                <w:color w:val="7F7F7F"/>
                <w:szCs w:val="18"/>
                <w:lang w:eastAsia="en-AU"/>
              </w:rPr>
            </w:pPr>
            <w:r w:rsidRPr="00C53522">
              <w:rPr>
                <w:rFonts w:cs="Arial"/>
                <w:color w:val="7F7F7F"/>
                <w:szCs w:val="18"/>
                <w:lang w:eastAsia="en-AU"/>
              </w:rPr>
              <w:t>37,350</w:t>
            </w:r>
          </w:p>
        </w:tc>
        <w:tc>
          <w:tcPr>
            <w:tcW w:w="992" w:type="dxa"/>
            <w:tcBorders>
              <w:top w:val="nil"/>
              <w:left w:val="nil"/>
              <w:bottom w:val="single" w:sz="12" w:space="0" w:color="7F7F7F"/>
              <w:right w:val="nil"/>
            </w:tcBorders>
            <w:shd w:val="clear" w:color="auto" w:fill="auto"/>
            <w:noWrap/>
            <w:vAlign w:val="center"/>
            <w:hideMark/>
          </w:tcPr>
          <w:p w:rsidR="00C53522" w:rsidRPr="00C53522" w:rsidRDefault="00C53522" w:rsidP="00C53522">
            <w:pPr>
              <w:jc w:val="right"/>
              <w:rPr>
                <w:rFonts w:cs="Arial"/>
                <w:color w:val="7F7F7F"/>
                <w:szCs w:val="18"/>
                <w:lang w:eastAsia="en-AU"/>
              </w:rPr>
            </w:pPr>
            <w:r w:rsidRPr="00C53522">
              <w:rPr>
                <w:rFonts w:cs="Arial"/>
                <w:color w:val="7F7F7F"/>
                <w:szCs w:val="18"/>
                <w:lang w:eastAsia="en-AU"/>
              </w:rPr>
              <w:t>37,656</w:t>
            </w:r>
          </w:p>
        </w:tc>
        <w:tc>
          <w:tcPr>
            <w:tcW w:w="992" w:type="dxa"/>
            <w:tcBorders>
              <w:top w:val="nil"/>
              <w:left w:val="nil"/>
              <w:bottom w:val="single" w:sz="12" w:space="0" w:color="7F7F7F"/>
              <w:right w:val="nil"/>
            </w:tcBorders>
            <w:shd w:val="clear" w:color="auto" w:fill="auto"/>
            <w:noWrap/>
            <w:vAlign w:val="center"/>
            <w:hideMark/>
          </w:tcPr>
          <w:p w:rsidR="00C53522" w:rsidRPr="00C53522" w:rsidRDefault="00C53522" w:rsidP="00C53522">
            <w:pPr>
              <w:jc w:val="right"/>
              <w:rPr>
                <w:rFonts w:cs="Arial"/>
                <w:color w:val="7F7F7F"/>
                <w:szCs w:val="18"/>
                <w:lang w:eastAsia="en-AU"/>
              </w:rPr>
            </w:pPr>
            <w:r w:rsidRPr="00C53522">
              <w:rPr>
                <w:rFonts w:cs="Arial"/>
                <w:color w:val="7F7F7F"/>
                <w:szCs w:val="18"/>
                <w:lang w:eastAsia="en-AU"/>
              </w:rPr>
              <w:t>34,379</w:t>
            </w:r>
          </w:p>
        </w:tc>
        <w:tc>
          <w:tcPr>
            <w:tcW w:w="992" w:type="dxa"/>
            <w:tcBorders>
              <w:top w:val="nil"/>
              <w:left w:val="nil"/>
              <w:bottom w:val="single" w:sz="12" w:space="0" w:color="7F7F7F"/>
              <w:right w:val="nil"/>
            </w:tcBorders>
            <w:shd w:val="clear" w:color="auto" w:fill="auto"/>
            <w:noWrap/>
            <w:vAlign w:val="center"/>
            <w:hideMark/>
          </w:tcPr>
          <w:p w:rsidR="00C53522" w:rsidRPr="00C53522" w:rsidRDefault="00C53522" w:rsidP="00C53522">
            <w:pPr>
              <w:jc w:val="right"/>
              <w:rPr>
                <w:rFonts w:cs="Arial"/>
                <w:color w:val="7F7F7F"/>
                <w:szCs w:val="18"/>
                <w:lang w:eastAsia="en-AU"/>
              </w:rPr>
            </w:pPr>
            <w:r w:rsidRPr="00C53522">
              <w:rPr>
                <w:rFonts w:cs="Arial"/>
                <w:color w:val="7F7F7F"/>
                <w:szCs w:val="18"/>
                <w:lang w:eastAsia="en-AU"/>
              </w:rPr>
              <w:t>34,307</w:t>
            </w:r>
          </w:p>
        </w:tc>
        <w:tc>
          <w:tcPr>
            <w:tcW w:w="993" w:type="dxa"/>
            <w:tcBorders>
              <w:top w:val="nil"/>
              <w:left w:val="nil"/>
              <w:bottom w:val="single" w:sz="12" w:space="0" w:color="7F7F7F"/>
              <w:right w:val="nil"/>
            </w:tcBorders>
            <w:shd w:val="clear" w:color="auto" w:fill="auto"/>
            <w:noWrap/>
            <w:vAlign w:val="center"/>
            <w:hideMark/>
          </w:tcPr>
          <w:p w:rsidR="00C53522" w:rsidRPr="00C53522" w:rsidRDefault="00C53522" w:rsidP="00C53522">
            <w:pPr>
              <w:jc w:val="right"/>
              <w:rPr>
                <w:rFonts w:cs="Arial"/>
                <w:color w:val="7F7F7F"/>
                <w:szCs w:val="18"/>
                <w:lang w:eastAsia="en-AU"/>
              </w:rPr>
            </w:pPr>
            <w:r w:rsidRPr="00C53522">
              <w:rPr>
                <w:rFonts w:cs="Arial"/>
                <w:color w:val="7F7F7F"/>
                <w:szCs w:val="18"/>
                <w:lang w:eastAsia="en-AU"/>
              </w:rPr>
              <w:t>35,523</w:t>
            </w:r>
          </w:p>
        </w:tc>
      </w:tr>
    </w:tbl>
    <w:p w:rsidR="00C53522" w:rsidRPr="00C53522" w:rsidRDefault="00C53522" w:rsidP="00AB62FC">
      <w:pPr>
        <w:pStyle w:val="Quote"/>
        <w:rPr>
          <w:b w:val="0"/>
          <w:sz w:val="18"/>
          <w:szCs w:val="18"/>
        </w:rPr>
      </w:pPr>
    </w:p>
    <w:p w:rsidR="00C53522" w:rsidRDefault="00C53522" w:rsidP="00AB62FC">
      <w:pPr>
        <w:pStyle w:val="Quote"/>
        <w:rPr>
          <w:b w:val="0"/>
          <w:sz w:val="18"/>
          <w:szCs w:val="18"/>
        </w:rPr>
      </w:pP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C53522" w:rsidTr="009A29C5">
        <w:tc>
          <w:tcPr>
            <w:tcW w:w="1134" w:type="dxa"/>
            <w:tcMar>
              <w:left w:w="0" w:type="dxa"/>
              <w:right w:w="0" w:type="dxa"/>
            </w:tcMar>
          </w:tcPr>
          <w:p w:rsidR="00C53522" w:rsidRDefault="0005261F" w:rsidP="00C53522">
            <w:pPr>
              <w:pStyle w:val="Quote"/>
              <w:tabs>
                <w:tab w:val="left" w:pos="1134"/>
              </w:tabs>
              <w:rPr>
                <w:b w:val="0"/>
                <w:color w:val="B41F22" w:themeColor="accent1"/>
              </w:rPr>
            </w:pPr>
            <w:r>
              <w:rPr>
                <w:b w:val="0"/>
                <w:color w:val="B41F22" w:themeColor="accent1"/>
              </w:rPr>
              <w:t>Table 3</w:t>
            </w:r>
            <w:r w:rsidR="00C53522">
              <w:rPr>
                <w:b w:val="0"/>
                <w:color w:val="B41F22" w:themeColor="accent1"/>
              </w:rPr>
              <w:t>.2.2:</w:t>
            </w:r>
          </w:p>
        </w:tc>
        <w:tc>
          <w:tcPr>
            <w:tcW w:w="6946" w:type="dxa"/>
            <w:tcMar>
              <w:left w:w="0" w:type="dxa"/>
              <w:right w:w="0" w:type="dxa"/>
            </w:tcMar>
          </w:tcPr>
          <w:p w:rsidR="00C53522" w:rsidRDefault="00C53522" w:rsidP="009A29C5">
            <w:pPr>
              <w:pStyle w:val="Quote"/>
              <w:tabs>
                <w:tab w:val="left" w:pos="1134"/>
              </w:tabs>
              <w:rPr>
                <w:b w:val="0"/>
                <w:color w:val="B41F22" w:themeColor="accent1"/>
              </w:rPr>
            </w:pPr>
            <w:r w:rsidRPr="00C53522">
              <w:rPr>
                <w:b w:val="0"/>
                <w:color w:val="B41F22" w:themeColor="accent1"/>
              </w:rPr>
              <w:t>Change in number of students and enrolments in government subsidised apprentice courses (half year)</w:t>
            </w:r>
          </w:p>
        </w:tc>
      </w:tr>
    </w:tbl>
    <w:tbl>
      <w:tblPr>
        <w:tblW w:w="8095" w:type="dxa"/>
        <w:tblInd w:w="93" w:type="dxa"/>
        <w:tblLayout w:type="fixed"/>
        <w:tblLook w:val="04A0" w:firstRow="1" w:lastRow="0" w:firstColumn="1" w:lastColumn="0" w:noHBand="0" w:noVBand="1"/>
      </w:tblPr>
      <w:tblGrid>
        <w:gridCol w:w="2283"/>
        <w:gridCol w:w="1162"/>
        <w:gridCol w:w="1162"/>
        <w:gridCol w:w="1163"/>
        <w:gridCol w:w="1162"/>
        <w:gridCol w:w="1163"/>
      </w:tblGrid>
      <w:tr w:rsidR="00C53522" w:rsidRPr="00C53522" w:rsidTr="00C53522">
        <w:trPr>
          <w:trHeight w:val="720"/>
        </w:trPr>
        <w:tc>
          <w:tcPr>
            <w:tcW w:w="2283" w:type="dxa"/>
            <w:tcBorders>
              <w:top w:val="nil"/>
              <w:left w:val="nil"/>
              <w:bottom w:val="nil"/>
              <w:right w:val="nil"/>
            </w:tcBorders>
            <w:shd w:val="clear" w:color="000000" w:fill="7F7F7F"/>
            <w:noWrap/>
            <w:vAlign w:val="center"/>
            <w:hideMark/>
          </w:tcPr>
          <w:p w:rsidR="00C53522" w:rsidRPr="00C53522" w:rsidRDefault="00C53522" w:rsidP="00C53522">
            <w:pPr>
              <w:rPr>
                <w:rFonts w:cs="Arial"/>
                <w:color w:val="FFFFFF"/>
                <w:szCs w:val="18"/>
                <w:lang w:eastAsia="en-AU"/>
              </w:rPr>
            </w:pPr>
            <w:r w:rsidRPr="00C53522">
              <w:rPr>
                <w:rFonts w:cs="Arial"/>
                <w:color w:val="FFFFFF"/>
                <w:szCs w:val="18"/>
                <w:lang w:eastAsia="en-AU"/>
              </w:rPr>
              <w:t> </w:t>
            </w:r>
          </w:p>
        </w:tc>
        <w:tc>
          <w:tcPr>
            <w:tcW w:w="1162" w:type="dxa"/>
            <w:tcBorders>
              <w:top w:val="nil"/>
              <w:left w:val="nil"/>
              <w:bottom w:val="nil"/>
              <w:right w:val="nil"/>
            </w:tcBorders>
            <w:shd w:val="clear" w:color="000000" w:fill="7F7F7F"/>
            <w:vAlign w:val="center"/>
            <w:hideMark/>
          </w:tcPr>
          <w:p w:rsidR="00C53522" w:rsidRPr="00C53522" w:rsidRDefault="00C53522" w:rsidP="00C53522">
            <w:pPr>
              <w:jc w:val="right"/>
              <w:rPr>
                <w:rFonts w:cs="Arial"/>
                <w:b/>
                <w:bCs/>
                <w:color w:val="FFFFFF"/>
                <w:szCs w:val="18"/>
                <w:lang w:eastAsia="en-AU"/>
              </w:rPr>
            </w:pPr>
            <w:r w:rsidRPr="00C53522">
              <w:rPr>
                <w:rFonts w:cs="Arial"/>
                <w:b/>
                <w:bCs/>
                <w:color w:val="FFFFFF"/>
                <w:szCs w:val="18"/>
                <w:lang w:eastAsia="en-AU"/>
              </w:rPr>
              <w:t>% change 2010 to 2015</w:t>
            </w:r>
          </w:p>
        </w:tc>
        <w:tc>
          <w:tcPr>
            <w:tcW w:w="1162" w:type="dxa"/>
            <w:tcBorders>
              <w:top w:val="nil"/>
              <w:left w:val="nil"/>
              <w:bottom w:val="nil"/>
              <w:right w:val="nil"/>
            </w:tcBorders>
            <w:shd w:val="clear" w:color="000000" w:fill="7F7F7F"/>
            <w:vAlign w:val="center"/>
            <w:hideMark/>
          </w:tcPr>
          <w:p w:rsidR="00C53522" w:rsidRPr="00C53522" w:rsidRDefault="00C53522" w:rsidP="00C53522">
            <w:pPr>
              <w:jc w:val="right"/>
              <w:rPr>
                <w:rFonts w:cs="Arial"/>
                <w:b/>
                <w:bCs/>
                <w:color w:val="FFFFFF"/>
                <w:szCs w:val="18"/>
                <w:lang w:eastAsia="en-AU"/>
              </w:rPr>
            </w:pPr>
            <w:r w:rsidRPr="00C53522">
              <w:rPr>
                <w:rFonts w:cs="Arial"/>
                <w:b/>
                <w:bCs/>
                <w:color w:val="FFFFFF"/>
                <w:szCs w:val="18"/>
                <w:lang w:eastAsia="en-AU"/>
              </w:rPr>
              <w:t>% change 2011 to 2015</w:t>
            </w:r>
          </w:p>
        </w:tc>
        <w:tc>
          <w:tcPr>
            <w:tcW w:w="1163" w:type="dxa"/>
            <w:tcBorders>
              <w:top w:val="nil"/>
              <w:left w:val="nil"/>
              <w:bottom w:val="nil"/>
              <w:right w:val="nil"/>
            </w:tcBorders>
            <w:shd w:val="clear" w:color="000000" w:fill="7F7F7F"/>
            <w:vAlign w:val="center"/>
            <w:hideMark/>
          </w:tcPr>
          <w:p w:rsidR="00C53522" w:rsidRPr="00C53522" w:rsidRDefault="00C53522" w:rsidP="00C53522">
            <w:pPr>
              <w:jc w:val="right"/>
              <w:rPr>
                <w:rFonts w:cs="Arial"/>
                <w:b/>
                <w:bCs/>
                <w:color w:val="FFFFFF"/>
                <w:szCs w:val="18"/>
                <w:lang w:eastAsia="en-AU"/>
              </w:rPr>
            </w:pPr>
            <w:r w:rsidRPr="00C53522">
              <w:rPr>
                <w:rFonts w:cs="Arial"/>
                <w:b/>
                <w:bCs/>
                <w:color w:val="FFFFFF"/>
                <w:szCs w:val="18"/>
                <w:lang w:eastAsia="en-AU"/>
              </w:rPr>
              <w:t>% change 2012 to 2015</w:t>
            </w:r>
          </w:p>
        </w:tc>
        <w:tc>
          <w:tcPr>
            <w:tcW w:w="1162" w:type="dxa"/>
            <w:tcBorders>
              <w:top w:val="nil"/>
              <w:left w:val="nil"/>
              <w:bottom w:val="nil"/>
              <w:right w:val="nil"/>
            </w:tcBorders>
            <w:shd w:val="clear" w:color="000000" w:fill="7F7F7F"/>
            <w:vAlign w:val="center"/>
            <w:hideMark/>
          </w:tcPr>
          <w:p w:rsidR="00C53522" w:rsidRPr="00C53522" w:rsidRDefault="00C53522" w:rsidP="00C53522">
            <w:pPr>
              <w:jc w:val="right"/>
              <w:rPr>
                <w:rFonts w:cs="Arial"/>
                <w:b/>
                <w:bCs/>
                <w:color w:val="FFFFFF"/>
                <w:szCs w:val="18"/>
                <w:lang w:eastAsia="en-AU"/>
              </w:rPr>
            </w:pPr>
            <w:r w:rsidRPr="00C53522">
              <w:rPr>
                <w:rFonts w:cs="Arial"/>
                <w:b/>
                <w:bCs/>
                <w:color w:val="FFFFFF"/>
                <w:szCs w:val="18"/>
                <w:lang w:eastAsia="en-AU"/>
              </w:rPr>
              <w:t>% change 2013 to 2015</w:t>
            </w:r>
          </w:p>
        </w:tc>
        <w:tc>
          <w:tcPr>
            <w:tcW w:w="1163" w:type="dxa"/>
            <w:tcBorders>
              <w:top w:val="nil"/>
              <w:left w:val="nil"/>
              <w:bottom w:val="nil"/>
              <w:right w:val="nil"/>
            </w:tcBorders>
            <w:shd w:val="clear" w:color="000000" w:fill="7F7F7F"/>
            <w:vAlign w:val="center"/>
            <w:hideMark/>
          </w:tcPr>
          <w:p w:rsidR="00C53522" w:rsidRPr="00C53522" w:rsidRDefault="00C53522" w:rsidP="00C53522">
            <w:pPr>
              <w:jc w:val="right"/>
              <w:rPr>
                <w:rFonts w:cs="Arial"/>
                <w:b/>
                <w:bCs/>
                <w:color w:val="FFFFFF"/>
                <w:szCs w:val="18"/>
                <w:lang w:eastAsia="en-AU"/>
              </w:rPr>
            </w:pPr>
            <w:r w:rsidRPr="00C53522">
              <w:rPr>
                <w:rFonts w:cs="Arial"/>
                <w:b/>
                <w:bCs/>
                <w:color w:val="FFFFFF"/>
                <w:szCs w:val="18"/>
                <w:lang w:eastAsia="en-AU"/>
              </w:rPr>
              <w:t>% change 2014 to 2015</w:t>
            </w:r>
          </w:p>
        </w:tc>
      </w:tr>
      <w:tr w:rsidR="00C53522" w:rsidRPr="00C53522" w:rsidTr="00C53522">
        <w:trPr>
          <w:trHeight w:val="300"/>
        </w:trPr>
        <w:tc>
          <w:tcPr>
            <w:tcW w:w="2283" w:type="dxa"/>
            <w:tcBorders>
              <w:top w:val="nil"/>
              <w:left w:val="nil"/>
              <w:bottom w:val="nil"/>
              <w:right w:val="nil"/>
            </w:tcBorders>
            <w:shd w:val="clear" w:color="auto" w:fill="auto"/>
            <w:vAlign w:val="center"/>
            <w:hideMark/>
          </w:tcPr>
          <w:p w:rsidR="00C53522" w:rsidRPr="00C53522" w:rsidRDefault="00C53522" w:rsidP="00C53522">
            <w:pPr>
              <w:rPr>
                <w:rFonts w:cs="Arial"/>
                <w:color w:val="7F7F7F"/>
                <w:szCs w:val="18"/>
                <w:lang w:eastAsia="en-AU"/>
              </w:rPr>
            </w:pPr>
            <w:r>
              <w:rPr>
                <w:rFonts w:cs="Arial"/>
                <w:color w:val="7F7F7F"/>
                <w:szCs w:val="18"/>
                <w:lang w:eastAsia="en-AU"/>
              </w:rPr>
              <w:t>Students</w:t>
            </w:r>
          </w:p>
        </w:tc>
        <w:tc>
          <w:tcPr>
            <w:tcW w:w="1162" w:type="dxa"/>
            <w:tcBorders>
              <w:top w:val="nil"/>
              <w:left w:val="nil"/>
              <w:bottom w:val="nil"/>
              <w:right w:val="nil"/>
            </w:tcBorders>
            <w:shd w:val="clear" w:color="auto" w:fill="auto"/>
            <w:noWrap/>
            <w:vAlign w:val="center"/>
            <w:hideMark/>
          </w:tcPr>
          <w:p w:rsidR="00C53522" w:rsidRPr="00C53522" w:rsidRDefault="00C53522" w:rsidP="00C53522">
            <w:pPr>
              <w:jc w:val="right"/>
              <w:rPr>
                <w:rFonts w:cs="Arial"/>
                <w:color w:val="7F7F7F"/>
                <w:szCs w:val="18"/>
                <w:lang w:eastAsia="en-AU"/>
              </w:rPr>
            </w:pPr>
            <w:r w:rsidRPr="00C53522">
              <w:rPr>
                <w:rFonts w:cs="Arial"/>
                <w:color w:val="7F7F7F"/>
                <w:szCs w:val="18"/>
                <w:lang w:eastAsia="en-AU"/>
              </w:rPr>
              <w:t>-1%</w:t>
            </w:r>
          </w:p>
        </w:tc>
        <w:tc>
          <w:tcPr>
            <w:tcW w:w="1162" w:type="dxa"/>
            <w:tcBorders>
              <w:top w:val="nil"/>
              <w:left w:val="nil"/>
              <w:bottom w:val="nil"/>
              <w:right w:val="nil"/>
            </w:tcBorders>
            <w:shd w:val="clear" w:color="auto" w:fill="auto"/>
            <w:noWrap/>
            <w:vAlign w:val="center"/>
            <w:hideMark/>
          </w:tcPr>
          <w:p w:rsidR="00C53522" w:rsidRPr="00C53522" w:rsidRDefault="00C53522" w:rsidP="00C53522">
            <w:pPr>
              <w:jc w:val="right"/>
              <w:rPr>
                <w:rFonts w:cs="Arial"/>
                <w:color w:val="7F7F7F"/>
                <w:szCs w:val="18"/>
                <w:lang w:eastAsia="en-AU"/>
              </w:rPr>
            </w:pPr>
            <w:r w:rsidRPr="00C53522">
              <w:rPr>
                <w:rFonts w:cs="Arial"/>
                <w:color w:val="7F7F7F"/>
                <w:szCs w:val="18"/>
                <w:lang w:eastAsia="en-AU"/>
              </w:rPr>
              <w:t>-7%</w:t>
            </w:r>
          </w:p>
        </w:tc>
        <w:tc>
          <w:tcPr>
            <w:tcW w:w="1163" w:type="dxa"/>
            <w:tcBorders>
              <w:top w:val="nil"/>
              <w:left w:val="nil"/>
              <w:bottom w:val="nil"/>
              <w:right w:val="nil"/>
            </w:tcBorders>
            <w:shd w:val="clear" w:color="auto" w:fill="auto"/>
            <w:noWrap/>
            <w:vAlign w:val="center"/>
            <w:hideMark/>
          </w:tcPr>
          <w:p w:rsidR="00C53522" w:rsidRPr="00C53522" w:rsidRDefault="00C53522" w:rsidP="00C53522">
            <w:pPr>
              <w:jc w:val="right"/>
              <w:rPr>
                <w:rFonts w:cs="Arial"/>
                <w:color w:val="7F7F7F"/>
                <w:szCs w:val="18"/>
                <w:lang w:eastAsia="en-AU"/>
              </w:rPr>
            </w:pPr>
            <w:r w:rsidRPr="00C53522">
              <w:rPr>
                <w:rFonts w:cs="Arial"/>
                <w:color w:val="7F7F7F"/>
                <w:szCs w:val="18"/>
                <w:lang w:eastAsia="en-AU"/>
              </w:rPr>
              <w:t>-8%</w:t>
            </w:r>
          </w:p>
        </w:tc>
        <w:tc>
          <w:tcPr>
            <w:tcW w:w="1162" w:type="dxa"/>
            <w:tcBorders>
              <w:top w:val="nil"/>
              <w:left w:val="nil"/>
              <w:bottom w:val="nil"/>
              <w:right w:val="nil"/>
            </w:tcBorders>
            <w:shd w:val="clear" w:color="auto" w:fill="auto"/>
            <w:noWrap/>
            <w:vAlign w:val="center"/>
            <w:hideMark/>
          </w:tcPr>
          <w:p w:rsidR="00C53522" w:rsidRPr="00C53522" w:rsidRDefault="00C53522" w:rsidP="00C53522">
            <w:pPr>
              <w:jc w:val="right"/>
              <w:rPr>
                <w:rFonts w:cs="Arial"/>
                <w:color w:val="7F7F7F"/>
                <w:szCs w:val="18"/>
                <w:lang w:eastAsia="en-AU"/>
              </w:rPr>
            </w:pPr>
            <w:r w:rsidRPr="00C53522">
              <w:rPr>
                <w:rFonts w:cs="Arial"/>
                <w:color w:val="7F7F7F"/>
                <w:szCs w:val="18"/>
                <w:lang w:eastAsia="en-AU"/>
              </w:rPr>
              <w:t>1%</w:t>
            </w:r>
          </w:p>
        </w:tc>
        <w:tc>
          <w:tcPr>
            <w:tcW w:w="1163" w:type="dxa"/>
            <w:tcBorders>
              <w:top w:val="nil"/>
              <w:left w:val="nil"/>
              <w:bottom w:val="nil"/>
              <w:right w:val="nil"/>
            </w:tcBorders>
            <w:shd w:val="clear" w:color="auto" w:fill="auto"/>
            <w:noWrap/>
            <w:vAlign w:val="center"/>
            <w:hideMark/>
          </w:tcPr>
          <w:p w:rsidR="00C53522" w:rsidRPr="00C53522" w:rsidRDefault="00C53522" w:rsidP="00C53522">
            <w:pPr>
              <w:jc w:val="right"/>
              <w:rPr>
                <w:rFonts w:cs="Arial"/>
                <w:color w:val="7F7F7F"/>
                <w:szCs w:val="18"/>
                <w:lang w:eastAsia="en-AU"/>
              </w:rPr>
            </w:pPr>
            <w:r w:rsidRPr="00C53522">
              <w:rPr>
                <w:rFonts w:cs="Arial"/>
                <w:color w:val="7F7F7F"/>
                <w:szCs w:val="18"/>
                <w:lang w:eastAsia="en-AU"/>
              </w:rPr>
              <w:t>2%</w:t>
            </w:r>
          </w:p>
        </w:tc>
      </w:tr>
      <w:tr w:rsidR="00C53522" w:rsidRPr="00C53522" w:rsidTr="00C53522">
        <w:trPr>
          <w:trHeight w:val="300"/>
        </w:trPr>
        <w:tc>
          <w:tcPr>
            <w:tcW w:w="2283" w:type="dxa"/>
            <w:tcBorders>
              <w:top w:val="nil"/>
              <w:left w:val="nil"/>
              <w:bottom w:val="single" w:sz="12" w:space="0" w:color="7F7F7F"/>
              <w:right w:val="nil"/>
            </w:tcBorders>
            <w:shd w:val="clear" w:color="auto" w:fill="auto"/>
            <w:noWrap/>
            <w:vAlign w:val="center"/>
            <w:hideMark/>
          </w:tcPr>
          <w:p w:rsidR="00C53522" w:rsidRPr="00C53522" w:rsidRDefault="00C53522" w:rsidP="00C53522">
            <w:pPr>
              <w:rPr>
                <w:rFonts w:cs="Arial"/>
                <w:color w:val="7F7F7F"/>
                <w:szCs w:val="18"/>
                <w:lang w:eastAsia="en-AU"/>
              </w:rPr>
            </w:pPr>
            <w:r>
              <w:rPr>
                <w:rFonts w:cs="Arial"/>
                <w:color w:val="7F7F7F"/>
                <w:szCs w:val="18"/>
                <w:lang w:eastAsia="en-AU"/>
              </w:rPr>
              <w:t>Course E</w:t>
            </w:r>
            <w:r w:rsidRPr="00C53522">
              <w:rPr>
                <w:rFonts w:cs="Arial"/>
                <w:color w:val="7F7F7F"/>
                <w:szCs w:val="18"/>
                <w:lang w:eastAsia="en-AU"/>
              </w:rPr>
              <w:t>nrolments</w:t>
            </w:r>
          </w:p>
        </w:tc>
        <w:tc>
          <w:tcPr>
            <w:tcW w:w="1162" w:type="dxa"/>
            <w:tcBorders>
              <w:top w:val="nil"/>
              <w:left w:val="nil"/>
              <w:bottom w:val="single" w:sz="12" w:space="0" w:color="7F7F7F"/>
              <w:right w:val="nil"/>
            </w:tcBorders>
            <w:shd w:val="clear" w:color="auto" w:fill="auto"/>
            <w:noWrap/>
            <w:vAlign w:val="center"/>
            <w:hideMark/>
          </w:tcPr>
          <w:p w:rsidR="00C53522" w:rsidRPr="00C53522" w:rsidRDefault="00C53522" w:rsidP="00C53522">
            <w:pPr>
              <w:jc w:val="right"/>
              <w:rPr>
                <w:rFonts w:cs="Arial"/>
                <w:color w:val="7F7F7F"/>
                <w:szCs w:val="18"/>
                <w:lang w:eastAsia="en-AU"/>
              </w:rPr>
            </w:pPr>
            <w:r w:rsidRPr="00C53522">
              <w:rPr>
                <w:rFonts w:cs="Arial"/>
                <w:color w:val="7F7F7F"/>
                <w:szCs w:val="18"/>
                <w:lang w:eastAsia="en-AU"/>
              </w:rPr>
              <w:t>1%</w:t>
            </w:r>
          </w:p>
        </w:tc>
        <w:tc>
          <w:tcPr>
            <w:tcW w:w="1162" w:type="dxa"/>
            <w:tcBorders>
              <w:top w:val="nil"/>
              <w:left w:val="nil"/>
              <w:bottom w:val="single" w:sz="12" w:space="0" w:color="7F7F7F"/>
              <w:right w:val="nil"/>
            </w:tcBorders>
            <w:shd w:val="clear" w:color="auto" w:fill="auto"/>
            <w:noWrap/>
            <w:vAlign w:val="center"/>
            <w:hideMark/>
          </w:tcPr>
          <w:p w:rsidR="00C53522" w:rsidRPr="00C53522" w:rsidRDefault="00C53522" w:rsidP="00C53522">
            <w:pPr>
              <w:jc w:val="right"/>
              <w:rPr>
                <w:rFonts w:cs="Arial"/>
                <w:color w:val="7F7F7F"/>
                <w:szCs w:val="18"/>
                <w:lang w:eastAsia="en-AU"/>
              </w:rPr>
            </w:pPr>
            <w:r w:rsidRPr="00C53522">
              <w:rPr>
                <w:rFonts w:cs="Arial"/>
                <w:color w:val="7F7F7F"/>
                <w:szCs w:val="18"/>
                <w:lang w:eastAsia="en-AU"/>
              </w:rPr>
              <w:t>-5%</w:t>
            </w:r>
          </w:p>
        </w:tc>
        <w:tc>
          <w:tcPr>
            <w:tcW w:w="1163" w:type="dxa"/>
            <w:tcBorders>
              <w:top w:val="nil"/>
              <w:left w:val="nil"/>
              <w:bottom w:val="single" w:sz="12" w:space="0" w:color="7F7F7F"/>
              <w:right w:val="nil"/>
            </w:tcBorders>
            <w:shd w:val="clear" w:color="auto" w:fill="auto"/>
            <w:noWrap/>
            <w:vAlign w:val="center"/>
            <w:hideMark/>
          </w:tcPr>
          <w:p w:rsidR="00C53522" w:rsidRPr="00C53522" w:rsidRDefault="00C53522" w:rsidP="00C53522">
            <w:pPr>
              <w:jc w:val="right"/>
              <w:rPr>
                <w:rFonts w:cs="Arial"/>
                <w:color w:val="7F7F7F"/>
                <w:szCs w:val="18"/>
                <w:lang w:eastAsia="en-AU"/>
              </w:rPr>
            </w:pPr>
            <w:r w:rsidRPr="00C53522">
              <w:rPr>
                <w:rFonts w:cs="Arial"/>
                <w:color w:val="7F7F7F"/>
                <w:szCs w:val="18"/>
                <w:lang w:eastAsia="en-AU"/>
              </w:rPr>
              <w:t>-6%</w:t>
            </w:r>
          </w:p>
        </w:tc>
        <w:tc>
          <w:tcPr>
            <w:tcW w:w="1162" w:type="dxa"/>
            <w:tcBorders>
              <w:top w:val="nil"/>
              <w:left w:val="nil"/>
              <w:bottom w:val="single" w:sz="12" w:space="0" w:color="7F7F7F"/>
              <w:right w:val="nil"/>
            </w:tcBorders>
            <w:shd w:val="clear" w:color="auto" w:fill="auto"/>
            <w:noWrap/>
            <w:vAlign w:val="center"/>
            <w:hideMark/>
          </w:tcPr>
          <w:p w:rsidR="00C53522" w:rsidRPr="00C53522" w:rsidRDefault="00C53522" w:rsidP="00C53522">
            <w:pPr>
              <w:jc w:val="right"/>
              <w:rPr>
                <w:rFonts w:cs="Arial"/>
                <w:color w:val="7F7F7F"/>
                <w:szCs w:val="18"/>
                <w:lang w:eastAsia="en-AU"/>
              </w:rPr>
            </w:pPr>
            <w:r w:rsidRPr="00C53522">
              <w:rPr>
                <w:rFonts w:cs="Arial"/>
                <w:color w:val="7F7F7F"/>
                <w:szCs w:val="18"/>
                <w:lang w:eastAsia="en-AU"/>
              </w:rPr>
              <w:t>3%</w:t>
            </w:r>
          </w:p>
        </w:tc>
        <w:tc>
          <w:tcPr>
            <w:tcW w:w="1163" w:type="dxa"/>
            <w:tcBorders>
              <w:top w:val="nil"/>
              <w:left w:val="nil"/>
              <w:bottom w:val="single" w:sz="12" w:space="0" w:color="7F7F7F"/>
              <w:right w:val="nil"/>
            </w:tcBorders>
            <w:shd w:val="clear" w:color="auto" w:fill="auto"/>
            <w:noWrap/>
            <w:vAlign w:val="center"/>
            <w:hideMark/>
          </w:tcPr>
          <w:p w:rsidR="00C53522" w:rsidRPr="00C53522" w:rsidRDefault="00C53522" w:rsidP="00C53522">
            <w:pPr>
              <w:jc w:val="right"/>
              <w:rPr>
                <w:rFonts w:cs="Arial"/>
                <w:color w:val="7F7F7F"/>
                <w:szCs w:val="18"/>
                <w:lang w:eastAsia="en-AU"/>
              </w:rPr>
            </w:pPr>
            <w:r w:rsidRPr="00C53522">
              <w:rPr>
                <w:rFonts w:cs="Arial"/>
                <w:color w:val="7F7F7F"/>
                <w:szCs w:val="18"/>
                <w:lang w:eastAsia="en-AU"/>
              </w:rPr>
              <w:t>4%</w:t>
            </w:r>
          </w:p>
        </w:tc>
      </w:tr>
    </w:tbl>
    <w:p w:rsidR="00C53522" w:rsidRDefault="00C53522" w:rsidP="00AB62FC">
      <w:pPr>
        <w:pStyle w:val="Quote"/>
        <w:rPr>
          <w:b w:val="0"/>
          <w:sz w:val="18"/>
          <w:szCs w:val="18"/>
        </w:rPr>
      </w:pPr>
    </w:p>
    <w:p w:rsidR="00C53522" w:rsidRDefault="00C53522" w:rsidP="00AB62FC">
      <w:pPr>
        <w:pStyle w:val="Quote"/>
        <w:rPr>
          <w:b w:val="0"/>
          <w:sz w:val="18"/>
          <w:szCs w:val="18"/>
        </w:rPr>
      </w:pP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335F98" w:rsidTr="009A29C5">
        <w:tc>
          <w:tcPr>
            <w:tcW w:w="1134" w:type="dxa"/>
            <w:tcMar>
              <w:left w:w="0" w:type="dxa"/>
              <w:right w:w="0" w:type="dxa"/>
            </w:tcMar>
          </w:tcPr>
          <w:p w:rsidR="00335F98" w:rsidRDefault="00335F98" w:rsidP="00335F98">
            <w:pPr>
              <w:pStyle w:val="Quote"/>
              <w:tabs>
                <w:tab w:val="left" w:pos="1134"/>
              </w:tabs>
              <w:rPr>
                <w:b w:val="0"/>
                <w:color w:val="B41F22" w:themeColor="accent1"/>
              </w:rPr>
            </w:pPr>
            <w:r>
              <w:rPr>
                <w:b w:val="0"/>
                <w:color w:val="B41F22" w:themeColor="accent1"/>
              </w:rPr>
              <w:t>Ta</w:t>
            </w:r>
            <w:r w:rsidR="0005261F">
              <w:rPr>
                <w:b w:val="0"/>
                <w:color w:val="B41F22" w:themeColor="accent1"/>
              </w:rPr>
              <w:t>ble 3</w:t>
            </w:r>
            <w:r>
              <w:rPr>
                <w:b w:val="0"/>
                <w:color w:val="B41F22" w:themeColor="accent1"/>
              </w:rPr>
              <w:t>.3.1:</w:t>
            </w:r>
          </w:p>
        </w:tc>
        <w:tc>
          <w:tcPr>
            <w:tcW w:w="6946" w:type="dxa"/>
            <w:tcMar>
              <w:left w:w="0" w:type="dxa"/>
              <w:right w:w="0" w:type="dxa"/>
            </w:tcMar>
          </w:tcPr>
          <w:p w:rsidR="00335F98" w:rsidRDefault="00335F98" w:rsidP="009A29C5">
            <w:pPr>
              <w:pStyle w:val="Quote"/>
              <w:tabs>
                <w:tab w:val="left" w:pos="1134"/>
              </w:tabs>
              <w:rPr>
                <w:b w:val="0"/>
                <w:color w:val="B41F22" w:themeColor="accent1"/>
              </w:rPr>
            </w:pPr>
            <w:r w:rsidRPr="00335F98">
              <w:rPr>
                <w:b w:val="0"/>
                <w:color w:val="B41F22" w:themeColor="accent1"/>
              </w:rPr>
              <w:t>Government subsidised apprentice course enrolments by age group, 2010 to 2015 (half year)</w:t>
            </w:r>
          </w:p>
        </w:tc>
      </w:tr>
    </w:tbl>
    <w:tbl>
      <w:tblPr>
        <w:tblW w:w="8095" w:type="dxa"/>
        <w:tblInd w:w="93" w:type="dxa"/>
        <w:tblLayout w:type="fixed"/>
        <w:tblLook w:val="04A0" w:firstRow="1" w:lastRow="0" w:firstColumn="1" w:lastColumn="0" w:noHBand="0" w:noVBand="1"/>
      </w:tblPr>
      <w:tblGrid>
        <w:gridCol w:w="2000"/>
        <w:gridCol w:w="1134"/>
        <w:gridCol w:w="992"/>
        <w:gridCol w:w="992"/>
        <w:gridCol w:w="993"/>
        <w:gridCol w:w="992"/>
        <w:gridCol w:w="992"/>
      </w:tblGrid>
      <w:tr w:rsidR="00335F98" w:rsidRPr="00335F98" w:rsidTr="00335F98">
        <w:trPr>
          <w:trHeight w:val="300"/>
        </w:trPr>
        <w:tc>
          <w:tcPr>
            <w:tcW w:w="2000" w:type="dxa"/>
            <w:tcBorders>
              <w:top w:val="nil"/>
              <w:left w:val="nil"/>
              <w:bottom w:val="nil"/>
              <w:right w:val="nil"/>
            </w:tcBorders>
            <w:shd w:val="clear" w:color="000000" w:fill="7F7F7F"/>
            <w:noWrap/>
            <w:vAlign w:val="center"/>
            <w:hideMark/>
          </w:tcPr>
          <w:p w:rsidR="00335F98" w:rsidRPr="00335F98" w:rsidRDefault="00335F98" w:rsidP="00335F98">
            <w:pPr>
              <w:rPr>
                <w:rFonts w:cs="Arial"/>
                <w:color w:val="FFFFFF"/>
                <w:szCs w:val="18"/>
                <w:lang w:eastAsia="en-AU"/>
              </w:rPr>
            </w:pPr>
            <w:r w:rsidRPr="00335F98">
              <w:rPr>
                <w:rFonts w:cs="Arial"/>
                <w:color w:val="FFFFFF"/>
                <w:szCs w:val="18"/>
                <w:lang w:eastAsia="en-AU"/>
              </w:rPr>
              <w:t> </w:t>
            </w:r>
          </w:p>
        </w:tc>
        <w:tc>
          <w:tcPr>
            <w:tcW w:w="1134" w:type="dxa"/>
            <w:tcBorders>
              <w:top w:val="nil"/>
              <w:left w:val="nil"/>
              <w:bottom w:val="nil"/>
              <w:right w:val="nil"/>
            </w:tcBorders>
            <w:shd w:val="clear" w:color="000000" w:fill="7F7F7F"/>
            <w:noWrap/>
            <w:vAlign w:val="center"/>
            <w:hideMark/>
          </w:tcPr>
          <w:p w:rsidR="00335F98" w:rsidRPr="00335F98" w:rsidRDefault="00335F98" w:rsidP="00335F98">
            <w:pPr>
              <w:jc w:val="right"/>
              <w:rPr>
                <w:rFonts w:cs="Arial"/>
                <w:b/>
                <w:bCs/>
                <w:color w:val="FFFFFF"/>
                <w:szCs w:val="18"/>
                <w:lang w:eastAsia="en-AU"/>
              </w:rPr>
            </w:pPr>
            <w:r w:rsidRPr="00335F98">
              <w:rPr>
                <w:rFonts w:cs="Arial"/>
                <w:b/>
                <w:bCs/>
                <w:color w:val="FFFFFF"/>
                <w:szCs w:val="18"/>
                <w:lang w:eastAsia="en-AU"/>
              </w:rPr>
              <w:t>2010</w:t>
            </w:r>
          </w:p>
        </w:tc>
        <w:tc>
          <w:tcPr>
            <w:tcW w:w="992" w:type="dxa"/>
            <w:tcBorders>
              <w:top w:val="nil"/>
              <w:left w:val="nil"/>
              <w:bottom w:val="nil"/>
              <w:right w:val="nil"/>
            </w:tcBorders>
            <w:shd w:val="clear" w:color="000000" w:fill="7F7F7F"/>
            <w:noWrap/>
            <w:vAlign w:val="center"/>
            <w:hideMark/>
          </w:tcPr>
          <w:p w:rsidR="00335F98" w:rsidRPr="00335F98" w:rsidRDefault="00335F98" w:rsidP="00335F98">
            <w:pPr>
              <w:jc w:val="right"/>
              <w:rPr>
                <w:rFonts w:cs="Arial"/>
                <w:b/>
                <w:bCs/>
                <w:color w:val="FFFFFF"/>
                <w:szCs w:val="18"/>
                <w:lang w:eastAsia="en-AU"/>
              </w:rPr>
            </w:pPr>
            <w:r w:rsidRPr="00335F98">
              <w:rPr>
                <w:rFonts w:cs="Arial"/>
                <w:b/>
                <w:bCs/>
                <w:color w:val="FFFFFF"/>
                <w:szCs w:val="18"/>
                <w:lang w:eastAsia="en-AU"/>
              </w:rPr>
              <w:t>2011</w:t>
            </w:r>
          </w:p>
        </w:tc>
        <w:tc>
          <w:tcPr>
            <w:tcW w:w="992" w:type="dxa"/>
            <w:tcBorders>
              <w:top w:val="nil"/>
              <w:left w:val="nil"/>
              <w:bottom w:val="nil"/>
              <w:right w:val="nil"/>
            </w:tcBorders>
            <w:shd w:val="clear" w:color="000000" w:fill="7F7F7F"/>
            <w:noWrap/>
            <w:vAlign w:val="center"/>
            <w:hideMark/>
          </w:tcPr>
          <w:p w:rsidR="00335F98" w:rsidRPr="00335F98" w:rsidRDefault="00335F98" w:rsidP="00335F98">
            <w:pPr>
              <w:jc w:val="right"/>
              <w:rPr>
                <w:rFonts w:cs="Arial"/>
                <w:b/>
                <w:bCs/>
                <w:color w:val="FFFFFF"/>
                <w:szCs w:val="18"/>
                <w:lang w:eastAsia="en-AU"/>
              </w:rPr>
            </w:pPr>
            <w:r w:rsidRPr="00335F98">
              <w:rPr>
                <w:rFonts w:cs="Arial"/>
                <w:b/>
                <w:bCs/>
                <w:color w:val="FFFFFF"/>
                <w:szCs w:val="18"/>
                <w:lang w:eastAsia="en-AU"/>
              </w:rPr>
              <w:t>2012</w:t>
            </w:r>
          </w:p>
        </w:tc>
        <w:tc>
          <w:tcPr>
            <w:tcW w:w="993" w:type="dxa"/>
            <w:tcBorders>
              <w:top w:val="nil"/>
              <w:left w:val="nil"/>
              <w:bottom w:val="nil"/>
              <w:right w:val="nil"/>
            </w:tcBorders>
            <w:shd w:val="clear" w:color="000000" w:fill="7F7F7F"/>
            <w:noWrap/>
            <w:vAlign w:val="center"/>
            <w:hideMark/>
          </w:tcPr>
          <w:p w:rsidR="00335F98" w:rsidRPr="00335F98" w:rsidRDefault="00335F98" w:rsidP="00335F98">
            <w:pPr>
              <w:jc w:val="right"/>
              <w:rPr>
                <w:rFonts w:cs="Arial"/>
                <w:b/>
                <w:bCs/>
                <w:color w:val="FFFFFF"/>
                <w:szCs w:val="18"/>
                <w:lang w:eastAsia="en-AU"/>
              </w:rPr>
            </w:pPr>
            <w:r w:rsidRPr="00335F98">
              <w:rPr>
                <w:rFonts w:cs="Arial"/>
                <w:b/>
                <w:bCs/>
                <w:color w:val="FFFFFF"/>
                <w:szCs w:val="18"/>
                <w:lang w:eastAsia="en-AU"/>
              </w:rPr>
              <w:t>2013</w:t>
            </w:r>
          </w:p>
        </w:tc>
        <w:tc>
          <w:tcPr>
            <w:tcW w:w="992" w:type="dxa"/>
            <w:tcBorders>
              <w:top w:val="nil"/>
              <w:left w:val="nil"/>
              <w:bottom w:val="nil"/>
              <w:right w:val="nil"/>
            </w:tcBorders>
            <w:shd w:val="clear" w:color="000000" w:fill="7F7F7F"/>
            <w:noWrap/>
            <w:vAlign w:val="center"/>
            <w:hideMark/>
          </w:tcPr>
          <w:p w:rsidR="00335F98" w:rsidRPr="00335F98" w:rsidRDefault="00335F98" w:rsidP="00335F98">
            <w:pPr>
              <w:jc w:val="right"/>
              <w:rPr>
                <w:rFonts w:cs="Arial"/>
                <w:b/>
                <w:bCs/>
                <w:color w:val="FFFFFF"/>
                <w:szCs w:val="18"/>
                <w:lang w:eastAsia="en-AU"/>
              </w:rPr>
            </w:pPr>
            <w:r w:rsidRPr="00335F98">
              <w:rPr>
                <w:rFonts w:cs="Arial"/>
                <w:b/>
                <w:bCs/>
                <w:color w:val="FFFFFF"/>
                <w:szCs w:val="18"/>
                <w:lang w:eastAsia="en-AU"/>
              </w:rPr>
              <w:t>2014</w:t>
            </w:r>
          </w:p>
        </w:tc>
        <w:tc>
          <w:tcPr>
            <w:tcW w:w="992" w:type="dxa"/>
            <w:tcBorders>
              <w:top w:val="nil"/>
              <w:left w:val="nil"/>
              <w:bottom w:val="nil"/>
              <w:right w:val="nil"/>
            </w:tcBorders>
            <w:shd w:val="clear" w:color="000000" w:fill="7F7F7F"/>
            <w:noWrap/>
            <w:vAlign w:val="center"/>
            <w:hideMark/>
          </w:tcPr>
          <w:p w:rsidR="00335F98" w:rsidRPr="00335F98" w:rsidRDefault="00335F98" w:rsidP="00335F98">
            <w:pPr>
              <w:jc w:val="right"/>
              <w:rPr>
                <w:rFonts w:cs="Arial"/>
                <w:b/>
                <w:bCs/>
                <w:color w:val="FFFFFF"/>
                <w:szCs w:val="18"/>
                <w:lang w:eastAsia="en-AU"/>
              </w:rPr>
            </w:pPr>
            <w:r w:rsidRPr="00335F98">
              <w:rPr>
                <w:rFonts w:cs="Arial"/>
                <w:b/>
                <w:bCs/>
                <w:color w:val="FFFFFF"/>
                <w:szCs w:val="18"/>
                <w:lang w:eastAsia="en-AU"/>
              </w:rPr>
              <w:t>2015</w:t>
            </w:r>
          </w:p>
        </w:tc>
      </w:tr>
      <w:tr w:rsidR="00335F98" w:rsidRPr="00335F98" w:rsidTr="00335F98">
        <w:trPr>
          <w:trHeight w:val="300"/>
        </w:trPr>
        <w:tc>
          <w:tcPr>
            <w:tcW w:w="2000" w:type="dxa"/>
            <w:tcBorders>
              <w:top w:val="nil"/>
              <w:left w:val="nil"/>
              <w:bottom w:val="nil"/>
              <w:right w:val="nil"/>
            </w:tcBorders>
            <w:shd w:val="clear" w:color="auto" w:fill="auto"/>
            <w:vAlign w:val="center"/>
            <w:hideMark/>
          </w:tcPr>
          <w:p w:rsidR="00335F98" w:rsidRPr="00335F98" w:rsidRDefault="00335F98" w:rsidP="00335F98">
            <w:pPr>
              <w:rPr>
                <w:rFonts w:cs="Arial"/>
                <w:color w:val="7F7F7F"/>
                <w:szCs w:val="18"/>
                <w:lang w:eastAsia="en-AU"/>
              </w:rPr>
            </w:pPr>
            <w:r w:rsidRPr="00335F98">
              <w:rPr>
                <w:rFonts w:cs="Arial"/>
                <w:color w:val="7F7F7F"/>
                <w:szCs w:val="18"/>
                <w:lang w:eastAsia="en-AU"/>
              </w:rPr>
              <w:t>15 to 19</w:t>
            </w:r>
          </w:p>
        </w:tc>
        <w:tc>
          <w:tcPr>
            <w:tcW w:w="1134" w:type="dxa"/>
            <w:tcBorders>
              <w:top w:val="nil"/>
              <w:left w:val="nil"/>
              <w:bottom w:val="nil"/>
              <w:right w:val="nil"/>
            </w:tcBorders>
            <w:shd w:val="clear" w:color="auto" w:fill="auto"/>
            <w:noWrap/>
            <w:vAlign w:val="center"/>
            <w:hideMark/>
          </w:tcPr>
          <w:p w:rsidR="00335F98" w:rsidRPr="00335F98" w:rsidRDefault="00335F98" w:rsidP="00335F98">
            <w:pPr>
              <w:jc w:val="right"/>
              <w:rPr>
                <w:rFonts w:cs="Arial"/>
                <w:color w:val="7F7F7F"/>
                <w:szCs w:val="18"/>
                <w:lang w:eastAsia="en-AU"/>
              </w:rPr>
            </w:pPr>
            <w:r w:rsidRPr="00335F98">
              <w:rPr>
                <w:rFonts w:cs="Arial"/>
                <w:color w:val="7F7F7F"/>
                <w:szCs w:val="18"/>
                <w:lang w:eastAsia="en-AU"/>
              </w:rPr>
              <w:t>14,480</w:t>
            </w:r>
          </w:p>
        </w:tc>
        <w:tc>
          <w:tcPr>
            <w:tcW w:w="992" w:type="dxa"/>
            <w:tcBorders>
              <w:top w:val="nil"/>
              <w:left w:val="nil"/>
              <w:bottom w:val="nil"/>
              <w:right w:val="nil"/>
            </w:tcBorders>
            <w:shd w:val="clear" w:color="auto" w:fill="auto"/>
            <w:noWrap/>
            <w:vAlign w:val="center"/>
            <w:hideMark/>
          </w:tcPr>
          <w:p w:rsidR="00335F98" w:rsidRPr="00335F98" w:rsidRDefault="00335F98" w:rsidP="00335F98">
            <w:pPr>
              <w:jc w:val="right"/>
              <w:rPr>
                <w:rFonts w:cs="Arial"/>
                <w:color w:val="7F7F7F"/>
                <w:szCs w:val="18"/>
                <w:lang w:eastAsia="en-AU"/>
              </w:rPr>
            </w:pPr>
            <w:r w:rsidRPr="00335F98">
              <w:rPr>
                <w:rFonts w:cs="Arial"/>
                <w:color w:val="7F7F7F"/>
                <w:szCs w:val="18"/>
                <w:lang w:eastAsia="en-AU"/>
              </w:rPr>
              <w:t>14,711</w:t>
            </w:r>
          </w:p>
        </w:tc>
        <w:tc>
          <w:tcPr>
            <w:tcW w:w="992" w:type="dxa"/>
            <w:tcBorders>
              <w:top w:val="nil"/>
              <w:left w:val="nil"/>
              <w:bottom w:val="nil"/>
              <w:right w:val="nil"/>
            </w:tcBorders>
            <w:shd w:val="clear" w:color="auto" w:fill="auto"/>
            <w:noWrap/>
            <w:vAlign w:val="center"/>
            <w:hideMark/>
          </w:tcPr>
          <w:p w:rsidR="00335F98" w:rsidRPr="00335F98" w:rsidRDefault="00335F98" w:rsidP="00335F98">
            <w:pPr>
              <w:jc w:val="right"/>
              <w:rPr>
                <w:rFonts w:cs="Arial"/>
                <w:color w:val="7F7F7F"/>
                <w:szCs w:val="18"/>
                <w:lang w:eastAsia="en-AU"/>
              </w:rPr>
            </w:pPr>
            <w:r w:rsidRPr="00335F98">
              <w:rPr>
                <w:rFonts w:cs="Arial"/>
                <w:color w:val="7F7F7F"/>
                <w:szCs w:val="18"/>
                <w:lang w:eastAsia="en-AU"/>
              </w:rPr>
              <w:t>13,916</w:t>
            </w:r>
          </w:p>
        </w:tc>
        <w:tc>
          <w:tcPr>
            <w:tcW w:w="993" w:type="dxa"/>
            <w:tcBorders>
              <w:top w:val="nil"/>
              <w:left w:val="nil"/>
              <w:bottom w:val="nil"/>
              <w:right w:val="nil"/>
            </w:tcBorders>
            <w:shd w:val="clear" w:color="auto" w:fill="auto"/>
            <w:noWrap/>
            <w:vAlign w:val="center"/>
            <w:hideMark/>
          </w:tcPr>
          <w:p w:rsidR="00335F98" w:rsidRPr="00335F98" w:rsidRDefault="00335F98" w:rsidP="00335F98">
            <w:pPr>
              <w:jc w:val="right"/>
              <w:rPr>
                <w:rFonts w:cs="Arial"/>
                <w:color w:val="7F7F7F"/>
                <w:szCs w:val="18"/>
                <w:lang w:eastAsia="en-AU"/>
              </w:rPr>
            </w:pPr>
            <w:r w:rsidRPr="00335F98">
              <w:rPr>
                <w:rFonts w:cs="Arial"/>
                <w:color w:val="7F7F7F"/>
                <w:szCs w:val="18"/>
                <w:lang w:eastAsia="en-AU"/>
              </w:rPr>
              <w:t>11,447</w:t>
            </w:r>
          </w:p>
        </w:tc>
        <w:tc>
          <w:tcPr>
            <w:tcW w:w="992" w:type="dxa"/>
            <w:tcBorders>
              <w:top w:val="nil"/>
              <w:left w:val="nil"/>
              <w:bottom w:val="nil"/>
              <w:right w:val="nil"/>
            </w:tcBorders>
            <w:shd w:val="clear" w:color="auto" w:fill="auto"/>
            <w:noWrap/>
            <w:vAlign w:val="center"/>
            <w:hideMark/>
          </w:tcPr>
          <w:p w:rsidR="00335F98" w:rsidRPr="00335F98" w:rsidRDefault="00335F98" w:rsidP="00335F98">
            <w:pPr>
              <w:jc w:val="right"/>
              <w:rPr>
                <w:rFonts w:cs="Arial"/>
                <w:color w:val="7F7F7F"/>
                <w:szCs w:val="18"/>
                <w:lang w:eastAsia="en-AU"/>
              </w:rPr>
            </w:pPr>
            <w:r w:rsidRPr="00335F98">
              <w:rPr>
                <w:rFonts w:cs="Arial"/>
                <w:color w:val="7F7F7F"/>
                <w:szCs w:val="18"/>
                <w:lang w:eastAsia="en-AU"/>
              </w:rPr>
              <w:t>10,564</w:t>
            </w:r>
          </w:p>
        </w:tc>
        <w:tc>
          <w:tcPr>
            <w:tcW w:w="992" w:type="dxa"/>
            <w:tcBorders>
              <w:top w:val="nil"/>
              <w:left w:val="nil"/>
              <w:bottom w:val="nil"/>
              <w:right w:val="nil"/>
            </w:tcBorders>
            <w:shd w:val="clear" w:color="auto" w:fill="auto"/>
            <w:noWrap/>
            <w:vAlign w:val="center"/>
            <w:hideMark/>
          </w:tcPr>
          <w:p w:rsidR="00335F98" w:rsidRPr="00335F98" w:rsidRDefault="00335F98" w:rsidP="00335F98">
            <w:pPr>
              <w:jc w:val="right"/>
              <w:rPr>
                <w:rFonts w:cs="Arial"/>
                <w:color w:val="7F7F7F"/>
                <w:szCs w:val="18"/>
                <w:lang w:eastAsia="en-AU"/>
              </w:rPr>
            </w:pPr>
            <w:r w:rsidRPr="00335F98">
              <w:rPr>
                <w:rFonts w:cs="Arial"/>
                <w:color w:val="7F7F7F"/>
                <w:szCs w:val="18"/>
                <w:lang w:eastAsia="en-AU"/>
              </w:rPr>
              <w:t>10,713</w:t>
            </w:r>
          </w:p>
        </w:tc>
      </w:tr>
      <w:tr w:rsidR="00335F98" w:rsidRPr="00335F98" w:rsidTr="00335F98">
        <w:trPr>
          <w:trHeight w:val="300"/>
        </w:trPr>
        <w:tc>
          <w:tcPr>
            <w:tcW w:w="2000" w:type="dxa"/>
            <w:tcBorders>
              <w:top w:val="nil"/>
              <w:left w:val="nil"/>
              <w:bottom w:val="nil"/>
              <w:right w:val="nil"/>
            </w:tcBorders>
            <w:shd w:val="clear" w:color="auto" w:fill="auto"/>
            <w:vAlign w:val="center"/>
            <w:hideMark/>
          </w:tcPr>
          <w:p w:rsidR="00335F98" w:rsidRPr="00335F98" w:rsidRDefault="00335F98" w:rsidP="00335F98">
            <w:pPr>
              <w:rPr>
                <w:rFonts w:cs="Arial"/>
                <w:color w:val="7F7F7F"/>
                <w:szCs w:val="18"/>
                <w:lang w:eastAsia="en-AU"/>
              </w:rPr>
            </w:pPr>
            <w:r w:rsidRPr="00335F98">
              <w:rPr>
                <w:rFonts w:cs="Arial"/>
                <w:color w:val="7F7F7F"/>
                <w:szCs w:val="18"/>
                <w:lang w:eastAsia="en-AU"/>
              </w:rPr>
              <w:t>20 to 24</w:t>
            </w:r>
          </w:p>
        </w:tc>
        <w:tc>
          <w:tcPr>
            <w:tcW w:w="1134" w:type="dxa"/>
            <w:tcBorders>
              <w:top w:val="nil"/>
              <w:left w:val="nil"/>
              <w:bottom w:val="nil"/>
              <w:right w:val="nil"/>
            </w:tcBorders>
            <w:shd w:val="clear" w:color="auto" w:fill="auto"/>
            <w:noWrap/>
            <w:vAlign w:val="center"/>
            <w:hideMark/>
          </w:tcPr>
          <w:p w:rsidR="00335F98" w:rsidRPr="00335F98" w:rsidRDefault="00335F98" w:rsidP="00335F98">
            <w:pPr>
              <w:jc w:val="right"/>
              <w:rPr>
                <w:rFonts w:cs="Arial"/>
                <w:color w:val="7F7F7F"/>
                <w:szCs w:val="18"/>
                <w:lang w:eastAsia="en-AU"/>
              </w:rPr>
            </w:pPr>
            <w:r w:rsidRPr="00335F98">
              <w:rPr>
                <w:rFonts w:cs="Arial"/>
                <w:color w:val="7F7F7F"/>
                <w:szCs w:val="18"/>
                <w:lang w:eastAsia="en-AU"/>
              </w:rPr>
              <w:t>14,797</w:t>
            </w:r>
          </w:p>
        </w:tc>
        <w:tc>
          <w:tcPr>
            <w:tcW w:w="992" w:type="dxa"/>
            <w:tcBorders>
              <w:top w:val="nil"/>
              <w:left w:val="nil"/>
              <w:bottom w:val="nil"/>
              <w:right w:val="nil"/>
            </w:tcBorders>
            <w:shd w:val="clear" w:color="auto" w:fill="auto"/>
            <w:noWrap/>
            <w:vAlign w:val="center"/>
            <w:hideMark/>
          </w:tcPr>
          <w:p w:rsidR="00335F98" w:rsidRPr="00335F98" w:rsidRDefault="00335F98" w:rsidP="00335F98">
            <w:pPr>
              <w:jc w:val="right"/>
              <w:rPr>
                <w:rFonts w:cs="Arial"/>
                <w:color w:val="7F7F7F"/>
                <w:szCs w:val="18"/>
                <w:lang w:eastAsia="en-AU"/>
              </w:rPr>
            </w:pPr>
            <w:r w:rsidRPr="00335F98">
              <w:rPr>
                <w:rFonts w:cs="Arial"/>
                <w:color w:val="7F7F7F"/>
                <w:szCs w:val="18"/>
                <w:lang w:eastAsia="en-AU"/>
              </w:rPr>
              <w:t>15,771</w:t>
            </w:r>
          </w:p>
        </w:tc>
        <w:tc>
          <w:tcPr>
            <w:tcW w:w="992" w:type="dxa"/>
            <w:tcBorders>
              <w:top w:val="nil"/>
              <w:left w:val="nil"/>
              <w:bottom w:val="nil"/>
              <w:right w:val="nil"/>
            </w:tcBorders>
            <w:shd w:val="clear" w:color="auto" w:fill="auto"/>
            <w:noWrap/>
            <w:vAlign w:val="center"/>
            <w:hideMark/>
          </w:tcPr>
          <w:p w:rsidR="00335F98" w:rsidRPr="00335F98" w:rsidRDefault="00335F98" w:rsidP="00335F98">
            <w:pPr>
              <w:jc w:val="right"/>
              <w:rPr>
                <w:rFonts w:cs="Arial"/>
                <w:color w:val="7F7F7F"/>
                <w:szCs w:val="18"/>
                <w:lang w:eastAsia="en-AU"/>
              </w:rPr>
            </w:pPr>
            <w:r w:rsidRPr="00335F98">
              <w:rPr>
                <w:rFonts w:cs="Arial"/>
                <w:color w:val="7F7F7F"/>
                <w:szCs w:val="18"/>
                <w:lang w:eastAsia="en-AU"/>
              </w:rPr>
              <w:t>16,588</w:t>
            </w:r>
          </w:p>
        </w:tc>
        <w:tc>
          <w:tcPr>
            <w:tcW w:w="993" w:type="dxa"/>
            <w:tcBorders>
              <w:top w:val="nil"/>
              <w:left w:val="nil"/>
              <w:bottom w:val="nil"/>
              <w:right w:val="nil"/>
            </w:tcBorders>
            <w:shd w:val="clear" w:color="auto" w:fill="auto"/>
            <w:noWrap/>
            <w:vAlign w:val="center"/>
            <w:hideMark/>
          </w:tcPr>
          <w:p w:rsidR="00335F98" w:rsidRPr="00335F98" w:rsidRDefault="00335F98" w:rsidP="00335F98">
            <w:pPr>
              <w:jc w:val="right"/>
              <w:rPr>
                <w:rFonts w:cs="Arial"/>
                <w:color w:val="7F7F7F"/>
                <w:szCs w:val="18"/>
                <w:lang w:eastAsia="en-AU"/>
              </w:rPr>
            </w:pPr>
            <w:r w:rsidRPr="00335F98">
              <w:rPr>
                <w:rFonts w:cs="Arial"/>
                <w:color w:val="7F7F7F"/>
                <w:szCs w:val="18"/>
                <w:lang w:eastAsia="en-AU"/>
              </w:rPr>
              <w:t>15,484</w:t>
            </w:r>
          </w:p>
        </w:tc>
        <w:tc>
          <w:tcPr>
            <w:tcW w:w="992" w:type="dxa"/>
            <w:tcBorders>
              <w:top w:val="nil"/>
              <w:left w:val="nil"/>
              <w:bottom w:val="nil"/>
              <w:right w:val="nil"/>
            </w:tcBorders>
            <w:shd w:val="clear" w:color="auto" w:fill="auto"/>
            <w:noWrap/>
            <w:vAlign w:val="center"/>
            <w:hideMark/>
          </w:tcPr>
          <w:p w:rsidR="00335F98" w:rsidRPr="00335F98" w:rsidRDefault="00335F98" w:rsidP="00335F98">
            <w:pPr>
              <w:jc w:val="right"/>
              <w:rPr>
                <w:rFonts w:cs="Arial"/>
                <w:color w:val="7F7F7F"/>
                <w:szCs w:val="18"/>
                <w:lang w:eastAsia="en-AU"/>
              </w:rPr>
            </w:pPr>
            <w:r w:rsidRPr="00335F98">
              <w:rPr>
                <w:rFonts w:cs="Arial"/>
                <w:color w:val="7F7F7F"/>
                <w:szCs w:val="18"/>
                <w:lang w:eastAsia="en-AU"/>
              </w:rPr>
              <w:t>15,540</w:t>
            </w:r>
          </w:p>
        </w:tc>
        <w:tc>
          <w:tcPr>
            <w:tcW w:w="992" w:type="dxa"/>
            <w:tcBorders>
              <w:top w:val="nil"/>
              <w:left w:val="nil"/>
              <w:bottom w:val="nil"/>
              <w:right w:val="nil"/>
            </w:tcBorders>
            <w:shd w:val="clear" w:color="auto" w:fill="auto"/>
            <w:noWrap/>
            <w:vAlign w:val="center"/>
            <w:hideMark/>
          </w:tcPr>
          <w:p w:rsidR="00335F98" w:rsidRPr="00335F98" w:rsidRDefault="00335F98" w:rsidP="00335F98">
            <w:pPr>
              <w:jc w:val="right"/>
              <w:rPr>
                <w:rFonts w:cs="Arial"/>
                <w:color w:val="7F7F7F"/>
                <w:szCs w:val="18"/>
                <w:lang w:eastAsia="en-AU"/>
              </w:rPr>
            </w:pPr>
            <w:r w:rsidRPr="00335F98">
              <w:rPr>
                <w:rFonts w:cs="Arial"/>
                <w:color w:val="7F7F7F"/>
                <w:szCs w:val="18"/>
                <w:lang w:eastAsia="en-AU"/>
              </w:rPr>
              <w:t>16,024</w:t>
            </w:r>
          </w:p>
        </w:tc>
      </w:tr>
      <w:tr w:rsidR="00335F98" w:rsidRPr="00335F98" w:rsidTr="00335F98">
        <w:trPr>
          <w:trHeight w:val="300"/>
        </w:trPr>
        <w:tc>
          <w:tcPr>
            <w:tcW w:w="2000" w:type="dxa"/>
            <w:tcBorders>
              <w:top w:val="nil"/>
              <w:left w:val="nil"/>
              <w:bottom w:val="nil"/>
              <w:right w:val="nil"/>
            </w:tcBorders>
            <w:shd w:val="clear" w:color="auto" w:fill="auto"/>
            <w:vAlign w:val="center"/>
            <w:hideMark/>
          </w:tcPr>
          <w:p w:rsidR="00335F98" w:rsidRPr="00335F98" w:rsidRDefault="00335F98" w:rsidP="00335F98">
            <w:pPr>
              <w:rPr>
                <w:rFonts w:cs="Arial"/>
                <w:color w:val="7F7F7F"/>
                <w:szCs w:val="18"/>
                <w:lang w:eastAsia="en-AU"/>
              </w:rPr>
            </w:pPr>
            <w:r w:rsidRPr="00335F98">
              <w:rPr>
                <w:rFonts w:cs="Arial"/>
                <w:color w:val="7F7F7F"/>
                <w:szCs w:val="18"/>
                <w:lang w:eastAsia="en-AU"/>
              </w:rPr>
              <w:t>25 to 44</w:t>
            </w:r>
          </w:p>
        </w:tc>
        <w:tc>
          <w:tcPr>
            <w:tcW w:w="1134" w:type="dxa"/>
            <w:tcBorders>
              <w:top w:val="nil"/>
              <w:left w:val="nil"/>
              <w:bottom w:val="nil"/>
              <w:right w:val="nil"/>
            </w:tcBorders>
            <w:shd w:val="clear" w:color="auto" w:fill="auto"/>
            <w:noWrap/>
            <w:vAlign w:val="center"/>
            <w:hideMark/>
          </w:tcPr>
          <w:p w:rsidR="00335F98" w:rsidRPr="00335F98" w:rsidRDefault="00335F98" w:rsidP="00335F98">
            <w:pPr>
              <w:jc w:val="right"/>
              <w:rPr>
                <w:rFonts w:cs="Arial"/>
                <w:color w:val="7F7F7F"/>
                <w:szCs w:val="18"/>
                <w:lang w:eastAsia="en-AU"/>
              </w:rPr>
            </w:pPr>
            <w:r w:rsidRPr="00335F98">
              <w:rPr>
                <w:rFonts w:cs="Arial"/>
                <w:color w:val="7F7F7F"/>
                <w:szCs w:val="18"/>
                <w:lang w:eastAsia="en-AU"/>
              </w:rPr>
              <w:t>5,414</w:t>
            </w:r>
          </w:p>
        </w:tc>
        <w:tc>
          <w:tcPr>
            <w:tcW w:w="992" w:type="dxa"/>
            <w:tcBorders>
              <w:top w:val="nil"/>
              <w:left w:val="nil"/>
              <w:bottom w:val="nil"/>
              <w:right w:val="nil"/>
            </w:tcBorders>
            <w:shd w:val="clear" w:color="auto" w:fill="auto"/>
            <w:noWrap/>
            <w:vAlign w:val="center"/>
            <w:hideMark/>
          </w:tcPr>
          <w:p w:rsidR="00335F98" w:rsidRPr="00335F98" w:rsidRDefault="00335F98" w:rsidP="00335F98">
            <w:pPr>
              <w:jc w:val="right"/>
              <w:rPr>
                <w:rFonts w:cs="Arial"/>
                <w:color w:val="7F7F7F"/>
                <w:szCs w:val="18"/>
                <w:lang w:eastAsia="en-AU"/>
              </w:rPr>
            </w:pPr>
            <w:r w:rsidRPr="00335F98">
              <w:rPr>
                <w:rFonts w:cs="Arial"/>
                <w:color w:val="7F7F7F"/>
                <w:szCs w:val="18"/>
                <w:lang w:eastAsia="en-AU"/>
              </w:rPr>
              <w:t>6,275</w:t>
            </w:r>
          </w:p>
        </w:tc>
        <w:tc>
          <w:tcPr>
            <w:tcW w:w="992" w:type="dxa"/>
            <w:tcBorders>
              <w:top w:val="nil"/>
              <w:left w:val="nil"/>
              <w:bottom w:val="nil"/>
              <w:right w:val="nil"/>
            </w:tcBorders>
            <w:shd w:val="clear" w:color="auto" w:fill="auto"/>
            <w:noWrap/>
            <w:vAlign w:val="center"/>
            <w:hideMark/>
          </w:tcPr>
          <w:p w:rsidR="00335F98" w:rsidRPr="00335F98" w:rsidRDefault="00335F98" w:rsidP="00335F98">
            <w:pPr>
              <w:jc w:val="right"/>
              <w:rPr>
                <w:rFonts w:cs="Arial"/>
                <w:color w:val="7F7F7F"/>
                <w:szCs w:val="18"/>
                <w:lang w:eastAsia="en-AU"/>
              </w:rPr>
            </w:pPr>
            <w:r w:rsidRPr="00335F98">
              <w:rPr>
                <w:rFonts w:cs="Arial"/>
                <w:color w:val="7F7F7F"/>
                <w:szCs w:val="18"/>
                <w:lang w:eastAsia="en-AU"/>
              </w:rPr>
              <w:t>6,560</w:t>
            </w:r>
          </w:p>
        </w:tc>
        <w:tc>
          <w:tcPr>
            <w:tcW w:w="993" w:type="dxa"/>
            <w:tcBorders>
              <w:top w:val="nil"/>
              <w:left w:val="nil"/>
              <w:bottom w:val="nil"/>
              <w:right w:val="nil"/>
            </w:tcBorders>
            <w:shd w:val="clear" w:color="auto" w:fill="auto"/>
            <w:noWrap/>
            <w:vAlign w:val="center"/>
            <w:hideMark/>
          </w:tcPr>
          <w:p w:rsidR="00335F98" w:rsidRPr="00335F98" w:rsidRDefault="00335F98" w:rsidP="00335F98">
            <w:pPr>
              <w:jc w:val="right"/>
              <w:rPr>
                <w:rFonts w:cs="Arial"/>
                <w:color w:val="7F7F7F"/>
                <w:szCs w:val="18"/>
                <w:lang w:eastAsia="en-AU"/>
              </w:rPr>
            </w:pPr>
            <w:r w:rsidRPr="00335F98">
              <w:rPr>
                <w:rFonts w:cs="Arial"/>
                <w:color w:val="7F7F7F"/>
                <w:szCs w:val="18"/>
                <w:lang w:eastAsia="en-AU"/>
              </w:rPr>
              <w:t>6,639</w:t>
            </w:r>
          </w:p>
        </w:tc>
        <w:tc>
          <w:tcPr>
            <w:tcW w:w="992" w:type="dxa"/>
            <w:tcBorders>
              <w:top w:val="nil"/>
              <w:left w:val="nil"/>
              <w:bottom w:val="nil"/>
              <w:right w:val="nil"/>
            </w:tcBorders>
            <w:shd w:val="clear" w:color="auto" w:fill="auto"/>
            <w:noWrap/>
            <w:vAlign w:val="center"/>
            <w:hideMark/>
          </w:tcPr>
          <w:p w:rsidR="00335F98" w:rsidRPr="00335F98" w:rsidRDefault="00335F98" w:rsidP="00335F98">
            <w:pPr>
              <w:jc w:val="right"/>
              <w:rPr>
                <w:rFonts w:cs="Arial"/>
                <w:color w:val="7F7F7F"/>
                <w:szCs w:val="18"/>
                <w:lang w:eastAsia="en-AU"/>
              </w:rPr>
            </w:pPr>
            <w:r w:rsidRPr="00335F98">
              <w:rPr>
                <w:rFonts w:cs="Arial"/>
                <w:color w:val="7F7F7F"/>
                <w:szCs w:val="18"/>
                <w:lang w:eastAsia="en-AU"/>
              </w:rPr>
              <w:t>7,013</w:t>
            </w:r>
          </w:p>
        </w:tc>
        <w:tc>
          <w:tcPr>
            <w:tcW w:w="992" w:type="dxa"/>
            <w:tcBorders>
              <w:top w:val="nil"/>
              <w:left w:val="nil"/>
              <w:bottom w:val="nil"/>
              <w:right w:val="nil"/>
            </w:tcBorders>
            <w:shd w:val="clear" w:color="auto" w:fill="auto"/>
            <w:noWrap/>
            <w:vAlign w:val="center"/>
            <w:hideMark/>
          </w:tcPr>
          <w:p w:rsidR="00335F98" w:rsidRPr="00335F98" w:rsidRDefault="00335F98" w:rsidP="00335F98">
            <w:pPr>
              <w:jc w:val="right"/>
              <w:rPr>
                <w:rFonts w:cs="Arial"/>
                <w:color w:val="7F7F7F"/>
                <w:szCs w:val="18"/>
                <w:lang w:eastAsia="en-AU"/>
              </w:rPr>
            </w:pPr>
            <w:r w:rsidRPr="00335F98">
              <w:rPr>
                <w:rFonts w:cs="Arial"/>
                <w:color w:val="7F7F7F"/>
                <w:szCs w:val="18"/>
                <w:lang w:eastAsia="en-AU"/>
              </w:rPr>
              <w:t>7,506</w:t>
            </w:r>
          </w:p>
        </w:tc>
      </w:tr>
      <w:tr w:rsidR="00335F98" w:rsidRPr="00335F98" w:rsidTr="00335F98">
        <w:trPr>
          <w:trHeight w:val="300"/>
        </w:trPr>
        <w:tc>
          <w:tcPr>
            <w:tcW w:w="2000" w:type="dxa"/>
            <w:tcBorders>
              <w:top w:val="nil"/>
              <w:left w:val="nil"/>
              <w:bottom w:val="nil"/>
              <w:right w:val="nil"/>
            </w:tcBorders>
            <w:shd w:val="clear" w:color="auto" w:fill="auto"/>
            <w:vAlign w:val="center"/>
            <w:hideMark/>
          </w:tcPr>
          <w:p w:rsidR="00335F98" w:rsidRPr="00335F98" w:rsidRDefault="00335F98" w:rsidP="00335F98">
            <w:pPr>
              <w:rPr>
                <w:rFonts w:cs="Arial"/>
                <w:color w:val="7F7F7F"/>
                <w:szCs w:val="18"/>
                <w:lang w:eastAsia="en-AU"/>
              </w:rPr>
            </w:pPr>
            <w:r w:rsidRPr="00335F98">
              <w:rPr>
                <w:rFonts w:cs="Arial"/>
                <w:color w:val="7F7F7F"/>
                <w:szCs w:val="18"/>
                <w:lang w:eastAsia="en-AU"/>
              </w:rPr>
              <w:t>45 to 64</w:t>
            </w:r>
          </w:p>
        </w:tc>
        <w:tc>
          <w:tcPr>
            <w:tcW w:w="1134" w:type="dxa"/>
            <w:tcBorders>
              <w:top w:val="nil"/>
              <w:left w:val="nil"/>
              <w:bottom w:val="nil"/>
              <w:right w:val="nil"/>
            </w:tcBorders>
            <w:shd w:val="clear" w:color="auto" w:fill="auto"/>
            <w:noWrap/>
            <w:vAlign w:val="center"/>
            <w:hideMark/>
          </w:tcPr>
          <w:p w:rsidR="00335F98" w:rsidRPr="00335F98" w:rsidRDefault="00335F98" w:rsidP="00335F98">
            <w:pPr>
              <w:jc w:val="right"/>
              <w:rPr>
                <w:rFonts w:cs="Arial"/>
                <w:color w:val="7F7F7F"/>
                <w:szCs w:val="18"/>
                <w:lang w:eastAsia="en-AU"/>
              </w:rPr>
            </w:pPr>
            <w:r w:rsidRPr="00335F98">
              <w:rPr>
                <w:rFonts w:cs="Arial"/>
                <w:color w:val="7F7F7F"/>
                <w:szCs w:val="18"/>
                <w:lang w:eastAsia="en-AU"/>
              </w:rPr>
              <w:t>436</w:t>
            </w:r>
          </w:p>
        </w:tc>
        <w:tc>
          <w:tcPr>
            <w:tcW w:w="992" w:type="dxa"/>
            <w:tcBorders>
              <w:top w:val="nil"/>
              <w:left w:val="nil"/>
              <w:bottom w:val="nil"/>
              <w:right w:val="nil"/>
            </w:tcBorders>
            <w:shd w:val="clear" w:color="auto" w:fill="auto"/>
            <w:noWrap/>
            <w:vAlign w:val="center"/>
            <w:hideMark/>
          </w:tcPr>
          <w:p w:rsidR="00335F98" w:rsidRPr="00335F98" w:rsidRDefault="00335F98" w:rsidP="00335F98">
            <w:pPr>
              <w:jc w:val="right"/>
              <w:rPr>
                <w:rFonts w:cs="Arial"/>
                <w:color w:val="7F7F7F"/>
                <w:szCs w:val="18"/>
                <w:lang w:eastAsia="en-AU"/>
              </w:rPr>
            </w:pPr>
            <w:r w:rsidRPr="00335F98">
              <w:rPr>
                <w:rFonts w:cs="Arial"/>
                <w:color w:val="7F7F7F"/>
                <w:szCs w:val="18"/>
                <w:lang w:eastAsia="en-AU"/>
              </w:rPr>
              <w:t>552</w:t>
            </w:r>
          </w:p>
        </w:tc>
        <w:tc>
          <w:tcPr>
            <w:tcW w:w="992" w:type="dxa"/>
            <w:tcBorders>
              <w:top w:val="nil"/>
              <w:left w:val="nil"/>
              <w:bottom w:val="nil"/>
              <w:right w:val="nil"/>
            </w:tcBorders>
            <w:shd w:val="clear" w:color="auto" w:fill="auto"/>
            <w:noWrap/>
            <w:vAlign w:val="center"/>
            <w:hideMark/>
          </w:tcPr>
          <w:p w:rsidR="00335F98" w:rsidRPr="00335F98" w:rsidRDefault="00335F98" w:rsidP="00335F98">
            <w:pPr>
              <w:jc w:val="right"/>
              <w:rPr>
                <w:rFonts w:cs="Arial"/>
                <w:color w:val="7F7F7F"/>
                <w:szCs w:val="18"/>
                <w:lang w:eastAsia="en-AU"/>
              </w:rPr>
            </w:pPr>
            <w:r w:rsidRPr="00335F98">
              <w:rPr>
                <w:rFonts w:cs="Arial"/>
                <w:color w:val="7F7F7F"/>
                <w:szCs w:val="18"/>
                <w:lang w:eastAsia="en-AU"/>
              </w:rPr>
              <w:t>585</w:t>
            </w:r>
          </w:p>
        </w:tc>
        <w:tc>
          <w:tcPr>
            <w:tcW w:w="993" w:type="dxa"/>
            <w:tcBorders>
              <w:top w:val="nil"/>
              <w:left w:val="nil"/>
              <w:bottom w:val="nil"/>
              <w:right w:val="nil"/>
            </w:tcBorders>
            <w:shd w:val="clear" w:color="auto" w:fill="auto"/>
            <w:noWrap/>
            <w:vAlign w:val="center"/>
            <w:hideMark/>
          </w:tcPr>
          <w:p w:rsidR="00335F98" w:rsidRPr="00335F98" w:rsidRDefault="00335F98" w:rsidP="00335F98">
            <w:pPr>
              <w:jc w:val="right"/>
              <w:rPr>
                <w:rFonts w:cs="Arial"/>
                <w:color w:val="7F7F7F"/>
                <w:szCs w:val="18"/>
                <w:lang w:eastAsia="en-AU"/>
              </w:rPr>
            </w:pPr>
            <w:r w:rsidRPr="00335F98">
              <w:rPr>
                <w:rFonts w:cs="Arial"/>
                <w:color w:val="7F7F7F"/>
                <w:szCs w:val="18"/>
                <w:lang w:eastAsia="en-AU"/>
              </w:rPr>
              <w:t>794</w:t>
            </w:r>
          </w:p>
        </w:tc>
        <w:tc>
          <w:tcPr>
            <w:tcW w:w="992" w:type="dxa"/>
            <w:tcBorders>
              <w:top w:val="nil"/>
              <w:left w:val="nil"/>
              <w:bottom w:val="nil"/>
              <w:right w:val="nil"/>
            </w:tcBorders>
            <w:shd w:val="clear" w:color="auto" w:fill="auto"/>
            <w:noWrap/>
            <w:vAlign w:val="center"/>
            <w:hideMark/>
          </w:tcPr>
          <w:p w:rsidR="00335F98" w:rsidRPr="00335F98" w:rsidRDefault="00335F98" w:rsidP="00335F98">
            <w:pPr>
              <w:jc w:val="right"/>
              <w:rPr>
                <w:rFonts w:cs="Arial"/>
                <w:color w:val="7F7F7F"/>
                <w:szCs w:val="18"/>
                <w:lang w:eastAsia="en-AU"/>
              </w:rPr>
            </w:pPr>
            <w:r w:rsidRPr="00335F98">
              <w:rPr>
                <w:rFonts w:cs="Arial"/>
                <w:color w:val="7F7F7F"/>
                <w:szCs w:val="18"/>
                <w:lang w:eastAsia="en-AU"/>
              </w:rPr>
              <w:t>1,170</w:t>
            </w:r>
          </w:p>
        </w:tc>
        <w:tc>
          <w:tcPr>
            <w:tcW w:w="992" w:type="dxa"/>
            <w:tcBorders>
              <w:top w:val="nil"/>
              <w:left w:val="nil"/>
              <w:bottom w:val="nil"/>
              <w:right w:val="nil"/>
            </w:tcBorders>
            <w:shd w:val="clear" w:color="auto" w:fill="auto"/>
            <w:noWrap/>
            <w:vAlign w:val="center"/>
            <w:hideMark/>
          </w:tcPr>
          <w:p w:rsidR="00335F98" w:rsidRPr="00335F98" w:rsidRDefault="00335F98" w:rsidP="00335F98">
            <w:pPr>
              <w:jc w:val="right"/>
              <w:rPr>
                <w:rFonts w:cs="Arial"/>
                <w:color w:val="7F7F7F"/>
                <w:szCs w:val="18"/>
                <w:lang w:eastAsia="en-AU"/>
              </w:rPr>
            </w:pPr>
            <w:r w:rsidRPr="00335F98">
              <w:rPr>
                <w:rFonts w:cs="Arial"/>
                <w:color w:val="7F7F7F"/>
                <w:szCs w:val="18"/>
                <w:lang w:eastAsia="en-AU"/>
              </w:rPr>
              <w:t>1,256</w:t>
            </w:r>
          </w:p>
        </w:tc>
      </w:tr>
      <w:tr w:rsidR="00335F98" w:rsidRPr="00335F98" w:rsidTr="00335F98">
        <w:trPr>
          <w:trHeight w:val="300"/>
        </w:trPr>
        <w:tc>
          <w:tcPr>
            <w:tcW w:w="2000" w:type="dxa"/>
            <w:tcBorders>
              <w:top w:val="nil"/>
              <w:left w:val="nil"/>
              <w:bottom w:val="nil"/>
              <w:right w:val="nil"/>
            </w:tcBorders>
            <w:shd w:val="clear" w:color="auto" w:fill="auto"/>
            <w:noWrap/>
            <w:vAlign w:val="center"/>
            <w:hideMark/>
          </w:tcPr>
          <w:p w:rsidR="00335F98" w:rsidRPr="00335F98" w:rsidRDefault="00335F98" w:rsidP="00335F98">
            <w:pPr>
              <w:rPr>
                <w:rFonts w:cs="Arial"/>
                <w:color w:val="7F7F7F"/>
                <w:szCs w:val="18"/>
                <w:lang w:eastAsia="en-AU"/>
              </w:rPr>
            </w:pPr>
            <w:r w:rsidRPr="00335F98">
              <w:rPr>
                <w:rFonts w:cs="Arial"/>
                <w:color w:val="7F7F7F"/>
                <w:szCs w:val="18"/>
                <w:lang w:eastAsia="en-AU"/>
              </w:rPr>
              <w:t>Other*</w:t>
            </w:r>
          </w:p>
        </w:tc>
        <w:tc>
          <w:tcPr>
            <w:tcW w:w="1134" w:type="dxa"/>
            <w:tcBorders>
              <w:top w:val="nil"/>
              <w:left w:val="nil"/>
              <w:bottom w:val="nil"/>
              <w:right w:val="nil"/>
            </w:tcBorders>
            <w:shd w:val="clear" w:color="auto" w:fill="auto"/>
            <w:noWrap/>
            <w:vAlign w:val="center"/>
            <w:hideMark/>
          </w:tcPr>
          <w:p w:rsidR="00335F98" w:rsidRPr="00335F98" w:rsidRDefault="00335F98" w:rsidP="00335F98">
            <w:pPr>
              <w:jc w:val="right"/>
              <w:rPr>
                <w:rFonts w:cs="Arial"/>
                <w:color w:val="7F7F7F"/>
                <w:szCs w:val="18"/>
                <w:lang w:eastAsia="en-AU"/>
              </w:rPr>
            </w:pPr>
            <w:r w:rsidRPr="00335F98">
              <w:rPr>
                <w:rFonts w:cs="Arial"/>
                <w:color w:val="7F7F7F"/>
                <w:szCs w:val="18"/>
                <w:lang w:eastAsia="en-AU"/>
              </w:rPr>
              <w:t>11</w:t>
            </w:r>
          </w:p>
        </w:tc>
        <w:tc>
          <w:tcPr>
            <w:tcW w:w="992" w:type="dxa"/>
            <w:tcBorders>
              <w:top w:val="nil"/>
              <w:left w:val="nil"/>
              <w:bottom w:val="nil"/>
              <w:right w:val="nil"/>
            </w:tcBorders>
            <w:shd w:val="clear" w:color="auto" w:fill="auto"/>
            <w:noWrap/>
            <w:vAlign w:val="center"/>
            <w:hideMark/>
          </w:tcPr>
          <w:p w:rsidR="00335F98" w:rsidRPr="00335F98" w:rsidRDefault="00335F98" w:rsidP="00335F98">
            <w:pPr>
              <w:jc w:val="right"/>
              <w:rPr>
                <w:rFonts w:cs="Arial"/>
                <w:color w:val="7F7F7F"/>
                <w:szCs w:val="18"/>
                <w:lang w:eastAsia="en-AU"/>
              </w:rPr>
            </w:pPr>
            <w:r w:rsidRPr="00335F98">
              <w:rPr>
                <w:rFonts w:cs="Arial"/>
                <w:color w:val="7F7F7F"/>
                <w:szCs w:val="18"/>
                <w:lang w:eastAsia="en-AU"/>
              </w:rPr>
              <w:t>41</w:t>
            </w:r>
          </w:p>
        </w:tc>
        <w:tc>
          <w:tcPr>
            <w:tcW w:w="992" w:type="dxa"/>
            <w:tcBorders>
              <w:top w:val="nil"/>
              <w:left w:val="nil"/>
              <w:bottom w:val="nil"/>
              <w:right w:val="nil"/>
            </w:tcBorders>
            <w:shd w:val="clear" w:color="auto" w:fill="auto"/>
            <w:noWrap/>
            <w:vAlign w:val="center"/>
            <w:hideMark/>
          </w:tcPr>
          <w:p w:rsidR="00335F98" w:rsidRPr="00335F98" w:rsidRDefault="00335F98" w:rsidP="00335F98">
            <w:pPr>
              <w:jc w:val="right"/>
              <w:rPr>
                <w:rFonts w:cs="Arial"/>
                <w:color w:val="7F7F7F"/>
                <w:szCs w:val="18"/>
                <w:lang w:eastAsia="en-AU"/>
              </w:rPr>
            </w:pPr>
            <w:r w:rsidRPr="00335F98">
              <w:rPr>
                <w:rFonts w:cs="Arial"/>
                <w:color w:val="7F7F7F"/>
                <w:szCs w:val="18"/>
                <w:lang w:eastAsia="en-AU"/>
              </w:rPr>
              <w:t>7</w:t>
            </w:r>
          </w:p>
        </w:tc>
        <w:tc>
          <w:tcPr>
            <w:tcW w:w="993" w:type="dxa"/>
            <w:tcBorders>
              <w:top w:val="nil"/>
              <w:left w:val="nil"/>
              <w:bottom w:val="nil"/>
              <w:right w:val="nil"/>
            </w:tcBorders>
            <w:shd w:val="clear" w:color="auto" w:fill="auto"/>
            <w:noWrap/>
            <w:vAlign w:val="center"/>
            <w:hideMark/>
          </w:tcPr>
          <w:p w:rsidR="00335F98" w:rsidRPr="00335F98" w:rsidRDefault="00335F98" w:rsidP="00335F98">
            <w:pPr>
              <w:jc w:val="right"/>
              <w:rPr>
                <w:rFonts w:cs="Arial"/>
                <w:color w:val="7F7F7F"/>
                <w:szCs w:val="18"/>
                <w:lang w:eastAsia="en-AU"/>
              </w:rPr>
            </w:pPr>
            <w:r w:rsidRPr="00335F98">
              <w:rPr>
                <w:rFonts w:cs="Arial"/>
                <w:color w:val="7F7F7F"/>
                <w:szCs w:val="18"/>
                <w:lang w:eastAsia="en-AU"/>
              </w:rPr>
              <w:t>15</w:t>
            </w:r>
          </w:p>
        </w:tc>
        <w:tc>
          <w:tcPr>
            <w:tcW w:w="992" w:type="dxa"/>
            <w:tcBorders>
              <w:top w:val="nil"/>
              <w:left w:val="nil"/>
              <w:bottom w:val="nil"/>
              <w:right w:val="nil"/>
            </w:tcBorders>
            <w:shd w:val="clear" w:color="auto" w:fill="auto"/>
            <w:noWrap/>
            <w:vAlign w:val="center"/>
            <w:hideMark/>
          </w:tcPr>
          <w:p w:rsidR="00335F98" w:rsidRPr="00335F98" w:rsidRDefault="00335F98" w:rsidP="00335F98">
            <w:pPr>
              <w:jc w:val="right"/>
              <w:rPr>
                <w:rFonts w:cs="Arial"/>
                <w:color w:val="7F7F7F"/>
                <w:szCs w:val="18"/>
                <w:lang w:eastAsia="en-AU"/>
              </w:rPr>
            </w:pPr>
            <w:r w:rsidRPr="00335F98">
              <w:rPr>
                <w:rFonts w:cs="Arial"/>
                <w:color w:val="7F7F7F"/>
                <w:szCs w:val="18"/>
                <w:lang w:eastAsia="en-AU"/>
              </w:rPr>
              <w:t>20</w:t>
            </w:r>
          </w:p>
        </w:tc>
        <w:tc>
          <w:tcPr>
            <w:tcW w:w="992" w:type="dxa"/>
            <w:tcBorders>
              <w:top w:val="nil"/>
              <w:left w:val="nil"/>
              <w:bottom w:val="nil"/>
              <w:right w:val="nil"/>
            </w:tcBorders>
            <w:shd w:val="clear" w:color="auto" w:fill="auto"/>
            <w:noWrap/>
            <w:vAlign w:val="center"/>
            <w:hideMark/>
          </w:tcPr>
          <w:p w:rsidR="00335F98" w:rsidRPr="00335F98" w:rsidRDefault="00335F98" w:rsidP="00335F98">
            <w:pPr>
              <w:jc w:val="right"/>
              <w:rPr>
                <w:rFonts w:cs="Arial"/>
                <w:color w:val="7F7F7F"/>
                <w:szCs w:val="18"/>
                <w:lang w:eastAsia="en-AU"/>
              </w:rPr>
            </w:pPr>
            <w:r w:rsidRPr="00335F98">
              <w:rPr>
                <w:rFonts w:cs="Arial"/>
                <w:color w:val="7F7F7F"/>
                <w:szCs w:val="18"/>
                <w:lang w:eastAsia="en-AU"/>
              </w:rPr>
              <w:t>24</w:t>
            </w:r>
          </w:p>
        </w:tc>
      </w:tr>
      <w:tr w:rsidR="00335F98" w:rsidRPr="00335F98" w:rsidTr="00335F98">
        <w:trPr>
          <w:trHeight w:val="300"/>
        </w:trPr>
        <w:tc>
          <w:tcPr>
            <w:tcW w:w="2000" w:type="dxa"/>
            <w:tcBorders>
              <w:top w:val="nil"/>
              <w:left w:val="nil"/>
              <w:bottom w:val="nil"/>
              <w:right w:val="nil"/>
            </w:tcBorders>
            <w:shd w:val="clear" w:color="000000" w:fill="7F7F7F"/>
            <w:noWrap/>
            <w:vAlign w:val="center"/>
            <w:hideMark/>
          </w:tcPr>
          <w:p w:rsidR="00335F98" w:rsidRPr="00335F98" w:rsidRDefault="00335F98" w:rsidP="00335F98">
            <w:pPr>
              <w:rPr>
                <w:rFonts w:cs="Arial"/>
                <w:b/>
                <w:bCs/>
                <w:color w:val="FFFFFF"/>
                <w:szCs w:val="18"/>
                <w:lang w:eastAsia="en-AU"/>
              </w:rPr>
            </w:pPr>
            <w:r w:rsidRPr="00335F98">
              <w:rPr>
                <w:rFonts w:cs="Arial"/>
                <w:b/>
                <w:bCs/>
                <w:color w:val="FFFFFF"/>
                <w:szCs w:val="18"/>
                <w:lang w:eastAsia="en-AU"/>
              </w:rPr>
              <w:t>Total</w:t>
            </w:r>
          </w:p>
        </w:tc>
        <w:tc>
          <w:tcPr>
            <w:tcW w:w="1134" w:type="dxa"/>
            <w:tcBorders>
              <w:top w:val="nil"/>
              <w:left w:val="nil"/>
              <w:bottom w:val="nil"/>
              <w:right w:val="nil"/>
            </w:tcBorders>
            <w:shd w:val="clear" w:color="000000" w:fill="7F7F7F"/>
            <w:noWrap/>
            <w:vAlign w:val="center"/>
            <w:hideMark/>
          </w:tcPr>
          <w:p w:rsidR="00335F98" w:rsidRPr="00335F98" w:rsidRDefault="00335F98" w:rsidP="00335F98">
            <w:pPr>
              <w:jc w:val="right"/>
              <w:rPr>
                <w:rFonts w:cs="Arial"/>
                <w:b/>
                <w:bCs/>
                <w:color w:val="FFFFFF"/>
                <w:szCs w:val="18"/>
                <w:lang w:eastAsia="en-AU"/>
              </w:rPr>
            </w:pPr>
            <w:r w:rsidRPr="00335F98">
              <w:rPr>
                <w:rFonts w:cs="Arial"/>
                <w:b/>
                <w:bCs/>
                <w:color w:val="FFFFFF"/>
                <w:szCs w:val="18"/>
                <w:lang w:eastAsia="en-AU"/>
              </w:rPr>
              <w:t>35,138</w:t>
            </w:r>
          </w:p>
        </w:tc>
        <w:tc>
          <w:tcPr>
            <w:tcW w:w="992" w:type="dxa"/>
            <w:tcBorders>
              <w:top w:val="nil"/>
              <w:left w:val="nil"/>
              <w:bottom w:val="nil"/>
              <w:right w:val="nil"/>
            </w:tcBorders>
            <w:shd w:val="clear" w:color="000000" w:fill="7F7F7F"/>
            <w:noWrap/>
            <w:vAlign w:val="center"/>
            <w:hideMark/>
          </w:tcPr>
          <w:p w:rsidR="00335F98" w:rsidRPr="00335F98" w:rsidRDefault="00335F98" w:rsidP="00335F98">
            <w:pPr>
              <w:jc w:val="right"/>
              <w:rPr>
                <w:rFonts w:cs="Arial"/>
                <w:b/>
                <w:bCs/>
                <w:color w:val="FFFFFF"/>
                <w:szCs w:val="18"/>
                <w:lang w:eastAsia="en-AU"/>
              </w:rPr>
            </w:pPr>
            <w:r w:rsidRPr="00335F98">
              <w:rPr>
                <w:rFonts w:cs="Arial"/>
                <w:b/>
                <w:bCs/>
                <w:color w:val="FFFFFF"/>
                <w:szCs w:val="18"/>
                <w:lang w:eastAsia="en-AU"/>
              </w:rPr>
              <w:t>37,350</w:t>
            </w:r>
          </w:p>
        </w:tc>
        <w:tc>
          <w:tcPr>
            <w:tcW w:w="992" w:type="dxa"/>
            <w:tcBorders>
              <w:top w:val="nil"/>
              <w:left w:val="nil"/>
              <w:bottom w:val="nil"/>
              <w:right w:val="nil"/>
            </w:tcBorders>
            <w:shd w:val="clear" w:color="000000" w:fill="7F7F7F"/>
            <w:noWrap/>
            <w:vAlign w:val="center"/>
            <w:hideMark/>
          </w:tcPr>
          <w:p w:rsidR="00335F98" w:rsidRPr="00335F98" w:rsidRDefault="00335F98" w:rsidP="00335F98">
            <w:pPr>
              <w:jc w:val="right"/>
              <w:rPr>
                <w:rFonts w:cs="Arial"/>
                <w:b/>
                <w:bCs/>
                <w:color w:val="FFFFFF"/>
                <w:szCs w:val="18"/>
                <w:lang w:eastAsia="en-AU"/>
              </w:rPr>
            </w:pPr>
            <w:r w:rsidRPr="00335F98">
              <w:rPr>
                <w:rFonts w:cs="Arial"/>
                <w:b/>
                <w:bCs/>
                <w:color w:val="FFFFFF"/>
                <w:szCs w:val="18"/>
                <w:lang w:eastAsia="en-AU"/>
              </w:rPr>
              <w:t>37,656</w:t>
            </w:r>
          </w:p>
        </w:tc>
        <w:tc>
          <w:tcPr>
            <w:tcW w:w="993" w:type="dxa"/>
            <w:tcBorders>
              <w:top w:val="nil"/>
              <w:left w:val="nil"/>
              <w:bottom w:val="nil"/>
              <w:right w:val="nil"/>
            </w:tcBorders>
            <w:shd w:val="clear" w:color="000000" w:fill="7F7F7F"/>
            <w:noWrap/>
            <w:vAlign w:val="center"/>
            <w:hideMark/>
          </w:tcPr>
          <w:p w:rsidR="00335F98" w:rsidRPr="00335F98" w:rsidRDefault="00335F98" w:rsidP="00335F98">
            <w:pPr>
              <w:jc w:val="right"/>
              <w:rPr>
                <w:rFonts w:cs="Arial"/>
                <w:b/>
                <w:bCs/>
                <w:color w:val="FFFFFF"/>
                <w:szCs w:val="18"/>
                <w:lang w:eastAsia="en-AU"/>
              </w:rPr>
            </w:pPr>
            <w:r w:rsidRPr="00335F98">
              <w:rPr>
                <w:rFonts w:cs="Arial"/>
                <w:b/>
                <w:bCs/>
                <w:color w:val="FFFFFF"/>
                <w:szCs w:val="18"/>
                <w:lang w:eastAsia="en-AU"/>
              </w:rPr>
              <w:t>34,379</w:t>
            </w:r>
          </w:p>
        </w:tc>
        <w:tc>
          <w:tcPr>
            <w:tcW w:w="992" w:type="dxa"/>
            <w:tcBorders>
              <w:top w:val="nil"/>
              <w:left w:val="nil"/>
              <w:bottom w:val="nil"/>
              <w:right w:val="nil"/>
            </w:tcBorders>
            <w:shd w:val="clear" w:color="000000" w:fill="7F7F7F"/>
            <w:noWrap/>
            <w:vAlign w:val="center"/>
            <w:hideMark/>
          </w:tcPr>
          <w:p w:rsidR="00335F98" w:rsidRPr="00335F98" w:rsidRDefault="00335F98" w:rsidP="00335F98">
            <w:pPr>
              <w:jc w:val="right"/>
              <w:rPr>
                <w:rFonts w:cs="Arial"/>
                <w:b/>
                <w:bCs/>
                <w:color w:val="FFFFFF"/>
                <w:szCs w:val="18"/>
                <w:lang w:eastAsia="en-AU"/>
              </w:rPr>
            </w:pPr>
            <w:r w:rsidRPr="00335F98">
              <w:rPr>
                <w:rFonts w:cs="Arial"/>
                <w:b/>
                <w:bCs/>
                <w:color w:val="FFFFFF"/>
                <w:szCs w:val="18"/>
                <w:lang w:eastAsia="en-AU"/>
              </w:rPr>
              <w:t>34,307</w:t>
            </w:r>
          </w:p>
        </w:tc>
        <w:tc>
          <w:tcPr>
            <w:tcW w:w="992" w:type="dxa"/>
            <w:tcBorders>
              <w:top w:val="nil"/>
              <w:left w:val="nil"/>
              <w:bottom w:val="nil"/>
              <w:right w:val="nil"/>
            </w:tcBorders>
            <w:shd w:val="clear" w:color="000000" w:fill="7F7F7F"/>
            <w:noWrap/>
            <w:vAlign w:val="center"/>
            <w:hideMark/>
          </w:tcPr>
          <w:p w:rsidR="00335F98" w:rsidRPr="00335F98" w:rsidRDefault="00335F98" w:rsidP="00335F98">
            <w:pPr>
              <w:jc w:val="right"/>
              <w:rPr>
                <w:rFonts w:cs="Arial"/>
                <w:b/>
                <w:bCs/>
                <w:color w:val="FFFFFF"/>
                <w:szCs w:val="18"/>
                <w:lang w:eastAsia="en-AU"/>
              </w:rPr>
            </w:pPr>
            <w:r w:rsidRPr="00335F98">
              <w:rPr>
                <w:rFonts w:cs="Arial"/>
                <w:b/>
                <w:bCs/>
                <w:color w:val="FFFFFF"/>
                <w:szCs w:val="18"/>
                <w:lang w:eastAsia="en-AU"/>
              </w:rPr>
              <w:t>35,523</w:t>
            </w:r>
          </w:p>
        </w:tc>
      </w:tr>
    </w:tbl>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4A0" w:firstRow="1" w:lastRow="0" w:firstColumn="1" w:lastColumn="0" w:noHBand="0" w:noVBand="1"/>
      </w:tblPr>
      <w:tblGrid>
        <w:gridCol w:w="431"/>
        <w:gridCol w:w="7649"/>
      </w:tblGrid>
      <w:tr w:rsidR="00335F98" w:rsidRPr="00913551" w:rsidTr="009A29C5">
        <w:tc>
          <w:tcPr>
            <w:tcW w:w="431" w:type="dxa"/>
            <w:tcMar>
              <w:left w:w="0" w:type="dxa"/>
              <w:right w:w="28" w:type="dxa"/>
            </w:tcMar>
          </w:tcPr>
          <w:p w:rsidR="00335F98" w:rsidRPr="00913551" w:rsidRDefault="00335F98" w:rsidP="009A29C5">
            <w:pPr>
              <w:spacing w:after="0" w:line="240" w:lineRule="auto"/>
              <w:jc w:val="right"/>
              <w:rPr>
                <w:color w:val="7F7F7F" w:themeColor="text2"/>
                <w:sz w:val="16"/>
                <w:szCs w:val="16"/>
              </w:rPr>
            </w:pPr>
            <w:r w:rsidRPr="00913551">
              <w:rPr>
                <w:color w:val="7F7F7F" w:themeColor="text2"/>
                <w:sz w:val="16"/>
                <w:szCs w:val="16"/>
              </w:rPr>
              <w:t xml:space="preserve">* </w:t>
            </w:r>
          </w:p>
        </w:tc>
        <w:tc>
          <w:tcPr>
            <w:tcW w:w="7649" w:type="dxa"/>
            <w:tcMar>
              <w:left w:w="0" w:type="dxa"/>
              <w:right w:w="28" w:type="dxa"/>
            </w:tcMar>
          </w:tcPr>
          <w:p w:rsidR="00335F98" w:rsidRPr="00913551" w:rsidRDefault="00335F98" w:rsidP="009A29C5">
            <w:pPr>
              <w:pStyle w:val="Note"/>
              <w:spacing w:after="0"/>
              <w:rPr>
                <w:i w:val="0"/>
                <w:color w:val="7F7F7F" w:themeColor="text2"/>
              </w:rPr>
            </w:pPr>
            <w:r w:rsidRPr="00913551">
              <w:t>‘Other’ includes age under 15 years old, 65 years and over or not stated.</w:t>
            </w:r>
          </w:p>
        </w:tc>
      </w:tr>
    </w:tbl>
    <w:p w:rsidR="00C53522" w:rsidRDefault="00C53522" w:rsidP="00AB62FC">
      <w:pPr>
        <w:pStyle w:val="Quote"/>
        <w:rPr>
          <w:b w:val="0"/>
          <w:sz w:val="18"/>
          <w:szCs w:val="18"/>
        </w:rPr>
      </w:pPr>
    </w:p>
    <w:p w:rsidR="00C53522" w:rsidRDefault="00C53522" w:rsidP="00AB62FC">
      <w:pPr>
        <w:pStyle w:val="Quote"/>
        <w:rPr>
          <w:b w:val="0"/>
          <w:sz w:val="18"/>
          <w:szCs w:val="18"/>
        </w:rPr>
      </w:pP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335F98" w:rsidTr="009A29C5">
        <w:tc>
          <w:tcPr>
            <w:tcW w:w="1134" w:type="dxa"/>
            <w:tcMar>
              <w:left w:w="0" w:type="dxa"/>
              <w:right w:w="0" w:type="dxa"/>
            </w:tcMar>
          </w:tcPr>
          <w:p w:rsidR="00335F98" w:rsidRDefault="00335F98" w:rsidP="0005261F">
            <w:pPr>
              <w:pStyle w:val="Quote"/>
              <w:tabs>
                <w:tab w:val="left" w:pos="1134"/>
              </w:tabs>
              <w:rPr>
                <w:b w:val="0"/>
                <w:color w:val="B41F22" w:themeColor="accent1"/>
              </w:rPr>
            </w:pPr>
            <w:r>
              <w:rPr>
                <w:b w:val="0"/>
                <w:color w:val="B41F22" w:themeColor="accent1"/>
              </w:rPr>
              <w:t xml:space="preserve">Table </w:t>
            </w:r>
            <w:r w:rsidR="0005261F">
              <w:rPr>
                <w:b w:val="0"/>
                <w:color w:val="B41F22" w:themeColor="accent1"/>
              </w:rPr>
              <w:t>3</w:t>
            </w:r>
            <w:r>
              <w:rPr>
                <w:b w:val="0"/>
                <w:color w:val="B41F22" w:themeColor="accent1"/>
              </w:rPr>
              <w:t>.3.2:</w:t>
            </w:r>
          </w:p>
        </w:tc>
        <w:tc>
          <w:tcPr>
            <w:tcW w:w="6946" w:type="dxa"/>
            <w:tcMar>
              <w:left w:w="0" w:type="dxa"/>
              <w:right w:w="0" w:type="dxa"/>
            </w:tcMar>
          </w:tcPr>
          <w:p w:rsidR="00335F98" w:rsidRDefault="00335F98" w:rsidP="009A29C5">
            <w:pPr>
              <w:pStyle w:val="Quote"/>
              <w:tabs>
                <w:tab w:val="left" w:pos="1134"/>
              </w:tabs>
              <w:rPr>
                <w:b w:val="0"/>
                <w:color w:val="B41F22" w:themeColor="accent1"/>
              </w:rPr>
            </w:pPr>
            <w:r w:rsidRPr="00335F98">
              <w:rPr>
                <w:b w:val="0"/>
                <w:color w:val="B41F22" w:themeColor="accent1"/>
              </w:rPr>
              <w:t>Change in number of government subsidised apprentice course enrolments by age group (half year)</w:t>
            </w:r>
          </w:p>
        </w:tc>
      </w:tr>
    </w:tbl>
    <w:tbl>
      <w:tblPr>
        <w:tblW w:w="8095" w:type="dxa"/>
        <w:tblInd w:w="93" w:type="dxa"/>
        <w:tblLayout w:type="fixed"/>
        <w:tblLook w:val="04A0" w:firstRow="1" w:lastRow="0" w:firstColumn="1" w:lastColumn="0" w:noHBand="0" w:noVBand="1"/>
      </w:tblPr>
      <w:tblGrid>
        <w:gridCol w:w="2283"/>
        <w:gridCol w:w="1162"/>
        <w:gridCol w:w="1162"/>
        <w:gridCol w:w="1163"/>
        <w:gridCol w:w="1162"/>
        <w:gridCol w:w="1163"/>
      </w:tblGrid>
      <w:tr w:rsidR="00335F98" w:rsidRPr="00335F98" w:rsidTr="00335F98">
        <w:trPr>
          <w:trHeight w:val="720"/>
        </w:trPr>
        <w:tc>
          <w:tcPr>
            <w:tcW w:w="2283" w:type="dxa"/>
            <w:tcBorders>
              <w:top w:val="nil"/>
              <w:left w:val="nil"/>
              <w:bottom w:val="nil"/>
              <w:right w:val="nil"/>
            </w:tcBorders>
            <w:shd w:val="clear" w:color="000000" w:fill="7F7F7F"/>
            <w:noWrap/>
            <w:vAlign w:val="center"/>
            <w:hideMark/>
          </w:tcPr>
          <w:p w:rsidR="00335F98" w:rsidRPr="00335F98" w:rsidRDefault="00335F98" w:rsidP="00335F98">
            <w:pPr>
              <w:rPr>
                <w:rFonts w:cs="Arial"/>
                <w:color w:val="FFFFFF"/>
                <w:szCs w:val="18"/>
                <w:lang w:eastAsia="en-AU"/>
              </w:rPr>
            </w:pPr>
            <w:r w:rsidRPr="00335F98">
              <w:rPr>
                <w:rFonts w:cs="Arial"/>
                <w:color w:val="FFFFFF"/>
                <w:szCs w:val="18"/>
                <w:lang w:eastAsia="en-AU"/>
              </w:rPr>
              <w:t> </w:t>
            </w:r>
          </w:p>
        </w:tc>
        <w:tc>
          <w:tcPr>
            <w:tcW w:w="1162" w:type="dxa"/>
            <w:tcBorders>
              <w:top w:val="nil"/>
              <w:left w:val="nil"/>
              <w:bottom w:val="nil"/>
              <w:right w:val="nil"/>
            </w:tcBorders>
            <w:shd w:val="clear" w:color="000000" w:fill="7F7F7F"/>
            <w:vAlign w:val="center"/>
            <w:hideMark/>
          </w:tcPr>
          <w:p w:rsidR="00335F98" w:rsidRPr="00335F98" w:rsidRDefault="00335F98" w:rsidP="00335F98">
            <w:pPr>
              <w:jc w:val="right"/>
              <w:rPr>
                <w:rFonts w:cs="Arial"/>
                <w:b/>
                <w:bCs/>
                <w:color w:val="FFFFFF"/>
                <w:szCs w:val="18"/>
                <w:lang w:eastAsia="en-AU"/>
              </w:rPr>
            </w:pPr>
            <w:r w:rsidRPr="00335F98">
              <w:rPr>
                <w:rFonts w:cs="Arial"/>
                <w:b/>
                <w:bCs/>
                <w:color w:val="FFFFFF"/>
                <w:szCs w:val="18"/>
                <w:lang w:eastAsia="en-AU"/>
              </w:rPr>
              <w:t>% change 2010 to 2015</w:t>
            </w:r>
          </w:p>
        </w:tc>
        <w:tc>
          <w:tcPr>
            <w:tcW w:w="1162" w:type="dxa"/>
            <w:tcBorders>
              <w:top w:val="nil"/>
              <w:left w:val="nil"/>
              <w:bottom w:val="nil"/>
              <w:right w:val="nil"/>
            </w:tcBorders>
            <w:shd w:val="clear" w:color="000000" w:fill="7F7F7F"/>
            <w:vAlign w:val="center"/>
            <w:hideMark/>
          </w:tcPr>
          <w:p w:rsidR="00335F98" w:rsidRPr="00335F98" w:rsidRDefault="00335F98" w:rsidP="00335F98">
            <w:pPr>
              <w:jc w:val="right"/>
              <w:rPr>
                <w:rFonts w:cs="Arial"/>
                <w:b/>
                <w:bCs/>
                <w:color w:val="FFFFFF"/>
                <w:szCs w:val="18"/>
                <w:lang w:eastAsia="en-AU"/>
              </w:rPr>
            </w:pPr>
            <w:r w:rsidRPr="00335F98">
              <w:rPr>
                <w:rFonts w:cs="Arial"/>
                <w:b/>
                <w:bCs/>
                <w:color w:val="FFFFFF"/>
                <w:szCs w:val="18"/>
                <w:lang w:eastAsia="en-AU"/>
              </w:rPr>
              <w:t>% change 2011 to 2015</w:t>
            </w:r>
          </w:p>
        </w:tc>
        <w:tc>
          <w:tcPr>
            <w:tcW w:w="1163" w:type="dxa"/>
            <w:tcBorders>
              <w:top w:val="nil"/>
              <w:left w:val="nil"/>
              <w:bottom w:val="nil"/>
              <w:right w:val="nil"/>
            </w:tcBorders>
            <w:shd w:val="clear" w:color="000000" w:fill="7F7F7F"/>
            <w:vAlign w:val="center"/>
            <w:hideMark/>
          </w:tcPr>
          <w:p w:rsidR="00335F98" w:rsidRPr="00335F98" w:rsidRDefault="00335F98" w:rsidP="00335F98">
            <w:pPr>
              <w:jc w:val="right"/>
              <w:rPr>
                <w:rFonts w:cs="Arial"/>
                <w:b/>
                <w:bCs/>
                <w:color w:val="FFFFFF"/>
                <w:szCs w:val="18"/>
                <w:lang w:eastAsia="en-AU"/>
              </w:rPr>
            </w:pPr>
            <w:r w:rsidRPr="00335F98">
              <w:rPr>
                <w:rFonts w:cs="Arial"/>
                <w:b/>
                <w:bCs/>
                <w:color w:val="FFFFFF"/>
                <w:szCs w:val="18"/>
                <w:lang w:eastAsia="en-AU"/>
              </w:rPr>
              <w:t>% change 2012 to 2015</w:t>
            </w:r>
          </w:p>
        </w:tc>
        <w:tc>
          <w:tcPr>
            <w:tcW w:w="1162" w:type="dxa"/>
            <w:tcBorders>
              <w:top w:val="nil"/>
              <w:left w:val="nil"/>
              <w:bottom w:val="nil"/>
              <w:right w:val="nil"/>
            </w:tcBorders>
            <w:shd w:val="clear" w:color="000000" w:fill="7F7F7F"/>
            <w:vAlign w:val="center"/>
            <w:hideMark/>
          </w:tcPr>
          <w:p w:rsidR="00335F98" w:rsidRPr="00335F98" w:rsidRDefault="00335F98" w:rsidP="00335F98">
            <w:pPr>
              <w:jc w:val="right"/>
              <w:rPr>
                <w:rFonts w:cs="Arial"/>
                <w:b/>
                <w:bCs/>
                <w:color w:val="FFFFFF"/>
                <w:szCs w:val="18"/>
                <w:lang w:eastAsia="en-AU"/>
              </w:rPr>
            </w:pPr>
            <w:r w:rsidRPr="00335F98">
              <w:rPr>
                <w:rFonts w:cs="Arial"/>
                <w:b/>
                <w:bCs/>
                <w:color w:val="FFFFFF"/>
                <w:szCs w:val="18"/>
                <w:lang w:eastAsia="en-AU"/>
              </w:rPr>
              <w:t>% change 2013 to 2015</w:t>
            </w:r>
          </w:p>
        </w:tc>
        <w:tc>
          <w:tcPr>
            <w:tcW w:w="1163" w:type="dxa"/>
            <w:tcBorders>
              <w:top w:val="nil"/>
              <w:left w:val="nil"/>
              <w:bottom w:val="nil"/>
              <w:right w:val="nil"/>
            </w:tcBorders>
            <w:shd w:val="clear" w:color="000000" w:fill="7F7F7F"/>
            <w:vAlign w:val="center"/>
            <w:hideMark/>
          </w:tcPr>
          <w:p w:rsidR="00335F98" w:rsidRPr="00335F98" w:rsidRDefault="00335F98" w:rsidP="00335F98">
            <w:pPr>
              <w:jc w:val="right"/>
              <w:rPr>
                <w:rFonts w:cs="Arial"/>
                <w:b/>
                <w:bCs/>
                <w:color w:val="FFFFFF"/>
                <w:szCs w:val="18"/>
                <w:lang w:eastAsia="en-AU"/>
              </w:rPr>
            </w:pPr>
            <w:r w:rsidRPr="00335F98">
              <w:rPr>
                <w:rFonts w:cs="Arial"/>
                <w:b/>
                <w:bCs/>
                <w:color w:val="FFFFFF"/>
                <w:szCs w:val="18"/>
                <w:lang w:eastAsia="en-AU"/>
              </w:rPr>
              <w:t>% change 2014 to 2015</w:t>
            </w:r>
          </w:p>
        </w:tc>
      </w:tr>
      <w:tr w:rsidR="00335F98" w:rsidRPr="00335F98" w:rsidTr="00335F98">
        <w:trPr>
          <w:trHeight w:val="300"/>
        </w:trPr>
        <w:tc>
          <w:tcPr>
            <w:tcW w:w="2283" w:type="dxa"/>
            <w:tcBorders>
              <w:top w:val="nil"/>
              <w:left w:val="nil"/>
              <w:bottom w:val="nil"/>
              <w:right w:val="nil"/>
            </w:tcBorders>
            <w:shd w:val="clear" w:color="auto" w:fill="auto"/>
            <w:vAlign w:val="center"/>
            <w:hideMark/>
          </w:tcPr>
          <w:p w:rsidR="00335F98" w:rsidRPr="00335F98" w:rsidRDefault="00335F98" w:rsidP="00335F98">
            <w:pPr>
              <w:rPr>
                <w:rFonts w:cs="Arial"/>
                <w:color w:val="7F7F7F"/>
                <w:szCs w:val="18"/>
                <w:lang w:eastAsia="en-AU"/>
              </w:rPr>
            </w:pPr>
            <w:r w:rsidRPr="00335F98">
              <w:rPr>
                <w:rFonts w:cs="Arial"/>
                <w:color w:val="7F7F7F"/>
                <w:szCs w:val="18"/>
                <w:lang w:eastAsia="en-AU"/>
              </w:rPr>
              <w:t>15 to 19</w:t>
            </w:r>
          </w:p>
        </w:tc>
        <w:tc>
          <w:tcPr>
            <w:tcW w:w="1162" w:type="dxa"/>
            <w:tcBorders>
              <w:top w:val="nil"/>
              <w:left w:val="nil"/>
              <w:bottom w:val="nil"/>
              <w:right w:val="nil"/>
            </w:tcBorders>
            <w:shd w:val="clear" w:color="auto" w:fill="auto"/>
            <w:noWrap/>
            <w:vAlign w:val="center"/>
            <w:hideMark/>
          </w:tcPr>
          <w:p w:rsidR="00335F98" w:rsidRPr="00335F98" w:rsidRDefault="00335F98" w:rsidP="00335F98">
            <w:pPr>
              <w:jc w:val="right"/>
              <w:rPr>
                <w:rFonts w:cs="Arial"/>
                <w:color w:val="7F7F7F"/>
                <w:szCs w:val="18"/>
                <w:lang w:eastAsia="en-AU"/>
              </w:rPr>
            </w:pPr>
            <w:r w:rsidRPr="00335F98">
              <w:rPr>
                <w:rFonts w:cs="Arial"/>
                <w:color w:val="7F7F7F"/>
                <w:szCs w:val="18"/>
                <w:lang w:eastAsia="en-AU"/>
              </w:rPr>
              <w:t>-26%</w:t>
            </w:r>
          </w:p>
        </w:tc>
        <w:tc>
          <w:tcPr>
            <w:tcW w:w="1162" w:type="dxa"/>
            <w:tcBorders>
              <w:top w:val="nil"/>
              <w:left w:val="nil"/>
              <w:bottom w:val="nil"/>
              <w:right w:val="nil"/>
            </w:tcBorders>
            <w:shd w:val="clear" w:color="auto" w:fill="auto"/>
            <w:noWrap/>
            <w:vAlign w:val="center"/>
            <w:hideMark/>
          </w:tcPr>
          <w:p w:rsidR="00335F98" w:rsidRPr="00335F98" w:rsidRDefault="00335F98" w:rsidP="00335F98">
            <w:pPr>
              <w:jc w:val="right"/>
              <w:rPr>
                <w:rFonts w:cs="Arial"/>
                <w:color w:val="7F7F7F"/>
                <w:szCs w:val="18"/>
                <w:lang w:eastAsia="en-AU"/>
              </w:rPr>
            </w:pPr>
            <w:r w:rsidRPr="00335F98">
              <w:rPr>
                <w:rFonts w:cs="Arial"/>
                <w:color w:val="7F7F7F"/>
                <w:szCs w:val="18"/>
                <w:lang w:eastAsia="en-AU"/>
              </w:rPr>
              <w:t>-27%</w:t>
            </w:r>
          </w:p>
        </w:tc>
        <w:tc>
          <w:tcPr>
            <w:tcW w:w="1163" w:type="dxa"/>
            <w:tcBorders>
              <w:top w:val="nil"/>
              <w:left w:val="nil"/>
              <w:bottom w:val="nil"/>
              <w:right w:val="nil"/>
            </w:tcBorders>
            <w:shd w:val="clear" w:color="auto" w:fill="auto"/>
            <w:noWrap/>
            <w:vAlign w:val="center"/>
            <w:hideMark/>
          </w:tcPr>
          <w:p w:rsidR="00335F98" w:rsidRPr="00335F98" w:rsidRDefault="00335F98" w:rsidP="00335F98">
            <w:pPr>
              <w:jc w:val="right"/>
              <w:rPr>
                <w:rFonts w:cs="Arial"/>
                <w:color w:val="7F7F7F"/>
                <w:szCs w:val="18"/>
                <w:lang w:eastAsia="en-AU"/>
              </w:rPr>
            </w:pPr>
            <w:r w:rsidRPr="00335F98">
              <w:rPr>
                <w:rFonts w:cs="Arial"/>
                <w:color w:val="7F7F7F"/>
                <w:szCs w:val="18"/>
                <w:lang w:eastAsia="en-AU"/>
              </w:rPr>
              <w:t>-23%</w:t>
            </w:r>
          </w:p>
        </w:tc>
        <w:tc>
          <w:tcPr>
            <w:tcW w:w="1162" w:type="dxa"/>
            <w:tcBorders>
              <w:top w:val="nil"/>
              <w:left w:val="nil"/>
              <w:bottom w:val="nil"/>
              <w:right w:val="nil"/>
            </w:tcBorders>
            <w:shd w:val="clear" w:color="auto" w:fill="auto"/>
            <w:noWrap/>
            <w:vAlign w:val="center"/>
            <w:hideMark/>
          </w:tcPr>
          <w:p w:rsidR="00335F98" w:rsidRPr="00335F98" w:rsidRDefault="00335F98" w:rsidP="00335F98">
            <w:pPr>
              <w:jc w:val="right"/>
              <w:rPr>
                <w:rFonts w:cs="Arial"/>
                <w:color w:val="7F7F7F"/>
                <w:szCs w:val="18"/>
                <w:lang w:eastAsia="en-AU"/>
              </w:rPr>
            </w:pPr>
            <w:r w:rsidRPr="00335F98">
              <w:rPr>
                <w:rFonts w:cs="Arial"/>
                <w:color w:val="7F7F7F"/>
                <w:szCs w:val="18"/>
                <w:lang w:eastAsia="en-AU"/>
              </w:rPr>
              <w:t>-6%</w:t>
            </w:r>
          </w:p>
        </w:tc>
        <w:tc>
          <w:tcPr>
            <w:tcW w:w="1163" w:type="dxa"/>
            <w:tcBorders>
              <w:top w:val="nil"/>
              <w:left w:val="nil"/>
              <w:bottom w:val="nil"/>
              <w:right w:val="nil"/>
            </w:tcBorders>
            <w:shd w:val="clear" w:color="auto" w:fill="auto"/>
            <w:noWrap/>
            <w:vAlign w:val="center"/>
            <w:hideMark/>
          </w:tcPr>
          <w:p w:rsidR="00335F98" w:rsidRPr="00335F98" w:rsidRDefault="00335F98" w:rsidP="00335F98">
            <w:pPr>
              <w:jc w:val="right"/>
              <w:rPr>
                <w:rFonts w:cs="Arial"/>
                <w:color w:val="7F7F7F"/>
                <w:szCs w:val="18"/>
                <w:lang w:eastAsia="en-AU"/>
              </w:rPr>
            </w:pPr>
            <w:r w:rsidRPr="00335F98">
              <w:rPr>
                <w:rFonts w:cs="Arial"/>
                <w:color w:val="7F7F7F"/>
                <w:szCs w:val="18"/>
                <w:lang w:eastAsia="en-AU"/>
              </w:rPr>
              <w:t>1%</w:t>
            </w:r>
          </w:p>
        </w:tc>
      </w:tr>
      <w:tr w:rsidR="00335F98" w:rsidRPr="00335F98" w:rsidTr="00335F98">
        <w:trPr>
          <w:trHeight w:val="300"/>
        </w:trPr>
        <w:tc>
          <w:tcPr>
            <w:tcW w:w="2283" w:type="dxa"/>
            <w:tcBorders>
              <w:top w:val="nil"/>
              <w:left w:val="nil"/>
              <w:bottom w:val="nil"/>
              <w:right w:val="nil"/>
            </w:tcBorders>
            <w:shd w:val="clear" w:color="auto" w:fill="auto"/>
            <w:vAlign w:val="center"/>
            <w:hideMark/>
          </w:tcPr>
          <w:p w:rsidR="00335F98" w:rsidRPr="00335F98" w:rsidRDefault="00335F98" w:rsidP="00335F98">
            <w:pPr>
              <w:rPr>
                <w:rFonts w:cs="Arial"/>
                <w:color w:val="7F7F7F"/>
                <w:szCs w:val="18"/>
                <w:lang w:eastAsia="en-AU"/>
              </w:rPr>
            </w:pPr>
            <w:r w:rsidRPr="00335F98">
              <w:rPr>
                <w:rFonts w:cs="Arial"/>
                <w:color w:val="7F7F7F"/>
                <w:szCs w:val="18"/>
                <w:lang w:eastAsia="en-AU"/>
              </w:rPr>
              <w:t>20 to 24</w:t>
            </w:r>
          </w:p>
        </w:tc>
        <w:tc>
          <w:tcPr>
            <w:tcW w:w="1162" w:type="dxa"/>
            <w:tcBorders>
              <w:top w:val="nil"/>
              <w:left w:val="nil"/>
              <w:bottom w:val="nil"/>
              <w:right w:val="nil"/>
            </w:tcBorders>
            <w:shd w:val="clear" w:color="auto" w:fill="auto"/>
            <w:noWrap/>
            <w:vAlign w:val="center"/>
            <w:hideMark/>
          </w:tcPr>
          <w:p w:rsidR="00335F98" w:rsidRPr="00335F98" w:rsidRDefault="00335F98" w:rsidP="00335F98">
            <w:pPr>
              <w:jc w:val="right"/>
              <w:rPr>
                <w:rFonts w:cs="Arial"/>
                <w:color w:val="7F7F7F"/>
                <w:szCs w:val="18"/>
                <w:lang w:eastAsia="en-AU"/>
              </w:rPr>
            </w:pPr>
            <w:r w:rsidRPr="00335F98">
              <w:rPr>
                <w:rFonts w:cs="Arial"/>
                <w:color w:val="7F7F7F"/>
                <w:szCs w:val="18"/>
                <w:lang w:eastAsia="en-AU"/>
              </w:rPr>
              <w:t>8%</w:t>
            </w:r>
          </w:p>
        </w:tc>
        <w:tc>
          <w:tcPr>
            <w:tcW w:w="1162" w:type="dxa"/>
            <w:tcBorders>
              <w:top w:val="nil"/>
              <w:left w:val="nil"/>
              <w:bottom w:val="nil"/>
              <w:right w:val="nil"/>
            </w:tcBorders>
            <w:shd w:val="clear" w:color="auto" w:fill="auto"/>
            <w:noWrap/>
            <w:vAlign w:val="center"/>
            <w:hideMark/>
          </w:tcPr>
          <w:p w:rsidR="00335F98" w:rsidRPr="00335F98" w:rsidRDefault="00335F98" w:rsidP="00335F98">
            <w:pPr>
              <w:jc w:val="right"/>
              <w:rPr>
                <w:rFonts w:cs="Arial"/>
                <w:color w:val="7F7F7F"/>
                <w:szCs w:val="18"/>
                <w:lang w:eastAsia="en-AU"/>
              </w:rPr>
            </w:pPr>
            <w:r w:rsidRPr="00335F98">
              <w:rPr>
                <w:rFonts w:cs="Arial"/>
                <w:color w:val="7F7F7F"/>
                <w:szCs w:val="18"/>
                <w:lang w:eastAsia="en-AU"/>
              </w:rPr>
              <w:t>2%</w:t>
            </w:r>
          </w:p>
        </w:tc>
        <w:tc>
          <w:tcPr>
            <w:tcW w:w="1163" w:type="dxa"/>
            <w:tcBorders>
              <w:top w:val="nil"/>
              <w:left w:val="nil"/>
              <w:bottom w:val="nil"/>
              <w:right w:val="nil"/>
            </w:tcBorders>
            <w:shd w:val="clear" w:color="auto" w:fill="auto"/>
            <w:noWrap/>
            <w:vAlign w:val="center"/>
            <w:hideMark/>
          </w:tcPr>
          <w:p w:rsidR="00335F98" w:rsidRPr="00335F98" w:rsidRDefault="00335F98" w:rsidP="00335F98">
            <w:pPr>
              <w:jc w:val="right"/>
              <w:rPr>
                <w:rFonts w:cs="Arial"/>
                <w:color w:val="7F7F7F"/>
                <w:szCs w:val="18"/>
                <w:lang w:eastAsia="en-AU"/>
              </w:rPr>
            </w:pPr>
            <w:r w:rsidRPr="00335F98">
              <w:rPr>
                <w:rFonts w:cs="Arial"/>
                <w:color w:val="7F7F7F"/>
                <w:szCs w:val="18"/>
                <w:lang w:eastAsia="en-AU"/>
              </w:rPr>
              <w:t>-3%</w:t>
            </w:r>
          </w:p>
        </w:tc>
        <w:tc>
          <w:tcPr>
            <w:tcW w:w="1162" w:type="dxa"/>
            <w:tcBorders>
              <w:top w:val="nil"/>
              <w:left w:val="nil"/>
              <w:bottom w:val="nil"/>
              <w:right w:val="nil"/>
            </w:tcBorders>
            <w:shd w:val="clear" w:color="auto" w:fill="auto"/>
            <w:noWrap/>
            <w:vAlign w:val="center"/>
            <w:hideMark/>
          </w:tcPr>
          <w:p w:rsidR="00335F98" w:rsidRPr="00335F98" w:rsidRDefault="00335F98" w:rsidP="00335F98">
            <w:pPr>
              <w:jc w:val="right"/>
              <w:rPr>
                <w:rFonts w:cs="Arial"/>
                <w:color w:val="7F7F7F"/>
                <w:szCs w:val="18"/>
                <w:lang w:eastAsia="en-AU"/>
              </w:rPr>
            </w:pPr>
            <w:r w:rsidRPr="00335F98">
              <w:rPr>
                <w:rFonts w:cs="Arial"/>
                <w:color w:val="7F7F7F"/>
                <w:szCs w:val="18"/>
                <w:lang w:eastAsia="en-AU"/>
              </w:rPr>
              <w:t>3%</w:t>
            </w:r>
          </w:p>
        </w:tc>
        <w:tc>
          <w:tcPr>
            <w:tcW w:w="1163" w:type="dxa"/>
            <w:tcBorders>
              <w:top w:val="nil"/>
              <w:left w:val="nil"/>
              <w:bottom w:val="nil"/>
              <w:right w:val="nil"/>
            </w:tcBorders>
            <w:shd w:val="clear" w:color="auto" w:fill="auto"/>
            <w:noWrap/>
            <w:vAlign w:val="center"/>
            <w:hideMark/>
          </w:tcPr>
          <w:p w:rsidR="00335F98" w:rsidRPr="00335F98" w:rsidRDefault="00335F98" w:rsidP="00335F98">
            <w:pPr>
              <w:jc w:val="right"/>
              <w:rPr>
                <w:rFonts w:cs="Arial"/>
                <w:color w:val="7F7F7F"/>
                <w:szCs w:val="18"/>
                <w:lang w:eastAsia="en-AU"/>
              </w:rPr>
            </w:pPr>
            <w:r w:rsidRPr="00335F98">
              <w:rPr>
                <w:rFonts w:cs="Arial"/>
                <w:color w:val="7F7F7F"/>
                <w:szCs w:val="18"/>
                <w:lang w:eastAsia="en-AU"/>
              </w:rPr>
              <w:t>3%</w:t>
            </w:r>
          </w:p>
        </w:tc>
      </w:tr>
      <w:tr w:rsidR="00335F98" w:rsidRPr="00335F98" w:rsidTr="00335F98">
        <w:trPr>
          <w:trHeight w:val="300"/>
        </w:trPr>
        <w:tc>
          <w:tcPr>
            <w:tcW w:w="2283" w:type="dxa"/>
            <w:tcBorders>
              <w:top w:val="nil"/>
              <w:left w:val="nil"/>
              <w:bottom w:val="nil"/>
              <w:right w:val="nil"/>
            </w:tcBorders>
            <w:shd w:val="clear" w:color="auto" w:fill="auto"/>
            <w:vAlign w:val="center"/>
            <w:hideMark/>
          </w:tcPr>
          <w:p w:rsidR="00335F98" w:rsidRPr="00335F98" w:rsidRDefault="00335F98" w:rsidP="00335F98">
            <w:pPr>
              <w:rPr>
                <w:rFonts w:cs="Arial"/>
                <w:color w:val="7F7F7F"/>
                <w:szCs w:val="18"/>
                <w:lang w:eastAsia="en-AU"/>
              </w:rPr>
            </w:pPr>
            <w:r w:rsidRPr="00335F98">
              <w:rPr>
                <w:rFonts w:cs="Arial"/>
                <w:color w:val="7F7F7F"/>
                <w:szCs w:val="18"/>
                <w:lang w:eastAsia="en-AU"/>
              </w:rPr>
              <w:t>25 to 44</w:t>
            </w:r>
          </w:p>
        </w:tc>
        <w:tc>
          <w:tcPr>
            <w:tcW w:w="1162" w:type="dxa"/>
            <w:tcBorders>
              <w:top w:val="nil"/>
              <w:left w:val="nil"/>
              <w:bottom w:val="nil"/>
              <w:right w:val="nil"/>
            </w:tcBorders>
            <w:shd w:val="clear" w:color="auto" w:fill="auto"/>
            <w:noWrap/>
            <w:vAlign w:val="center"/>
            <w:hideMark/>
          </w:tcPr>
          <w:p w:rsidR="00335F98" w:rsidRPr="00335F98" w:rsidRDefault="00335F98" w:rsidP="00335F98">
            <w:pPr>
              <w:jc w:val="right"/>
              <w:rPr>
                <w:rFonts w:cs="Arial"/>
                <w:color w:val="7F7F7F"/>
                <w:szCs w:val="18"/>
                <w:lang w:eastAsia="en-AU"/>
              </w:rPr>
            </w:pPr>
            <w:r w:rsidRPr="00335F98">
              <w:rPr>
                <w:rFonts w:cs="Arial"/>
                <w:color w:val="7F7F7F"/>
                <w:szCs w:val="18"/>
                <w:lang w:eastAsia="en-AU"/>
              </w:rPr>
              <w:t>39%</w:t>
            </w:r>
          </w:p>
        </w:tc>
        <w:tc>
          <w:tcPr>
            <w:tcW w:w="1162" w:type="dxa"/>
            <w:tcBorders>
              <w:top w:val="nil"/>
              <w:left w:val="nil"/>
              <w:bottom w:val="nil"/>
              <w:right w:val="nil"/>
            </w:tcBorders>
            <w:shd w:val="clear" w:color="auto" w:fill="auto"/>
            <w:noWrap/>
            <w:vAlign w:val="center"/>
            <w:hideMark/>
          </w:tcPr>
          <w:p w:rsidR="00335F98" w:rsidRPr="00335F98" w:rsidRDefault="00335F98" w:rsidP="00335F98">
            <w:pPr>
              <w:jc w:val="right"/>
              <w:rPr>
                <w:rFonts w:cs="Arial"/>
                <w:color w:val="7F7F7F"/>
                <w:szCs w:val="18"/>
                <w:lang w:eastAsia="en-AU"/>
              </w:rPr>
            </w:pPr>
            <w:r w:rsidRPr="00335F98">
              <w:rPr>
                <w:rFonts w:cs="Arial"/>
                <w:color w:val="7F7F7F"/>
                <w:szCs w:val="18"/>
                <w:lang w:eastAsia="en-AU"/>
              </w:rPr>
              <w:t>20%</w:t>
            </w:r>
          </w:p>
        </w:tc>
        <w:tc>
          <w:tcPr>
            <w:tcW w:w="1163" w:type="dxa"/>
            <w:tcBorders>
              <w:top w:val="nil"/>
              <w:left w:val="nil"/>
              <w:bottom w:val="nil"/>
              <w:right w:val="nil"/>
            </w:tcBorders>
            <w:shd w:val="clear" w:color="auto" w:fill="auto"/>
            <w:noWrap/>
            <w:vAlign w:val="center"/>
            <w:hideMark/>
          </w:tcPr>
          <w:p w:rsidR="00335F98" w:rsidRPr="00335F98" w:rsidRDefault="00335F98" w:rsidP="00335F98">
            <w:pPr>
              <w:jc w:val="right"/>
              <w:rPr>
                <w:rFonts w:cs="Arial"/>
                <w:color w:val="7F7F7F"/>
                <w:szCs w:val="18"/>
                <w:lang w:eastAsia="en-AU"/>
              </w:rPr>
            </w:pPr>
            <w:r w:rsidRPr="00335F98">
              <w:rPr>
                <w:rFonts w:cs="Arial"/>
                <w:color w:val="7F7F7F"/>
                <w:szCs w:val="18"/>
                <w:lang w:eastAsia="en-AU"/>
              </w:rPr>
              <w:t>14%</w:t>
            </w:r>
          </w:p>
        </w:tc>
        <w:tc>
          <w:tcPr>
            <w:tcW w:w="1162" w:type="dxa"/>
            <w:tcBorders>
              <w:top w:val="nil"/>
              <w:left w:val="nil"/>
              <w:bottom w:val="nil"/>
              <w:right w:val="nil"/>
            </w:tcBorders>
            <w:shd w:val="clear" w:color="auto" w:fill="auto"/>
            <w:noWrap/>
            <w:vAlign w:val="center"/>
            <w:hideMark/>
          </w:tcPr>
          <w:p w:rsidR="00335F98" w:rsidRPr="00335F98" w:rsidRDefault="00335F98" w:rsidP="00335F98">
            <w:pPr>
              <w:jc w:val="right"/>
              <w:rPr>
                <w:rFonts w:cs="Arial"/>
                <w:color w:val="7F7F7F"/>
                <w:szCs w:val="18"/>
                <w:lang w:eastAsia="en-AU"/>
              </w:rPr>
            </w:pPr>
            <w:r w:rsidRPr="00335F98">
              <w:rPr>
                <w:rFonts w:cs="Arial"/>
                <w:color w:val="7F7F7F"/>
                <w:szCs w:val="18"/>
                <w:lang w:eastAsia="en-AU"/>
              </w:rPr>
              <w:t>13%</w:t>
            </w:r>
          </w:p>
        </w:tc>
        <w:tc>
          <w:tcPr>
            <w:tcW w:w="1163" w:type="dxa"/>
            <w:tcBorders>
              <w:top w:val="nil"/>
              <w:left w:val="nil"/>
              <w:bottom w:val="nil"/>
              <w:right w:val="nil"/>
            </w:tcBorders>
            <w:shd w:val="clear" w:color="auto" w:fill="auto"/>
            <w:noWrap/>
            <w:vAlign w:val="center"/>
            <w:hideMark/>
          </w:tcPr>
          <w:p w:rsidR="00335F98" w:rsidRPr="00335F98" w:rsidRDefault="00335F98" w:rsidP="00335F98">
            <w:pPr>
              <w:jc w:val="right"/>
              <w:rPr>
                <w:rFonts w:cs="Arial"/>
                <w:color w:val="7F7F7F"/>
                <w:szCs w:val="18"/>
                <w:lang w:eastAsia="en-AU"/>
              </w:rPr>
            </w:pPr>
            <w:r w:rsidRPr="00335F98">
              <w:rPr>
                <w:rFonts w:cs="Arial"/>
                <w:color w:val="7F7F7F"/>
                <w:szCs w:val="18"/>
                <w:lang w:eastAsia="en-AU"/>
              </w:rPr>
              <w:t>7%</w:t>
            </w:r>
          </w:p>
        </w:tc>
      </w:tr>
      <w:tr w:rsidR="00335F98" w:rsidRPr="00335F98" w:rsidTr="00335F98">
        <w:trPr>
          <w:trHeight w:val="300"/>
        </w:trPr>
        <w:tc>
          <w:tcPr>
            <w:tcW w:w="2283" w:type="dxa"/>
            <w:tcBorders>
              <w:top w:val="nil"/>
              <w:left w:val="nil"/>
              <w:bottom w:val="nil"/>
              <w:right w:val="nil"/>
            </w:tcBorders>
            <w:shd w:val="clear" w:color="auto" w:fill="auto"/>
            <w:vAlign w:val="center"/>
            <w:hideMark/>
          </w:tcPr>
          <w:p w:rsidR="00335F98" w:rsidRPr="00335F98" w:rsidRDefault="00335F98" w:rsidP="00335F98">
            <w:pPr>
              <w:rPr>
                <w:rFonts w:cs="Arial"/>
                <w:color w:val="7F7F7F"/>
                <w:szCs w:val="18"/>
                <w:lang w:eastAsia="en-AU"/>
              </w:rPr>
            </w:pPr>
            <w:r w:rsidRPr="00335F98">
              <w:rPr>
                <w:rFonts w:cs="Arial"/>
                <w:color w:val="7F7F7F"/>
                <w:szCs w:val="18"/>
                <w:lang w:eastAsia="en-AU"/>
              </w:rPr>
              <w:t>45 to 64</w:t>
            </w:r>
          </w:p>
        </w:tc>
        <w:tc>
          <w:tcPr>
            <w:tcW w:w="1162" w:type="dxa"/>
            <w:tcBorders>
              <w:top w:val="nil"/>
              <w:left w:val="nil"/>
              <w:bottom w:val="nil"/>
              <w:right w:val="nil"/>
            </w:tcBorders>
            <w:shd w:val="clear" w:color="auto" w:fill="auto"/>
            <w:noWrap/>
            <w:vAlign w:val="center"/>
            <w:hideMark/>
          </w:tcPr>
          <w:p w:rsidR="00335F98" w:rsidRPr="00335F98" w:rsidRDefault="00335F98" w:rsidP="00335F98">
            <w:pPr>
              <w:jc w:val="right"/>
              <w:rPr>
                <w:rFonts w:cs="Arial"/>
                <w:color w:val="7F7F7F"/>
                <w:szCs w:val="18"/>
                <w:lang w:eastAsia="en-AU"/>
              </w:rPr>
            </w:pPr>
            <w:r w:rsidRPr="00335F98">
              <w:rPr>
                <w:rFonts w:cs="Arial"/>
                <w:color w:val="7F7F7F"/>
                <w:szCs w:val="18"/>
                <w:lang w:eastAsia="en-AU"/>
              </w:rPr>
              <w:t>188%</w:t>
            </w:r>
          </w:p>
        </w:tc>
        <w:tc>
          <w:tcPr>
            <w:tcW w:w="1162" w:type="dxa"/>
            <w:tcBorders>
              <w:top w:val="nil"/>
              <w:left w:val="nil"/>
              <w:bottom w:val="nil"/>
              <w:right w:val="nil"/>
            </w:tcBorders>
            <w:shd w:val="clear" w:color="auto" w:fill="auto"/>
            <w:noWrap/>
            <w:vAlign w:val="center"/>
            <w:hideMark/>
          </w:tcPr>
          <w:p w:rsidR="00335F98" w:rsidRPr="00335F98" w:rsidRDefault="00335F98" w:rsidP="00335F98">
            <w:pPr>
              <w:jc w:val="right"/>
              <w:rPr>
                <w:rFonts w:cs="Arial"/>
                <w:color w:val="7F7F7F"/>
                <w:szCs w:val="18"/>
                <w:lang w:eastAsia="en-AU"/>
              </w:rPr>
            </w:pPr>
            <w:r w:rsidRPr="00335F98">
              <w:rPr>
                <w:rFonts w:cs="Arial"/>
                <w:color w:val="7F7F7F"/>
                <w:szCs w:val="18"/>
                <w:lang w:eastAsia="en-AU"/>
              </w:rPr>
              <w:t>128%</w:t>
            </w:r>
          </w:p>
        </w:tc>
        <w:tc>
          <w:tcPr>
            <w:tcW w:w="1163" w:type="dxa"/>
            <w:tcBorders>
              <w:top w:val="nil"/>
              <w:left w:val="nil"/>
              <w:bottom w:val="nil"/>
              <w:right w:val="nil"/>
            </w:tcBorders>
            <w:shd w:val="clear" w:color="auto" w:fill="auto"/>
            <w:noWrap/>
            <w:vAlign w:val="center"/>
            <w:hideMark/>
          </w:tcPr>
          <w:p w:rsidR="00335F98" w:rsidRPr="00335F98" w:rsidRDefault="00335F98" w:rsidP="00335F98">
            <w:pPr>
              <w:jc w:val="right"/>
              <w:rPr>
                <w:rFonts w:cs="Arial"/>
                <w:color w:val="7F7F7F"/>
                <w:szCs w:val="18"/>
                <w:lang w:eastAsia="en-AU"/>
              </w:rPr>
            </w:pPr>
            <w:r w:rsidRPr="00335F98">
              <w:rPr>
                <w:rFonts w:cs="Arial"/>
                <w:color w:val="7F7F7F"/>
                <w:szCs w:val="18"/>
                <w:lang w:eastAsia="en-AU"/>
              </w:rPr>
              <w:t>115%</w:t>
            </w:r>
          </w:p>
        </w:tc>
        <w:tc>
          <w:tcPr>
            <w:tcW w:w="1162" w:type="dxa"/>
            <w:tcBorders>
              <w:top w:val="nil"/>
              <w:left w:val="nil"/>
              <w:bottom w:val="nil"/>
              <w:right w:val="nil"/>
            </w:tcBorders>
            <w:shd w:val="clear" w:color="auto" w:fill="auto"/>
            <w:noWrap/>
            <w:vAlign w:val="center"/>
            <w:hideMark/>
          </w:tcPr>
          <w:p w:rsidR="00335F98" w:rsidRPr="00335F98" w:rsidRDefault="00335F98" w:rsidP="00335F98">
            <w:pPr>
              <w:jc w:val="right"/>
              <w:rPr>
                <w:rFonts w:cs="Arial"/>
                <w:color w:val="7F7F7F"/>
                <w:szCs w:val="18"/>
                <w:lang w:eastAsia="en-AU"/>
              </w:rPr>
            </w:pPr>
            <w:r w:rsidRPr="00335F98">
              <w:rPr>
                <w:rFonts w:cs="Arial"/>
                <w:color w:val="7F7F7F"/>
                <w:szCs w:val="18"/>
                <w:lang w:eastAsia="en-AU"/>
              </w:rPr>
              <w:t>58%</w:t>
            </w:r>
          </w:p>
        </w:tc>
        <w:tc>
          <w:tcPr>
            <w:tcW w:w="1163" w:type="dxa"/>
            <w:tcBorders>
              <w:top w:val="nil"/>
              <w:left w:val="nil"/>
              <w:bottom w:val="nil"/>
              <w:right w:val="nil"/>
            </w:tcBorders>
            <w:shd w:val="clear" w:color="auto" w:fill="auto"/>
            <w:noWrap/>
            <w:vAlign w:val="center"/>
            <w:hideMark/>
          </w:tcPr>
          <w:p w:rsidR="00335F98" w:rsidRPr="00335F98" w:rsidRDefault="00335F98" w:rsidP="00335F98">
            <w:pPr>
              <w:jc w:val="right"/>
              <w:rPr>
                <w:rFonts w:cs="Arial"/>
                <w:color w:val="7F7F7F"/>
                <w:szCs w:val="18"/>
                <w:lang w:eastAsia="en-AU"/>
              </w:rPr>
            </w:pPr>
            <w:r w:rsidRPr="00335F98">
              <w:rPr>
                <w:rFonts w:cs="Arial"/>
                <w:color w:val="7F7F7F"/>
                <w:szCs w:val="18"/>
                <w:lang w:eastAsia="en-AU"/>
              </w:rPr>
              <w:t>7%</w:t>
            </w:r>
          </w:p>
        </w:tc>
      </w:tr>
      <w:tr w:rsidR="00335F98" w:rsidRPr="00335F98" w:rsidTr="00335F98">
        <w:trPr>
          <w:trHeight w:val="300"/>
        </w:trPr>
        <w:tc>
          <w:tcPr>
            <w:tcW w:w="2283" w:type="dxa"/>
            <w:tcBorders>
              <w:top w:val="nil"/>
              <w:left w:val="nil"/>
              <w:bottom w:val="nil"/>
              <w:right w:val="nil"/>
            </w:tcBorders>
            <w:shd w:val="clear" w:color="auto" w:fill="auto"/>
            <w:noWrap/>
            <w:vAlign w:val="center"/>
            <w:hideMark/>
          </w:tcPr>
          <w:p w:rsidR="00335F98" w:rsidRPr="00335F98" w:rsidRDefault="00335F98" w:rsidP="00335F98">
            <w:pPr>
              <w:rPr>
                <w:rFonts w:cs="Arial"/>
                <w:color w:val="7F7F7F"/>
                <w:szCs w:val="18"/>
                <w:lang w:eastAsia="en-AU"/>
              </w:rPr>
            </w:pPr>
            <w:r w:rsidRPr="00335F98">
              <w:rPr>
                <w:rFonts w:cs="Arial"/>
                <w:color w:val="7F7F7F"/>
                <w:szCs w:val="18"/>
                <w:lang w:eastAsia="en-AU"/>
              </w:rPr>
              <w:t>Other*</w:t>
            </w:r>
          </w:p>
        </w:tc>
        <w:tc>
          <w:tcPr>
            <w:tcW w:w="1162" w:type="dxa"/>
            <w:tcBorders>
              <w:top w:val="nil"/>
              <w:left w:val="nil"/>
              <w:bottom w:val="nil"/>
              <w:right w:val="nil"/>
            </w:tcBorders>
            <w:shd w:val="clear" w:color="auto" w:fill="auto"/>
            <w:noWrap/>
            <w:vAlign w:val="center"/>
            <w:hideMark/>
          </w:tcPr>
          <w:p w:rsidR="00335F98" w:rsidRPr="00335F98" w:rsidRDefault="00335F98" w:rsidP="00335F98">
            <w:pPr>
              <w:jc w:val="right"/>
              <w:rPr>
                <w:rFonts w:cs="Arial"/>
                <w:color w:val="7F7F7F"/>
                <w:szCs w:val="18"/>
                <w:lang w:eastAsia="en-AU"/>
              </w:rPr>
            </w:pPr>
            <w:r w:rsidRPr="00335F98">
              <w:rPr>
                <w:rFonts w:cs="Arial"/>
                <w:color w:val="7F7F7F"/>
                <w:szCs w:val="18"/>
                <w:lang w:eastAsia="en-AU"/>
              </w:rPr>
              <w:t>118%</w:t>
            </w:r>
          </w:p>
        </w:tc>
        <w:tc>
          <w:tcPr>
            <w:tcW w:w="1162" w:type="dxa"/>
            <w:tcBorders>
              <w:top w:val="nil"/>
              <w:left w:val="nil"/>
              <w:bottom w:val="nil"/>
              <w:right w:val="nil"/>
            </w:tcBorders>
            <w:shd w:val="clear" w:color="auto" w:fill="auto"/>
            <w:noWrap/>
            <w:vAlign w:val="center"/>
            <w:hideMark/>
          </w:tcPr>
          <w:p w:rsidR="00335F98" w:rsidRPr="00335F98" w:rsidRDefault="00335F98" w:rsidP="00335F98">
            <w:pPr>
              <w:jc w:val="right"/>
              <w:rPr>
                <w:rFonts w:cs="Arial"/>
                <w:color w:val="7F7F7F"/>
                <w:szCs w:val="18"/>
                <w:lang w:eastAsia="en-AU"/>
              </w:rPr>
            </w:pPr>
            <w:r w:rsidRPr="00335F98">
              <w:rPr>
                <w:rFonts w:cs="Arial"/>
                <w:color w:val="7F7F7F"/>
                <w:szCs w:val="18"/>
                <w:lang w:eastAsia="en-AU"/>
              </w:rPr>
              <w:t>-41%</w:t>
            </w:r>
          </w:p>
        </w:tc>
        <w:tc>
          <w:tcPr>
            <w:tcW w:w="1163" w:type="dxa"/>
            <w:tcBorders>
              <w:top w:val="nil"/>
              <w:left w:val="nil"/>
              <w:bottom w:val="nil"/>
              <w:right w:val="nil"/>
            </w:tcBorders>
            <w:shd w:val="clear" w:color="auto" w:fill="auto"/>
            <w:noWrap/>
            <w:vAlign w:val="center"/>
            <w:hideMark/>
          </w:tcPr>
          <w:p w:rsidR="00335F98" w:rsidRPr="00335F98" w:rsidRDefault="00335F98" w:rsidP="00335F98">
            <w:pPr>
              <w:jc w:val="right"/>
              <w:rPr>
                <w:rFonts w:cs="Arial"/>
                <w:color w:val="7F7F7F"/>
                <w:szCs w:val="18"/>
                <w:lang w:eastAsia="en-AU"/>
              </w:rPr>
            </w:pPr>
            <w:r w:rsidRPr="00335F98">
              <w:rPr>
                <w:rFonts w:cs="Arial"/>
                <w:color w:val="7F7F7F"/>
                <w:szCs w:val="18"/>
                <w:lang w:eastAsia="en-AU"/>
              </w:rPr>
              <w:t>243%</w:t>
            </w:r>
          </w:p>
        </w:tc>
        <w:tc>
          <w:tcPr>
            <w:tcW w:w="1162" w:type="dxa"/>
            <w:tcBorders>
              <w:top w:val="nil"/>
              <w:left w:val="nil"/>
              <w:bottom w:val="nil"/>
              <w:right w:val="nil"/>
            </w:tcBorders>
            <w:shd w:val="clear" w:color="auto" w:fill="auto"/>
            <w:noWrap/>
            <w:vAlign w:val="center"/>
            <w:hideMark/>
          </w:tcPr>
          <w:p w:rsidR="00335F98" w:rsidRPr="00335F98" w:rsidRDefault="00335F98" w:rsidP="00335F98">
            <w:pPr>
              <w:jc w:val="right"/>
              <w:rPr>
                <w:rFonts w:cs="Arial"/>
                <w:color w:val="7F7F7F"/>
                <w:szCs w:val="18"/>
                <w:lang w:eastAsia="en-AU"/>
              </w:rPr>
            </w:pPr>
            <w:r w:rsidRPr="00335F98">
              <w:rPr>
                <w:rFonts w:cs="Arial"/>
                <w:color w:val="7F7F7F"/>
                <w:szCs w:val="18"/>
                <w:lang w:eastAsia="en-AU"/>
              </w:rPr>
              <w:t>60%</w:t>
            </w:r>
          </w:p>
        </w:tc>
        <w:tc>
          <w:tcPr>
            <w:tcW w:w="1163" w:type="dxa"/>
            <w:tcBorders>
              <w:top w:val="nil"/>
              <w:left w:val="nil"/>
              <w:bottom w:val="nil"/>
              <w:right w:val="nil"/>
            </w:tcBorders>
            <w:shd w:val="clear" w:color="auto" w:fill="auto"/>
            <w:noWrap/>
            <w:vAlign w:val="center"/>
            <w:hideMark/>
          </w:tcPr>
          <w:p w:rsidR="00335F98" w:rsidRPr="00335F98" w:rsidRDefault="00335F98" w:rsidP="00335F98">
            <w:pPr>
              <w:jc w:val="right"/>
              <w:rPr>
                <w:rFonts w:cs="Arial"/>
                <w:color w:val="7F7F7F"/>
                <w:szCs w:val="18"/>
                <w:lang w:eastAsia="en-AU"/>
              </w:rPr>
            </w:pPr>
            <w:r w:rsidRPr="00335F98">
              <w:rPr>
                <w:rFonts w:cs="Arial"/>
                <w:color w:val="7F7F7F"/>
                <w:szCs w:val="18"/>
                <w:lang w:eastAsia="en-AU"/>
              </w:rPr>
              <w:t>20%</w:t>
            </w:r>
          </w:p>
        </w:tc>
      </w:tr>
      <w:tr w:rsidR="00335F98" w:rsidRPr="00335F98" w:rsidTr="00335F98">
        <w:trPr>
          <w:trHeight w:val="300"/>
        </w:trPr>
        <w:tc>
          <w:tcPr>
            <w:tcW w:w="2283" w:type="dxa"/>
            <w:tcBorders>
              <w:top w:val="nil"/>
              <w:left w:val="nil"/>
              <w:bottom w:val="nil"/>
              <w:right w:val="nil"/>
            </w:tcBorders>
            <w:shd w:val="clear" w:color="000000" w:fill="7F7F7F"/>
            <w:noWrap/>
            <w:vAlign w:val="center"/>
            <w:hideMark/>
          </w:tcPr>
          <w:p w:rsidR="00335F98" w:rsidRPr="00335F98" w:rsidRDefault="00335F98" w:rsidP="00335F98">
            <w:pPr>
              <w:rPr>
                <w:rFonts w:cs="Arial"/>
                <w:b/>
                <w:bCs/>
                <w:color w:val="FFFFFF"/>
                <w:szCs w:val="18"/>
                <w:lang w:eastAsia="en-AU"/>
              </w:rPr>
            </w:pPr>
            <w:r w:rsidRPr="00335F98">
              <w:rPr>
                <w:rFonts w:cs="Arial"/>
                <w:b/>
                <w:bCs/>
                <w:color w:val="FFFFFF"/>
                <w:szCs w:val="18"/>
                <w:lang w:eastAsia="en-AU"/>
              </w:rPr>
              <w:t>Total</w:t>
            </w:r>
          </w:p>
        </w:tc>
        <w:tc>
          <w:tcPr>
            <w:tcW w:w="1162" w:type="dxa"/>
            <w:tcBorders>
              <w:top w:val="nil"/>
              <w:left w:val="nil"/>
              <w:bottom w:val="nil"/>
              <w:right w:val="nil"/>
            </w:tcBorders>
            <w:shd w:val="clear" w:color="000000" w:fill="7F7F7F"/>
            <w:noWrap/>
            <w:vAlign w:val="center"/>
            <w:hideMark/>
          </w:tcPr>
          <w:p w:rsidR="00335F98" w:rsidRPr="00335F98" w:rsidRDefault="00335F98" w:rsidP="00335F98">
            <w:pPr>
              <w:jc w:val="right"/>
              <w:rPr>
                <w:rFonts w:cs="Arial"/>
                <w:b/>
                <w:bCs/>
                <w:color w:val="FFFFFF"/>
                <w:szCs w:val="18"/>
                <w:lang w:eastAsia="en-AU"/>
              </w:rPr>
            </w:pPr>
            <w:r w:rsidRPr="00335F98">
              <w:rPr>
                <w:rFonts w:cs="Arial"/>
                <w:b/>
                <w:bCs/>
                <w:color w:val="FFFFFF"/>
                <w:szCs w:val="18"/>
                <w:lang w:eastAsia="en-AU"/>
              </w:rPr>
              <w:t>1%</w:t>
            </w:r>
          </w:p>
        </w:tc>
        <w:tc>
          <w:tcPr>
            <w:tcW w:w="1162" w:type="dxa"/>
            <w:tcBorders>
              <w:top w:val="nil"/>
              <w:left w:val="nil"/>
              <w:bottom w:val="nil"/>
              <w:right w:val="nil"/>
            </w:tcBorders>
            <w:shd w:val="clear" w:color="000000" w:fill="7F7F7F"/>
            <w:noWrap/>
            <w:vAlign w:val="center"/>
            <w:hideMark/>
          </w:tcPr>
          <w:p w:rsidR="00335F98" w:rsidRPr="00335F98" w:rsidRDefault="00335F98" w:rsidP="00335F98">
            <w:pPr>
              <w:jc w:val="right"/>
              <w:rPr>
                <w:rFonts w:cs="Arial"/>
                <w:b/>
                <w:bCs/>
                <w:color w:val="FFFFFF"/>
                <w:szCs w:val="18"/>
                <w:lang w:eastAsia="en-AU"/>
              </w:rPr>
            </w:pPr>
            <w:r w:rsidRPr="00335F98">
              <w:rPr>
                <w:rFonts w:cs="Arial"/>
                <w:b/>
                <w:bCs/>
                <w:color w:val="FFFFFF"/>
                <w:szCs w:val="18"/>
                <w:lang w:eastAsia="en-AU"/>
              </w:rPr>
              <w:t>-5%</w:t>
            </w:r>
          </w:p>
        </w:tc>
        <w:tc>
          <w:tcPr>
            <w:tcW w:w="1163" w:type="dxa"/>
            <w:tcBorders>
              <w:top w:val="nil"/>
              <w:left w:val="nil"/>
              <w:bottom w:val="nil"/>
              <w:right w:val="nil"/>
            </w:tcBorders>
            <w:shd w:val="clear" w:color="000000" w:fill="7F7F7F"/>
            <w:noWrap/>
            <w:vAlign w:val="center"/>
            <w:hideMark/>
          </w:tcPr>
          <w:p w:rsidR="00335F98" w:rsidRPr="00335F98" w:rsidRDefault="00335F98" w:rsidP="00335F98">
            <w:pPr>
              <w:jc w:val="right"/>
              <w:rPr>
                <w:rFonts w:cs="Arial"/>
                <w:b/>
                <w:bCs/>
                <w:color w:val="FFFFFF"/>
                <w:szCs w:val="18"/>
                <w:lang w:eastAsia="en-AU"/>
              </w:rPr>
            </w:pPr>
            <w:r w:rsidRPr="00335F98">
              <w:rPr>
                <w:rFonts w:cs="Arial"/>
                <w:b/>
                <w:bCs/>
                <w:color w:val="FFFFFF"/>
                <w:szCs w:val="18"/>
                <w:lang w:eastAsia="en-AU"/>
              </w:rPr>
              <w:t>-6%</w:t>
            </w:r>
          </w:p>
        </w:tc>
        <w:tc>
          <w:tcPr>
            <w:tcW w:w="1162" w:type="dxa"/>
            <w:tcBorders>
              <w:top w:val="nil"/>
              <w:left w:val="nil"/>
              <w:bottom w:val="nil"/>
              <w:right w:val="nil"/>
            </w:tcBorders>
            <w:shd w:val="clear" w:color="000000" w:fill="7F7F7F"/>
            <w:noWrap/>
            <w:vAlign w:val="center"/>
            <w:hideMark/>
          </w:tcPr>
          <w:p w:rsidR="00335F98" w:rsidRPr="00335F98" w:rsidRDefault="00335F98" w:rsidP="00335F98">
            <w:pPr>
              <w:jc w:val="right"/>
              <w:rPr>
                <w:rFonts w:cs="Arial"/>
                <w:b/>
                <w:bCs/>
                <w:color w:val="FFFFFF"/>
                <w:szCs w:val="18"/>
                <w:lang w:eastAsia="en-AU"/>
              </w:rPr>
            </w:pPr>
            <w:r w:rsidRPr="00335F98">
              <w:rPr>
                <w:rFonts w:cs="Arial"/>
                <w:b/>
                <w:bCs/>
                <w:color w:val="FFFFFF"/>
                <w:szCs w:val="18"/>
                <w:lang w:eastAsia="en-AU"/>
              </w:rPr>
              <w:t>3%</w:t>
            </w:r>
          </w:p>
        </w:tc>
        <w:tc>
          <w:tcPr>
            <w:tcW w:w="1163" w:type="dxa"/>
            <w:tcBorders>
              <w:top w:val="nil"/>
              <w:left w:val="nil"/>
              <w:bottom w:val="nil"/>
              <w:right w:val="nil"/>
            </w:tcBorders>
            <w:shd w:val="clear" w:color="000000" w:fill="7F7F7F"/>
            <w:noWrap/>
            <w:vAlign w:val="center"/>
            <w:hideMark/>
          </w:tcPr>
          <w:p w:rsidR="00335F98" w:rsidRPr="00335F98" w:rsidRDefault="00335F98" w:rsidP="00335F98">
            <w:pPr>
              <w:jc w:val="right"/>
              <w:rPr>
                <w:rFonts w:cs="Arial"/>
                <w:b/>
                <w:bCs/>
                <w:color w:val="FFFFFF"/>
                <w:szCs w:val="18"/>
                <w:lang w:eastAsia="en-AU"/>
              </w:rPr>
            </w:pPr>
            <w:r w:rsidRPr="00335F98">
              <w:rPr>
                <w:rFonts w:cs="Arial"/>
                <w:b/>
                <w:bCs/>
                <w:color w:val="FFFFFF"/>
                <w:szCs w:val="18"/>
                <w:lang w:eastAsia="en-AU"/>
              </w:rPr>
              <w:t>4%</w:t>
            </w:r>
          </w:p>
        </w:tc>
      </w:tr>
    </w:tbl>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4A0" w:firstRow="1" w:lastRow="0" w:firstColumn="1" w:lastColumn="0" w:noHBand="0" w:noVBand="1"/>
      </w:tblPr>
      <w:tblGrid>
        <w:gridCol w:w="431"/>
        <w:gridCol w:w="7649"/>
      </w:tblGrid>
      <w:tr w:rsidR="00335F98" w:rsidRPr="00913551" w:rsidTr="009A29C5">
        <w:tc>
          <w:tcPr>
            <w:tcW w:w="431" w:type="dxa"/>
            <w:tcMar>
              <w:left w:w="0" w:type="dxa"/>
              <w:right w:w="28" w:type="dxa"/>
            </w:tcMar>
          </w:tcPr>
          <w:p w:rsidR="00335F98" w:rsidRPr="00913551" w:rsidRDefault="00335F98" w:rsidP="009A29C5">
            <w:pPr>
              <w:spacing w:after="0" w:line="240" w:lineRule="auto"/>
              <w:jc w:val="right"/>
              <w:rPr>
                <w:color w:val="7F7F7F" w:themeColor="text2"/>
                <w:sz w:val="16"/>
                <w:szCs w:val="16"/>
              </w:rPr>
            </w:pPr>
            <w:r w:rsidRPr="00913551">
              <w:rPr>
                <w:color w:val="7F7F7F" w:themeColor="text2"/>
                <w:sz w:val="16"/>
                <w:szCs w:val="16"/>
              </w:rPr>
              <w:t xml:space="preserve">* </w:t>
            </w:r>
          </w:p>
        </w:tc>
        <w:tc>
          <w:tcPr>
            <w:tcW w:w="7649" w:type="dxa"/>
            <w:tcMar>
              <w:left w:w="0" w:type="dxa"/>
              <w:right w:w="28" w:type="dxa"/>
            </w:tcMar>
          </w:tcPr>
          <w:p w:rsidR="00335F98" w:rsidRPr="00913551" w:rsidRDefault="00335F98" w:rsidP="009A29C5">
            <w:pPr>
              <w:pStyle w:val="Note"/>
              <w:spacing w:after="0"/>
              <w:rPr>
                <w:i w:val="0"/>
                <w:color w:val="7F7F7F" w:themeColor="text2"/>
              </w:rPr>
            </w:pPr>
            <w:r w:rsidRPr="00913551">
              <w:t>‘Other’ includes age under 15 years old, 65 years and over or not stated.</w:t>
            </w:r>
          </w:p>
        </w:tc>
      </w:tr>
    </w:tbl>
    <w:p w:rsidR="00C53522" w:rsidRDefault="00C53522" w:rsidP="00AB62FC">
      <w:pPr>
        <w:pStyle w:val="Quote"/>
        <w:rPr>
          <w:b w:val="0"/>
          <w:sz w:val="18"/>
          <w:szCs w:val="18"/>
        </w:rPr>
      </w:pPr>
    </w:p>
    <w:p w:rsidR="00C53522" w:rsidRDefault="00C53522" w:rsidP="00AB62FC">
      <w:pPr>
        <w:pStyle w:val="Quote"/>
        <w:rPr>
          <w:b w:val="0"/>
          <w:sz w:val="18"/>
          <w:szCs w:val="18"/>
        </w:rPr>
      </w:pPr>
    </w:p>
    <w:p w:rsidR="00AB62FC" w:rsidRPr="00365EB2" w:rsidRDefault="00AB62FC" w:rsidP="00AB62FC">
      <w:r w:rsidRPr="00365EB2">
        <w:br w:type="page"/>
      </w: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9951B2" w:rsidTr="009A29C5">
        <w:tc>
          <w:tcPr>
            <w:tcW w:w="1134" w:type="dxa"/>
            <w:tcMar>
              <w:left w:w="0" w:type="dxa"/>
              <w:right w:w="0" w:type="dxa"/>
            </w:tcMar>
          </w:tcPr>
          <w:p w:rsidR="009951B2" w:rsidRDefault="009951B2" w:rsidP="0005261F">
            <w:pPr>
              <w:pStyle w:val="Quote"/>
              <w:tabs>
                <w:tab w:val="left" w:pos="1134"/>
              </w:tabs>
              <w:rPr>
                <w:b w:val="0"/>
                <w:color w:val="B41F22" w:themeColor="accent1"/>
              </w:rPr>
            </w:pPr>
            <w:r>
              <w:rPr>
                <w:b w:val="0"/>
                <w:color w:val="B41F22" w:themeColor="accent1"/>
              </w:rPr>
              <w:lastRenderedPageBreak/>
              <w:t xml:space="preserve">Table </w:t>
            </w:r>
            <w:r w:rsidR="0005261F">
              <w:rPr>
                <w:b w:val="0"/>
                <w:color w:val="B41F22" w:themeColor="accent1"/>
              </w:rPr>
              <w:t>3</w:t>
            </w:r>
            <w:r>
              <w:rPr>
                <w:b w:val="0"/>
                <w:color w:val="B41F22" w:themeColor="accent1"/>
              </w:rPr>
              <w:t>.4.1:</w:t>
            </w:r>
          </w:p>
        </w:tc>
        <w:tc>
          <w:tcPr>
            <w:tcW w:w="6946" w:type="dxa"/>
            <w:tcMar>
              <w:left w:w="0" w:type="dxa"/>
              <w:right w:w="0" w:type="dxa"/>
            </w:tcMar>
          </w:tcPr>
          <w:p w:rsidR="009951B2" w:rsidRDefault="009951B2" w:rsidP="009A29C5">
            <w:pPr>
              <w:pStyle w:val="Quote"/>
              <w:tabs>
                <w:tab w:val="left" w:pos="1134"/>
              </w:tabs>
              <w:rPr>
                <w:b w:val="0"/>
                <w:color w:val="B41F22" w:themeColor="accent1"/>
              </w:rPr>
            </w:pPr>
            <w:r w:rsidRPr="009951B2">
              <w:rPr>
                <w:b w:val="0"/>
                <w:color w:val="B41F22" w:themeColor="accent1"/>
              </w:rPr>
              <w:t>Government subsidised apprentice course enrolments by occupation, 2010 to 2015 (half year)</w:t>
            </w:r>
          </w:p>
        </w:tc>
      </w:tr>
    </w:tbl>
    <w:tbl>
      <w:tblPr>
        <w:tblW w:w="8237" w:type="dxa"/>
        <w:tblInd w:w="93" w:type="dxa"/>
        <w:tblLayout w:type="fixed"/>
        <w:tblLook w:val="04A0" w:firstRow="1" w:lastRow="0" w:firstColumn="1" w:lastColumn="0" w:noHBand="0" w:noVBand="1"/>
      </w:tblPr>
      <w:tblGrid>
        <w:gridCol w:w="2600"/>
        <w:gridCol w:w="939"/>
        <w:gridCol w:w="940"/>
        <w:gridCol w:w="939"/>
        <w:gridCol w:w="940"/>
        <w:gridCol w:w="939"/>
        <w:gridCol w:w="940"/>
      </w:tblGrid>
      <w:tr w:rsidR="009951B2" w:rsidRPr="009951B2" w:rsidTr="009951B2">
        <w:trPr>
          <w:trHeight w:val="300"/>
        </w:trPr>
        <w:tc>
          <w:tcPr>
            <w:tcW w:w="2600" w:type="dxa"/>
            <w:tcBorders>
              <w:top w:val="nil"/>
              <w:left w:val="nil"/>
              <w:bottom w:val="nil"/>
              <w:right w:val="nil"/>
            </w:tcBorders>
            <w:shd w:val="clear" w:color="000000" w:fill="7F7F7F"/>
            <w:noWrap/>
            <w:vAlign w:val="center"/>
            <w:hideMark/>
          </w:tcPr>
          <w:p w:rsidR="009951B2" w:rsidRPr="009951B2" w:rsidRDefault="009951B2" w:rsidP="009951B2">
            <w:pPr>
              <w:rPr>
                <w:rFonts w:cs="Arial"/>
                <w:color w:val="FFFFFF"/>
                <w:szCs w:val="18"/>
                <w:lang w:eastAsia="en-AU"/>
              </w:rPr>
            </w:pPr>
            <w:r w:rsidRPr="009951B2">
              <w:rPr>
                <w:rFonts w:cs="Arial"/>
                <w:color w:val="FFFFFF"/>
                <w:szCs w:val="18"/>
                <w:lang w:eastAsia="en-AU"/>
              </w:rPr>
              <w:t> </w:t>
            </w:r>
          </w:p>
        </w:tc>
        <w:tc>
          <w:tcPr>
            <w:tcW w:w="939" w:type="dxa"/>
            <w:tcBorders>
              <w:top w:val="nil"/>
              <w:left w:val="nil"/>
              <w:bottom w:val="nil"/>
              <w:right w:val="nil"/>
            </w:tcBorders>
            <w:shd w:val="clear" w:color="000000" w:fill="7F7F7F"/>
            <w:noWrap/>
            <w:vAlign w:val="center"/>
            <w:hideMark/>
          </w:tcPr>
          <w:p w:rsidR="009951B2" w:rsidRPr="009951B2" w:rsidRDefault="009951B2" w:rsidP="009951B2">
            <w:pPr>
              <w:jc w:val="right"/>
              <w:rPr>
                <w:rFonts w:cs="Arial"/>
                <w:b/>
                <w:bCs/>
                <w:color w:val="FFFFFF"/>
                <w:szCs w:val="18"/>
                <w:lang w:eastAsia="en-AU"/>
              </w:rPr>
            </w:pPr>
            <w:r w:rsidRPr="009951B2">
              <w:rPr>
                <w:rFonts w:cs="Arial"/>
                <w:b/>
                <w:bCs/>
                <w:color w:val="FFFFFF"/>
                <w:szCs w:val="18"/>
                <w:lang w:eastAsia="en-AU"/>
              </w:rPr>
              <w:t>2010</w:t>
            </w:r>
          </w:p>
        </w:tc>
        <w:tc>
          <w:tcPr>
            <w:tcW w:w="940" w:type="dxa"/>
            <w:tcBorders>
              <w:top w:val="nil"/>
              <w:left w:val="nil"/>
              <w:bottom w:val="nil"/>
              <w:right w:val="nil"/>
            </w:tcBorders>
            <w:shd w:val="clear" w:color="000000" w:fill="7F7F7F"/>
            <w:noWrap/>
            <w:vAlign w:val="center"/>
            <w:hideMark/>
          </w:tcPr>
          <w:p w:rsidR="009951B2" w:rsidRPr="009951B2" w:rsidRDefault="009951B2" w:rsidP="009951B2">
            <w:pPr>
              <w:jc w:val="right"/>
              <w:rPr>
                <w:rFonts w:cs="Arial"/>
                <w:b/>
                <w:bCs/>
                <w:color w:val="FFFFFF"/>
                <w:szCs w:val="18"/>
                <w:lang w:eastAsia="en-AU"/>
              </w:rPr>
            </w:pPr>
            <w:r w:rsidRPr="009951B2">
              <w:rPr>
                <w:rFonts w:cs="Arial"/>
                <w:b/>
                <w:bCs/>
                <w:color w:val="FFFFFF"/>
                <w:szCs w:val="18"/>
                <w:lang w:eastAsia="en-AU"/>
              </w:rPr>
              <w:t>2011</w:t>
            </w:r>
          </w:p>
        </w:tc>
        <w:tc>
          <w:tcPr>
            <w:tcW w:w="939" w:type="dxa"/>
            <w:tcBorders>
              <w:top w:val="nil"/>
              <w:left w:val="nil"/>
              <w:bottom w:val="nil"/>
              <w:right w:val="nil"/>
            </w:tcBorders>
            <w:shd w:val="clear" w:color="000000" w:fill="7F7F7F"/>
            <w:noWrap/>
            <w:vAlign w:val="center"/>
            <w:hideMark/>
          </w:tcPr>
          <w:p w:rsidR="009951B2" w:rsidRPr="009951B2" w:rsidRDefault="009951B2" w:rsidP="009951B2">
            <w:pPr>
              <w:jc w:val="right"/>
              <w:rPr>
                <w:rFonts w:cs="Arial"/>
                <w:b/>
                <w:bCs/>
                <w:color w:val="FFFFFF"/>
                <w:szCs w:val="18"/>
                <w:lang w:eastAsia="en-AU"/>
              </w:rPr>
            </w:pPr>
            <w:r w:rsidRPr="009951B2">
              <w:rPr>
                <w:rFonts w:cs="Arial"/>
                <w:b/>
                <w:bCs/>
                <w:color w:val="FFFFFF"/>
                <w:szCs w:val="18"/>
                <w:lang w:eastAsia="en-AU"/>
              </w:rPr>
              <w:t>2012</w:t>
            </w:r>
          </w:p>
        </w:tc>
        <w:tc>
          <w:tcPr>
            <w:tcW w:w="940" w:type="dxa"/>
            <w:tcBorders>
              <w:top w:val="nil"/>
              <w:left w:val="nil"/>
              <w:bottom w:val="nil"/>
              <w:right w:val="nil"/>
            </w:tcBorders>
            <w:shd w:val="clear" w:color="000000" w:fill="7F7F7F"/>
            <w:noWrap/>
            <w:vAlign w:val="center"/>
            <w:hideMark/>
          </w:tcPr>
          <w:p w:rsidR="009951B2" w:rsidRPr="009951B2" w:rsidRDefault="009951B2" w:rsidP="009951B2">
            <w:pPr>
              <w:jc w:val="right"/>
              <w:rPr>
                <w:rFonts w:cs="Arial"/>
                <w:b/>
                <w:bCs/>
                <w:color w:val="FFFFFF"/>
                <w:szCs w:val="18"/>
                <w:lang w:eastAsia="en-AU"/>
              </w:rPr>
            </w:pPr>
            <w:r w:rsidRPr="009951B2">
              <w:rPr>
                <w:rFonts w:cs="Arial"/>
                <w:b/>
                <w:bCs/>
                <w:color w:val="FFFFFF"/>
                <w:szCs w:val="18"/>
                <w:lang w:eastAsia="en-AU"/>
              </w:rPr>
              <w:t>2013</w:t>
            </w:r>
          </w:p>
        </w:tc>
        <w:tc>
          <w:tcPr>
            <w:tcW w:w="939" w:type="dxa"/>
            <w:tcBorders>
              <w:top w:val="nil"/>
              <w:left w:val="nil"/>
              <w:bottom w:val="nil"/>
              <w:right w:val="nil"/>
            </w:tcBorders>
            <w:shd w:val="clear" w:color="000000" w:fill="7F7F7F"/>
            <w:noWrap/>
            <w:vAlign w:val="center"/>
            <w:hideMark/>
          </w:tcPr>
          <w:p w:rsidR="009951B2" w:rsidRPr="009951B2" w:rsidRDefault="009951B2" w:rsidP="009951B2">
            <w:pPr>
              <w:jc w:val="right"/>
              <w:rPr>
                <w:rFonts w:cs="Arial"/>
                <w:b/>
                <w:bCs/>
                <w:color w:val="FFFFFF"/>
                <w:szCs w:val="18"/>
                <w:lang w:eastAsia="en-AU"/>
              </w:rPr>
            </w:pPr>
            <w:r w:rsidRPr="009951B2">
              <w:rPr>
                <w:rFonts w:cs="Arial"/>
                <w:b/>
                <w:bCs/>
                <w:color w:val="FFFFFF"/>
                <w:szCs w:val="18"/>
                <w:lang w:eastAsia="en-AU"/>
              </w:rPr>
              <w:t>2014</w:t>
            </w:r>
          </w:p>
        </w:tc>
        <w:tc>
          <w:tcPr>
            <w:tcW w:w="940" w:type="dxa"/>
            <w:tcBorders>
              <w:top w:val="nil"/>
              <w:left w:val="nil"/>
              <w:bottom w:val="nil"/>
              <w:right w:val="nil"/>
            </w:tcBorders>
            <w:shd w:val="clear" w:color="000000" w:fill="7F7F7F"/>
            <w:noWrap/>
            <w:vAlign w:val="center"/>
            <w:hideMark/>
          </w:tcPr>
          <w:p w:rsidR="009951B2" w:rsidRPr="009951B2" w:rsidRDefault="009951B2" w:rsidP="009951B2">
            <w:pPr>
              <w:jc w:val="right"/>
              <w:rPr>
                <w:rFonts w:cs="Arial"/>
                <w:b/>
                <w:bCs/>
                <w:color w:val="FFFFFF"/>
                <w:szCs w:val="18"/>
                <w:lang w:eastAsia="en-AU"/>
              </w:rPr>
            </w:pPr>
            <w:r w:rsidRPr="009951B2">
              <w:rPr>
                <w:rFonts w:cs="Arial"/>
                <w:b/>
                <w:bCs/>
                <w:color w:val="FFFFFF"/>
                <w:szCs w:val="18"/>
                <w:lang w:eastAsia="en-AU"/>
              </w:rPr>
              <w:t>2015</w:t>
            </w:r>
          </w:p>
        </w:tc>
      </w:tr>
      <w:tr w:rsidR="009951B2" w:rsidRPr="009951B2" w:rsidTr="009951B2">
        <w:trPr>
          <w:trHeight w:val="480"/>
        </w:trPr>
        <w:tc>
          <w:tcPr>
            <w:tcW w:w="2600" w:type="dxa"/>
            <w:tcBorders>
              <w:top w:val="nil"/>
              <w:left w:val="nil"/>
              <w:bottom w:val="nil"/>
              <w:right w:val="nil"/>
            </w:tcBorders>
            <w:shd w:val="clear" w:color="auto" w:fill="auto"/>
            <w:vAlign w:val="center"/>
            <w:hideMark/>
          </w:tcPr>
          <w:p w:rsidR="009951B2" w:rsidRPr="009951B2" w:rsidRDefault="009951B2" w:rsidP="009951B2">
            <w:pPr>
              <w:rPr>
                <w:rFonts w:cs="Arial"/>
                <w:color w:val="7F7F7F"/>
                <w:szCs w:val="18"/>
                <w:lang w:eastAsia="en-AU"/>
              </w:rPr>
            </w:pPr>
            <w:r w:rsidRPr="009951B2">
              <w:rPr>
                <w:rFonts w:cs="Arial"/>
                <w:color w:val="7F7F7F"/>
                <w:szCs w:val="18"/>
                <w:lang w:eastAsia="en-AU"/>
              </w:rPr>
              <w:t>Clerical and Administrative Workers</w:t>
            </w:r>
          </w:p>
        </w:tc>
        <w:tc>
          <w:tcPr>
            <w:tcW w:w="939" w:type="dxa"/>
            <w:tcBorders>
              <w:top w:val="nil"/>
              <w:left w:val="nil"/>
              <w:bottom w:val="nil"/>
              <w:right w:val="nil"/>
            </w:tcBorders>
            <w:shd w:val="clear" w:color="auto" w:fill="auto"/>
            <w:noWrap/>
            <w:vAlign w:val="center"/>
            <w:hideMark/>
          </w:tcPr>
          <w:p w:rsidR="009951B2" w:rsidRPr="009951B2" w:rsidRDefault="009951B2" w:rsidP="009951B2">
            <w:pPr>
              <w:jc w:val="right"/>
              <w:rPr>
                <w:rFonts w:cs="Arial"/>
                <w:color w:val="7F7F7F"/>
                <w:szCs w:val="18"/>
                <w:lang w:eastAsia="en-AU"/>
              </w:rPr>
            </w:pPr>
            <w:r w:rsidRPr="009951B2">
              <w:rPr>
                <w:rFonts w:cs="Arial"/>
                <w:color w:val="7F7F7F"/>
                <w:szCs w:val="18"/>
                <w:lang w:eastAsia="en-AU"/>
              </w:rPr>
              <w:t>2</w:t>
            </w:r>
          </w:p>
        </w:tc>
        <w:tc>
          <w:tcPr>
            <w:tcW w:w="940" w:type="dxa"/>
            <w:tcBorders>
              <w:top w:val="nil"/>
              <w:left w:val="nil"/>
              <w:bottom w:val="nil"/>
              <w:right w:val="nil"/>
            </w:tcBorders>
            <w:shd w:val="clear" w:color="auto" w:fill="auto"/>
            <w:noWrap/>
            <w:vAlign w:val="center"/>
            <w:hideMark/>
          </w:tcPr>
          <w:p w:rsidR="009951B2" w:rsidRPr="009951B2" w:rsidRDefault="009951B2" w:rsidP="009951B2">
            <w:pPr>
              <w:jc w:val="right"/>
              <w:rPr>
                <w:rFonts w:cs="Arial"/>
                <w:color w:val="7F7F7F"/>
                <w:szCs w:val="18"/>
                <w:lang w:eastAsia="en-AU"/>
              </w:rPr>
            </w:pPr>
            <w:r w:rsidRPr="009951B2">
              <w:rPr>
                <w:rFonts w:cs="Arial"/>
                <w:color w:val="7F7F7F"/>
                <w:szCs w:val="18"/>
                <w:lang w:eastAsia="en-AU"/>
              </w:rPr>
              <w:t>2</w:t>
            </w:r>
          </w:p>
        </w:tc>
        <w:tc>
          <w:tcPr>
            <w:tcW w:w="939" w:type="dxa"/>
            <w:tcBorders>
              <w:top w:val="nil"/>
              <w:left w:val="nil"/>
              <w:bottom w:val="nil"/>
              <w:right w:val="nil"/>
            </w:tcBorders>
            <w:shd w:val="clear" w:color="auto" w:fill="auto"/>
            <w:noWrap/>
            <w:vAlign w:val="center"/>
            <w:hideMark/>
          </w:tcPr>
          <w:p w:rsidR="009951B2" w:rsidRPr="009951B2" w:rsidRDefault="009951B2" w:rsidP="009951B2">
            <w:pPr>
              <w:jc w:val="right"/>
              <w:rPr>
                <w:rFonts w:cs="Arial"/>
                <w:color w:val="7F7F7F"/>
                <w:szCs w:val="18"/>
                <w:lang w:eastAsia="en-AU"/>
              </w:rPr>
            </w:pPr>
            <w:r w:rsidRPr="009951B2">
              <w:rPr>
                <w:rFonts w:cs="Arial"/>
                <w:color w:val="7F7F7F"/>
                <w:szCs w:val="18"/>
                <w:lang w:eastAsia="en-AU"/>
              </w:rPr>
              <w:t>4</w:t>
            </w:r>
          </w:p>
        </w:tc>
        <w:tc>
          <w:tcPr>
            <w:tcW w:w="940" w:type="dxa"/>
            <w:tcBorders>
              <w:top w:val="nil"/>
              <w:left w:val="nil"/>
              <w:bottom w:val="nil"/>
              <w:right w:val="nil"/>
            </w:tcBorders>
            <w:shd w:val="clear" w:color="auto" w:fill="auto"/>
            <w:noWrap/>
            <w:vAlign w:val="center"/>
            <w:hideMark/>
          </w:tcPr>
          <w:p w:rsidR="009951B2" w:rsidRPr="009951B2" w:rsidRDefault="009951B2" w:rsidP="009951B2">
            <w:pPr>
              <w:jc w:val="right"/>
              <w:rPr>
                <w:rFonts w:cs="Arial"/>
                <w:color w:val="7F7F7F"/>
                <w:szCs w:val="18"/>
                <w:lang w:eastAsia="en-AU"/>
              </w:rPr>
            </w:pPr>
            <w:r w:rsidRPr="009951B2">
              <w:rPr>
                <w:rFonts w:cs="Arial"/>
                <w:color w:val="7F7F7F"/>
                <w:szCs w:val="18"/>
                <w:lang w:eastAsia="en-AU"/>
              </w:rPr>
              <w:t>1</w:t>
            </w:r>
          </w:p>
        </w:tc>
        <w:tc>
          <w:tcPr>
            <w:tcW w:w="939" w:type="dxa"/>
            <w:tcBorders>
              <w:top w:val="nil"/>
              <w:left w:val="nil"/>
              <w:bottom w:val="nil"/>
              <w:right w:val="nil"/>
            </w:tcBorders>
            <w:shd w:val="clear" w:color="auto" w:fill="auto"/>
            <w:noWrap/>
            <w:vAlign w:val="center"/>
            <w:hideMark/>
          </w:tcPr>
          <w:p w:rsidR="009951B2" w:rsidRPr="009951B2" w:rsidRDefault="009951B2" w:rsidP="009951B2">
            <w:pPr>
              <w:jc w:val="right"/>
              <w:rPr>
                <w:rFonts w:cs="Arial"/>
                <w:color w:val="7F7F7F"/>
                <w:szCs w:val="18"/>
                <w:lang w:eastAsia="en-AU"/>
              </w:rPr>
            </w:pPr>
            <w:r w:rsidRPr="009951B2">
              <w:rPr>
                <w:rFonts w:cs="Arial"/>
                <w:color w:val="7F7F7F"/>
                <w:szCs w:val="18"/>
                <w:lang w:eastAsia="en-AU"/>
              </w:rPr>
              <w:t>3</w:t>
            </w:r>
          </w:p>
        </w:tc>
        <w:tc>
          <w:tcPr>
            <w:tcW w:w="940" w:type="dxa"/>
            <w:tcBorders>
              <w:top w:val="nil"/>
              <w:left w:val="nil"/>
              <w:bottom w:val="nil"/>
              <w:right w:val="nil"/>
            </w:tcBorders>
            <w:shd w:val="clear" w:color="auto" w:fill="auto"/>
            <w:noWrap/>
            <w:vAlign w:val="center"/>
            <w:hideMark/>
          </w:tcPr>
          <w:p w:rsidR="009951B2" w:rsidRPr="009951B2" w:rsidRDefault="009951B2" w:rsidP="009951B2">
            <w:pPr>
              <w:jc w:val="right"/>
              <w:rPr>
                <w:rFonts w:cs="Arial"/>
                <w:color w:val="7F7F7F"/>
                <w:szCs w:val="18"/>
                <w:lang w:eastAsia="en-AU"/>
              </w:rPr>
            </w:pPr>
            <w:r w:rsidRPr="009951B2">
              <w:rPr>
                <w:rFonts w:cs="Arial"/>
                <w:color w:val="7F7F7F"/>
                <w:szCs w:val="18"/>
                <w:lang w:eastAsia="en-AU"/>
              </w:rPr>
              <w:t>0</w:t>
            </w:r>
          </w:p>
        </w:tc>
      </w:tr>
      <w:tr w:rsidR="009951B2" w:rsidRPr="009951B2" w:rsidTr="009951B2">
        <w:trPr>
          <w:trHeight w:val="480"/>
        </w:trPr>
        <w:tc>
          <w:tcPr>
            <w:tcW w:w="2600" w:type="dxa"/>
            <w:tcBorders>
              <w:top w:val="nil"/>
              <w:left w:val="nil"/>
              <w:bottom w:val="nil"/>
              <w:right w:val="nil"/>
            </w:tcBorders>
            <w:shd w:val="clear" w:color="auto" w:fill="auto"/>
            <w:vAlign w:val="center"/>
            <w:hideMark/>
          </w:tcPr>
          <w:p w:rsidR="009951B2" w:rsidRPr="009951B2" w:rsidRDefault="009951B2" w:rsidP="009951B2">
            <w:pPr>
              <w:rPr>
                <w:rFonts w:cs="Arial"/>
                <w:color w:val="7F7F7F"/>
                <w:szCs w:val="18"/>
                <w:lang w:eastAsia="en-AU"/>
              </w:rPr>
            </w:pPr>
            <w:r w:rsidRPr="009951B2">
              <w:rPr>
                <w:rFonts w:cs="Arial"/>
                <w:color w:val="7F7F7F"/>
                <w:szCs w:val="18"/>
                <w:lang w:eastAsia="en-AU"/>
              </w:rPr>
              <w:t>Community and Personal Service Workers*</w:t>
            </w:r>
          </w:p>
        </w:tc>
        <w:tc>
          <w:tcPr>
            <w:tcW w:w="939" w:type="dxa"/>
            <w:tcBorders>
              <w:top w:val="nil"/>
              <w:left w:val="nil"/>
              <w:bottom w:val="nil"/>
              <w:right w:val="nil"/>
            </w:tcBorders>
            <w:shd w:val="clear" w:color="auto" w:fill="auto"/>
            <w:noWrap/>
            <w:vAlign w:val="center"/>
            <w:hideMark/>
          </w:tcPr>
          <w:p w:rsidR="009951B2" w:rsidRPr="009951B2" w:rsidRDefault="009951B2" w:rsidP="009951B2">
            <w:pPr>
              <w:jc w:val="right"/>
              <w:rPr>
                <w:rFonts w:cs="Arial"/>
                <w:color w:val="7F7F7F"/>
                <w:szCs w:val="18"/>
                <w:lang w:eastAsia="en-AU"/>
              </w:rPr>
            </w:pPr>
            <w:r w:rsidRPr="009951B2">
              <w:rPr>
                <w:rFonts w:cs="Arial"/>
                <w:color w:val="7F7F7F"/>
                <w:szCs w:val="18"/>
                <w:lang w:eastAsia="en-AU"/>
              </w:rPr>
              <w:t>117</w:t>
            </w:r>
          </w:p>
        </w:tc>
        <w:tc>
          <w:tcPr>
            <w:tcW w:w="940" w:type="dxa"/>
            <w:tcBorders>
              <w:top w:val="nil"/>
              <w:left w:val="nil"/>
              <w:bottom w:val="nil"/>
              <w:right w:val="nil"/>
            </w:tcBorders>
            <w:shd w:val="clear" w:color="auto" w:fill="auto"/>
            <w:noWrap/>
            <w:vAlign w:val="center"/>
            <w:hideMark/>
          </w:tcPr>
          <w:p w:rsidR="009951B2" w:rsidRPr="009951B2" w:rsidRDefault="009951B2" w:rsidP="009951B2">
            <w:pPr>
              <w:jc w:val="right"/>
              <w:rPr>
                <w:rFonts w:cs="Arial"/>
                <w:color w:val="7F7F7F"/>
                <w:szCs w:val="18"/>
                <w:lang w:eastAsia="en-AU"/>
              </w:rPr>
            </w:pPr>
            <w:r w:rsidRPr="009951B2">
              <w:rPr>
                <w:rFonts w:cs="Arial"/>
                <w:color w:val="7F7F7F"/>
                <w:szCs w:val="18"/>
                <w:lang w:eastAsia="en-AU"/>
              </w:rPr>
              <w:t>120</w:t>
            </w:r>
          </w:p>
        </w:tc>
        <w:tc>
          <w:tcPr>
            <w:tcW w:w="939" w:type="dxa"/>
            <w:tcBorders>
              <w:top w:val="nil"/>
              <w:left w:val="nil"/>
              <w:bottom w:val="nil"/>
              <w:right w:val="nil"/>
            </w:tcBorders>
            <w:shd w:val="clear" w:color="auto" w:fill="auto"/>
            <w:noWrap/>
            <w:vAlign w:val="center"/>
            <w:hideMark/>
          </w:tcPr>
          <w:p w:rsidR="009951B2" w:rsidRPr="009951B2" w:rsidRDefault="009951B2" w:rsidP="009951B2">
            <w:pPr>
              <w:jc w:val="right"/>
              <w:rPr>
                <w:rFonts w:cs="Arial"/>
                <w:color w:val="7F7F7F"/>
                <w:szCs w:val="18"/>
                <w:lang w:eastAsia="en-AU"/>
              </w:rPr>
            </w:pPr>
            <w:r w:rsidRPr="009951B2">
              <w:rPr>
                <w:rFonts w:cs="Arial"/>
                <w:color w:val="7F7F7F"/>
                <w:szCs w:val="18"/>
                <w:lang w:eastAsia="en-AU"/>
              </w:rPr>
              <w:t>103</w:t>
            </w:r>
          </w:p>
        </w:tc>
        <w:tc>
          <w:tcPr>
            <w:tcW w:w="940" w:type="dxa"/>
            <w:tcBorders>
              <w:top w:val="nil"/>
              <w:left w:val="nil"/>
              <w:bottom w:val="nil"/>
              <w:right w:val="nil"/>
            </w:tcBorders>
            <w:shd w:val="clear" w:color="auto" w:fill="auto"/>
            <w:noWrap/>
            <w:vAlign w:val="center"/>
            <w:hideMark/>
          </w:tcPr>
          <w:p w:rsidR="009951B2" w:rsidRPr="009951B2" w:rsidRDefault="009951B2" w:rsidP="009951B2">
            <w:pPr>
              <w:jc w:val="right"/>
              <w:rPr>
                <w:rFonts w:cs="Arial"/>
                <w:color w:val="7F7F7F"/>
                <w:szCs w:val="18"/>
                <w:lang w:eastAsia="en-AU"/>
              </w:rPr>
            </w:pPr>
            <w:r w:rsidRPr="009951B2">
              <w:rPr>
                <w:rFonts w:cs="Arial"/>
                <w:color w:val="7F7F7F"/>
                <w:szCs w:val="18"/>
                <w:lang w:eastAsia="en-AU"/>
              </w:rPr>
              <w:t>78</w:t>
            </w:r>
          </w:p>
        </w:tc>
        <w:tc>
          <w:tcPr>
            <w:tcW w:w="939" w:type="dxa"/>
            <w:tcBorders>
              <w:top w:val="nil"/>
              <w:left w:val="nil"/>
              <w:bottom w:val="nil"/>
              <w:right w:val="nil"/>
            </w:tcBorders>
            <w:shd w:val="clear" w:color="auto" w:fill="auto"/>
            <w:noWrap/>
            <w:vAlign w:val="center"/>
            <w:hideMark/>
          </w:tcPr>
          <w:p w:rsidR="009951B2" w:rsidRPr="009951B2" w:rsidRDefault="009951B2" w:rsidP="009951B2">
            <w:pPr>
              <w:jc w:val="right"/>
              <w:rPr>
                <w:rFonts w:cs="Arial"/>
                <w:color w:val="7F7F7F"/>
                <w:szCs w:val="18"/>
                <w:lang w:eastAsia="en-AU"/>
              </w:rPr>
            </w:pPr>
            <w:r w:rsidRPr="009951B2">
              <w:rPr>
                <w:rFonts w:cs="Arial"/>
                <w:color w:val="7F7F7F"/>
                <w:szCs w:val="18"/>
                <w:lang w:eastAsia="en-AU"/>
              </w:rPr>
              <w:t>49</w:t>
            </w:r>
          </w:p>
        </w:tc>
        <w:tc>
          <w:tcPr>
            <w:tcW w:w="940" w:type="dxa"/>
            <w:tcBorders>
              <w:top w:val="nil"/>
              <w:left w:val="nil"/>
              <w:bottom w:val="nil"/>
              <w:right w:val="nil"/>
            </w:tcBorders>
            <w:shd w:val="clear" w:color="auto" w:fill="auto"/>
            <w:noWrap/>
            <w:vAlign w:val="center"/>
            <w:hideMark/>
          </w:tcPr>
          <w:p w:rsidR="009951B2" w:rsidRPr="009951B2" w:rsidRDefault="009951B2" w:rsidP="009951B2">
            <w:pPr>
              <w:jc w:val="right"/>
              <w:rPr>
                <w:rFonts w:cs="Arial"/>
                <w:color w:val="7F7F7F"/>
                <w:szCs w:val="18"/>
                <w:lang w:eastAsia="en-AU"/>
              </w:rPr>
            </w:pPr>
            <w:r w:rsidRPr="009951B2">
              <w:rPr>
                <w:rFonts w:cs="Arial"/>
                <w:color w:val="7F7F7F"/>
                <w:szCs w:val="18"/>
                <w:lang w:eastAsia="en-AU"/>
              </w:rPr>
              <w:t>46</w:t>
            </w:r>
          </w:p>
        </w:tc>
      </w:tr>
      <w:tr w:rsidR="009951B2" w:rsidRPr="009951B2" w:rsidTr="009951B2">
        <w:trPr>
          <w:trHeight w:val="300"/>
        </w:trPr>
        <w:tc>
          <w:tcPr>
            <w:tcW w:w="2600" w:type="dxa"/>
            <w:tcBorders>
              <w:top w:val="nil"/>
              <w:left w:val="nil"/>
              <w:bottom w:val="nil"/>
              <w:right w:val="nil"/>
            </w:tcBorders>
            <w:shd w:val="clear" w:color="auto" w:fill="auto"/>
            <w:vAlign w:val="center"/>
            <w:hideMark/>
          </w:tcPr>
          <w:p w:rsidR="009951B2" w:rsidRPr="009951B2" w:rsidRDefault="009951B2" w:rsidP="009951B2">
            <w:pPr>
              <w:rPr>
                <w:rFonts w:cs="Arial"/>
                <w:color w:val="7F7F7F"/>
                <w:szCs w:val="18"/>
                <w:lang w:eastAsia="en-AU"/>
              </w:rPr>
            </w:pPr>
            <w:r w:rsidRPr="009951B2">
              <w:rPr>
                <w:rFonts w:cs="Arial"/>
                <w:color w:val="7F7F7F"/>
                <w:szCs w:val="18"/>
                <w:lang w:eastAsia="en-AU"/>
              </w:rPr>
              <w:t>Labourers**</w:t>
            </w:r>
          </w:p>
        </w:tc>
        <w:tc>
          <w:tcPr>
            <w:tcW w:w="939" w:type="dxa"/>
            <w:tcBorders>
              <w:top w:val="nil"/>
              <w:left w:val="nil"/>
              <w:bottom w:val="nil"/>
              <w:right w:val="nil"/>
            </w:tcBorders>
            <w:shd w:val="clear" w:color="auto" w:fill="auto"/>
            <w:noWrap/>
            <w:vAlign w:val="center"/>
            <w:hideMark/>
          </w:tcPr>
          <w:p w:rsidR="009951B2" w:rsidRPr="009951B2" w:rsidRDefault="009951B2" w:rsidP="009951B2">
            <w:pPr>
              <w:jc w:val="right"/>
              <w:rPr>
                <w:rFonts w:cs="Arial"/>
                <w:color w:val="7F7F7F"/>
                <w:szCs w:val="18"/>
                <w:lang w:eastAsia="en-AU"/>
              </w:rPr>
            </w:pPr>
            <w:r w:rsidRPr="009951B2">
              <w:rPr>
                <w:rFonts w:cs="Arial"/>
                <w:color w:val="7F7F7F"/>
                <w:szCs w:val="18"/>
                <w:lang w:eastAsia="en-AU"/>
              </w:rPr>
              <w:t>50</w:t>
            </w:r>
          </w:p>
        </w:tc>
        <w:tc>
          <w:tcPr>
            <w:tcW w:w="940" w:type="dxa"/>
            <w:tcBorders>
              <w:top w:val="nil"/>
              <w:left w:val="nil"/>
              <w:bottom w:val="nil"/>
              <w:right w:val="nil"/>
            </w:tcBorders>
            <w:shd w:val="clear" w:color="auto" w:fill="auto"/>
            <w:noWrap/>
            <w:vAlign w:val="center"/>
            <w:hideMark/>
          </w:tcPr>
          <w:p w:rsidR="009951B2" w:rsidRPr="009951B2" w:rsidRDefault="009951B2" w:rsidP="009951B2">
            <w:pPr>
              <w:jc w:val="right"/>
              <w:rPr>
                <w:rFonts w:cs="Arial"/>
                <w:color w:val="7F7F7F"/>
                <w:szCs w:val="18"/>
                <w:lang w:eastAsia="en-AU"/>
              </w:rPr>
            </w:pPr>
            <w:r w:rsidRPr="009951B2">
              <w:rPr>
                <w:rFonts w:cs="Arial"/>
                <w:color w:val="7F7F7F"/>
                <w:szCs w:val="18"/>
                <w:lang w:eastAsia="en-AU"/>
              </w:rPr>
              <w:t>56</w:t>
            </w:r>
          </w:p>
        </w:tc>
        <w:tc>
          <w:tcPr>
            <w:tcW w:w="939" w:type="dxa"/>
            <w:tcBorders>
              <w:top w:val="nil"/>
              <w:left w:val="nil"/>
              <w:bottom w:val="nil"/>
              <w:right w:val="nil"/>
            </w:tcBorders>
            <w:shd w:val="clear" w:color="auto" w:fill="auto"/>
            <w:noWrap/>
            <w:vAlign w:val="center"/>
            <w:hideMark/>
          </w:tcPr>
          <w:p w:rsidR="009951B2" w:rsidRPr="009951B2" w:rsidRDefault="009951B2" w:rsidP="009951B2">
            <w:pPr>
              <w:jc w:val="right"/>
              <w:rPr>
                <w:rFonts w:cs="Arial"/>
                <w:color w:val="7F7F7F"/>
                <w:szCs w:val="18"/>
                <w:lang w:eastAsia="en-AU"/>
              </w:rPr>
            </w:pPr>
            <w:r w:rsidRPr="009951B2">
              <w:rPr>
                <w:rFonts w:cs="Arial"/>
                <w:color w:val="7F7F7F"/>
                <w:szCs w:val="18"/>
                <w:lang w:eastAsia="en-AU"/>
              </w:rPr>
              <w:t>75</w:t>
            </w:r>
          </w:p>
        </w:tc>
        <w:tc>
          <w:tcPr>
            <w:tcW w:w="940" w:type="dxa"/>
            <w:tcBorders>
              <w:top w:val="nil"/>
              <w:left w:val="nil"/>
              <w:bottom w:val="nil"/>
              <w:right w:val="nil"/>
            </w:tcBorders>
            <w:shd w:val="clear" w:color="auto" w:fill="auto"/>
            <w:noWrap/>
            <w:vAlign w:val="center"/>
            <w:hideMark/>
          </w:tcPr>
          <w:p w:rsidR="009951B2" w:rsidRPr="009951B2" w:rsidRDefault="009951B2" w:rsidP="009951B2">
            <w:pPr>
              <w:jc w:val="right"/>
              <w:rPr>
                <w:rFonts w:cs="Arial"/>
                <w:color w:val="7F7F7F"/>
                <w:szCs w:val="18"/>
                <w:lang w:eastAsia="en-AU"/>
              </w:rPr>
            </w:pPr>
            <w:r w:rsidRPr="009951B2">
              <w:rPr>
                <w:rFonts w:cs="Arial"/>
                <w:color w:val="7F7F7F"/>
                <w:szCs w:val="18"/>
                <w:lang w:eastAsia="en-AU"/>
              </w:rPr>
              <w:t>106</w:t>
            </w:r>
          </w:p>
        </w:tc>
        <w:tc>
          <w:tcPr>
            <w:tcW w:w="939" w:type="dxa"/>
            <w:tcBorders>
              <w:top w:val="nil"/>
              <w:left w:val="nil"/>
              <w:bottom w:val="nil"/>
              <w:right w:val="nil"/>
            </w:tcBorders>
            <w:shd w:val="clear" w:color="auto" w:fill="auto"/>
            <w:noWrap/>
            <w:vAlign w:val="center"/>
            <w:hideMark/>
          </w:tcPr>
          <w:p w:rsidR="009951B2" w:rsidRPr="009951B2" w:rsidRDefault="009951B2" w:rsidP="009951B2">
            <w:pPr>
              <w:jc w:val="right"/>
              <w:rPr>
                <w:rFonts w:cs="Arial"/>
                <w:color w:val="7F7F7F"/>
                <w:szCs w:val="18"/>
                <w:lang w:eastAsia="en-AU"/>
              </w:rPr>
            </w:pPr>
            <w:r w:rsidRPr="009951B2">
              <w:rPr>
                <w:rFonts w:cs="Arial"/>
                <w:color w:val="7F7F7F"/>
                <w:szCs w:val="18"/>
                <w:lang w:eastAsia="en-AU"/>
              </w:rPr>
              <w:t>40</w:t>
            </w:r>
          </w:p>
        </w:tc>
        <w:tc>
          <w:tcPr>
            <w:tcW w:w="940" w:type="dxa"/>
            <w:tcBorders>
              <w:top w:val="nil"/>
              <w:left w:val="nil"/>
              <w:bottom w:val="nil"/>
              <w:right w:val="nil"/>
            </w:tcBorders>
            <w:shd w:val="clear" w:color="auto" w:fill="auto"/>
            <w:noWrap/>
            <w:vAlign w:val="center"/>
            <w:hideMark/>
          </w:tcPr>
          <w:p w:rsidR="009951B2" w:rsidRPr="009951B2" w:rsidRDefault="009951B2" w:rsidP="009951B2">
            <w:pPr>
              <w:jc w:val="right"/>
              <w:rPr>
                <w:rFonts w:cs="Arial"/>
                <w:color w:val="7F7F7F"/>
                <w:szCs w:val="18"/>
                <w:lang w:eastAsia="en-AU"/>
              </w:rPr>
            </w:pPr>
            <w:r w:rsidRPr="009951B2">
              <w:rPr>
                <w:rFonts w:cs="Arial"/>
                <w:color w:val="7F7F7F"/>
                <w:szCs w:val="18"/>
                <w:lang w:eastAsia="en-AU"/>
              </w:rPr>
              <w:t>82</w:t>
            </w:r>
          </w:p>
        </w:tc>
      </w:tr>
      <w:tr w:rsidR="009951B2" w:rsidRPr="009951B2" w:rsidTr="009951B2">
        <w:trPr>
          <w:trHeight w:val="480"/>
        </w:trPr>
        <w:tc>
          <w:tcPr>
            <w:tcW w:w="2600" w:type="dxa"/>
            <w:tcBorders>
              <w:top w:val="nil"/>
              <w:left w:val="nil"/>
              <w:bottom w:val="nil"/>
              <w:right w:val="nil"/>
            </w:tcBorders>
            <w:shd w:val="clear" w:color="auto" w:fill="auto"/>
            <w:vAlign w:val="center"/>
            <w:hideMark/>
          </w:tcPr>
          <w:p w:rsidR="009951B2" w:rsidRPr="009951B2" w:rsidRDefault="009951B2" w:rsidP="009951B2">
            <w:pPr>
              <w:rPr>
                <w:rFonts w:cs="Arial"/>
                <w:color w:val="7F7F7F"/>
                <w:szCs w:val="18"/>
                <w:lang w:eastAsia="en-AU"/>
              </w:rPr>
            </w:pPr>
            <w:r w:rsidRPr="009951B2">
              <w:rPr>
                <w:rFonts w:cs="Arial"/>
                <w:color w:val="7F7F7F"/>
                <w:szCs w:val="18"/>
                <w:lang w:eastAsia="en-AU"/>
              </w:rPr>
              <w:t>Machinery Operators And Drivers</w:t>
            </w:r>
          </w:p>
        </w:tc>
        <w:tc>
          <w:tcPr>
            <w:tcW w:w="939" w:type="dxa"/>
            <w:tcBorders>
              <w:top w:val="nil"/>
              <w:left w:val="nil"/>
              <w:bottom w:val="nil"/>
              <w:right w:val="nil"/>
            </w:tcBorders>
            <w:shd w:val="clear" w:color="auto" w:fill="auto"/>
            <w:noWrap/>
            <w:vAlign w:val="center"/>
            <w:hideMark/>
          </w:tcPr>
          <w:p w:rsidR="009951B2" w:rsidRPr="009951B2" w:rsidRDefault="009951B2" w:rsidP="009951B2">
            <w:pPr>
              <w:jc w:val="right"/>
              <w:rPr>
                <w:rFonts w:cs="Arial"/>
                <w:color w:val="7F7F7F"/>
                <w:szCs w:val="18"/>
                <w:lang w:eastAsia="en-AU"/>
              </w:rPr>
            </w:pPr>
            <w:r w:rsidRPr="009951B2">
              <w:rPr>
                <w:rFonts w:cs="Arial"/>
                <w:color w:val="7F7F7F"/>
                <w:szCs w:val="18"/>
                <w:lang w:eastAsia="en-AU"/>
              </w:rPr>
              <w:t>2</w:t>
            </w:r>
          </w:p>
        </w:tc>
        <w:tc>
          <w:tcPr>
            <w:tcW w:w="940" w:type="dxa"/>
            <w:tcBorders>
              <w:top w:val="nil"/>
              <w:left w:val="nil"/>
              <w:bottom w:val="nil"/>
              <w:right w:val="nil"/>
            </w:tcBorders>
            <w:shd w:val="clear" w:color="auto" w:fill="auto"/>
            <w:noWrap/>
            <w:vAlign w:val="center"/>
            <w:hideMark/>
          </w:tcPr>
          <w:p w:rsidR="009951B2" w:rsidRPr="009951B2" w:rsidRDefault="009951B2" w:rsidP="009951B2">
            <w:pPr>
              <w:jc w:val="right"/>
              <w:rPr>
                <w:rFonts w:cs="Arial"/>
                <w:color w:val="7F7F7F"/>
                <w:szCs w:val="18"/>
                <w:lang w:eastAsia="en-AU"/>
              </w:rPr>
            </w:pPr>
            <w:r w:rsidRPr="009951B2">
              <w:rPr>
                <w:rFonts w:cs="Arial"/>
                <w:color w:val="7F7F7F"/>
                <w:szCs w:val="18"/>
                <w:lang w:eastAsia="en-AU"/>
              </w:rPr>
              <w:t>2</w:t>
            </w:r>
          </w:p>
        </w:tc>
        <w:tc>
          <w:tcPr>
            <w:tcW w:w="939" w:type="dxa"/>
            <w:tcBorders>
              <w:top w:val="nil"/>
              <w:left w:val="nil"/>
              <w:bottom w:val="nil"/>
              <w:right w:val="nil"/>
            </w:tcBorders>
            <w:shd w:val="clear" w:color="auto" w:fill="auto"/>
            <w:noWrap/>
            <w:vAlign w:val="center"/>
            <w:hideMark/>
          </w:tcPr>
          <w:p w:rsidR="009951B2" w:rsidRPr="009951B2" w:rsidRDefault="009951B2" w:rsidP="009951B2">
            <w:pPr>
              <w:jc w:val="right"/>
              <w:rPr>
                <w:rFonts w:cs="Arial"/>
                <w:color w:val="7F7F7F"/>
                <w:szCs w:val="18"/>
                <w:lang w:eastAsia="en-AU"/>
              </w:rPr>
            </w:pPr>
            <w:r w:rsidRPr="009951B2">
              <w:rPr>
                <w:rFonts w:cs="Arial"/>
                <w:color w:val="7F7F7F"/>
                <w:szCs w:val="18"/>
                <w:lang w:eastAsia="en-AU"/>
              </w:rPr>
              <w:t>1</w:t>
            </w:r>
          </w:p>
        </w:tc>
        <w:tc>
          <w:tcPr>
            <w:tcW w:w="940" w:type="dxa"/>
            <w:tcBorders>
              <w:top w:val="nil"/>
              <w:left w:val="nil"/>
              <w:bottom w:val="nil"/>
              <w:right w:val="nil"/>
            </w:tcBorders>
            <w:shd w:val="clear" w:color="auto" w:fill="auto"/>
            <w:noWrap/>
            <w:vAlign w:val="center"/>
            <w:hideMark/>
          </w:tcPr>
          <w:p w:rsidR="009951B2" w:rsidRPr="009951B2" w:rsidRDefault="009951B2" w:rsidP="009951B2">
            <w:pPr>
              <w:jc w:val="right"/>
              <w:rPr>
                <w:rFonts w:cs="Arial"/>
                <w:color w:val="7F7F7F"/>
                <w:szCs w:val="18"/>
                <w:lang w:eastAsia="en-AU"/>
              </w:rPr>
            </w:pPr>
            <w:r w:rsidRPr="009951B2">
              <w:rPr>
                <w:rFonts w:cs="Arial"/>
                <w:color w:val="7F7F7F"/>
                <w:szCs w:val="18"/>
                <w:lang w:eastAsia="en-AU"/>
              </w:rPr>
              <w:t>0</w:t>
            </w:r>
          </w:p>
        </w:tc>
        <w:tc>
          <w:tcPr>
            <w:tcW w:w="939" w:type="dxa"/>
            <w:tcBorders>
              <w:top w:val="nil"/>
              <w:left w:val="nil"/>
              <w:bottom w:val="nil"/>
              <w:right w:val="nil"/>
            </w:tcBorders>
            <w:shd w:val="clear" w:color="auto" w:fill="auto"/>
            <w:noWrap/>
            <w:vAlign w:val="center"/>
            <w:hideMark/>
          </w:tcPr>
          <w:p w:rsidR="009951B2" w:rsidRPr="009951B2" w:rsidRDefault="009951B2" w:rsidP="009951B2">
            <w:pPr>
              <w:jc w:val="right"/>
              <w:rPr>
                <w:rFonts w:cs="Arial"/>
                <w:color w:val="7F7F7F"/>
                <w:szCs w:val="18"/>
                <w:lang w:eastAsia="en-AU"/>
              </w:rPr>
            </w:pPr>
            <w:r w:rsidRPr="009951B2">
              <w:rPr>
                <w:rFonts w:cs="Arial"/>
                <w:color w:val="7F7F7F"/>
                <w:szCs w:val="18"/>
                <w:lang w:eastAsia="en-AU"/>
              </w:rPr>
              <w:t>1</w:t>
            </w:r>
          </w:p>
        </w:tc>
        <w:tc>
          <w:tcPr>
            <w:tcW w:w="940" w:type="dxa"/>
            <w:tcBorders>
              <w:top w:val="nil"/>
              <w:left w:val="nil"/>
              <w:bottom w:val="nil"/>
              <w:right w:val="nil"/>
            </w:tcBorders>
            <w:shd w:val="clear" w:color="auto" w:fill="auto"/>
            <w:noWrap/>
            <w:vAlign w:val="center"/>
            <w:hideMark/>
          </w:tcPr>
          <w:p w:rsidR="009951B2" w:rsidRPr="009951B2" w:rsidRDefault="009951B2" w:rsidP="009951B2">
            <w:pPr>
              <w:jc w:val="right"/>
              <w:rPr>
                <w:rFonts w:cs="Arial"/>
                <w:color w:val="7F7F7F"/>
                <w:szCs w:val="18"/>
                <w:lang w:eastAsia="en-AU"/>
              </w:rPr>
            </w:pPr>
            <w:r w:rsidRPr="009951B2">
              <w:rPr>
                <w:rFonts w:cs="Arial"/>
                <w:color w:val="7F7F7F"/>
                <w:szCs w:val="18"/>
                <w:lang w:eastAsia="en-AU"/>
              </w:rPr>
              <w:t>0</w:t>
            </w:r>
          </w:p>
        </w:tc>
      </w:tr>
      <w:tr w:rsidR="009951B2" w:rsidRPr="009951B2" w:rsidTr="009951B2">
        <w:trPr>
          <w:trHeight w:val="300"/>
        </w:trPr>
        <w:tc>
          <w:tcPr>
            <w:tcW w:w="2600" w:type="dxa"/>
            <w:tcBorders>
              <w:top w:val="nil"/>
              <w:left w:val="nil"/>
              <w:bottom w:val="nil"/>
              <w:right w:val="nil"/>
            </w:tcBorders>
            <w:shd w:val="clear" w:color="auto" w:fill="auto"/>
            <w:vAlign w:val="center"/>
            <w:hideMark/>
          </w:tcPr>
          <w:p w:rsidR="009951B2" w:rsidRPr="009951B2" w:rsidRDefault="009951B2" w:rsidP="009951B2">
            <w:pPr>
              <w:rPr>
                <w:rFonts w:cs="Arial"/>
                <w:color w:val="7F7F7F"/>
                <w:szCs w:val="18"/>
                <w:lang w:eastAsia="en-AU"/>
              </w:rPr>
            </w:pPr>
            <w:r w:rsidRPr="009951B2">
              <w:rPr>
                <w:rFonts w:cs="Arial"/>
                <w:color w:val="7F7F7F"/>
                <w:szCs w:val="18"/>
                <w:lang w:eastAsia="en-AU"/>
              </w:rPr>
              <w:t>Managers</w:t>
            </w:r>
          </w:p>
        </w:tc>
        <w:tc>
          <w:tcPr>
            <w:tcW w:w="939" w:type="dxa"/>
            <w:tcBorders>
              <w:top w:val="nil"/>
              <w:left w:val="nil"/>
              <w:bottom w:val="nil"/>
              <w:right w:val="nil"/>
            </w:tcBorders>
            <w:shd w:val="clear" w:color="auto" w:fill="auto"/>
            <w:noWrap/>
            <w:vAlign w:val="center"/>
            <w:hideMark/>
          </w:tcPr>
          <w:p w:rsidR="009951B2" w:rsidRPr="009951B2" w:rsidRDefault="009951B2" w:rsidP="009951B2">
            <w:pPr>
              <w:jc w:val="right"/>
              <w:rPr>
                <w:rFonts w:cs="Arial"/>
                <w:color w:val="7F7F7F"/>
                <w:szCs w:val="18"/>
                <w:lang w:eastAsia="en-AU"/>
              </w:rPr>
            </w:pPr>
            <w:r w:rsidRPr="009951B2">
              <w:rPr>
                <w:rFonts w:cs="Arial"/>
                <w:color w:val="7F7F7F"/>
                <w:szCs w:val="18"/>
                <w:lang w:eastAsia="en-AU"/>
              </w:rPr>
              <w:t>0</w:t>
            </w:r>
          </w:p>
        </w:tc>
        <w:tc>
          <w:tcPr>
            <w:tcW w:w="940" w:type="dxa"/>
            <w:tcBorders>
              <w:top w:val="nil"/>
              <w:left w:val="nil"/>
              <w:bottom w:val="nil"/>
              <w:right w:val="nil"/>
            </w:tcBorders>
            <w:shd w:val="clear" w:color="auto" w:fill="auto"/>
            <w:noWrap/>
            <w:vAlign w:val="center"/>
            <w:hideMark/>
          </w:tcPr>
          <w:p w:rsidR="009951B2" w:rsidRPr="009951B2" w:rsidRDefault="009951B2" w:rsidP="009951B2">
            <w:pPr>
              <w:jc w:val="right"/>
              <w:rPr>
                <w:rFonts w:cs="Arial"/>
                <w:color w:val="7F7F7F"/>
                <w:szCs w:val="18"/>
                <w:lang w:eastAsia="en-AU"/>
              </w:rPr>
            </w:pPr>
            <w:r w:rsidRPr="009951B2">
              <w:rPr>
                <w:rFonts w:cs="Arial"/>
                <w:color w:val="7F7F7F"/>
                <w:szCs w:val="18"/>
                <w:lang w:eastAsia="en-AU"/>
              </w:rPr>
              <w:t>1</w:t>
            </w:r>
          </w:p>
        </w:tc>
        <w:tc>
          <w:tcPr>
            <w:tcW w:w="939" w:type="dxa"/>
            <w:tcBorders>
              <w:top w:val="nil"/>
              <w:left w:val="nil"/>
              <w:bottom w:val="nil"/>
              <w:right w:val="nil"/>
            </w:tcBorders>
            <w:shd w:val="clear" w:color="auto" w:fill="auto"/>
            <w:noWrap/>
            <w:vAlign w:val="center"/>
            <w:hideMark/>
          </w:tcPr>
          <w:p w:rsidR="009951B2" w:rsidRPr="009951B2" w:rsidRDefault="009951B2" w:rsidP="009951B2">
            <w:pPr>
              <w:jc w:val="right"/>
              <w:rPr>
                <w:rFonts w:cs="Arial"/>
                <w:color w:val="7F7F7F"/>
                <w:szCs w:val="18"/>
                <w:lang w:eastAsia="en-AU"/>
              </w:rPr>
            </w:pPr>
            <w:r w:rsidRPr="009951B2">
              <w:rPr>
                <w:rFonts w:cs="Arial"/>
                <w:color w:val="7F7F7F"/>
                <w:szCs w:val="18"/>
                <w:lang w:eastAsia="en-AU"/>
              </w:rPr>
              <w:t>0</w:t>
            </w:r>
          </w:p>
        </w:tc>
        <w:tc>
          <w:tcPr>
            <w:tcW w:w="940" w:type="dxa"/>
            <w:tcBorders>
              <w:top w:val="nil"/>
              <w:left w:val="nil"/>
              <w:bottom w:val="nil"/>
              <w:right w:val="nil"/>
            </w:tcBorders>
            <w:shd w:val="clear" w:color="auto" w:fill="auto"/>
            <w:noWrap/>
            <w:vAlign w:val="center"/>
            <w:hideMark/>
          </w:tcPr>
          <w:p w:rsidR="009951B2" w:rsidRPr="009951B2" w:rsidRDefault="009951B2" w:rsidP="009951B2">
            <w:pPr>
              <w:jc w:val="right"/>
              <w:rPr>
                <w:rFonts w:cs="Arial"/>
                <w:color w:val="7F7F7F"/>
                <w:szCs w:val="18"/>
                <w:lang w:eastAsia="en-AU"/>
              </w:rPr>
            </w:pPr>
            <w:r w:rsidRPr="009951B2">
              <w:rPr>
                <w:rFonts w:cs="Arial"/>
                <w:color w:val="7F7F7F"/>
                <w:szCs w:val="18"/>
                <w:lang w:eastAsia="en-AU"/>
              </w:rPr>
              <w:t>0</w:t>
            </w:r>
          </w:p>
        </w:tc>
        <w:tc>
          <w:tcPr>
            <w:tcW w:w="939" w:type="dxa"/>
            <w:tcBorders>
              <w:top w:val="nil"/>
              <w:left w:val="nil"/>
              <w:bottom w:val="nil"/>
              <w:right w:val="nil"/>
            </w:tcBorders>
            <w:shd w:val="clear" w:color="auto" w:fill="auto"/>
            <w:noWrap/>
            <w:vAlign w:val="center"/>
            <w:hideMark/>
          </w:tcPr>
          <w:p w:rsidR="009951B2" w:rsidRPr="009951B2" w:rsidRDefault="009951B2" w:rsidP="009951B2">
            <w:pPr>
              <w:jc w:val="right"/>
              <w:rPr>
                <w:rFonts w:cs="Arial"/>
                <w:color w:val="7F7F7F"/>
                <w:szCs w:val="18"/>
                <w:lang w:eastAsia="en-AU"/>
              </w:rPr>
            </w:pPr>
            <w:r w:rsidRPr="009951B2">
              <w:rPr>
                <w:rFonts w:cs="Arial"/>
                <w:color w:val="7F7F7F"/>
                <w:szCs w:val="18"/>
                <w:lang w:eastAsia="en-AU"/>
              </w:rPr>
              <w:t>0</w:t>
            </w:r>
          </w:p>
        </w:tc>
        <w:tc>
          <w:tcPr>
            <w:tcW w:w="940" w:type="dxa"/>
            <w:tcBorders>
              <w:top w:val="nil"/>
              <w:left w:val="nil"/>
              <w:bottom w:val="nil"/>
              <w:right w:val="nil"/>
            </w:tcBorders>
            <w:shd w:val="clear" w:color="auto" w:fill="auto"/>
            <w:noWrap/>
            <w:vAlign w:val="center"/>
            <w:hideMark/>
          </w:tcPr>
          <w:p w:rsidR="009951B2" w:rsidRPr="009951B2" w:rsidRDefault="009951B2" w:rsidP="009951B2">
            <w:pPr>
              <w:jc w:val="right"/>
              <w:rPr>
                <w:rFonts w:cs="Arial"/>
                <w:color w:val="7F7F7F"/>
                <w:szCs w:val="18"/>
                <w:lang w:eastAsia="en-AU"/>
              </w:rPr>
            </w:pPr>
            <w:r w:rsidRPr="009951B2">
              <w:rPr>
                <w:rFonts w:cs="Arial"/>
                <w:color w:val="7F7F7F"/>
                <w:szCs w:val="18"/>
                <w:lang w:eastAsia="en-AU"/>
              </w:rPr>
              <w:t>0</w:t>
            </w:r>
          </w:p>
        </w:tc>
      </w:tr>
      <w:tr w:rsidR="009951B2" w:rsidRPr="009951B2" w:rsidTr="009951B2">
        <w:trPr>
          <w:trHeight w:val="300"/>
        </w:trPr>
        <w:tc>
          <w:tcPr>
            <w:tcW w:w="2600" w:type="dxa"/>
            <w:tcBorders>
              <w:top w:val="nil"/>
              <w:left w:val="nil"/>
              <w:bottom w:val="nil"/>
              <w:right w:val="nil"/>
            </w:tcBorders>
            <w:shd w:val="clear" w:color="auto" w:fill="auto"/>
            <w:vAlign w:val="center"/>
            <w:hideMark/>
          </w:tcPr>
          <w:p w:rsidR="009951B2" w:rsidRPr="009951B2" w:rsidRDefault="009951B2" w:rsidP="009951B2">
            <w:pPr>
              <w:rPr>
                <w:rFonts w:cs="Arial"/>
                <w:color w:val="7F7F7F"/>
                <w:szCs w:val="18"/>
                <w:lang w:eastAsia="en-AU"/>
              </w:rPr>
            </w:pPr>
            <w:r w:rsidRPr="009951B2">
              <w:rPr>
                <w:rFonts w:cs="Arial"/>
                <w:color w:val="7F7F7F"/>
                <w:szCs w:val="18"/>
                <w:lang w:eastAsia="en-AU"/>
              </w:rPr>
              <w:t>Professionals</w:t>
            </w:r>
          </w:p>
        </w:tc>
        <w:tc>
          <w:tcPr>
            <w:tcW w:w="939" w:type="dxa"/>
            <w:tcBorders>
              <w:top w:val="nil"/>
              <w:left w:val="nil"/>
              <w:bottom w:val="nil"/>
              <w:right w:val="nil"/>
            </w:tcBorders>
            <w:shd w:val="clear" w:color="auto" w:fill="auto"/>
            <w:noWrap/>
            <w:vAlign w:val="center"/>
            <w:hideMark/>
          </w:tcPr>
          <w:p w:rsidR="009951B2" w:rsidRPr="009951B2" w:rsidRDefault="009951B2" w:rsidP="009951B2">
            <w:pPr>
              <w:jc w:val="right"/>
              <w:rPr>
                <w:rFonts w:cs="Arial"/>
                <w:color w:val="7F7F7F"/>
                <w:szCs w:val="18"/>
                <w:lang w:eastAsia="en-AU"/>
              </w:rPr>
            </w:pPr>
            <w:r w:rsidRPr="009951B2">
              <w:rPr>
                <w:rFonts w:cs="Arial"/>
                <w:color w:val="7F7F7F"/>
                <w:szCs w:val="18"/>
                <w:lang w:eastAsia="en-AU"/>
              </w:rPr>
              <w:t>0</w:t>
            </w:r>
          </w:p>
        </w:tc>
        <w:tc>
          <w:tcPr>
            <w:tcW w:w="940" w:type="dxa"/>
            <w:tcBorders>
              <w:top w:val="nil"/>
              <w:left w:val="nil"/>
              <w:bottom w:val="nil"/>
              <w:right w:val="nil"/>
            </w:tcBorders>
            <w:shd w:val="clear" w:color="auto" w:fill="auto"/>
            <w:noWrap/>
            <w:vAlign w:val="center"/>
            <w:hideMark/>
          </w:tcPr>
          <w:p w:rsidR="009951B2" w:rsidRPr="009951B2" w:rsidRDefault="009951B2" w:rsidP="009951B2">
            <w:pPr>
              <w:jc w:val="right"/>
              <w:rPr>
                <w:rFonts w:cs="Arial"/>
                <w:color w:val="7F7F7F"/>
                <w:szCs w:val="18"/>
                <w:lang w:eastAsia="en-AU"/>
              </w:rPr>
            </w:pPr>
            <w:r w:rsidRPr="009951B2">
              <w:rPr>
                <w:rFonts w:cs="Arial"/>
                <w:color w:val="7F7F7F"/>
                <w:szCs w:val="18"/>
                <w:lang w:eastAsia="en-AU"/>
              </w:rPr>
              <w:t>0</w:t>
            </w:r>
          </w:p>
        </w:tc>
        <w:tc>
          <w:tcPr>
            <w:tcW w:w="939" w:type="dxa"/>
            <w:tcBorders>
              <w:top w:val="nil"/>
              <w:left w:val="nil"/>
              <w:bottom w:val="nil"/>
              <w:right w:val="nil"/>
            </w:tcBorders>
            <w:shd w:val="clear" w:color="auto" w:fill="auto"/>
            <w:noWrap/>
            <w:vAlign w:val="center"/>
            <w:hideMark/>
          </w:tcPr>
          <w:p w:rsidR="009951B2" w:rsidRPr="009951B2" w:rsidRDefault="009951B2" w:rsidP="009951B2">
            <w:pPr>
              <w:jc w:val="right"/>
              <w:rPr>
                <w:rFonts w:cs="Arial"/>
                <w:color w:val="7F7F7F"/>
                <w:szCs w:val="18"/>
                <w:lang w:eastAsia="en-AU"/>
              </w:rPr>
            </w:pPr>
            <w:r w:rsidRPr="009951B2">
              <w:rPr>
                <w:rFonts w:cs="Arial"/>
                <w:color w:val="7F7F7F"/>
                <w:szCs w:val="18"/>
                <w:lang w:eastAsia="en-AU"/>
              </w:rPr>
              <w:t>1</w:t>
            </w:r>
          </w:p>
        </w:tc>
        <w:tc>
          <w:tcPr>
            <w:tcW w:w="940" w:type="dxa"/>
            <w:tcBorders>
              <w:top w:val="nil"/>
              <w:left w:val="nil"/>
              <w:bottom w:val="nil"/>
              <w:right w:val="nil"/>
            </w:tcBorders>
            <w:shd w:val="clear" w:color="auto" w:fill="auto"/>
            <w:noWrap/>
            <w:vAlign w:val="center"/>
            <w:hideMark/>
          </w:tcPr>
          <w:p w:rsidR="009951B2" w:rsidRPr="009951B2" w:rsidRDefault="009951B2" w:rsidP="009951B2">
            <w:pPr>
              <w:jc w:val="right"/>
              <w:rPr>
                <w:rFonts w:cs="Arial"/>
                <w:color w:val="7F7F7F"/>
                <w:szCs w:val="18"/>
                <w:lang w:eastAsia="en-AU"/>
              </w:rPr>
            </w:pPr>
            <w:r w:rsidRPr="009951B2">
              <w:rPr>
                <w:rFonts w:cs="Arial"/>
                <w:color w:val="7F7F7F"/>
                <w:szCs w:val="18"/>
                <w:lang w:eastAsia="en-AU"/>
              </w:rPr>
              <w:t>0</w:t>
            </w:r>
          </w:p>
        </w:tc>
        <w:tc>
          <w:tcPr>
            <w:tcW w:w="939" w:type="dxa"/>
            <w:tcBorders>
              <w:top w:val="nil"/>
              <w:left w:val="nil"/>
              <w:bottom w:val="nil"/>
              <w:right w:val="nil"/>
            </w:tcBorders>
            <w:shd w:val="clear" w:color="auto" w:fill="auto"/>
            <w:noWrap/>
            <w:vAlign w:val="center"/>
            <w:hideMark/>
          </w:tcPr>
          <w:p w:rsidR="009951B2" w:rsidRPr="009951B2" w:rsidRDefault="009951B2" w:rsidP="009951B2">
            <w:pPr>
              <w:jc w:val="right"/>
              <w:rPr>
                <w:rFonts w:cs="Arial"/>
                <w:color w:val="7F7F7F"/>
                <w:szCs w:val="18"/>
                <w:lang w:eastAsia="en-AU"/>
              </w:rPr>
            </w:pPr>
            <w:r w:rsidRPr="009951B2">
              <w:rPr>
                <w:rFonts w:cs="Arial"/>
                <w:color w:val="7F7F7F"/>
                <w:szCs w:val="18"/>
                <w:lang w:eastAsia="en-AU"/>
              </w:rPr>
              <w:t>0</w:t>
            </w:r>
          </w:p>
        </w:tc>
        <w:tc>
          <w:tcPr>
            <w:tcW w:w="940" w:type="dxa"/>
            <w:tcBorders>
              <w:top w:val="nil"/>
              <w:left w:val="nil"/>
              <w:bottom w:val="nil"/>
              <w:right w:val="nil"/>
            </w:tcBorders>
            <w:shd w:val="clear" w:color="auto" w:fill="auto"/>
            <w:noWrap/>
            <w:vAlign w:val="center"/>
            <w:hideMark/>
          </w:tcPr>
          <w:p w:rsidR="009951B2" w:rsidRPr="009951B2" w:rsidRDefault="009951B2" w:rsidP="009951B2">
            <w:pPr>
              <w:jc w:val="right"/>
              <w:rPr>
                <w:rFonts w:cs="Arial"/>
                <w:color w:val="7F7F7F"/>
                <w:szCs w:val="18"/>
                <w:lang w:eastAsia="en-AU"/>
              </w:rPr>
            </w:pPr>
            <w:r w:rsidRPr="009951B2">
              <w:rPr>
                <w:rFonts w:cs="Arial"/>
                <w:color w:val="7F7F7F"/>
                <w:szCs w:val="18"/>
                <w:lang w:eastAsia="en-AU"/>
              </w:rPr>
              <w:t>0</w:t>
            </w:r>
          </w:p>
        </w:tc>
      </w:tr>
      <w:tr w:rsidR="009951B2" w:rsidRPr="009951B2" w:rsidTr="009951B2">
        <w:trPr>
          <w:trHeight w:val="300"/>
        </w:trPr>
        <w:tc>
          <w:tcPr>
            <w:tcW w:w="2600" w:type="dxa"/>
            <w:tcBorders>
              <w:top w:val="nil"/>
              <w:left w:val="nil"/>
              <w:bottom w:val="nil"/>
              <w:right w:val="nil"/>
            </w:tcBorders>
            <w:shd w:val="clear" w:color="auto" w:fill="auto"/>
            <w:vAlign w:val="center"/>
            <w:hideMark/>
          </w:tcPr>
          <w:p w:rsidR="009951B2" w:rsidRPr="009951B2" w:rsidRDefault="009951B2" w:rsidP="009951B2">
            <w:pPr>
              <w:rPr>
                <w:rFonts w:cs="Arial"/>
                <w:color w:val="7F7F7F"/>
                <w:szCs w:val="18"/>
                <w:lang w:eastAsia="en-AU"/>
              </w:rPr>
            </w:pPr>
            <w:r w:rsidRPr="009951B2">
              <w:rPr>
                <w:rFonts w:cs="Arial"/>
                <w:color w:val="7F7F7F"/>
                <w:szCs w:val="18"/>
                <w:lang w:eastAsia="en-AU"/>
              </w:rPr>
              <w:t>Sales Workers</w:t>
            </w:r>
          </w:p>
        </w:tc>
        <w:tc>
          <w:tcPr>
            <w:tcW w:w="939" w:type="dxa"/>
            <w:tcBorders>
              <w:top w:val="nil"/>
              <w:left w:val="nil"/>
              <w:bottom w:val="nil"/>
              <w:right w:val="nil"/>
            </w:tcBorders>
            <w:shd w:val="clear" w:color="auto" w:fill="auto"/>
            <w:noWrap/>
            <w:vAlign w:val="center"/>
            <w:hideMark/>
          </w:tcPr>
          <w:p w:rsidR="009951B2" w:rsidRPr="009951B2" w:rsidRDefault="009951B2" w:rsidP="009951B2">
            <w:pPr>
              <w:jc w:val="right"/>
              <w:rPr>
                <w:rFonts w:cs="Arial"/>
                <w:color w:val="7F7F7F"/>
                <w:szCs w:val="18"/>
                <w:lang w:eastAsia="en-AU"/>
              </w:rPr>
            </w:pPr>
            <w:r w:rsidRPr="009951B2">
              <w:rPr>
                <w:rFonts w:cs="Arial"/>
                <w:color w:val="7F7F7F"/>
                <w:szCs w:val="18"/>
                <w:lang w:eastAsia="en-AU"/>
              </w:rPr>
              <w:t>69</w:t>
            </w:r>
          </w:p>
        </w:tc>
        <w:tc>
          <w:tcPr>
            <w:tcW w:w="940" w:type="dxa"/>
            <w:tcBorders>
              <w:top w:val="nil"/>
              <w:left w:val="nil"/>
              <w:bottom w:val="nil"/>
              <w:right w:val="nil"/>
            </w:tcBorders>
            <w:shd w:val="clear" w:color="auto" w:fill="auto"/>
            <w:noWrap/>
            <w:vAlign w:val="center"/>
            <w:hideMark/>
          </w:tcPr>
          <w:p w:rsidR="009951B2" w:rsidRPr="009951B2" w:rsidRDefault="009951B2" w:rsidP="009951B2">
            <w:pPr>
              <w:jc w:val="right"/>
              <w:rPr>
                <w:rFonts w:cs="Arial"/>
                <w:color w:val="7F7F7F"/>
                <w:szCs w:val="18"/>
                <w:lang w:eastAsia="en-AU"/>
              </w:rPr>
            </w:pPr>
            <w:r w:rsidRPr="009951B2">
              <w:rPr>
                <w:rFonts w:cs="Arial"/>
                <w:color w:val="7F7F7F"/>
                <w:szCs w:val="18"/>
                <w:lang w:eastAsia="en-AU"/>
              </w:rPr>
              <w:t>103</w:t>
            </w:r>
          </w:p>
        </w:tc>
        <w:tc>
          <w:tcPr>
            <w:tcW w:w="939" w:type="dxa"/>
            <w:tcBorders>
              <w:top w:val="nil"/>
              <w:left w:val="nil"/>
              <w:bottom w:val="nil"/>
              <w:right w:val="nil"/>
            </w:tcBorders>
            <w:shd w:val="clear" w:color="auto" w:fill="auto"/>
            <w:noWrap/>
            <w:vAlign w:val="center"/>
            <w:hideMark/>
          </w:tcPr>
          <w:p w:rsidR="009951B2" w:rsidRPr="009951B2" w:rsidRDefault="009951B2" w:rsidP="009951B2">
            <w:pPr>
              <w:jc w:val="right"/>
              <w:rPr>
                <w:rFonts w:cs="Arial"/>
                <w:color w:val="7F7F7F"/>
                <w:szCs w:val="18"/>
                <w:lang w:eastAsia="en-AU"/>
              </w:rPr>
            </w:pPr>
            <w:r w:rsidRPr="009951B2">
              <w:rPr>
                <w:rFonts w:cs="Arial"/>
                <w:color w:val="7F7F7F"/>
                <w:szCs w:val="18"/>
                <w:lang w:eastAsia="en-AU"/>
              </w:rPr>
              <w:t>227</w:t>
            </w:r>
          </w:p>
        </w:tc>
        <w:tc>
          <w:tcPr>
            <w:tcW w:w="940" w:type="dxa"/>
            <w:tcBorders>
              <w:top w:val="nil"/>
              <w:left w:val="nil"/>
              <w:bottom w:val="nil"/>
              <w:right w:val="nil"/>
            </w:tcBorders>
            <w:shd w:val="clear" w:color="auto" w:fill="auto"/>
            <w:noWrap/>
            <w:vAlign w:val="center"/>
            <w:hideMark/>
          </w:tcPr>
          <w:p w:rsidR="009951B2" w:rsidRPr="009951B2" w:rsidRDefault="009951B2" w:rsidP="009951B2">
            <w:pPr>
              <w:jc w:val="right"/>
              <w:rPr>
                <w:rFonts w:cs="Arial"/>
                <w:color w:val="7F7F7F"/>
                <w:szCs w:val="18"/>
                <w:lang w:eastAsia="en-AU"/>
              </w:rPr>
            </w:pPr>
            <w:r w:rsidRPr="009951B2">
              <w:rPr>
                <w:rFonts w:cs="Arial"/>
                <w:color w:val="7F7F7F"/>
                <w:szCs w:val="18"/>
                <w:lang w:eastAsia="en-AU"/>
              </w:rPr>
              <w:t>153</w:t>
            </w:r>
          </w:p>
        </w:tc>
        <w:tc>
          <w:tcPr>
            <w:tcW w:w="939" w:type="dxa"/>
            <w:tcBorders>
              <w:top w:val="nil"/>
              <w:left w:val="nil"/>
              <w:bottom w:val="nil"/>
              <w:right w:val="nil"/>
            </w:tcBorders>
            <w:shd w:val="clear" w:color="auto" w:fill="auto"/>
            <w:noWrap/>
            <w:vAlign w:val="center"/>
            <w:hideMark/>
          </w:tcPr>
          <w:p w:rsidR="009951B2" w:rsidRPr="009951B2" w:rsidRDefault="009951B2" w:rsidP="009951B2">
            <w:pPr>
              <w:jc w:val="right"/>
              <w:rPr>
                <w:rFonts w:cs="Arial"/>
                <w:color w:val="7F7F7F"/>
                <w:szCs w:val="18"/>
                <w:lang w:eastAsia="en-AU"/>
              </w:rPr>
            </w:pPr>
            <w:r w:rsidRPr="009951B2">
              <w:rPr>
                <w:rFonts w:cs="Arial"/>
                <w:color w:val="7F7F7F"/>
                <w:szCs w:val="18"/>
                <w:lang w:eastAsia="en-AU"/>
              </w:rPr>
              <w:t>191</w:t>
            </w:r>
          </w:p>
        </w:tc>
        <w:tc>
          <w:tcPr>
            <w:tcW w:w="940" w:type="dxa"/>
            <w:tcBorders>
              <w:top w:val="nil"/>
              <w:left w:val="nil"/>
              <w:bottom w:val="nil"/>
              <w:right w:val="nil"/>
            </w:tcBorders>
            <w:shd w:val="clear" w:color="auto" w:fill="auto"/>
            <w:noWrap/>
            <w:vAlign w:val="center"/>
            <w:hideMark/>
          </w:tcPr>
          <w:p w:rsidR="009951B2" w:rsidRPr="009951B2" w:rsidRDefault="009951B2" w:rsidP="009951B2">
            <w:pPr>
              <w:jc w:val="right"/>
              <w:rPr>
                <w:rFonts w:cs="Arial"/>
                <w:color w:val="7F7F7F"/>
                <w:szCs w:val="18"/>
                <w:lang w:eastAsia="en-AU"/>
              </w:rPr>
            </w:pPr>
            <w:r w:rsidRPr="009951B2">
              <w:rPr>
                <w:rFonts w:cs="Arial"/>
                <w:color w:val="7F7F7F"/>
                <w:szCs w:val="18"/>
                <w:lang w:eastAsia="en-AU"/>
              </w:rPr>
              <w:t>244</w:t>
            </w:r>
          </w:p>
        </w:tc>
      </w:tr>
      <w:tr w:rsidR="009951B2" w:rsidRPr="009951B2" w:rsidTr="009951B2">
        <w:trPr>
          <w:trHeight w:val="480"/>
        </w:trPr>
        <w:tc>
          <w:tcPr>
            <w:tcW w:w="2600" w:type="dxa"/>
            <w:tcBorders>
              <w:top w:val="nil"/>
              <w:left w:val="nil"/>
              <w:bottom w:val="nil"/>
              <w:right w:val="nil"/>
            </w:tcBorders>
            <w:shd w:val="clear" w:color="auto" w:fill="auto"/>
            <w:vAlign w:val="center"/>
            <w:hideMark/>
          </w:tcPr>
          <w:p w:rsidR="009951B2" w:rsidRPr="009951B2" w:rsidRDefault="009951B2" w:rsidP="009951B2">
            <w:pPr>
              <w:rPr>
                <w:rFonts w:cs="Arial"/>
                <w:color w:val="7F7F7F"/>
                <w:szCs w:val="18"/>
                <w:lang w:eastAsia="en-AU"/>
              </w:rPr>
            </w:pPr>
            <w:r w:rsidRPr="009951B2">
              <w:rPr>
                <w:rFonts w:cs="Arial"/>
                <w:color w:val="7F7F7F"/>
                <w:szCs w:val="18"/>
                <w:lang w:eastAsia="en-AU"/>
              </w:rPr>
              <w:t>Technicians And Trades Workers</w:t>
            </w:r>
          </w:p>
        </w:tc>
        <w:tc>
          <w:tcPr>
            <w:tcW w:w="939" w:type="dxa"/>
            <w:tcBorders>
              <w:top w:val="nil"/>
              <w:left w:val="nil"/>
              <w:bottom w:val="nil"/>
              <w:right w:val="nil"/>
            </w:tcBorders>
            <w:shd w:val="clear" w:color="auto" w:fill="auto"/>
            <w:noWrap/>
            <w:vAlign w:val="center"/>
            <w:hideMark/>
          </w:tcPr>
          <w:p w:rsidR="009951B2" w:rsidRPr="009951B2" w:rsidRDefault="009951B2" w:rsidP="009951B2">
            <w:pPr>
              <w:jc w:val="right"/>
              <w:rPr>
                <w:rFonts w:cs="Arial"/>
                <w:color w:val="7F7F7F"/>
                <w:szCs w:val="18"/>
                <w:lang w:eastAsia="en-AU"/>
              </w:rPr>
            </w:pPr>
            <w:r w:rsidRPr="009951B2">
              <w:rPr>
                <w:rFonts w:cs="Arial"/>
                <w:color w:val="7F7F7F"/>
                <w:szCs w:val="18"/>
                <w:lang w:eastAsia="en-AU"/>
              </w:rPr>
              <w:t>34,898</w:t>
            </w:r>
          </w:p>
        </w:tc>
        <w:tc>
          <w:tcPr>
            <w:tcW w:w="940" w:type="dxa"/>
            <w:tcBorders>
              <w:top w:val="nil"/>
              <w:left w:val="nil"/>
              <w:bottom w:val="nil"/>
              <w:right w:val="nil"/>
            </w:tcBorders>
            <w:shd w:val="clear" w:color="auto" w:fill="auto"/>
            <w:noWrap/>
            <w:vAlign w:val="center"/>
            <w:hideMark/>
          </w:tcPr>
          <w:p w:rsidR="009951B2" w:rsidRPr="009951B2" w:rsidRDefault="009951B2" w:rsidP="009951B2">
            <w:pPr>
              <w:jc w:val="right"/>
              <w:rPr>
                <w:rFonts w:cs="Arial"/>
                <w:color w:val="7F7F7F"/>
                <w:szCs w:val="18"/>
                <w:lang w:eastAsia="en-AU"/>
              </w:rPr>
            </w:pPr>
            <w:r w:rsidRPr="009951B2">
              <w:rPr>
                <w:rFonts w:cs="Arial"/>
                <w:color w:val="7F7F7F"/>
                <w:szCs w:val="18"/>
                <w:lang w:eastAsia="en-AU"/>
              </w:rPr>
              <w:t>37,066</w:t>
            </w:r>
          </w:p>
        </w:tc>
        <w:tc>
          <w:tcPr>
            <w:tcW w:w="939" w:type="dxa"/>
            <w:tcBorders>
              <w:top w:val="nil"/>
              <w:left w:val="nil"/>
              <w:bottom w:val="nil"/>
              <w:right w:val="nil"/>
            </w:tcBorders>
            <w:shd w:val="clear" w:color="auto" w:fill="auto"/>
            <w:noWrap/>
            <w:vAlign w:val="center"/>
            <w:hideMark/>
          </w:tcPr>
          <w:p w:rsidR="009951B2" w:rsidRPr="009951B2" w:rsidRDefault="009951B2" w:rsidP="009951B2">
            <w:pPr>
              <w:jc w:val="right"/>
              <w:rPr>
                <w:rFonts w:cs="Arial"/>
                <w:color w:val="7F7F7F"/>
                <w:szCs w:val="18"/>
                <w:lang w:eastAsia="en-AU"/>
              </w:rPr>
            </w:pPr>
            <w:r w:rsidRPr="009951B2">
              <w:rPr>
                <w:rFonts w:cs="Arial"/>
                <w:color w:val="7F7F7F"/>
                <w:szCs w:val="18"/>
                <w:lang w:eastAsia="en-AU"/>
              </w:rPr>
              <w:t>37,245</w:t>
            </w:r>
          </w:p>
        </w:tc>
        <w:tc>
          <w:tcPr>
            <w:tcW w:w="940" w:type="dxa"/>
            <w:tcBorders>
              <w:top w:val="nil"/>
              <w:left w:val="nil"/>
              <w:bottom w:val="nil"/>
              <w:right w:val="nil"/>
            </w:tcBorders>
            <w:shd w:val="clear" w:color="auto" w:fill="auto"/>
            <w:noWrap/>
            <w:vAlign w:val="center"/>
            <w:hideMark/>
          </w:tcPr>
          <w:p w:rsidR="009951B2" w:rsidRPr="009951B2" w:rsidRDefault="009951B2" w:rsidP="009951B2">
            <w:pPr>
              <w:jc w:val="right"/>
              <w:rPr>
                <w:rFonts w:cs="Arial"/>
                <w:color w:val="7F7F7F"/>
                <w:szCs w:val="18"/>
                <w:lang w:eastAsia="en-AU"/>
              </w:rPr>
            </w:pPr>
            <w:r w:rsidRPr="009951B2">
              <w:rPr>
                <w:rFonts w:cs="Arial"/>
                <w:color w:val="7F7F7F"/>
                <w:szCs w:val="18"/>
                <w:lang w:eastAsia="en-AU"/>
              </w:rPr>
              <w:t>34,041</w:t>
            </w:r>
          </w:p>
        </w:tc>
        <w:tc>
          <w:tcPr>
            <w:tcW w:w="939" w:type="dxa"/>
            <w:tcBorders>
              <w:top w:val="nil"/>
              <w:left w:val="nil"/>
              <w:bottom w:val="nil"/>
              <w:right w:val="nil"/>
            </w:tcBorders>
            <w:shd w:val="clear" w:color="auto" w:fill="auto"/>
            <w:noWrap/>
            <w:vAlign w:val="center"/>
            <w:hideMark/>
          </w:tcPr>
          <w:p w:rsidR="009951B2" w:rsidRPr="009951B2" w:rsidRDefault="009951B2" w:rsidP="009951B2">
            <w:pPr>
              <w:jc w:val="right"/>
              <w:rPr>
                <w:rFonts w:cs="Arial"/>
                <w:color w:val="7F7F7F"/>
                <w:szCs w:val="18"/>
                <w:lang w:eastAsia="en-AU"/>
              </w:rPr>
            </w:pPr>
            <w:r w:rsidRPr="009951B2">
              <w:rPr>
                <w:rFonts w:cs="Arial"/>
                <w:color w:val="7F7F7F"/>
                <w:szCs w:val="18"/>
                <w:lang w:eastAsia="en-AU"/>
              </w:rPr>
              <w:t>34,023</w:t>
            </w:r>
          </w:p>
        </w:tc>
        <w:tc>
          <w:tcPr>
            <w:tcW w:w="940" w:type="dxa"/>
            <w:tcBorders>
              <w:top w:val="nil"/>
              <w:left w:val="nil"/>
              <w:bottom w:val="nil"/>
              <w:right w:val="nil"/>
            </w:tcBorders>
            <w:shd w:val="clear" w:color="auto" w:fill="auto"/>
            <w:noWrap/>
            <w:vAlign w:val="center"/>
            <w:hideMark/>
          </w:tcPr>
          <w:p w:rsidR="009951B2" w:rsidRPr="009951B2" w:rsidRDefault="009951B2" w:rsidP="009951B2">
            <w:pPr>
              <w:jc w:val="right"/>
              <w:rPr>
                <w:rFonts w:cs="Arial"/>
                <w:color w:val="7F7F7F"/>
                <w:szCs w:val="18"/>
                <w:lang w:eastAsia="en-AU"/>
              </w:rPr>
            </w:pPr>
            <w:r w:rsidRPr="009951B2">
              <w:rPr>
                <w:rFonts w:cs="Arial"/>
                <w:color w:val="7F7F7F"/>
                <w:szCs w:val="18"/>
                <w:lang w:eastAsia="en-AU"/>
              </w:rPr>
              <w:t>35,151</w:t>
            </w:r>
          </w:p>
        </w:tc>
      </w:tr>
      <w:tr w:rsidR="009951B2" w:rsidRPr="009951B2" w:rsidTr="009951B2">
        <w:trPr>
          <w:cantSplit/>
          <w:trHeight w:val="720"/>
        </w:trPr>
        <w:tc>
          <w:tcPr>
            <w:tcW w:w="2600" w:type="dxa"/>
            <w:tcBorders>
              <w:top w:val="nil"/>
              <w:left w:val="nil"/>
              <w:bottom w:val="nil"/>
              <w:right w:val="nil"/>
            </w:tcBorders>
            <w:shd w:val="clear" w:color="auto" w:fill="auto"/>
            <w:vAlign w:val="center"/>
            <w:hideMark/>
          </w:tcPr>
          <w:p w:rsidR="009951B2" w:rsidRPr="009951B2" w:rsidRDefault="009951B2" w:rsidP="009951B2">
            <w:pPr>
              <w:ind w:left="333"/>
              <w:rPr>
                <w:rFonts w:cs="Arial"/>
                <w:i/>
                <w:iCs/>
                <w:color w:val="7F7F7F"/>
                <w:szCs w:val="18"/>
                <w:lang w:eastAsia="en-AU"/>
              </w:rPr>
            </w:pPr>
            <w:r w:rsidRPr="009951B2">
              <w:rPr>
                <w:rFonts w:cs="Arial"/>
                <w:i/>
                <w:iCs/>
                <w:color w:val="7F7F7F"/>
                <w:szCs w:val="18"/>
                <w:lang w:eastAsia="en-AU"/>
              </w:rPr>
              <w:t>Automotive and Engineering Trades Workers</w:t>
            </w:r>
          </w:p>
        </w:tc>
        <w:tc>
          <w:tcPr>
            <w:tcW w:w="939" w:type="dxa"/>
            <w:tcBorders>
              <w:top w:val="nil"/>
              <w:left w:val="nil"/>
              <w:bottom w:val="nil"/>
              <w:right w:val="nil"/>
            </w:tcBorders>
            <w:shd w:val="clear" w:color="auto" w:fill="auto"/>
            <w:noWrap/>
            <w:vAlign w:val="center"/>
            <w:hideMark/>
          </w:tcPr>
          <w:p w:rsidR="009951B2" w:rsidRPr="009951B2" w:rsidRDefault="009951B2" w:rsidP="009951B2">
            <w:pPr>
              <w:jc w:val="right"/>
              <w:rPr>
                <w:rFonts w:cs="Arial"/>
                <w:i/>
                <w:iCs/>
                <w:color w:val="7F7F7F"/>
                <w:szCs w:val="18"/>
                <w:lang w:eastAsia="en-AU"/>
              </w:rPr>
            </w:pPr>
            <w:r w:rsidRPr="009951B2">
              <w:rPr>
                <w:rFonts w:cs="Arial"/>
                <w:i/>
                <w:iCs/>
                <w:color w:val="7F7F7F"/>
                <w:szCs w:val="18"/>
                <w:lang w:eastAsia="en-AU"/>
              </w:rPr>
              <w:t>7,566</w:t>
            </w:r>
          </w:p>
        </w:tc>
        <w:tc>
          <w:tcPr>
            <w:tcW w:w="940" w:type="dxa"/>
            <w:tcBorders>
              <w:top w:val="nil"/>
              <w:left w:val="nil"/>
              <w:bottom w:val="nil"/>
              <w:right w:val="nil"/>
            </w:tcBorders>
            <w:shd w:val="clear" w:color="auto" w:fill="auto"/>
            <w:noWrap/>
            <w:vAlign w:val="center"/>
            <w:hideMark/>
          </w:tcPr>
          <w:p w:rsidR="009951B2" w:rsidRPr="009951B2" w:rsidRDefault="009951B2" w:rsidP="009951B2">
            <w:pPr>
              <w:jc w:val="right"/>
              <w:rPr>
                <w:rFonts w:cs="Arial"/>
                <w:i/>
                <w:iCs/>
                <w:color w:val="7F7F7F"/>
                <w:szCs w:val="18"/>
                <w:lang w:eastAsia="en-AU"/>
              </w:rPr>
            </w:pPr>
            <w:r w:rsidRPr="009951B2">
              <w:rPr>
                <w:rFonts w:cs="Arial"/>
                <w:i/>
                <w:iCs/>
                <w:color w:val="7F7F7F"/>
                <w:szCs w:val="18"/>
                <w:lang w:eastAsia="en-AU"/>
              </w:rPr>
              <w:t>7,495</w:t>
            </w:r>
          </w:p>
        </w:tc>
        <w:tc>
          <w:tcPr>
            <w:tcW w:w="939" w:type="dxa"/>
            <w:tcBorders>
              <w:top w:val="nil"/>
              <w:left w:val="nil"/>
              <w:bottom w:val="nil"/>
              <w:right w:val="nil"/>
            </w:tcBorders>
            <w:shd w:val="clear" w:color="auto" w:fill="auto"/>
            <w:noWrap/>
            <w:vAlign w:val="center"/>
            <w:hideMark/>
          </w:tcPr>
          <w:p w:rsidR="009951B2" w:rsidRPr="009951B2" w:rsidRDefault="009951B2" w:rsidP="009951B2">
            <w:pPr>
              <w:jc w:val="right"/>
              <w:rPr>
                <w:rFonts w:cs="Arial"/>
                <w:i/>
                <w:iCs/>
                <w:color w:val="7F7F7F"/>
                <w:szCs w:val="18"/>
                <w:lang w:eastAsia="en-AU"/>
              </w:rPr>
            </w:pPr>
            <w:r w:rsidRPr="009951B2">
              <w:rPr>
                <w:rFonts w:cs="Arial"/>
                <w:i/>
                <w:iCs/>
                <w:color w:val="7F7F7F"/>
                <w:szCs w:val="18"/>
                <w:lang w:eastAsia="en-AU"/>
              </w:rPr>
              <w:t>8,165</w:t>
            </w:r>
          </w:p>
        </w:tc>
        <w:tc>
          <w:tcPr>
            <w:tcW w:w="940" w:type="dxa"/>
            <w:tcBorders>
              <w:top w:val="nil"/>
              <w:left w:val="nil"/>
              <w:bottom w:val="nil"/>
              <w:right w:val="nil"/>
            </w:tcBorders>
            <w:shd w:val="clear" w:color="auto" w:fill="auto"/>
            <w:noWrap/>
            <w:vAlign w:val="center"/>
            <w:hideMark/>
          </w:tcPr>
          <w:p w:rsidR="009951B2" w:rsidRPr="009951B2" w:rsidRDefault="009951B2" w:rsidP="009951B2">
            <w:pPr>
              <w:jc w:val="right"/>
              <w:rPr>
                <w:rFonts w:cs="Arial"/>
                <w:i/>
                <w:iCs/>
                <w:color w:val="7F7F7F"/>
                <w:szCs w:val="18"/>
                <w:lang w:eastAsia="en-AU"/>
              </w:rPr>
            </w:pPr>
            <w:r w:rsidRPr="009951B2">
              <w:rPr>
                <w:rFonts w:cs="Arial"/>
                <w:i/>
                <w:iCs/>
                <w:color w:val="7F7F7F"/>
                <w:szCs w:val="18"/>
                <w:lang w:eastAsia="en-AU"/>
              </w:rPr>
              <w:t>7,746</w:t>
            </w:r>
          </w:p>
        </w:tc>
        <w:tc>
          <w:tcPr>
            <w:tcW w:w="939" w:type="dxa"/>
            <w:tcBorders>
              <w:top w:val="nil"/>
              <w:left w:val="nil"/>
              <w:bottom w:val="nil"/>
              <w:right w:val="nil"/>
            </w:tcBorders>
            <w:shd w:val="clear" w:color="auto" w:fill="auto"/>
            <w:noWrap/>
            <w:vAlign w:val="center"/>
            <w:hideMark/>
          </w:tcPr>
          <w:p w:rsidR="009951B2" w:rsidRPr="009951B2" w:rsidRDefault="009951B2" w:rsidP="009951B2">
            <w:pPr>
              <w:jc w:val="right"/>
              <w:rPr>
                <w:rFonts w:cs="Arial"/>
                <w:i/>
                <w:iCs/>
                <w:color w:val="7F7F7F"/>
                <w:szCs w:val="18"/>
                <w:lang w:eastAsia="en-AU"/>
              </w:rPr>
            </w:pPr>
            <w:r w:rsidRPr="009951B2">
              <w:rPr>
                <w:rFonts w:cs="Arial"/>
                <w:i/>
                <w:iCs/>
                <w:color w:val="7F7F7F"/>
                <w:szCs w:val="18"/>
                <w:lang w:eastAsia="en-AU"/>
              </w:rPr>
              <w:t>7,220</w:t>
            </w:r>
          </w:p>
        </w:tc>
        <w:tc>
          <w:tcPr>
            <w:tcW w:w="940" w:type="dxa"/>
            <w:tcBorders>
              <w:top w:val="nil"/>
              <w:left w:val="nil"/>
              <w:bottom w:val="nil"/>
              <w:right w:val="nil"/>
            </w:tcBorders>
            <w:shd w:val="clear" w:color="auto" w:fill="auto"/>
            <w:noWrap/>
            <w:vAlign w:val="center"/>
            <w:hideMark/>
          </w:tcPr>
          <w:p w:rsidR="009951B2" w:rsidRPr="009951B2" w:rsidRDefault="009951B2" w:rsidP="009951B2">
            <w:pPr>
              <w:jc w:val="right"/>
              <w:rPr>
                <w:rFonts w:cs="Arial"/>
                <w:i/>
                <w:iCs/>
                <w:color w:val="7F7F7F"/>
                <w:szCs w:val="18"/>
                <w:lang w:eastAsia="en-AU"/>
              </w:rPr>
            </w:pPr>
            <w:r w:rsidRPr="009951B2">
              <w:rPr>
                <w:rFonts w:cs="Arial"/>
                <w:i/>
                <w:iCs/>
                <w:color w:val="7F7F7F"/>
                <w:szCs w:val="18"/>
                <w:lang w:eastAsia="en-AU"/>
              </w:rPr>
              <w:t>7,168</w:t>
            </w:r>
          </w:p>
        </w:tc>
      </w:tr>
      <w:tr w:rsidR="009951B2" w:rsidRPr="009951B2" w:rsidTr="009951B2">
        <w:trPr>
          <w:cantSplit/>
          <w:trHeight w:val="480"/>
        </w:trPr>
        <w:tc>
          <w:tcPr>
            <w:tcW w:w="2600" w:type="dxa"/>
            <w:tcBorders>
              <w:top w:val="nil"/>
              <w:left w:val="nil"/>
              <w:bottom w:val="nil"/>
              <w:right w:val="nil"/>
            </w:tcBorders>
            <w:shd w:val="clear" w:color="auto" w:fill="auto"/>
            <w:vAlign w:val="center"/>
            <w:hideMark/>
          </w:tcPr>
          <w:p w:rsidR="009951B2" w:rsidRPr="009951B2" w:rsidRDefault="009951B2" w:rsidP="009951B2">
            <w:pPr>
              <w:ind w:left="333"/>
              <w:rPr>
                <w:rFonts w:cs="Arial"/>
                <w:i/>
                <w:iCs/>
                <w:color w:val="7F7F7F"/>
                <w:szCs w:val="18"/>
                <w:lang w:eastAsia="en-AU"/>
              </w:rPr>
            </w:pPr>
            <w:r w:rsidRPr="009951B2">
              <w:rPr>
                <w:rFonts w:cs="Arial"/>
                <w:i/>
                <w:iCs/>
                <w:color w:val="7F7F7F"/>
                <w:szCs w:val="18"/>
                <w:lang w:eastAsia="en-AU"/>
              </w:rPr>
              <w:t>Construction Trades Workers</w:t>
            </w:r>
          </w:p>
        </w:tc>
        <w:tc>
          <w:tcPr>
            <w:tcW w:w="939" w:type="dxa"/>
            <w:tcBorders>
              <w:top w:val="nil"/>
              <w:left w:val="nil"/>
              <w:bottom w:val="nil"/>
              <w:right w:val="nil"/>
            </w:tcBorders>
            <w:shd w:val="clear" w:color="auto" w:fill="auto"/>
            <w:noWrap/>
            <w:vAlign w:val="center"/>
            <w:hideMark/>
          </w:tcPr>
          <w:p w:rsidR="009951B2" w:rsidRPr="009951B2" w:rsidRDefault="009951B2" w:rsidP="009951B2">
            <w:pPr>
              <w:jc w:val="right"/>
              <w:rPr>
                <w:rFonts w:cs="Arial"/>
                <w:i/>
                <w:iCs/>
                <w:color w:val="7F7F7F"/>
                <w:szCs w:val="18"/>
                <w:lang w:eastAsia="en-AU"/>
              </w:rPr>
            </w:pPr>
            <w:r w:rsidRPr="009951B2">
              <w:rPr>
                <w:rFonts w:cs="Arial"/>
                <w:i/>
                <w:iCs/>
                <w:color w:val="7F7F7F"/>
                <w:szCs w:val="18"/>
                <w:lang w:eastAsia="en-AU"/>
              </w:rPr>
              <w:t>12,902</w:t>
            </w:r>
          </w:p>
        </w:tc>
        <w:tc>
          <w:tcPr>
            <w:tcW w:w="940" w:type="dxa"/>
            <w:tcBorders>
              <w:top w:val="nil"/>
              <w:left w:val="nil"/>
              <w:bottom w:val="nil"/>
              <w:right w:val="nil"/>
            </w:tcBorders>
            <w:shd w:val="clear" w:color="auto" w:fill="auto"/>
            <w:noWrap/>
            <w:vAlign w:val="center"/>
            <w:hideMark/>
          </w:tcPr>
          <w:p w:rsidR="009951B2" w:rsidRPr="009951B2" w:rsidRDefault="009951B2" w:rsidP="009951B2">
            <w:pPr>
              <w:jc w:val="right"/>
              <w:rPr>
                <w:rFonts w:cs="Arial"/>
                <w:i/>
                <w:iCs/>
                <w:color w:val="7F7F7F"/>
                <w:szCs w:val="18"/>
                <w:lang w:eastAsia="en-AU"/>
              </w:rPr>
            </w:pPr>
            <w:r w:rsidRPr="009951B2">
              <w:rPr>
                <w:rFonts w:cs="Arial"/>
                <w:i/>
                <w:iCs/>
                <w:color w:val="7F7F7F"/>
                <w:szCs w:val="18"/>
                <w:lang w:eastAsia="en-AU"/>
              </w:rPr>
              <w:t>14,513</w:t>
            </w:r>
          </w:p>
        </w:tc>
        <w:tc>
          <w:tcPr>
            <w:tcW w:w="939" w:type="dxa"/>
            <w:tcBorders>
              <w:top w:val="nil"/>
              <w:left w:val="nil"/>
              <w:bottom w:val="nil"/>
              <w:right w:val="nil"/>
            </w:tcBorders>
            <w:shd w:val="clear" w:color="auto" w:fill="auto"/>
            <w:noWrap/>
            <w:vAlign w:val="center"/>
            <w:hideMark/>
          </w:tcPr>
          <w:p w:rsidR="009951B2" w:rsidRPr="009951B2" w:rsidRDefault="009951B2" w:rsidP="009951B2">
            <w:pPr>
              <w:jc w:val="right"/>
              <w:rPr>
                <w:rFonts w:cs="Arial"/>
                <w:i/>
                <w:iCs/>
                <w:color w:val="7F7F7F"/>
                <w:szCs w:val="18"/>
                <w:lang w:eastAsia="en-AU"/>
              </w:rPr>
            </w:pPr>
            <w:r w:rsidRPr="009951B2">
              <w:rPr>
                <w:rFonts w:cs="Arial"/>
                <w:i/>
                <w:iCs/>
                <w:color w:val="7F7F7F"/>
                <w:szCs w:val="18"/>
                <w:lang w:eastAsia="en-AU"/>
              </w:rPr>
              <w:t>14,216</w:t>
            </w:r>
          </w:p>
        </w:tc>
        <w:tc>
          <w:tcPr>
            <w:tcW w:w="940" w:type="dxa"/>
            <w:tcBorders>
              <w:top w:val="nil"/>
              <w:left w:val="nil"/>
              <w:bottom w:val="nil"/>
              <w:right w:val="nil"/>
            </w:tcBorders>
            <w:shd w:val="clear" w:color="auto" w:fill="auto"/>
            <w:noWrap/>
            <w:vAlign w:val="center"/>
            <w:hideMark/>
          </w:tcPr>
          <w:p w:rsidR="009951B2" w:rsidRPr="009951B2" w:rsidRDefault="009951B2" w:rsidP="009951B2">
            <w:pPr>
              <w:jc w:val="right"/>
              <w:rPr>
                <w:rFonts w:cs="Arial"/>
                <w:i/>
                <w:iCs/>
                <w:color w:val="7F7F7F"/>
                <w:szCs w:val="18"/>
                <w:lang w:eastAsia="en-AU"/>
              </w:rPr>
            </w:pPr>
            <w:r w:rsidRPr="009951B2">
              <w:rPr>
                <w:rFonts w:cs="Arial"/>
                <w:i/>
                <w:iCs/>
                <w:color w:val="7F7F7F"/>
                <w:szCs w:val="18"/>
                <w:lang w:eastAsia="en-AU"/>
              </w:rPr>
              <w:t>12,101</w:t>
            </w:r>
          </w:p>
        </w:tc>
        <w:tc>
          <w:tcPr>
            <w:tcW w:w="939" w:type="dxa"/>
            <w:tcBorders>
              <w:top w:val="nil"/>
              <w:left w:val="nil"/>
              <w:bottom w:val="nil"/>
              <w:right w:val="nil"/>
            </w:tcBorders>
            <w:shd w:val="clear" w:color="auto" w:fill="auto"/>
            <w:noWrap/>
            <w:vAlign w:val="center"/>
            <w:hideMark/>
          </w:tcPr>
          <w:p w:rsidR="009951B2" w:rsidRPr="009951B2" w:rsidRDefault="009951B2" w:rsidP="009951B2">
            <w:pPr>
              <w:jc w:val="right"/>
              <w:rPr>
                <w:rFonts w:cs="Arial"/>
                <w:i/>
                <w:iCs/>
                <w:color w:val="7F7F7F"/>
                <w:szCs w:val="18"/>
                <w:lang w:eastAsia="en-AU"/>
              </w:rPr>
            </w:pPr>
            <w:r w:rsidRPr="009951B2">
              <w:rPr>
                <w:rFonts w:cs="Arial"/>
                <w:i/>
                <w:iCs/>
                <w:color w:val="7F7F7F"/>
                <w:szCs w:val="18"/>
                <w:lang w:eastAsia="en-AU"/>
              </w:rPr>
              <w:t>11,129</w:t>
            </w:r>
          </w:p>
        </w:tc>
        <w:tc>
          <w:tcPr>
            <w:tcW w:w="940" w:type="dxa"/>
            <w:tcBorders>
              <w:top w:val="nil"/>
              <w:left w:val="nil"/>
              <w:bottom w:val="nil"/>
              <w:right w:val="nil"/>
            </w:tcBorders>
            <w:shd w:val="clear" w:color="auto" w:fill="auto"/>
            <w:noWrap/>
            <w:vAlign w:val="center"/>
            <w:hideMark/>
          </w:tcPr>
          <w:p w:rsidR="009951B2" w:rsidRPr="009951B2" w:rsidRDefault="009951B2" w:rsidP="009951B2">
            <w:pPr>
              <w:jc w:val="right"/>
              <w:rPr>
                <w:rFonts w:cs="Arial"/>
                <w:i/>
                <w:iCs/>
                <w:color w:val="7F7F7F"/>
                <w:szCs w:val="18"/>
                <w:lang w:eastAsia="en-AU"/>
              </w:rPr>
            </w:pPr>
            <w:r w:rsidRPr="009951B2">
              <w:rPr>
                <w:rFonts w:cs="Arial"/>
                <w:i/>
                <w:iCs/>
                <w:color w:val="7F7F7F"/>
                <w:szCs w:val="18"/>
                <w:lang w:eastAsia="en-AU"/>
              </w:rPr>
              <w:t>11,758</w:t>
            </w:r>
          </w:p>
        </w:tc>
      </w:tr>
      <w:tr w:rsidR="009951B2" w:rsidRPr="009951B2" w:rsidTr="009951B2">
        <w:trPr>
          <w:cantSplit/>
          <w:trHeight w:val="720"/>
        </w:trPr>
        <w:tc>
          <w:tcPr>
            <w:tcW w:w="2600" w:type="dxa"/>
            <w:tcBorders>
              <w:top w:val="nil"/>
              <w:left w:val="nil"/>
              <w:bottom w:val="nil"/>
              <w:right w:val="nil"/>
            </w:tcBorders>
            <w:shd w:val="clear" w:color="auto" w:fill="auto"/>
            <w:vAlign w:val="center"/>
            <w:hideMark/>
          </w:tcPr>
          <w:p w:rsidR="009951B2" w:rsidRPr="009951B2" w:rsidRDefault="009951B2" w:rsidP="009951B2">
            <w:pPr>
              <w:ind w:left="333"/>
              <w:rPr>
                <w:rFonts w:cs="Arial"/>
                <w:i/>
                <w:iCs/>
                <w:color w:val="7F7F7F"/>
                <w:szCs w:val="18"/>
                <w:lang w:eastAsia="en-AU"/>
              </w:rPr>
            </w:pPr>
            <w:proofErr w:type="spellStart"/>
            <w:r w:rsidRPr="009951B2">
              <w:rPr>
                <w:rFonts w:cs="Arial"/>
                <w:i/>
                <w:iCs/>
                <w:color w:val="7F7F7F"/>
                <w:szCs w:val="18"/>
                <w:lang w:eastAsia="en-AU"/>
              </w:rPr>
              <w:t>Electrotechnology</w:t>
            </w:r>
            <w:proofErr w:type="spellEnd"/>
            <w:r w:rsidRPr="009951B2">
              <w:rPr>
                <w:rFonts w:cs="Arial"/>
                <w:i/>
                <w:iCs/>
                <w:color w:val="7F7F7F"/>
                <w:szCs w:val="18"/>
                <w:lang w:eastAsia="en-AU"/>
              </w:rPr>
              <w:t xml:space="preserve"> and Telecommunications Trades Workers</w:t>
            </w:r>
          </w:p>
        </w:tc>
        <w:tc>
          <w:tcPr>
            <w:tcW w:w="939" w:type="dxa"/>
            <w:tcBorders>
              <w:top w:val="nil"/>
              <w:left w:val="nil"/>
              <w:bottom w:val="nil"/>
              <w:right w:val="nil"/>
            </w:tcBorders>
            <w:shd w:val="clear" w:color="auto" w:fill="auto"/>
            <w:noWrap/>
            <w:vAlign w:val="center"/>
            <w:hideMark/>
          </w:tcPr>
          <w:p w:rsidR="009951B2" w:rsidRPr="009951B2" w:rsidRDefault="009951B2" w:rsidP="009951B2">
            <w:pPr>
              <w:jc w:val="right"/>
              <w:rPr>
                <w:rFonts w:cs="Arial"/>
                <w:i/>
                <w:iCs/>
                <w:color w:val="7F7F7F"/>
                <w:szCs w:val="18"/>
                <w:lang w:eastAsia="en-AU"/>
              </w:rPr>
            </w:pPr>
            <w:r w:rsidRPr="009951B2">
              <w:rPr>
                <w:rFonts w:cs="Arial"/>
                <w:i/>
                <w:iCs/>
                <w:color w:val="7F7F7F"/>
                <w:szCs w:val="18"/>
                <w:lang w:eastAsia="en-AU"/>
              </w:rPr>
              <w:t>5,948</w:t>
            </w:r>
          </w:p>
        </w:tc>
        <w:tc>
          <w:tcPr>
            <w:tcW w:w="940" w:type="dxa"/>
            <w:tcBorders>
              <w:top w:val="nil"/>
              <w:left w:val="nil"/>
              <w:bottom w:val="nil"/>
              <w:right w:val="nil"/>
            </w:tcBorders>
            <w:shd w:val="clear" w:color="auto" w:fill="auto"/>
            <w:noWrap/>
            <w:vAlign w:val="center"/>
            <w:hideMark/>
          </w:tcPr>
          <w:p w:rsidR="009951B2" w:rsidRPr="009951B2" w:rsidRDefault="009951B2" w:rsidP="009951B2">
            <w:pPr>
              <w:jc w:val="right"/>
              <w:rPr>
                <w:rFonts w:cs="Arial"/>
                <w:i/>
                <w:iCs/>
                <w:color w:val="7F7F7F"/>
                <w:szCs w:val="18"/>
                <w:lang w:eastAsia="en-AU"/>
              </w:rPr>
            </w:pPr>
            <w:r w:rsidRPr="009951B2">
              <w:rPr>
                <w:rFonts w:cs="Arial"/>
                <w:i/>
                <w:iCs/>
                <w:color w:val="7F7F7F"/>
                <w:szCs w:val="18"/>
                <w:lang w:eastAsia="en-AU"/>
              </w:rPr>
              <w:t>6,442</w:t>
            </w:r>
          </w:p>
        </w:tc>
        <w:tc>
          <w:tcPr>
            <w:tcW w:w="939" w:type="dxa"/>
            <w:tcBorders>
              <w:top w:val="nil"/>
              <w:left w:val="nil"/>
              <w:bottom w:val="nil"/>
              <w:right w:val="nil"/>
            </w:tcBorders>
            <w:shd w:val="clear" w:color="auto" w:fill="auto"/>
            <w:noWrap/>
            <w:vAlign w:val="center"/>
            <w:hideMark/>
          </w:tcPr>
          <w:p w:rsidR="009951B2" w:rsidRPr="009951B2" w:rsidRDefault="009951B2" w:rsidP="009951B2">
            <w:pPr>
              <w:jc w:val="right"/>
              <w:rPr>
                <w:rFonts w:cs="Arial"/>
                <w:i/>
                <w:iCs/>
                <w:color w:val="7F7F7F"/>
                <w:szCs w:val="18"/>
                <w:lang w:eastAsia="en-AU"/>
              </w:rPr>
            </w:pPr>
            <w:r w:rsidRPr="009951B2">
              <w:rPr>
                <w:rFonts w:cs="Arial"/>
                <w:i/>
                <w:iCs/>
                <w:color w:val="7F7F7F"/>
                <w:szCs w:val="18"/>
                <w:lang w:eastAsia="en-AU"/>
              </w:rPr>
              <w:t>6,526</w:t>
            </w:r>
          </w:p>
        </w:tc>
        <w:tc>
          <w:tcPr>
            <w:tcW w:w="940" w:type="dxa"/>
            <w:tcBorders>
              <w:top w:val="nil"/>
              <w:left w:val="nil"/>
              <w:bottom w:val="nil"/>
              <w:right w:val="nil"/>
            </w:tcBorders>
            <w:shd w:val="clear" w:color="auto" w:fill="auto"/>
            <w:noWrap/>
            <w:vAlign w:val="center"/>
            <w:hideMark/>
          </w:tcPr>
          <w:p w:rsidR="009951B2" w:rsidRPr="009951B2" w:rsidRDefault="009951B2" w:rsidP="009951B2">
            <w:pPr>
              <w:jc w:val="right"/>
              <w:rPr>
                <w:rFonts w:cs="Arial"/>
                <w:i/>
                <w:iCs/>
                <w:color w:val="7F7F7F"/>
                <w:szCs w:val="18"/>
                <w:lang w:eastAsia="en-AU"/>
              </w:rPr>
            </w:pPr>
            <w:r w:rsidRPr="009951B2">
              <w:rPr>
                <w:rFonts w:cs="Arial"/>
                <w:i/>
                <w:iCs/>
                <w:color w:val="7F7F7F"/>
                <w:szCs w:val="18"/>
                <w:lang w:eastAsia="en-AU"/>
              </w:rPr>
              <w:t>6,238</w:t>
            </w:r>
          </w:p>
        </w:tc>
        <w:tc>
          <w:tcPr>
            <w:tcW w:w="939" w:type="dxa"/>
            <w:tcBorders>
              <w:top w:val="nil"/>
              <w:left w:val="nil"/>
              <w:bottom w:val="nil"/>
              <w:right w:val="nil"/>
            </w:tcBorders>
            <w:shd w:val="clear" w:color="auto" w:fill="auto"/>
            <w:noWrap/>
            <w:vAlign w:val="center"/>
            <w:hideMark/>
          </w:tcPr>
          <w:p w:rsidR="009951B2" w:rsidRPr="009951B2" w:rsidRDefault="009951B2" w:rsidP="009951B2">
            <w:pPr>
              <w:jc w:val="right"/>
              <w:rPr>
                <w:rFonts w:cs="Arial"/>
                <w:i/>
                <w:iCs/>
                <w:color w:val="7F7F7F"/>
                <w:szCs w:val="18"/>
                <w:lang w:eastAsia="en-AU"/>
              </w:rPr>
            </w:pPr>
            <w:r w:rsidRPr="009951B2">
              <w:rPr>
                <w:rFonts w:cs="Arial"/>
                <w:i/>
                <w:iCs/>
                <w:color w:val="7F7F7F"/>
                <w:szCs w:val="18"/>
                <w:lang w:eastAsia="en-AU"/>
              </w:rPr>
              <w:t>6,495</w:t>
            </w:r>
          </w:p>
        </w:tc>
        <w:tc>
          <w:tcPr>
            <w:tcW w:w="940" w:type="dxa"/>
            <w:tcBorders>
              <w:top w:val="nil"/>
              <w:left w:val="nil"/>
              <w:bottom w:val="nil"/>
              <w:right w:val="nil"/>
            </w:tcBorders>
            <w:shd w:val="clear" w:color="auto" w:fill="auto"/>
            <w:noWrap/>
            <w:vAlign w:val="center"/>
            <w:hideMark/>
          </w:tcPr>
          <w:p w:rsidR="009951B2" w:rsidRPr="009951B2" w:rsidRDefault="009951B2" w:rsidP="009951B2">
            <w:pPr>
              <w:jc w:val="right"/>
              <w:rPr>
                <w:rFonts w:cs="Arial"/>
                <w:i/>
                <w:iCs/>
                <w:color w:val="7F7F7F"/>
                <w:szCs w:val="18"/>
                <w:lang w:eastAsia="en-AU"/>
              </w:rPr>
            </w:pPr>
            <w:r w:rsidRPr="009951B2">
              <w:rPr>
                <w:rFonts w:cs="Arial"/>
                <w:i/>
                <w:iCs/>
                <w:color w:val="7F7F7F"/>
                <w:szCs w:val="18"/>
                <w:lang w:eastAsia="en-AU"/>
              </w:rPr>
              <w:t>6,823</w:t>
            </w:r>
          </w:p>
        </w:tc>
      </w:tr>
      <w:tr w:rsidR="009951B2" w:rsidRPr="009951B2" w:rsidTr="009951B2">
        <w:trPr>
          <w:cantSplit/>
          <w:trHeight w:val="480"/>
        </w:trPr>
        <w:tc>
          <w:tcPr>
            <w:tcW w:w="2600" w:type="dxa"/>
            <w:tcBorders>
              <w:top w:val="nil"/>
              <w:left w:val="nil"/>
              <w:bottom w:val="nil"/>
              <w:right w:val="nil"/>
            </w:tcBorders>
            <w:shd w:val="clear" w:color="auto" w:fill="auto"/>
            <w:vAlign w:val="center"/>
            <w:hideMark/>
          </w:tcPr>
          <w:p w:rsidR="009951B2" w:rsidRPr="009951B2" w:rsidRDefault="009951B2" w:rsidP="009951B2">
            <w:pPr>
              <w:ind w:left="333"/>
              <w:rPr>
                <w:rFonts w:cs="Arial"/>
                <w:i/>
                <w:iCs/>
                <w:color w:val="7F7F7F"/>
                <w:szCs w:val="18"/>
                <w:lang w:eastAsia="en-AU"/>
              </w:rPr>
            </w:pPr>
            <w:r w:rsidRPr="009951B2">
              <w:rPr>
                <w:rFonts w:cs="Arial"/>
                <w:i/>
                <w:iCs/>
                <w:color w:val="7F7F7F"/>
                <w:szCs w:val="18"/>
                <w:lang w:eastAsia="en-AU"/>
              </w:rPr>
              <w:t>Engineering, ICT and Science Technicians</w:t>
            </w:r>
          </w:p>
        </w:tc>
        <w:tc>
          <w:tcPr>
            <w:tcW w:w="939" w:type="dxa"/>
            <w:tcBorders>
              <w:top w:val="nil"/>
              <w:left w:val="nil"/>
              <w:bottom w:val="nil"/>
              <w:right w:val="nil"/>
            </w:tcBorders>
            <w:shd w:val="clear" w:color="auto" w:fill="auto"/>
            <w:noWrap/>
            <w:vAlign w:val="center"/>
            <w:hideMark/>
          </w:tcPr>
          <w:p w:rsidR="009951B2" w:rsidRPr="009951B2" w:rsidRDefault="009951B2" w:rsidP="009951B2">
            <w:pPr>
              <w:jc w:val="right"/>
              <w:rPr>
                <w:rFonts w:cs="Arial"/>
                <w:i/>
                <w:iCs/>
                <w:color w:val="7F7F7F"/>
                <w:szCs w:val="18"/>
                <w:lang w:eastAsia="en-AU"/>
              </w:rPr>
            </w:pPr>
            <w:r w:rsidRPr="009951B2">
              <w:rPr>
                <w:rFonts w:cs="Arial"/>
                <w:i/>
                <w:iCs/>
                <w:color w:val="7F7F7F"/>
                <w:szCs w:val="18"/>
                <w:lang w:eastAsia="en-AU"/>
              </w:rPr>
              <w:t>14</w:t>
            </w:r>
          </w:p>
        </w:tc>
        <w:tc>
          <w:tcPr>
            <w:tcW w:w="940" w:type="dxa"/>
            <w:tcBorders>
              <w:top w:val="nil"/>
              <w:left w:val="nil"/>
              <w:bottom w:val="nil"/>
              <w:right w:val="nil"/>
            </w:tcBorders>
            <w:shd w:val="clear" w:color="auto" w:fill="auto"/>
            <w:noWrap/>
            <w:vAlign w:val="center"/>
            <w:hideMark/>
          </w:tcPr>
          <w:p w:rsidR="009951B2" w:rsidRPr="009951B2" w:rsidRDefault="009951B2" w:rsidP="009951B2">
            <w:pPr>
              <w:jc w:val="right"/>
              <w:rPr>
                <w:rFonts w:cs="Arial"/>
                <w:i/>
                <w:iCs/>
                <w:color w:val="7F7F7F"/>
                <w:szCs w:val="18"/>
                <w:lang w:eastAsia="en-AU"/>
              </w:rPr>
            </w:pPr>
            <w:r w:rsidRPr="009951B2">
              <w:rPr>
                <w:rFonts w:cs="Arial"/>
                <w:i/>
                <w:iCs/>
                <w:color w:val="7F7F7F"/>
                <w:szCs w:val="18"/>
                <w:lang w:eastAsia="en-AU"/>
              </w:rPr>
              <w:t>23</w:t>
            </w:r>
          </w:p>
        </w:tc>
        <w:tc>
          <w:tcPr>
            <w:tcW w:w="939" w:type="dxa"/>
            <w:tcBorders>
              <w:top w:val="nil"/>
              <w:left w:val="nil"/>
              <w:bottom w:val="nil"/>
              <w:right w:val="nil"/>
            </w:tcBorders>
            <w:shd w:val="clear" w:color="auto" w:fill="auto"/>
            <w:noWrap/>
            <w:vAlign w:val="center"/>
            <w:hideMark/>
          </w:tcPr>
          <w:p w:rsidR="009951B2" w:rsidRPr="009951B2" w:rsidRDefault="009951B2" w:rsidP="009951B2">
            <w:pPr>
              <w:jc w:val="right"/>
              <w:rPr>
                <w:rFonts w:cs="Arial"/>
                <w:i/>
                <w:iCs/>
                <w:color w:val="7F7F7F"/>
                <w:szCs w:val="18"/>
                <w:lang w:eastAsia="en-AU"/>
              </w:rPr>
            </w:pPr>
            <w:r w:rsidRPr="009951B2">
              <w:rPr>
                <w:rFonts w:cs="Arial"/>
                <w:i/>
                <w:iCs/>
                <w:color w:val="7F7F7F"/>
                <w:szCs w:val="18"/>
                <w:lang w:eastAsia="en-AU"/>
              </w:rPr>
              <w:t>85</w:t>
            </w:r>
          </w:p>
        </w:tc>
        <w:tc>
          <w:tcPr>
            <w:tcW w:w="940" w:type="dxa"/>
            <w:tcBorders>
              <w:top w:val="nil"/>
              <w:left w:val="nil"/>
              <w:bottom w:val="nil"/>
              <w:right w:val="nil"/>
            </w:tcBorders>
            <w:shd w:val="clear" w:color="auto" w:fill="auto"/>
            <w:noWrap/>
            <w:vAlign w:val="center"/>
            <w:hideMark/>
          </w:tcPr>
          <w:p w:rsidR="009951B2" w:rsidRPr="009951B2" w:rsidRDefault="009951B2" w:rsidP="009951B2">
            <w:pPr>
              <w:jc w:val="right"/>
              <w:rPr>
                <w:rFonts w:cs="Arial"/>
                <w:i/>
                <w:iCs/>
                <w:color w:val="7F7F7F"/>
                <w:szCs w:val="18"/>
                <w:lang w:eastAsia="en-AU"/>
              </w:rPr>
            </w:pPr>
            <w:r w:rsidRPr="009951B2">
              <w:rPr>
                <w:rFonts w:cs="Arial"/>
                <w:i/>
                <w:iCs/>
                <w:color w:val="7F7F7F"/>
                <w:szCs w:val="18"/>
                <w:lang w:eastAsia="en-AU"/>
              </w:rPr>
              <w:t>155</w:t>
            </w:r>
          </w:p>
        </w:tc>
        <w:tc>
          <w:tcPr>
            <w:tcW w:w="939" w:type="dxa"/>
            <w:tcBorders>
              <w:top w:val="nil"/>
              <w:left w:val="nil"/>
              <w:bottom w:val="nil"/>
              <w:right w:val="nil"/>
            </w:tcBorders>
            <w:shd w:val="clear" w:color="auto" w:fill="auto"/>
            <w:noWrap/>
            <w:vAlign w:val="center"/>
            <w:hideMark/>
          </w:tcPr>
          <w:p w:rsidR="009951B2" w:rsidRPr="009951B2" w:rsidRDefault="009951B2" w:rsidP="009951B2">
            <w:pPr>
              <w:jc w:val="right"/>
              <w:rPr>
                <w:rFonts w:cs="Arial"/>
                <w:i/>
                <w:iCs/>
                <w:color w:val="7F7F7F"/>
                <w:szCs w:val="18"/>
                <w:lang w:eastAsia="en-AU"/>
              </w:rPr>
            </w:pPr>
            <w:r w:rsidRPr="009951B2">
              <w:rPr>
                <w:rFonts w:cs="Arial"/>
                <w:i/>
                <w:iCs/>
                <w:color w:val="7F7F7F"/>
                <w:szCs w:val="18"/>
                <w:lang w:eastAsia="en-AU"/>
              </w:rPr>
              <w:t>478</w:t>
            </w:r>
          </w:p>
        </w:tc>
        <w:tc>
          <w:tcPr>
            <w:tcW w:w="940" w:type="dxa"/>
            <w:tcBorders>
              <w:top w:val="nil"/>
              <w:left w:val="nil"/>
              <w:bottom w:val="nil"/>
              <w:right w:val="nil"/>
            </w:tcBorders>
            <w:shd w:val="clear" w:color="auto" w:fill="auto"/>
            <w:noWrap/>
            <w:vAlign w:val="center"/>
            <w:hideMark/>
          </w:tcPr>
          <w:p w:rsidR="009951B2" w:rsidRPr="009951B2" w:rsidRDefault="009951B2" w:rsidP="009951B2">
            <w:pPr>
              <w:jc w:val="right"/>
              <w:rPr>
                <w:rFonts w:cs="Arial"/>
                <w:i/>
                <w:iCs/>
                <w:color w:val="7F7F7F"/>
                <w:szCs w:val="18"/>
                <w:lang w:eastAsia="en-AU"/>
              </w:rPr>
            </w:pPr>
            <w:r w:rsidRPr="009951B2">
              <w:rPr>
                <w:rFonts w:cs="Arial"/>
                <w:i/>
                <w:iCs/>
                <w:color w:val="7F7F7F"/>
                <w:szCs w:val="18"/>
                <w:lang w:eastAsia="en-AU"/>
              </w:rPr>
              <w:t>624</w:t>
            </w:r>
          </w:p>
        </w:tc>
      </w:tr>
      <w:tr w:rsidR="009951B2" w:rsidRPr="009951B2" w:rsidTr="009951B2">
        <w:trPr>
          <w:cantSplit/>
          <w:trHeight w:val="300"/>
        </w:trPr>
        <w:tc>
          <w:tcPr>
            <w:tcW w:w="2600" w:type="dxa"/>
            <w:tcBorders>
              <w:top w:val="nil"/>
              <w:left w:val="nil"/>
              <w:bottom w:val="nil"/>
              <w:right w:val="nil"/>
            </w:tcBorders>
            <w:shd w:val="clear" w:color="auto" w:fill="auto"/>
            <w:vAlign w:val="center"/>
            <w:hideMark/>
          </w:tcPr>
          <w:p w:rsidR="009951B2" w:rsidRPr="009951B2" w:rsidRDefault="009951B2" w:rsidP="009951B2">
            <w:pPr>
              <w:ind w:left="333"/>
              <w:rPr>
                <w:rFonts w:cs="Arial"/>
                <w:i/>
                <w:iCs/>
                <w:color w:val="7F7F7F"/>
                <w:szCs w:val="18"/>
                <w:lang w:eastAsia="en-AU"/>
              </w:rPr>
            </w:pPr>
            <w:r w:rsidRPr="009951B2">
              <w:rPr>
                <w:rFonts w:cs="Arial"/>
                <w:i/>
                <w:iCs/>
                <w:color w:val="7F7F7F"/>
                <w:szCs w:val="18"/>
                <w:lang w:eastAsia="en-AU"/>
              </w:rPr>
              <w:t>Food Trades Workers</w:t>
            </w:r>
          </w:p>
        </w:tc>
        <w:tc>
          <w:tcPr>
            <w:tcW w:w="939" w:type="dxa"/>
            <w:tcBorders>
              <w:top w:val="nil"/>
              <w:left w:val="nil"/>
              <w:bottom w:val="nil"/>
              <w:right w:val="nil"/>
            </w:tcBorders>
            <w:shd w:val="clear" w:color="auto" w:fill="auto"/>
            <w:noWrap/>
            <w:vAlign w:val="center"/>
            <w:hideMark/>
          </w:tcPr>
          <w:p w:rsidR="009951B2" w:rsidRPr="009951B2" w:rsidRDefault="009951B2" w:rsidP="009951B2">
            <w:pPr>
              <w:jc w:val="right"/>
              <w:rPr>
                <w:rFonts w:cs="Arial"/>
                <w:i/>
                <w:iCs/>
                <w:color w:val="7F7F7F"/>
                <w:szCs w:val="18"/>
                <w:lang w:eastAsia="en-AU"/>
              </w:rPr>
            </w:pPr>
            <w:r w:rsidRPr="009951B2">
              <w:rPr>
                <w:rFonts w:cs="Arial"/>
                <w:i/>
                <w:iCs/>
                <w:color w:val="7F7F7F"/>
                <w:szCs w:val="18"/>
                <w:lang w:eastAsia="en-AU"/>
              </w:rPr>
              <w:t>3,263</w:t>
            </w:r>
          </w:p>
        </w:tc>
        <w:tc>
          <w:tcPr>
            <w:tcW w:w="940" w:type="dxa"/>
            <w:tcBorders>
              <w:top w:val="nil"/>
              <w:left w:val="nil"/>
              <w:bottom w:val="nil"/>
              <w:right w:val="nil"/>
            </w:tcBorders>
            <w:shd w:val="clear" w:color="auto" w:fill="auto"/>
            <w:noWrap/>
            <w:vAlign w:val="center"/>
            <w:hideMark/>
          </w:tcPr>
          <w:p w:rsidR="009951B2" w:rsidRPr="009951B2" w:rsidRDefault="009951B2" w:rsidP="009951B2">
            <w:pPr>
              <w:jc w:val="right"/>
              <w:rPr>
                <w:rFonts w:cs="Arial"/>
                <w:i/>
                <w:iCs/>
                <w:color w:val="7F7F7F"/>
                <w:szCs w:val="18"/>
                <w:lang w:eastAsia="en-AU"/>
              </w:rPr>
            </w:pPr>
            <w:r w:rsidRPr="009951B2">
              <w:rPr>
                <w:rFonts w:cs="Arial"/>
                <w:i/>
                <w:iCs/>
                <w:color w:val="7F7F7F"/>
                <w:szCs w:val="18"/>
                <w:lang w:eastAsia="en-AU"/>
              </w:rPr>
              <w:t>3,310</w:t>
            </w:r>
          </w:p>
        </w:tc>
        <w:tc>
          <w:tcPr>
            <w:tcW w:w="939" w:type="dxa"/>
            <w:tcBorders>
              <w:top w:val="nil"/>
              <w:left w:val="nil"/>
              <w:bottom w:val="nil"/>
              <w:right w:val="nil"/>
            </w:tcBorders>
            <w:shd w:val="clear" w:color="auto" w:fill="auto"/>
            <w:noWrap/>
            <w:vAlign w:val="center"/>
            <w:hideMark/>
          </w:tcPr>
          <w:p w:rsidR="009951B2" w:rsidRPr="009951B2" w:rsidRDefault="009951B2" w:rsidP="009951B2">
            <w:pPr>
              <w:jc w:val="right"/>
              <w:rPr>
                <w:rFonts w:cs="Arial"/>
                <w:i/>
                <w:iCs/>
                <w:color w:val="7F7F7F"/>
                <w:szCs w:val="18"/>
                <w:lang w:eastAsia="en-AU"/>
              </w:rPr>
            </w:pPr>
            <w:r w:rsidRPr="009951B2">
              <w:rPr>
                <w:rFonts w:cs="Arial"/>
                <w:i/>
                <w:iCs/>
                <w:color w:val="7F7F7F"/>
                <w:szCs w:val="18"/>
                <w:lang w:eastAsia="en-AU"/>
              </w:rPr>
              <w:t>3,237</w:t>
            </w:r>
          </w:p>
        </w:tc>
        <w:tc>
          <w:tcPr>
            <w:tcW w:w="940" w:type="dxa"/>
            <w:tcBorders>
              <w:top w:val="nil"/>
              <w:left w:val="nil"/>
              <w:bottom w:val="nil"/>
              <w:right w:val="nil"/>
            </w:tcBorders>
            <w:shd w:val="clear" w:color="auto" w:fill="auto"/>
            <w:noWrap/>
            <w:vAlign w:val="center"/>
            <w:hideMark/>
          </w:tcPr>
          <w:p w:rsidR="009951B2" w:rsidRPr="009951B2" w:rsidRDefault="009951B2" w:rsidP="009951B2">
            <w:pPr>
              <w:jc w:val="right"/>
              <w:rPr>
                <w:rFonts w:cs="Arial"/>
                <w:i/>
                <w:iCs/>
                <w:color w:val="7F7F7F"/>
                <w:szCs w:val="18"/>
                <w:lang w:eastAsia="en-AU"/>
              </w:rPr>
            </w:pPr>
            <w:r w:rsidRPr="009951B2">
              <w:rPr>
                <w:rFonts w:cs="Arial"/>
                <w:i/>
                <w:iCs/>
                <w:color w:val="7F7F7F"/>
                <w:szCs w:val="18"/>
                <w:lang w:eastAsia="en-AU"/>
              </w:rPr>
              <w:t>3,002</w:t>
            </w:r>
          </w:p>
        </w:tc>
        <w:tc>
          <w:tcPr>
            <w:tcW w:w="939" w:type="dxa"/>
            <w:tcBorders>
              <w:top w:val="nil"/>
              <w:left w:val="nil"/>
              <w:bottom w:val="nil"/>
              <w:right w:val="nil"/>
            </w:tcBorders>
            <w:shd w:val="clear" w:color="auto" w:fill="auto"/>
            <w:noWrap/>
            <w:vAlign w:val="center"/>
            <w:hideMark/>
          </w:tcPr>
          <w:p w:rsidR="009951B2" w:rsidRPr="009951B2" w:rsidRDefault="009951B2" w:rsidP="009951B2">
            <w:pPr>
              <w:jc w:val="right"/>
              <w:rPr>
                <w:rFonts w:cs="Arial"/>
                <w:i/>
                <w:iCs/>
                <w:color w:val="7F7F7F"/>
                <w:szCs w:val="18"/>
                <w:lang w:eastAsia="en-AU"/>
              </w:rPr>
            </w:pPr>
            <w:r w:rsidRPr="009951B2">
              <w:rPr>
                <w:rFonts w:cs="Arial"/>
                <w:i/>
                <w:iCs/>
                <w:color w:val="7F7F7F"/>
                <w:szCs w:val="18"/>
                <w:lang w:eastAsia="en-AU"/>
              </w:rPr>
              <w:t>3,791</w:t>
            </w:r>
          </w:p>
        </w:tc>
        <w:tc>
          <w:tcPr>
            <w:tcW w:w="940" w:type="dxa"/>
            <w:tcBorders>
              <w:top w:val="nil"/>
              <w:left w:val="nil"/>
              <w:bottom w:val="nil"/>
              <w:right w:val="nil"/>
            </w:tcBorders>
            <w:shd w:val="clear" w:color="auto" w:fill="auto"/>
            <w:noWrap/>
            <w:vAlign w:val="center"/>
            <w:hideMark/>
          </w:tcPr>
          <w:p w:rsidR="009951B2" w:rsidRPr="009951B2" w:rsidRDefault="009951B2" w:rsidP="009951B2">
            <w:pPr>
              <w:jc w:val="right"/>
              <w:rPr>
                <w:rFonts w:cs="Arial"/>
                <w:i/>
                <w:iCs/>
                <w:color w:val="7F7F7F"/>
                <w:szCs w:val="18"/>
                <w:lang w:eastAsia="en-AU"/>
              </w:rPr>
            </w:pPr>
            <w:r w:rsidRPr="009951B2">
              <w:rPr>
                <w:rFonts w:cs="Arial"/>
                <w:i/>
                <w:iCs/>
                <w:color w:val="7F7F7F"/>
                <w:szCs w:val="18"/>
                <w:lang w:eastAsia="en-AU"/>
              </w:rPr>
              <w:t>3,788</w:t>
            </w:r>
          </w:p>
        </w:tc>
      </w:tr>
      <w:tr w:rsidR="009951B2" w:rsidRPr="009951B2" w:rsidTr="009951B2">
        <w:trPr>
          <w:cantSplit/>
          <w:trHeight w:val="480"/>
        </w:trPr>
        <w:tc>
          <w:tcPr>
            <w:tcW w:w="2600" w:type="dxa"/>
            <w:tcBorders>
              <w:top w:val="nil"/>
              <w:left w:val="nil"/>
              <w:bottom w:val="nil"/>
              <w:right w:val="nil"/>
            </w:tcBorders>
            <w:shd w:val="clear" w:color="auto" w:fill="auto"/>
            <w:vAlign w:val="center"/>
            <w:hideMark/>
          </w:tcPr>
          <w:p w:rsidR="009951B2" w:rsidRPr="009951B2" w:rsidRDefault="009951B2" w:rsidP="009951B2">
            <w:pPr>
              <w:ind w:left="333"/>
              <w:rPr>
                <w:rFonts w:cs="Arial"/>
                <w:i/>
                <w:iCs/>
                <w:color w:val="7F7F7F"/>
                <w:szCs w:val="18"/>
                <w:lang w:eastAsia="en-AU"/>
              </w:rPr>
            </w:pPr>
            <w:r w:rsidRPr="009951B2">
              <w:rPr>
                <w:rFonts w:cs="Arial"/>
                <w:i/>
                <w:iCs/>
                <w:color w:val="7F7F7F"/>
                <w:szCs w:val="18"/>
                <w:lang w:eastAsia="en-AU"/>
              </w:rPr>
              <w:t>Other Technicians and Trades Workers</w:t>
            </w:r>
          </w:p>
        </w:tc>
        <w:tc>
          <w:tcPr>
            <w:tcW w:w="939" w:type="dxa"/>
            <w:tcBorders>
              <w:top w:val="nil"/>
              <w:left w:val="nil"/>
              <w:bottom w:val="nil"/>
              <w:right w:val="nil"/>
            </w:tcBorders>
            <w:shd w:val="clear" w:color="auto" w:fill="auto"/>
            <w:noWrap/>
            <w:vAlign w:val="center"/>
            <w:hideMark/>
          </w:tcPr>
          <w:p w:rsidR="009951B2" w:rsidRPr="009951B2" w:rsidRDefault="009951B2" w:rsidP="009951B2">
            <w:pPr>
              <w:jc w:val="right"/>
              <w:rPr>
                <w:rFonts w:cs="Arial"/>
                <w:i/>
                <w:iCs/>
                <w:color w:val="7F7F7F"/>
                <w:szCs w:val="18"/>
                <w:lang w:eastAsia="en-AU"/>
              </w:rPr>
            </w:pPr>
            <w:r w:rsidRPr="009951B2">
              <w:rPr>
                <w:rFonts w:cs="Arial"/>
                <w:i/>
                <w:iCs/>
                <w:color w:val="7F7F7F"/>
                <w:szCs w:val="18"/>
                <w:lang w:eastAsia="en-AU"/>
              </w:rPr>
              <w:t>3,739</w:t>
            </w:r>
          </w:p>
        </w:tc>
        <w:tc>
          <w:tcPr>
            <w:tcW w:w="940" w:type="dxa"/>
            <w:tcBorders>
              <w:top w:val="nil"/>
              <w:left w:val="nil"/>
              <w:bottom w:val="nil"/>
              <w:right w:val="nil"/>
            </w:tcBorders>
            <w:shd w:val="clear" w:color="auto" w:fill="auto"/>
            <w:noWrap/>
            <w:vAlign w:val="center"/>
            <w:hideMark/>
          </w:tcPr>
          <w:p w:rsidR="009951B2" w:rsidRPr="009951B2" w:rsidRDefault="009951B2" w:rsidP="009951B2">
            <w:pPr>
              <w:jc w:val="right"/>
              <w:rPr>
                <w:rFonts w:cs="Arial"/>
                <w:i/>
                <w:iCs/>
                <w:color w:val="7F7F7F"/>
                <w:szCs w:val="18"/>
                <w:lang w:eastAsia="en-AU"/>
              </w:rPr>
            </w:pPr>
            <w:r w:rsidRPr="009951B2">
              <w:rPr>
                <w:rFonts w:cs="Arial"/>
                <w:i/>
                <w:iCs/>
                <w:color w:val="7F7F7F"/>
                <w:szCs w:val="18"/>
                <w:lang w:eastAsia="en-AU"/>
              </w:rPr>
              <w:t>3,665</w:t>
            </w:r>
          </w:p>
        </w:tc>
        <w:tc>
          <w:tcPr>
            <w:tcW w:w="939" w:type="dxa"/>
            <w:tcBorders>
              <w:top w:val="nil"/>
              <w:left w:val="nil"/>
              <w:bottom w:val="nil"/>
              <w:right w:val="nil"/>
            </w:tcBorders>
            <w:shd w:val="clear" w:color="auto" w:fill="auto"/>
            <w:noWrap/>
            <w:vAlign w:val="center"/>
            <w:hideMark/>
          </w:tcPr>
          <w:p w:rsidR="009951B2" w:rsidRPr="009951B2" w:rsidRDefault="009951B2" w:rsidP="009951B2">
            <w:pPr>
              <w:jc w:val="right"/>
              <w:rPr>
                <w:rFonts w:cs="Arial"/>
                <w:i/>
                <w:iCs/>
                <w:color w:val="7F7F7F"/>
                <w:szCs w:val="18"/>
                <w:lang w:eastAsia="en-AU"/>
              </w:rPr>
            </w:pPr>
            <w:r w:rsidRPr="009951B2">
              <w:rPr>
                <w:rFonts w:cs="Arial"/>
                <w:i/>
                <w:iCs/>
                <w:color w:val="7F7F7F"/>
                <w:szCs w:val="18"/>
                <w:lang w:eastAsia="en-AU"/>
              </w:rPr>
              <w:t>3,371</w:t>
            </w:r>
          </w:p>
        </w:tc>
        <w:tc>
          <w:tcPr>
            <w:tcW w:w="940" w:type="dxa"/>
            <w:tcBorders>
              <w:top w:val="nil"/>
              <w:left w:val="nil"/>
              <w:bottom w:val="nil"/>
              <w:right w:val="nil"/>
            </w:tcBorders>
            <w:shd w:val="clear" w:color="auto" w:fill="auto"/>
            <w:noWrap/>
            <w:vAlign w:val="center"/>
            <w:hideMark/>
          </w:tcPr>
          <w:p w:rsidR="009951B2" w:rsidRPr="009951B2" w:rsidRDefault="009951B2" w:rsidP="009951B2">
            <w:pPr>
              <w:jc w:val="right"/>
              <w:rPr>
                <w:rFonts w:cs="Arial"/>
                <w:i/>
                <w:iCs/>
                <w:color w:val="7F7F7F"/>
                <w:szCs w:val="18"/>
                <w:lang w:eastAsia="en-AU"/>
              </w:rPr>
            </w:pPr>
            <w:r w:rsidRPr="009951B2">
              <w:rPr>
                <w:rFonts w:cs="Arial"/>
                <w:i/>
                <w:iCs/>
                <w:color w:val="7F7F7F"/>
                <w:szCs w:val="18"/>
                <w:lang w:eastAsia="en-AU"/>
              </w:rPr>
              <w:t>3,324</w:t>
            </w:r>
          </w:p>
        </w:tc>
        <w:tc>
          <w:tcPr>
            <w:tcW w:w="939" w:type="dxa"/>
            <w:tcBorders>
              <w:top w:val="nil"/>
              <w:left w:val="nil"/>
              <w:bottom w:val="nil"/>
              <w:right w:val="nil"/>
            </w:tcBorders>
            <w:shd w:val="clear" w:color="auto" w:fill="auto"/>
            <w:noWrap/>
            <w:vAlign w:val="center"/>
            <w:hideMark/>
          </w:tcPr>
          <w:p w:rsidR="009951B2" w:rsidRPr="009951B2" w:rsidRDefault="009951B2" w:rsidP="009951B2">
            <w:pPr>
              <w:jc w:val="right"/>
              <w:rPr>
                <w:rFonts w:cs="Arial"/>
                <w:i/>
                <w:iCs/>
                <w:color w:val="7F7F7F"/>
                <w:szCs w:val="18"/>
                <w:lang w:eastAsia="en-AU"/>
              </w:rPr>
            </w:pPr>
            <w:r w:rsidRPr="009951B2">
              <w:rPr>
                <w:rFonts w:cs="Arial"/>
                <w:i/>
                <w:iCs/>
                <w:color w:val="7F7F7F"/>
                <w:szCs w:val="18"/>
                <w:lang w:eastAsia="en-AU"/>
              </w:rPr>
              <w:t>3,532</w:t>
            </w:r>
          </w:p>
        </w:tc>
        <w:tc>
          <w:tcPr>
            <w:tcW w:w="940" w:type="dxa"/>
            <w:tcBorders>
              <w:top w:val="nil"/>
              <w:left w:val="nil"/>
              <w:bottom w:val="nil"/>
              <w:right w:val="nil"/>
            </w:tcBorders>
            <w:shd w:val="clear" w:color="auto" w:fill="auto"/>
            <w:noWrap/>
            <w:vAlign w:val="center"/>
            <w:hideMark/>
          </w:tcPr>
          <w:p w:rsidR="009951B2" w:rsidRPr="009951B2" w:rsidRDefault="009951B2" w:rsidP="009951B2">
            <w:pPr>
              <w:jc w:val="right"/>
              <w:rPr>
                <w:rFonts w:cs="Arial"/>
                <w:i/>
                <w:iCs/>
                <w:color w:val="7F7F7F"/>
                <w:szCs w:val="18"/>
                <w:lang w:eastAsia="en-AU"/>
              </w:rPr>
            </w:pPr>
            <w:r w:rsidRPr="009951B2">
              <w:rPr>
                <w:rFonts w:cs="Arial"/>
                <w:i/>
                <w:iCs/>
                <w:color w:val="7F7F7F"/>
                <w:szCs w:val="18"/>
                <w:lang w:eastAsia="en-AU"/>
              </w:rPr>
              <w:t>3,575</w:t>
            </w:r>
          </w:p>
        </w:tc>
      </w:tr>
      <w:tr w:rsidR="009951B2" w:rsidRPr="009951B2" w:rsidTr="009951B2">
        <w:trPr>
          <w:cantSplit/>
          <w:trHeight w:val="480"/>
        </w:trPr>
        <w:tc>
          <w:tcPr>
            <w:tcW w:w="2600" w:type="dxa"/>
            <w:tcBorders>
              <w:top w:val="nil"/>
              <w:left w:val="nil"/>
              <w:bottom w:val="nil"/>
              <w:right w:val="nil"/>
            </w:tcBorders>
            <w:shd w:val="clear" w:color="auto" w:fill="auto"/>
            <w:vAlign w:val="center"/>
            <w:hideMark/>
          </w:tcPr>
          <w:p w:rsidR="009951B2" w:rsidRPr="009951B2" w:rsidRDefault="009951B2" w:rsidP="009951B2">
            <w:pPr>
              <w:ind w:left="333"/>
              <w:rPr>
                <w:rFonts w:cs="Arial"/>
                <w:i/>
                <w:iCs/>
                <w:color w:val="7F7F7F"/>
                <w:szCs w:val="18"/>
                <w:lang w:eastAsia="en-AU"/>
              </w:rPr>
            </w:pPr>
            <w:r w:rsidRPr="009951B2">
              <w:rPr>
                <w:rFonts w:cs="Arial"/>
                <w:i/>
                <w:iCs/>
                <w:color w:val="7F7F7F"/>
                <w:szCs w:val="18"/>
                <w:lang w:eastAsia="en-AU"/>
              </w:rPr>
              <w:t>Skilled Animal and Horticultural Workers</w:t>
            </w:r>
          </w:p>
        </w:tc>
        <w:tc>
          <w:tcPr>
            <w:tcW w:w="939" w:type="dxa"/>
            <w:tcBorders>
              <w:top w:val="nil"/>
              <w:left w:val="nil"/>
              <w:bottom w:val="nil"/>
              <w:right w:val="nil"/>
            </w:tcBorders>
            <w:shd w:val="clear" w:color="auto" w:fill="auto"/>
            <w:noWrap/>
            <w:vAlign w:val="center"/>
            <w:hideMark/>
          </w:tcPr>
          <w:p w:rsidR="009951B2" w:rsidRPr="009951B2" w:rsidRDefault="009951B2" w:rsidP="009951B2">
            <w:pPr>
              <w:jc w:val="right"/>
              <w:rPr>
                <w:rFonts w:cs="Arial"/>
                <w:i/>
                <w:iCs/>
                <w:color w:val="7F7F7F"/>
                <w:szCs w:val="18"/>
                <w:lang w:eastAsia="en-AU"/>
              </w:rPr>
            </w:pPr>
            <w:r w:rsidRPr="009951B2">
              <w:rPr>
                <w:rFonts w:cs="Arial"/>
                <w:i/>
                <w:iCs/>
                <w:color w:val="7F7F7F"/>
                <w:szCs w:val="18"/>
                <w:lang w:eastAsia="en-AU"/>
              </w:rPr>
              <w:t>1,466</w:t>
            </w:r>
          </w:p>
        </w:tc>
        <w:tc>
          <w:tcPr>
            <w:tcW w:w="940" w:type="dxa"/>
            <w:tcBorders>
              <w:top w:val="nil"/>
              <w:left w:val="nil"/>
              <w:bottom w:val="nil"/>
              <w:right w:val="nil"/>
            </w:tcBorders>
            <w:shd w:val="clear" w:color="auto" w:fill="auto"/>
            <w:noWrap/>
            <w:vAlign w:val="center"/>
            <w:hideMark/>
          </w:tcPr>
          <w:p w:rsidR="009951B2" w:rsidRPr="009951B2" w:rsidRDefault="009951B2" w:rsidP="009951B2">
            <w:pPr>
              <w:jc w:val="right"/>
              <w:rPr>
                <w:rFonts w:cs="Arial"/>
                <w:i/>
                <w:iCs/>
                <w:color w:val="7F7F7F"/>
                <w:szCs w:val="18"/>
                <w:lang w:eastAsia="en-AU"/>
              </w:rPr>
            </w:pPr>
            <w:r w:rsidRPr="009951B2">
              <w:rPr>
                <w:rFonts w:cs="Arial"/>
                <w:i/>
                <w:iCs/>
                <w:color w:val="7F7F7F"/>
                <w:szCs w:val="18"/>
                <w:lang w:eastAsia="en-AU"/>
              </w:rPr>
              <w:t>1,618</w:t>
            </w:r>
          </w:p>
        </w:tc>
        <w:tc>
          <w:tcPr>
            <w:tcW w:w="939" w:type="dxa"/>
            <w:tcBorders>
              <w:top w:val="nil"/>
              <w:left w:val="nil"/>
              <w:bottom w:val="nil"/>
              <w:right w:val="nil"/>
            </w:tcBorders>
            <w:shd w:val="clear" w:color="auto" w:fill="auto"/>
            <w:noWrap/>
            <w:vAlign w:val="center"/>
            <w:hideMark/>
          </w:tcPr>
          <w:p w:rsidR="009951B2" w:rsidRPr="009951B2" w:rsidRDefault="009951B2" w:rsidP="009951B2">
            <w:pPr>
              <w:jc w:val="right"/>
              <w:rPr>
                <w:rFonts w:cs="Arial"/>
                <w:i/>
                <w:iCs/>
                <w:color w:val="7F7F7F"/>
                <w:szCs w:val="18"/>
                <w:lang w:eastAsia="en-AU"/>
              </w:rPr>
            </w:pPr>
            <w:r w:rsidRPr="009951B2">
              <w:rPr>
                <w:rFonts w:cs="Arial"/>
                <w:i/>
                <w:iCs/>
                <w:color w:val="7F7F7F"/>
                <w:szCs w:val="18"/>
                <w:lang w:eastAsia="en-AU"/>
              </w:rPr>
              <w:t>1,645</w:t>
            </w:r>
          </w:p>
        </w:tc>
        <w:tc>
          <w:tcPr>
            <w:tcW w:w="940" w:type="dxa"/>
            <w:tcBorders>
              <w:top w:val="nil"/>
              <w:left w:val="nil"/>
              <w:bottom w:val="nil"/>
              <w:right w:val="nil"/>
            </w:tcBorders>
            <w:shd w:val="clear" w:color="auto" w:fill="auto"/>
            <w:noWrap/>
            <w:vAlign w:val="center"/>
            <w:hideMark/>
          </w:tcPr>
          <w:p w:rsidR="009951B2" w:rsidRPr="009951B2" w:rsidRDefault="009951B2" w:rsidP="009951B2">
            <w:pPr>
              <w:jc w:val="right"/>
              <w:rPr>
                <w:rFonts w:cs="Arial"/>
                <w:i/>
                <w:iCs/>
                <w:color w:val="7F7F7F"/>
                <w:szCs w:val="18"/>
                <w:lang w:eastAsia="en-AU"/>
              </w:rPr>
            </w:pPr>
            <w:r w:rsidRPr="009951B2">
              <w:rPr>
                <w:rFonts w:cs="Arial"/>
                <w:i/>
                <w:iCs/>
                <w:color w:val="7F7F7F"/>
                <w:szCs w:val="18"/>
                <w:lang w:eastAsia="en-AU"/>
              </w:rPr>
              <w:t>1,475</w:t>
            </w:r>
          </w:p>
        </w:tc>
        <w:tc>
          <w:tcPr>
            <w:tcW w:w="939" w:type="dxa"/>
            <w:tcBorders>
              <w:top w:val="nil"/>
              <w:left w:val="nil"/>
              <w:bottom w:val="nil"/>
              <w:right w:val="nil"/>
            </w:tcBorders>
            <w:shd w:val="clear" w:color="auto" w:fill="auto"/>
            <w:noWrap/>
            <w:vAlign w:val="center"/>
            <w:hideMark/>
          </w:tcPr>
          <w:p w:rsidR="009951B2" w:rsidRPr="009951B2" w:rsidRDefault="009951B2" w:rsidP="009951B2">
            <w:pPr>
              <w:jc w:val="right"/>
              <w:rPr>
                <w:rFonts w:cs="Arial"/>
                <w:i/>
                <w:iCs/>
                <w:color w:val="7F7F7F"/>
                <w:szCs w:val="18"/>
                <w:lang w:eastAsia="en-AU"/>
              </w:rPr>
            </w:pPr>
            <w:r w:rsidRPr="009951B2">
              <w:rPr>
                <w:rFonts w:cs="Arial"/>
                <w:i/>
                <w:iCs/>
                <w:color w:val="7F7F7F"/>
                <w:szCs w:val="18"/>
                <w:lang w:eastAsia="en-AU"/>
              </w:rPr>
              <w:t>1,378</w:t>
            </w:r>
          </w:p>
        </w:tc>
        <w:tc>
          <w:tcPr>
            <w:tcW w:w="940" w:type="dxa"/>
            <w:tcBorders>
              <w:top w:val="nil"/>
              <w:left w:val="nil"/>
              <w:bottom w:val="nil"/>
              <w:right w:val="nil"/>
            </w:tcBorders>
            <w:shd w:val="clear" w:color="auto" w:fill="auto"/>
            <w:noWrap/>
            <w:vAlign w:val="center"/>
            <w:hideMark/>
          </w:tcPr>
          <w:p w:rsidR="009951B2" w:rsidRPr="009951B2" w:rsidRDefault="009951B2" w:rsidP="009951B2">
            <w:pPr>
              <w:jc w:val="right"/>
              <w:rPr>
                <w:rFonts w:cs="Arial"/>
                <w:i/>
                <w:iCs/>
                <w:color w:val="7F7F7F"/>
                <w:szCs w:val="18"/>
                <w:lang w:eastAsia="en-AU"/>
              </w:rPr>
            </w:pPr>
            <w:r w:rsidRPr="009951B2">
              <w:rPr>
                <w:rFonts w:cs="Arial"/>
                <w:i/>
                <w:iCs/>
                <w:color w:val="7F7F7F"/>
                <w:szCs w:val="18"/>
                <w:lang w:eastAsia="en-AU"/>
              </w:rPr>
              <w:t>1,415</w:t>
            </w:r>
          </w:p>
        </w:tc>
      </w:tr>
      <w:tr w:rsidR="009951B2" w:rsidRPr="009951B2" w:rsidTr="009951B2">
        <w:trPr>
          <w:trHeight w:val="300"/>
        </w:trPr>
        <w:tc>
          <w:tcPr>
            <w:tcW w:w="2600" w:type="dxa"/>
            <w:tcBorders>
              <w:top w:val="nil"/>
              <w:left w:val="nil"/>
              <w:bottom w:val="nil"/>
              <w:right w:val="nil"/>
            </w:tcBorders>
            <w:shd w:val="clear" w:color="000000" w:fill="7F7F7F"/>
            <w:noWrap/>
            <w:vAlign w:val="center"/>
            <w:hideMark/>
          </w:tcPr>
          <w:p w:rsidR="009951B2" w:rsidRPr="009951B2" w:rsidRDefault="009951B2" w:rsidP="009951B2">
            <w:pPr>
              <w:rPr>
                <w:rFonts w:cs="Arial"/>
                <w:b/>
                <w:bCs/>
                <w:color w:val="FFFFFF"/>
                <w:szCs w:val="18"/>
                <w:lang w:eastAsia="en-AU"/>
              </w:rPr>
            </w:pPr>
            <w:r w:rsidRPr="009951B2">
              <w:rPr>
                <w:rFonts w:cs="Arial"/>
                <w:b/>
                <w:bCs/>
                <w:color w:val="FFFFFF"/>
                <w:szCs w:val="18"/>
                <w:lang w:eastAsia="en-AU"/>
              </w:rPr>
              <w:t>Total</w:t>
            </w:r>
          </w:p>
        </w:tc>
        <w:tc>
          <w:tcPr>
            <w:tcW w:w="939" w:type="dxa"/>
            <w:tcBorders>
              <w:top w:val="nil"/>
              <w:left w:val="nil"/>
              <w:bottom w:val="nil"/>
              <w:right w:val="nil"/>
            </w:tcBorders>
            <w:shd w:val="clear" w:color="000000" w:fill="7F7F7F"/>
            <w:noWrap/>
            <w:vAlign w:val="center"/>
            <w:hideMark/>
          </w:tcPr>
          <w:p w:rsidR="009951B2" w:rsidRPr="009951B2" w:rsidRDefault="009951B2" w:rsidP="009951B2">
            <w:pPr>
              <w:jc w:val="right"/>
              <w:rPr>
                <w:rFonts w:cs="Arial"/>
                <w:b/>
                <w:bCs/>
                <w:color w:val="FFFFFF"/>
                <w:szCs w:val="18"/>
                <w:lang w:eastAsia="en-AU"/>
              </w:rPr>
            </w:pPr>
            <w:r w:rsidRPr="009951B2">
              <w:rPr>
                <w:rFonts w:cs="Arial"/>
                <w:b/>
                <w:bCs/>
                <w:color w:val="FFFFFF"/>
                <w:szCs w:val="18"/>
                <w:lang w:eastAsia="en-AU"/>
              </w:rPr>
              <w:t>35,138</w:t>
            </w:r>
          </w:p>
        </w:tc>
        <w:tc>
          <w:tcPr>
            <w:tcW w:w="940" w:type="dxa"/>
            <w:tcBorders>
              <w:top w:val="nil"/>
              <w:left w:val="nil"/>
              <w:bottom w:val="nil"/>
              <w:right w:val="nil"/>
            </w:tcBorders>
            <w:shd w:val="clear" w:color="000000" w:fill="7F7F7F"/>
            <w:noWrap/>
            <w:vAlign w:val="center"/>
            <w:hideMark/>
          </w:tcPr>
          <w:p w:rsidR="009951B2" w:rsidRPr="009951B2" w:rsidRDefault="009951B2" w:rsidP="009951B2">
            <w:pPr>
              <w:jc w:val="right"/>
              <w:rPr>
                <w:rFonts w:cs="Arial"/>
                <w:b/>
                <w:bCs/>
                <w:color w:val="FFFFFF"/>
                <w:szCs w:val="18"/>
                <w:lang w:eastAsia="en-AU"/>
              </w:rPr>
            </w:pPr>
            <w:r w:rsidRPr="009951B2">
              <w:rPr>
                <w:rFonts w:cs="Arial"/>
                <w:b/>
                <w:bCs/>
                <w:color w:val="FFFFFF"/>
                <w:szCs w:val="18"/>
                <w:lang w:eastAsia="en-AU"/>
              </w:rPr>
              <w:t>37,350</w:t>
            </w:r>
          </w:p>
        </w:tc>
        <w:tc>
          <w:tcPr>
            <w:tcW w:w="939" w:type="dxa"/>
            <w:tcBorders>
              <w:top w:val="nil"/>
              <w:left w:val="nil"/>
              <w:bottom w:val="nil"/>
              <w:right w:val="nil"/>
            </w:tcBorders>
            <w:shd w:val="clear" w:color="000000" w:fill="7F7F7F"/>
            <w:noWrap/>
            <w:vAlign w:val="center"/>
            <w:hideMark/>
          </w:tcPr>
          <w:p w:rsidR="009951B2" w:rsidRPr="009951B2" w:rsidRDefault="009951B2" w:rsidP="009951B2">
            <w:pPr>
              <w:jc w:val="right"/>
              <w:rPr>
                <w:rFonts w:cs="Arial"/>
                <w:b/>
                <w:bCs/>
                <w:color w:val="FFFFFF"/>
                <w:szCs w:val="18"/>
                <w:lang w:eastAsia="en-AU"/>
              </w:rPr>
            </w:pPr>
            <w:r w:rsidRPr="009951B2">
              <w:rPr>
                <w:rFonts w:cs="Arial"/>
                <w:b/>
                <w:bCs/>
                <w:color w:val="FFFFFF"/>
                <w:szCs w:val="18"/>
                <w:lang w:eastAsia="en-AU"/>
              </w:rPr>
              <w:t>37,656</w:t>
            </w:r>
          </w:p>
        </w:tc>
        <w:tc>
          <w:tcPr>
            <w:tcW w:w="940" w:type="dxa"/>
            <w:tcBorders>
              <w:top w:val="nil"/>
              <w:left w:val="nil"/>
              <w:bottom w:val="nil"/>
              <w:right w:val="nil"/>
            </w:tcBorders>
            <w:shd w:val="clear" w:color="000000" w:fill="7F7F7F"/>
            <w:noWrap/>
            <w:vAlign w:val="center"/>
            <w:hideMark/>
          </w:tcPr>
          <w:p w:rsidR="009951B2" w:rsidRPr="009951B2" w:rsidRDefault="009951B2" w:rsidP="009951B2">
            <w:pPr>
              <w:jc w:val="right"/>
              <w:rPr>
                <w:rFonts w:cs="Arial"/>
                <w:b/>
                <w:bCs/>
                <w:color w:val="FFFFFF"/>
                <w:szCs w:val="18"/>
                <w:lang w:eastAsia="en-AU"/>
              </w:rPr>
            </w:pPr>
            <w:r w:rsidRPr="009951B2">
              <w:rPr>
                <w:rFonts w:cs="Arial"/>
                <w:b/>
                <w:bCs/>
                <w:color w:val="FFFFFF"/>
                <w:szCs w:val="18"/>
                <w:lang w:eastAsia="en-AU"/>
              </w:rPr>
              <w:t>34,379</w:t>
            </w:r>
          </w:p>
        </w:tc>
        <w:tc>
          <w:tcPr>
            <w:tcW w:w="939" w:type="dxa"/>
            <w:tcBorders>
              <w:top w:val="nil"/>
              <w:left w:val="nil"/>
              <w:bottom w:val="nil"/>
              <w:right w:val="nil"/>
            </w:tcBorders>
            <w:shd w:val="clear" w:color="000000" w:fill="7F7F7F"/>
            <w:noWrap/>
            <w:vAlign w:val="center"/>
            <w:hideMark/>
          </w:tcPr>
          <w:p w:rsidR="009951B2" w:rsidRPr="009951B2" w:rsidRDefault="009951B2" w:rsidP="009951B2">
            <w:pPr>
              <w:jc w:val="right"/>
              <w:rPr>
                <w:rFonts w:cs="Arial"/>
                <w:b/>
                <w:bCs/>
                <w:color w:val="FFFFFF"/>
                <w:szCs w:val="18"/>
                <w:lang w:eastAsia="en-AU"/>
              </w:rPr>
            </w:pPr>
            <w:r w:rsidRPr="009951B2">
              <w:rPr>
                <w:rFonts w:cs="Arial"/>
                <w:b/>
                <w:bCs/>
                <w:color w:val="FFFFFF"/>
                <w:szCs w:val="18"/>
                <w:lang w:eastAsia="en-AU"/>
              </w:rPr>
              <w:t>34,307</w:t>
            </w:r>
          </w:p>
        </w:tc>
        <w:tc>
          <w:tcPr>
            <w:tcW w:w="940" w:type="dxa"/>
            <w:tcBorders>
              <w:top w:val="nil"/>
              <w:left w:val="nil"/>
              <w:bottom w:val="nil"/>
              <w:right w:val="nil"/>
            </w:tcBorders>
            <w:shd w:val="clear" w:color="000000" w:fill="7F7F7F"/>
            <w:noWrap/>
            <w:vAlign w:val="center"/>
            <w:hideMark/>
          </w:tcPr>
          <w:p w:rsidR="009951B2" w:rsidRPr="009951B2" w:rsidRDefault="009951B2" w:rsidP="009951B2">
            <w:pPr>
              <w:jc w:val="right"/>
              <w:rPr>
                <w:rFonts w:cs="Arial"/>
                <w:b/>
                <w:bCs/>
                <w:color w:val="FFFFFF"/>
                <w:szCs w:val="18"/>
                <w:lang w:eastAsia="en-AU"/>
              </w:rPr>
            </w:pPr>
            <w:r w:rsidRPr="009951B2">
              <w:rPr>
                <w:rFonts w:cs="Arial"/>
                <w:b/>
                <w:bCs/>
                <w:color w:val="FFFFFF"/>
                <w:szCs w:val="18"/>
                <w:lang w:eastAsia="en-AU"/>
              </w:rPr>
              <w:t>35,523</w:t>
            </w:r>
          </w:p>
        </w:tc>
      </w:tr>
    </w:tbl>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4A0" w:firstRow="1" w:lastRow="0" w:firstColumn="1" w:lastColumn="0" w:noHBand="0" w:noVBand="1"/>
      </w:tblPr>
      <w:tblGrid>
        <w:gridCol w:w="431"/>
        <w:gridCol w:w="7649"/>
      </w:tblGrid>
      <w:tr w:rsidR="009A29C5" w:rsidRPr="00913551" w:rsidTr="009A29C5">
        <w:tc>
          <w:tcPr>
            <w:tcW w:w="431" w:type="dxa"/>
            <w:tcMar>
              <w:left w:w="0" w:type="dxa"/>
              <w:right w:w="28" w:type="dxa"/>
            </w:tcMar>
          </w:tcPr>
          <w:p w:rsidR="009A29C5" w:rsidRPr="00913551" w:rsidRDefault="009A29C5" w:rsidP="009A29C5">
            <w:pPr>
              <w:spacing w:after="0" w:line="240" w:lineRule="auto"/>
              <w:jc w:val="right"/>
              <w:rPr>
                <w:color w:val="7F7F7F" w:themeColor="text2"/>
                <w:sz w:val="16"/>
                <w:szCs w:val="16"/>
              </w:rPr>
            </w:pPr>
            <w:r w:rsidRPr="00913551">
              <w:rPr>
                <w:color w:val="7F7F7F" w:themeColor="text2"/>
                <w:sz w:val="16"/>
                <w:szCs w:val="16"/>
              </w:rPr>
              <w:t xml:space="preserve">* </w:t>
            </w:r>
          </w:p>
        </w:tc>
        <w:tc>
          <w:tcPr>
            <w:tcW w:w="7649" w:type="dxa"/>
            <w:tcMar>
              <w:left w:w="0" w:type="dxa"/>
              <w:right w:w="28" w:type="dxa"/>
            </w:tcMar>
          </w:tcPr>
          <w:p w:rsidR="009A29C5" w:rsidRPr="00913551" w:rsidRDefault="009A29C5" w:rsidP="009A29C5">
            <w:pPr>
              <w:pStyle w:val="Note"/>
              <w:spacing w:after="0"/>
              <w:rPr>
                <w:i w:val="0"/>
                <w:color w:val="7F7F7F" w:themeColor="text2"/>
              </w:rPr>
            </w:pPr>
            <w:r w:rsidRPr="00913551">
              <w:t>'Community and Personal Services' occupational category included courses such as Diploma of Dental Technology and Certificate IV in Racing (Jockey)</w:t>
            </w:r>
          </w:p>
        </w:tc>
      </w:tr>
      <w:tr w:rsidR="009A29C5" w:rsidRPr="00913551" w:rsidTr="009A29C5">
        <w:tc>
          <w:tcPr>
            <w:tcW w:w="431" w:type="dxa"/>
            <w:tcMar>
              <w:left w:w="0" w:type="dxa"/>
              <w:right w:w="28" w:type="dxa"/>
            </w:tcMar>
          </w:tcPr>
          <w:p w:rsidR="009A29C5" w:rsidRPr="00913551" w:rsidRDefault="009A29C5" w:rsidP="009A29C5">
            <w:pPr>
              <w:spacing w:after="0" w:line="240" w:lineRule="auto"/>
              <w:jc w:val="right"/>
              <w:rPr>
                <w:color w:val="7F7F7F" w:themeColor="text2"/>
                <w:sz w:val="16"/>
                <w:szCs w:val="16"/>
              </w:rPr>
            </w:pPr>
            <w:r w:rsidRPr="00913551">
              <w:rPr>
                <w:color w:val="7F7F7F" w:themeColor="text2"/>
                <w:sz w:val="16"/>
                <w:szCs w:val="16"/>
              </w:rPr>
              <w:t>**</w:t>
            </w:r>
          </w:p>
        </w:tc>
        <w:tc>
          <w:tcPr>
            <w:tcW w:w="7649" w:type="dxa"/>
            <w:tcMar>
              <w:left w:w="0" w:type="dxa"/>
              <w:right w:w="28" w:type="dxa"/>
            </w:tcMar>
          </w:tcPr>
          <w:p w:rsidR="009A29C5" w:rsidRPr="00913551" w:rsidRDefault="009A29C5" w:rsidP="009A29C5">
            <w:pPr>
              <w:spacing w:after="0" w:line="240" w:lineRule="auto"/>
              <w:rPr>
                <w:i/>
                <w:sz w:val="16"/>
                <w:szCs w:val="16"/>
              </w:rPr>
            </w:pPr>
            <w:r w:rsidRPr="00913551">
              <w:rPr>
                <w:i/>
                <w:sz w:val="16"/>
                <w:szCs w:val="16"/>
              </w:rPr>
              <w:t>'Labourers' occupational category included courses such as Certificate III in Automotive Glazing Technology</w:t>
            </w:r>
          </w:p>
        </w:tc>
      </w:tr>
    </w:tbl>
    <w:p w:rsidR="009951B2" w:rsidRPr="009951B2" w:rsidRDefault="009951B2" w:rsidP="00AB62FC">
      <w:pPr>
        <w:pStyle w:val="Quote"/>
        <w:rPr>
          <w:b w:val="0"/>
          <w:sz w:val="18"/>
          <w:szCs w:val="18"/>
        </w:rPr>
      </w:pPr>
    </w:p>
    <w:p w:rsidR="009951B2" w:rsidRPr="009951B2" w:rsidRDefault="009951B2" w:rsidP="00AB62FC">
      <w:pPr>
        <w:pStyle w:val="Quote"/>
        <w:rPr>
          <w:b w:val="0"/>
          <w:sz w:val="18"/>
          <w:szCs w:val="18"/>
        </w:rPr>
      </w:pPr>
    </w:p>
    <w:p w:rsidR="00671FB7" w:rsidRDefault="00671FB7">
      <w:r>
        <w:rPr>
          <w:b/>
        </w:rPr>
        <w:br w:type="page"/>
      </w: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9A29C5" w:rsidTr="009A29C5">
        <w:tc>
          <w:tcPr>
            <w:tcW w:w="1134" w:type="dxa"/>
            <w:tcMar>
              <w:left w:w="0" w:type="dxa"/>
              <w:right w:w="0" w:type="dxa"/>
            </w:tcMar>
          </w:tcPr>
          <w:p w:rsidR="009A29C5" w:rsidRDefault="0005261F" w:rsidP="009A29C5">
            <w:pPr>
              <w:pStyle w:val="Quote"/>
              <w:tabs>
                <w:tab w:val="left" w:pos="1134"/>
              </w:tabs>
              <w:rPr>
                <w:b w:val="0"/>
                <w:color w:val="B41F22" w:themeColor="accent1"/>
              </w:rPr>
            </w:pPr>
            <w:r>
              <w:rPr>
                <w:b w:val="0"/>
                <w:color w:val="B41F22" w:themeColor="accent1"/>
              </w:rPr>
              <w:lastRenderedPageBreak/>
              <w:t>Table 3</w:t>
            </w:r>
            <w:r w:rsidR="009A29C5">
              <w:rPr>
                <w:b w:val="0"/>
                <w:color w:val="B41F22" w:themeColor="accent1"/>
              </w:rPr>
              <w:t>.4.2:</w:t>
            </w:r>
          </w:p>
        </w:tc>
        <w:tc>
          <w:tcPr>
            <w:tcW w:w="6946" w:type="dxa"/>
            <w:tcMar>
              <w:left w:w="0" w:type="dxa"/>
              <w:right w:w="0" w:type="dxa"/>
            </w:tcMar>
          </w:tcPr>
          <w:p w:rsidR="009A29C5" w:rsidRDefault="009A29C5" w:rsidP="009A29C5">
            <w:pPr>
              <w:pStyle w:val="Quote"/>
              <w:tabs>
                <w:tab w:val="left" w:pos="1134"/>
              </w:tabs>
              <w:rPr>
                <w:b w:val="0"/>
                <w:color w:val="B41F22" w:themeColor="accent1"/>
              </w:rPr>
            </w:pPr>
            <w:r w:rsidRPr="009A29C5">
              <w:rPr>
                <w:b w:val="0"/>
                <w:color w:val="B41F22" w:themeColor="accent1"/>
              </w:rPr>
              <w:t>Change in number of government subsidised apprentice course enrolments by occupation (half year)</w:t>
            </w:r>
          </w:p>
        </w:tc>
      </w:tr>
    </w:tbl>
    <w:tbl>
      <w:tblPr>
        <w:tblW w:w="8095" w:type="dxa"/>
        <w:tblInd w:w="93" w:type="dxa"/>
        <w:tblLayout w:type="fixed"/>
        <w:tblLook w:val="04A0" w:firstRow="1" w:lastRow="0" w:firstColumn="1" w:lastColumn="0" w:noHBand="0" w:noVBand="1"/>
      </w:tblPr>
      <w:tblGrid>
        <w:gridCol w:w="2600"/>
        <w:gridCol w:w="1099"/>
        <w:gridCol w:w="1099"/>
        <w:gridCol w:w="1099"/>
        <w:gridCol w:w="1099"/>
        <w:gridCol w:w="1099"/>
      </w:tblGrid>
      <w:tr w:rsidR="009A29C5" w:rsidRPr="009A29C5" w:rsidTr="009A29C5">
        <w:trPr>
          <w:trHeight w:val="720"/>
        </w:trPr>
        <w:tc>
          <w:tcPr>
            <w:tcW w:w="2600" w:type="dxa"/>
            <w:tcBorders>
              <w:top w:val="nil"/>
              <w:left w:val="nil"/>
              <w:bottom w:val="nil"/>
              <w:right w:val="nil"/>
            </w:tcBorders>
            <w:shd w:val="clear" w:color="000000" w:fill="7F7F7F"/>
            <w:noWrap/>
            <w:vAlign w:val="center"/>
            <w:hideMark/>
          </w:tcPr>
          <w:p w:rsidR="009A29C5" w:rsidRPr="009A29C5" w:rsidRDefault="009A29C5" w:rsidP="009A29C5">
            <w:pPr>
              <w:rPr>
                <w:rFonts w:cs="Arial"/>
                <w:color w:val="FFFFFF"/>
                <w:szCs w:val="18"/>
                <w:lang w:eastAsia="en-AU"/>
              </w:rPr>
            </w:pPr>
            <w:r w:rsidRPr="009A29C5">
              <w:rPr>
                <w:rFonts w:cs="Arial"/>
                <w:color w:val="FFFFFF"/>
                <w:szCs w:val="18"/>
                <w:lang w:eastAsia="en-AU"/>
              </w:rPr>
              <w:t> </w:t>
            </w:r>
          </w:p>
        </w:tc>
        <w:tc>
          <w:tcPr>
            <w:tcW w:w="1099" w:type="dxa"/>
            <w:tcBorders>
              <w:top w:val="nil"/>
              <w:left w:val="nil"/>
              <w:bottom w:val="nil"/>
              <w:right w:val="nil"/>
            </w:tcBorders>
            <w:shd w:val="clear" w:color="000000" w:fill="7F7F7F"/>
            <w:vAlign w:val="center"/>
            <w:hideMark/>
          </w:tcPr>
          <w:p w:rsidR="009A29C5" w:rsidRPr="009A29C5" w:rsidRDefault="009A29C5" w:rsidP="009A29C5">
            <w:pPr>
              <w:jc w:val="right"/>
              <w:rPr>
                <w:rFonts w:cs="Arial"/>
                <w:b/>
                <w:bCs/>
                <w:color w:val="FFFFFF"/>
                <w:szCs w:val="18"/>
                <w:lang w:eastAsia="en-AU"/>
              </w:rPr>
            </w:pPr>
            <w:r w:rsidRPr="009A29C5">
              <w:rPr>
                <w:rFonts w:cs="Arial"/>
                <w:b/>
                <w:bCs/>
                <w:color w:val="FFFFFF"/>
                <w:szCs w:val="18"/>
                <w:lang w:eastAsia="en-AU"/>
              </w:rPr>
              <w:t>% change 2010 to 2015</w:t>
            </w:r>
          </w:p>
        </w:tc>
        <w:tc>
          <w:tcPr>
            <w:tcW w:w="1099" w:type="dxa"/>
            <w:tcBorders>
              <w:top w:val="nil"/>
              <w:left w:val="nil"/>
              <w:bottom w:val="nil"/>
              <w:right w:val="nil"/>
            </w:tcBorders>
            <w:shd w:val="clear" w:color="000000" w:fill="7F7F7F"/>
            <w:vAlign w:val="center"/>
            <w:hideMark/>
          </w:tcPr>
          <w:p w:rsidR="009A29C5" w:rsidRPr="009A29C5" w:rsidRDefault="009A29C5" w:rsidP="009A29C5">
            <w:pPr>
              <w:jc w:val="right"/>
              <w:rPr>
                <w:rFonts w:cs="Arial"/>
                <w:b/>
                <w:bCs/>
                <w:color w:val="FFFFFF"/>
                <w:szCs w:val="18"/>
                <w:lang w:eastAsia="en-AU"/>
              </w:rPr>
            </w:pPr>
            <w:r w:rsidRPr="009A29C5">
              <w:rPr>
                <w:rFonts w:cs="Arial"/>
                <w:b/>
                <w:bCs/>
                <w:color w:val="FFFFFF"/>
                <w:szCs w:val="18"/>
                <w:lang w:eastAsia="en-AU"/>
              </w:rPr>
              <w:t>% change 2011 to 2015</w:t>
            </w:r>
          </w:p>
        </w:tc>
        <w:tc>
          <w:tcPr>
            <w:tcW w:w="1099" w:type="dxa"/>
            <w:tcBorders>
              <w:top w:val="nil"/>
              <w:left w:val="nil"/>
              <w:bottom w:val="nil"/>
              <w:right w:val="nil"/>
            </w:tcBorders>
            <w:shd w:val="clear" w:color="000000" w:fill="7F7F7F"/>
            <w:vAlign w:val="center"/>
            <w:hideMark/>
          </w:tcPr>
          <w:p w:rsidR="009A29C5" w:rsidRPr="009A29C5" w:rsidRDefault="009A29C5" w:rsidP="009A29C5">
            <w:pPr>
              <w:jc w:val="right"/>
              <w:rPr>
                <w:rFonts w:cs="Arial"/>
                <w:b/>
                <w:bCs/>
                <w:color w:val="FFFFFF"/>
                <w:szCs w:val="18"/>
                <w:lang w:eastAsia="en-AU"/>
              </w:rPr>
            </w:pPr>
            <w:r w:rsidRPr="009A29C5">
              <w:rPr>
                <w:rFonts w:cs="Arial"/>
                <w:b/>
                <w:bCs/>
                <w:color w:val="FFFFFF"/>
                <w:szCs w:val="18"/>
                <w:lang w:eastAsia="en-AU"/>
              </w:rPr>
              <w:t>% change 2012 to 2015</w:t>
            </w:r>
          </w:p>
        </w:tc>
        <w:tc>
          <w:tcPr>
            <w:tcW w:w="1099" w:type="dxa"/>
            <w:tcBorders>
              <w:top w:val="nil"/>
              <w:left w:val="nil"/>
              <w:bottom w:val="nil"/>
              <w:right w:val="nil"/>
            </w:tcBorders>
            <w:shd w:val="clear" w:color="000000" w:fill="7F7F7F"/>
            <w:vAlign w:val="center"/>
            <w:hideMark/>
          </w:tcPr>
          <w:p w:rsidR="009A29C5" w:rsidRPr="009A29C5" w:rsidRDefault="009A29C5" w:rsidP="009A29C5">
            <w:pPr>
              <w:jc w:val="right"/>
              <w:rPr>
                <w:rFonts w:cs="Arial"/>
                <w:b/>
                <w:bCs/>
                <w:color w:val="FFFFFF"/>
                <w:szCs w:val="18"/>
                <w:lang w:eastAsia="en-AU"/>
              </w:rPr>
            </w:pPr>
            <w:r w:rsidRPr="009A29C5">
              <w:rPr>
                <w:rFonts w:cs="Arial"/>
                <w:b/>
                <w:bCs/>
                <w:color w:val="FFFFFF"/>
                <w:szCs w:val="18"/>
                <w:lang w:eastAsia="en-AU"/>
              </w:rPr>
              <w:t>% change 2013 to 2015</w:t>
            </w:r>
          </w:p>
        </w:tc>
        <w:tc>
          <w:tcPr>
            <w:tcW w:w="1099" w:type="dxa"/>
            <w:tcBorders>
              <w:top w:val="nil"/>
              <w:left w:val="nil"/>
              <w:bottom w:val="nil"/>
              <w:right w:val="nil"/>
            </w:tcBorders>
            <w:shd w:val="clear" w:color="000000" w:fill="7F7F7F"/>
            <w:vAlign w:val="center"/>
            <w:hideMark/>
          </w:tcPr>
          <w:p w:rsidR="009A29C5" w:rsidRPr="009A29C5" w:rsidRDefault="009A29C5" w:rsidP="009A29C5">
            <w:pPr>
              <w:jc w:val="right"/>
              <w:rPr>
                <w:rFonts w:cs="Arial"/>
                <w:b/>
                <w:bCs/>
                <w:color w:val="FFFFFF"/>
                <w:szCs w:val="18"/>
                <w:lang w:eastAsia="en-AU"/>
              </w:rPr>
            </w:pPr>
            <w:r w:rsidRPr="009A29C5">
              <w:rPr>
                <w:rFonts w:cs="Arial"/>
                <w:b/>
                <w:bCs/>
                <w:color w:val="FFFFFF"/>
                <w:szCs w:val="18"/>
                <w:lang w:eastAsia="en-AU"/>
              </w:rPr>
              <w:t>% change 2014 to 2015</w:t>
            </w:r>
          </w:p>
        </w:tc>
      </w:tr>
      <w:tr w:rsidR="009A29C5" w:rsidRPr="009A29C5" w:rsidTr="009A29C5">
        <w:trPr>
          <w:trHeight w:val="480"/>
        </w:trPr>
        <w:tc>
          <w:tcPr>
            <w:tcW w:w="2600" w:type="dxa"/>
            <w:tcBorders>
              <w:top w:val="nil"/>
              <w:left w:val="nil"/>
              <w:bottom w:val="nil"/>
              <w:right w:val="nil"/>
            </w:tcBorders>
            <w:shd w:val="clear" w:color="auto" w:fill="auto"/>
            <w:vAlign w:val="center"/>
            <w:hideMark/>
          </w:tcPr>
          <w:p w:rsidR="009A29C5" w:rsidRPr="009A29C5" w:rsidRDefault="009A29C5" w:rsidP="009A29C5">
            <w:pPr>
              <w:rPr>
                <w:rFonts w:cs="Arial"/>
                <w:color w:val="7F7F7F"/>
                <w:szCs w:val="18"/>
                <w:lang w:eastAsia="en-AU"/>
              </w:rPr>
            </w:pPr>
            <w:r w:rsidRPr="009A29C5">
              <w:rPr>
                <w:rFonts w:cs="Arial"/>
                <w:color w:val="7F7F7F"/>
                <w:szCs w:val="18"/>
                <w:lang w:eastAsia="en-AU"/>
              </w:rPr>
              <w:t>Clerical and Administrative Workers</w:t>
            </w:r>
          </w:p>
        </w:tc>
        <w:tc>
          <w:tcPr>
            <w:tcW w:w="1099" w:type="dxa"/>
            <w:tcBorders>
              <w:top w:val="nil"/>
              <w:left w:val="nil"/>
              <w:bottom w:val="nil"/>
              <w:right w:val="nil"/>
            </w:tcBorders>
            <w:shd w:val="clear" w:color="auto" w:fill="auto"/>
            <w:noWrap/>
            <w:vAlign w:val="center"/>
            <w:hideMark/>
          </w:tcPr>
          <w:p w:rsidR="009A29C5" w:rsidRPr="009A29C5" w:rsidRDefault="009A29C5" w:rsidP="009A29C5">
            <w:pPr>
              <w:jc w:val="right"/>
              <w:rPr>
                <w:rFonts w:cs="Arial"/>
                <w:color w:val="7F7F7F"/>
                <w:szCs w:val="18"/>
                <w:lang w:eastAsia="en-AU"/>
              </w:rPr>
            </w:pPr>
            <w:r w:rsidRPr="009A29C5">
              <w:rPr>
                <w:rFonts w:cs="Arial"/>
                <w:color w:val="7F7F7F"/>
                <w:szCs w:val="18"/>
                <w:lang w:eastAsia="en-AU"/>
              </w:rPr>
              <w:t>-100%</w:t>
            </w:r>
          </w:p>
        </w:tc>
        <w:tc>
          <w:tcPr>
            <w:tcW w:w="1099" w:type="dxa"/>
            <w:tcBorders>
              <w:top w:val="nil"/>
              <w:left w:val="nil"/>
              <w:bottom w:val="nil"/>
              <w:right w:val="nil"/>
            </w:tcBorders>
            <w:shd w:val="clear" w:color="auto" w:fill="auto"/>
            <w:noWrap/>
            <w:vAlign w:val="center"/>
            <w:hideMark/>
          </w:tcPr>
          <w:p w:rsidR="009A29C5" w:rsidRPr="009A29C5" w:rsidRDefault="009A29C5" w:rsidP="009A29C5">
            <w:pPr>
              <w:jc w:val="right"/>
              <w:rPr>
                <w:rFonts w:cs="Arial"/>
                <w:color w:val="7F7F7F"/>
                <w:szCs w:val="18"/>
                <w:lang w:eastAsia="en-AU"/>
              </w:rPr>
            </w:pPr>
            <w:r w:rsidRPr="009A29C5">
              <w:rPr>
                <w:rFonts w:cs="Arial"/>
                <w:color w:val="7F7F7F"/>
                <w:szCs w:val="18"/>
                <w:lang w:eastAsia="en-AU"/>
              </w:rPr>
              <w:t>-100%</w:t>
            </w:r>
          </w:p>
        </w:tc>
        <w:tc>
          <w:tcPr>
            <w:tcW w:w="1099" w:type="dxa"/>
            <w:tcBorders>
              <w:top w:val="nil"/>
              <w:left w:val="nil"/>
              <w:bottom w:val="nil"/>
              <w:right w:val="nil"/>
            </w:tcBorders>
            <w:shd w:val="clear" w:color="auto" w:fill="auto"/>
            <w:noWrap/>
            <w:vAlign w:val="center"/>
            <w:hideMark/>
          </w:tcPr>
          <w:p w:rsidR="009A29C5" w:rsidRPr="009A29C5" w:rsidRDefault="009A29C5" w:rsidP="009A29C5">
            <w:pPr>
              <w:jc w:val="right"/>
              <w:rPr>
                <w:rFonts w:cs="Arial"/>
                <w:color w:val="7F7F7F"/>
                <w:szCs w:val="18"/>
                <w:lang w:eastAsia="en-AU"/>
              </w:rPr>
            </w:pPr>
            <w:r w:rsidRPr="009A29C5">
              <w:rPr>
                <w:rFonts w:cs="Arial"/>
                <w:color w:val="7F7F7F"/>
                <w:szCs w:val="18"/>
                <w:lang w:eastAsia="en-AU"/>
              </w:rPr>
              <w:t>-100%</w:t>
            </w:r>
          </w:p>
        </w:tc>
        <w:tc>
          <w:tcPr>
            <w:tcW w:w="1099" w:type="dxa"/>
            <w:tcBorders>
              <w:top w:val="nil"/>
              <w:left w:val="nil"/>
              <w:bottom w:val="nil"/>
              <w:right w:val="nil"/>
            </w:tcBorders>
            <w:shd w:val="clear" w:color="auto" w:fill="auto"/>
            <w:noWrap/>
            <w:vAlign w:val="center"/>
            <w:hideMark/>
          </w:tcPr>
          <w:p w:rsidR="009A29C5" w:rsidRPr="009A29C5" w:rsidRDefault="009A29C5" w:rsidP="009A29C5">
            <w:pPr>
              <w:jc w:val="right"/>
              <w:rPr>
                <w:rFonts w:cs="Arial"/>
                <w:color w:val="7F7F7F"/>
                <w:szCs w:val="18"/>
                <w:lang w:eastAsia="en-AU"/>
              </w:rPr>
            </w:pPr>
            <w:r w:rsidRPr="009A29C5">
              <w:rPr>
                <w:rFonts w:cs="Arial"/>
                <w:color w:val="7F7F7F"/>
                <w:szCs w:val="18"/>
                <w:lang w:eastAsia="en-AU"/>
              </w:rPr>
              <w:t>-100%</w:t>
            </w:r>
          </w:p>
        </w:tc>
        <w:tc>
          <w:tcPr>
            <w:tcW w:w="1099" w:type="dxa"/>
            <w:tcBorders>
              <w:top w:val="nil"/>
              <w:left w:val="nil"/>
              <w:bottom w:val="nil"/>
              <w:right w:val="nil"/>
            </w:tcBorders>
            <w:shd w:val="clear" w:color="auto" w:fill="auto"/>
            <w:noWrap/>
            <w:vAlign w:val="center"/>
            <w:hideMark/>
          </w:tcPr>
          <w:p w:rsidR="009A29C5" w:rsidRPr="009A29C5" w:rsidRDefault="009A29C5" w:rsidP="009A29C5">
            <w:pPr>
              <w:jc w:val="right"/>
              <w:rPr>
                <w:rFonts w:cs="Arial"/>
                <w:color w:val="7F7F7F"/>
                <w:szCs w:val="18"/>
                <w:lang w:eastAsia="en-AU"/>
              </w:rPr>
            </w:pPr>
            <w:r w:rsidRPr="009A29C5">
              <w:rPr>
                <w:rFonts w:cs="Arial"/>
                <w:color w:val="7F7F7F"/>
                <w:szCs w:val="18"/>
                <w:lang w:eastAsia="en-AU"/>
              </w:rPr>
              <w:t>-100%</w:t>
            </w:r>
          </w:p>
        </w:tc>
      </w:tr>
      <w:tr w:rsidR="009A29C5" w:rsidRPr="009A29C5" w:rsidTr="009A29C5">
        <w:trPr>
          <w:trHeight w:val="480"/>
        </w:trPr>
        <w:tc>
          <w:tcPr>
            <w:tcW w:w="2600" w:type="dxa"/>
            <w:tcBorders>
              <w:top w:val="nil"/>
              <w:left w:val="nil"/>
              <w:bottom w:val="nil"/>
              <w:right w:val="nil"/>
            </w:tcBorders>
            <w:shd w:val="clear" w:color="auto" w:fill="auto"/>
            <w:vAlign w:val="center"/>
            <w:hideMark/>
          </w:tcPr>
          <w:p w:rsidR="009A29C5" w:rsidRPr="009A29C5" w:rsidRDefault="009A29C5" w:rsidP="009A29C5">
            <w:pPr>
              <w:rPr>
                <w:rFonts w:cs="Arial"/>
                <w:color w:val="7F7F7F"/>
                <w:szCs w:val="18"/>
                <w:lang w:eastAsia="en-AU"/>
              </w:rPr>
            </w:pPr>
            <w:r w:rsidRPr="009A29C5">
              <w:rPr>
                <w:rFonts w:cs="Arial"/>
                <w:color w:val="7F7F7F"/>
                <w:szCs w:val="18"/>
                <w:lang w:eastAsia="en-AU"/>
              </w:rPr>
              <w:t>Community and Personal Service Workers</w:t>
            </w:r>
          </w:p>
        </w:tc>
        <w:tc>
          <w:tcPr>
            <w:tcW w:w="1099" w:type="dxa"/>
            <w:tcBorders>
              <w:top w:val="nil"/>
              <w:left w:val="nil"/>
              <w:bottom w:val="nil"/>
              <w:right w:val="nil"/>
            </w:tcBorders>
            <w:shd w:val="clear" w:color="auto" w:fill="auto"/>
            <w:noWrap/>
            <w:vAlign w:val="center"/>
            <w:hideMark/>
          </w:tcPr>
          <w:p w:rsidR="009A29C5" w:rsidRPr="009A29C5" w:rsidRDefault="009A29C5" w:rsidP="009A29C5">
            <w:pPr>
              <w:jc w:val="right"/>
              <w:rPr>
                <w:rFonts w:cs="Arial"/>
                <w:color w:val="7F7F7F"/>
                <w:szCs w:val="18"/>
                <w:lang w:eastAsia="en-AU"/>
              </w:rPr>
            </w:pPr>
            <w:r w:rsidRPr="009A29C5">
              <w:rPr>
                <w:rFonts w:cs="Arial"/>
                <w:color w:val="7F7F7F"/>
                <w:szCs w:val="18"/>
                <w:lang w:eastAsia="en-AU"/>
              </w:rPr>
              <w:t>-61%</w:t>
            </w:r>
          </w:p>
        </w:tc>
        <w:tc>
          <w:tcPr>
            <w:tcW w:w="1099" w:type="dxa"/>
            <w:tcBorders>
              <w:top w:val="nil"/>
              <w:left w:val="nil"/>
              <w:bottom w:val="nil"/>
              <w:right w:val="nil"/>
            </w:tcBorders>
            <w:shd w:val="clear" w:color="auto" w:fill="auto"/>
            <w:noWrap/>
            <w:vAlign w:val="center"/>
            <w:hideMark/>
          </w:tcPr>
          <w:p w:rsidR="009A29C5" w:rsidRPr="009A29C5" w:rsidRDefault="009A29C5" w:rsidP="009A29C5">
            <w:pPr>
              <w:jc w:val="right"/>
              <w:rPr>
                <w:rFonts w:cs="Arial"/>
                <w:color w:val="7F7F7F"/>
                <w:szCs w:val="18"/>
                <w:lang w:eastAsia="en-AU"/>
              </w:rPr>
            </w:pPr>
            <w:r w:rsidRPr="009A29C5">
              <w:rPr>
                <w:rFonts w:cs="Arial"/>
                <w:color w:val="7F7F7F"/>
                <w:szCs w:val="18"/>
                <w:lang w:eastAsia="en-AU"/>
              </w:rPr>
              <w:t>-62%</w:t>
            </w:r>
          </w:p>
        </w:tc>
        <w:tc>
          <w:tcPr>
            <w:tcW w:w="1099" w:type="dxa"/>
            <w:tcBorders>
              <w:top w:val="nil"/>
              <w:left w:val="nil"/>
              <w:bottom w:val="nil"/>
              <w:right w:val="nil"/>
            </w:tcBorders>
            <w:shd w:val="clear" w:color="auto" w:fill="auto"/>
            <w:noWrap/>
            <w:vAlign w:val="center"/>
            <w:hideMark/>
          </w:tcPr>
          <w:p w:rsidR="009A29C5" w:rsidRPr="009A29C5" w:rsidRDefault="009A29C5" w:rsidP="009A29C5">
            <w:pPr>
              <w:jc w:val="right"/>
              <w:rPr>
                <w:rFonts w:cs="Arial"/>
                <w:color w:val="7F7F7F"/>
                <w:szCs w:val="18"/>
                <w:lang w:eastAsia="en-AU"/>
              </w:rPr>
            </w:pPr>
            <w:r w:rsidRPr="009A29C5">
              <w:rPr>
                <w:rFonts w:cs="Arial"/>
                <w:color w:val="7F7F7F"/>
                <w:szCs w:val="18"/>
                <w:lang w:eastAsia="en-AU"/>
              </w:rPr>
              <w:t>-55%</w:t>
            </w:r>
          </w:p>
        </w:tc>
        <w:tc>
          <w:tcPr>
            <w:tcW w:w="1099" w:type="dxa"/>
            <w:tcBorders>
              <w:top w:val="nil"/>
              <w:left w:val="nil"/>
              <w:bottom w:val="nil"/>
              <w:right w:val="nil"/>
            </w:tcBorders>
            <w:shd w:val="clear" w:color="auto" w:fill="auto"/>
            <w:noWrap/>
            <w:vAlign w:val="center"/>
            <w:hideMark/>
          </w:tcPr>
          <w:p w:rsidR="009A29C5" w:rsidRPr="009A29C5" w:rsidRDefault="009A29C5" w:rsidP="009A29C5">
            <w:pPr>
              <w:jc w:val="right"/>
              <w:rPr>
                <w:rFonts w:cs="Arial"/>
                <w:color w:val="7F7F7F"/>
                <w:szCs w:val="18"/>
                <w:lang w:eastAsia="en-AU"/>
              </w:rPr>
            </w:pPr>
            <w:r w:rsidRPr="009A29C5">
              <w:rPr>
                <w:rFonts w:cs="Arial"/>
                <w:color w:val="7F7F7F"/>
                <w:szCs w:val="18"/>
                <w:lang w:eastAsia="en-AU"/>
              </w:rPr>
              <w:t>-41%</w:t>
            </w:r>
          </w:p>
        </w:tc>
        <w:tc>
          <w:tcPr>
            <w:tcW w:w="1099" w:type="dxa"/>
            <w:tcBorders>
              <w:top w:val="nil"/>
              <w:left w:val="nil"/>
              <w:bottom w:val="nil"/>
              <w:right w:val="nil"/>
            </w:tcBorders>
            <w:shd w:val="clear" w:color="auto" w:fill="auto"/>
            <w:noWrap/>
            <w:vAlign w:val="center"/>
            <w:hideMark/>
          </w:tcPr>
          <w:p w:rsidR="009A29C5" w:rsidRPr="009A29C5" w:rsidRDefault="009A29C5" w:rsidP="009A29C5">
            <w:pPr>
              <w:jc w:val="right"/>
              <w:rPr>
                <w:rFonts w:cs="Arial"/>
                <w:color w:val="7F7F7F"/>
                <w:szCs w:val="18"/>
                <w:lang w:eastAsia="en-AU"/>
              </w:rPr>
            </w:pPr>
            <w:r w:rsidRPr="009A29C5">
              <w:rPr>
                <w:rFonts w:cs="Arial"/>
                <w:color w:val="7F7F7F"/>
                <w:szCs w:val="18"/>
                <w:lang w:eastAsia="en-AU"/>
              </w:rPr>
              <w:t>-6%</w:t>
            </w:r>
          </w:p>
        </w:tc>
      </w:tr>
      <w:tr w:rsidR="009A29C5" w:rsidRPr="009A29C5" w:rsidTr="009A29C5">
        <w:trPr>
          <w:trHeight w:val="300"/>
        </w:trPr>
        <w:tc>
          <w:tcPr>
            <w:tcW w:w="2600" w:type="dxa"/>
            <w:tcBorders>
              <w:top w:val="nil"/>
              <w:left w:val="nil"/>
              <w:bottom w:val="nil"/>
              <w:right w:val="nil"/>
            </w:tcBorders>
            <w:shd w:val="clear" w:color="auto" w:fill="auto"/>
            <w:vAlign w:val="center"/>
            <w:hideMark/>
          </w:tcPr>
          <w:p w:rsidR="009A29C5" w:rsidRPr="009A29C5" w:rsidRDefault="009A29C5" w:rsidP="009A29C5">
            <w:pPr>
              <w:rPr>
                <w:rFonts w:cs="Arial"/>
                <w:color w:val="7F7F7F"/>
                <w:szCs w:val="18"/>
                <w:lang w:eastAsia="en-AU"/>
              </w:rPr>
            </w:pPr>
            <w:r w:rsidRPr="009A29C5">
              <w:rPr>
                <w:rFonts w:cs="Arial"/>
                <w:color w:val="7F7F7F"/>
                <w:szCs w:val="18"/>
                <w:lang w:eastAsia="en-AU"/>
              </w:rPr>
              <w:t>Labourers</w:t>
            </w:r>
          </w:p>
        </w:tc>
        <w:tc>
          <w:tcPr>
            <w:tcW w:w="1099" w:type="dxa"/>
            <w:tcBorders>
              <w:top w:val="nil"/>
              <w:left w:val="nil"/>
              <w:bottom w:val="nil"/>
              <w:right w:val="nil"/>
            </w:tcBorders>
            <w:shd w:val="clear" w:color="auto" w:fill="auto"/>
            <w:noWrap/>
            <w:vAlign w:val="center"/>
            <w:hideMark/>
          </w:tcPr>
          <w:p w:rsidR="009A29C5" w:rsidRPr="009A29C5" w:rsidRDefault="009A29C5" w:rsidP="009A29C5">
            <w:pPr>
              <w:jc w:val="right"/>
              <w:rPr>
                <w:rFonts w:cs="Arial"/>
                <w:color w:val="7F7F7F"/>
                <w:szCs w:val="18"/>
                <w:lang w:eastAsia="en-AU"/>
              </w:rPr>
            </w:pPr>
            <w:r w:rsidRPr="009A29C5">
              <w:rPr>
                <w:rFonts w:cs="Arial"/>
                <w:color w:val="7F7F7F"/>
                <w:szCs w:val="18"/>
                <w:lang w:eastAsia="en-AU"/>
              </w:rPr>
              <w:t>64%</w:t>
            </w:r>
          </w:p>
        </w:tc>
        <w:tc>
          <w:tcPr>
            <w:tcW w:w="1099" w:type="dxa"/>
            <w:tcBorders>
              <w:top w:val="nil"/>
              <w:left w:val="nil"/>
              <w:bottom w:val="nil"/>
              <w:right w:val="nil"/>
            </w:tcBorders>
            <w:shd w:val="clear" w:color="auto" w:fill="auto"/>
            <w:noWrap/>
            <w:vAlign w:val="center"/>
            <w:hideMark/>
          </w:tcPr>
          <w:p w:rsidR="009A29C5" w:rsidRPr="009A29C5" w:rsidRDefault="009A29C5" w:rsidP="009A29C5">
            <w:pPr>
              <w:jc w:val="right"/>
              <w:rPr>
                <w:rFonts w:cs="Arial"/>
                <w:color w:val="7F7F7F"/>
                <w:szCs w:val="18"/>
                <w:lang w:eastAsia="en-AU"/>
              </w:rPr>
            </w:pPr>
            <w:r w:rsidRPr="009A29C5">
              <w:rPr>
                <w:rFonts w:cs="Arial"/>
                <w:color w:val="7F7F7F"/>
                <w:szCs w:val="18"/>
                <w:lang w:eastAsia="en-AU"/>
              </w:rPr>
              <w:t>46%</w:t>
            </w:r>
          </w:p>
        </w:tc>
        <w:tc>
          <w:tcPr>
            <w:tcW w:w="1099" w:type="dxa"/>
            <w:tcBorders>
              <w:top w:val="nil"/>
              <w:left w:val="nil"/>
              <w:bottom w:val="nil"/>
              <w:right w:val="nil"/>
            </w:tcBorders>
            <w:shd w:val="clear" w:color="auto" w:fill="auto"/>
            <w:noWrap/>
            <w:vAlign w:val="center"/>
            <w:hideMark/>
          </w:tcPr>
          <w:p w:rsidR="009A29C5" w:rsidRPr="009A29C5" w:rsidRDefault="009A29C5" w:rsidP="009A29C5">
            <w:pPr>
              <w:jc w:val="right"/>
              <w:rPr>
                <w:rFonts w:cs="Arial"/>
                <w:color w:val="7F7F7F"/>
                <w:szCs w:val="18"/>
                <w:lang w:eastAsia="en-AU"/>
              </w:rPr>
            </w:pPr>
            <w:r w:rsidRPr="009A29C5">
              <w:rPr>
                <w:rFonts w:cs="Arial"/>
                <w:color w:val="7F7F7F"/>
                <w:szCs w:val="18"/>
                <w:lang w:eastAsia="en-AU"/>
              </w:rPr>
              <w:t>9%</w:t>
            </w:r>
          </w:p>
        </w:tc>
        <w:tc>
          <w:tcPr>
            <w:tcW w:w="1099" w:type="dxa"/>
            <w:tcBorders>
              <w:top w:val="nil"/>
              <w:left w:val="nil"/>
              <w:bottom w:val="nil"/>
              <w:right w:val="nil"/>
            </w:tcBorders>
            <w:shd w:val="clear" w:color="auto" w:fill="auto"/>
            <w:noWrap/>
            <w:vAlign w:val="center"/>
            <w:hideMark/>
          </w:tcPr>
          <w:p w:rsidR="009A29C5" w:rsidRPr="009A29C5" w:rsidRDefault="009A29C5" w:rsidP="009A29C5">
            <w:pPr>
              <w:jc w:val="right"/>
              <w:rPr>
                <w:rFonts w:cs="Arial"/>
                <w:color w:val="7F7F7F"/>
                <w:szCs w:val="18"/>
                <w:lang w:eastAsia="en-AU"/>
              </w:rPr>
            </w:pPr>
            <w:r w:rsidRPr="009A29C5">
              <w:rPr>
                <w:rFonts w:cs="Arial"/>
                <w:color w:val="7F7F7F"/>
                <w:szCs w:val="18"/>
                <w:lang w:eastAsia="en-AU"/>
              </w:rPr>
              <w:t>-23%</w:t>
            </w:r>
          </w:p>
        </w:tc>
        <w:tc>
          <w:tcPr>
            <w:tcW w:w="1099" w:type="dxa"/>
            <w:tcBorders>
              <w:top w:val="nil"/>
              <w:left w:val="nil"/>
              <w:bottom w:val="nil"/>
              <w:right w:val="nil"/>
            </w:tcBorders>
            <w:shd w:val="clear" w:color="auto" w:fill="auto"/>
            <w:noWrap/>
            <w:vAlign w:val="center"/>
            <w:hideMark/>
          </w:tcPr>
          <w:p w:rsidR="009A29C5" w:rsidRPr="009A29C5" w:rsidRDefault="009A29C5" w:rsidP="009A29C5">
            <w:pPr>
              <w:jc w:val="right"/>
              <w:rPr>
                <w:rFonts w:cs="Arial"/>
                <w:color w:val="7F7F7F"/>
                <w:szCs w:val="18"/>
                <w:lang w:eastAsia="en-AU"/>
              </w:rPr>
            </w:pPr>
            <w:r w:rsidRPr="009A29C5">
              <w:rPr>
                <w:rFonts w:cs="Arial"/>
                <w:color w:val="7F7F7F"/>
                <w:szCs w:val="18"/>
                <w:lang w:eastAsia="en-AU"/>
              </w:rPr>
              <w:t>105%</w:t>
            </w:r>
          </w:p>
        </w:tc>
      </w:tr>
      <w:tr w:rsidR="009A29C5" w:rsidRPr="009A29C5" w:rsidTr="009A29C5">
        <w:trPr>
          <w:trHeight w:val="480"/>
        </w:trPr>
        <w:tc>
          <w:tcPr>
            <w:tcW w:w="2600" w:type="dxa"/>
            <w:tcBorders>
              <w:top w:val="nil"/>
              <w:left w:val="nil"/>
              <w:bottom w:val="nil"/>
              <w:right w:val="nil"/>
            </w:tcBorders>
            <w:shd w:val="clear" w:color="auto" w:fill="auto"/>
            <w:vAlign w:val="center"/>
            <w:hideMark/>
          </w:tcPr>
          <w:p w:rsidR="009A29C5" w:rsidRPr="009A29C5" w:rsidRDefault="009A29C5" w:rsidP="009A29C5">
            <w:pPr>
              <w:rPr>
                <w:rFonts w:cs="Arial"/>
                <w:color w:val="7F7F7F"/>
                <w:szCs w:val="18"/>
                <w:lang w:eastAsia="en-AU"/>
              </w:rPr>
            </w:pPr>
            <w:r w:rsidRPr="009A29C5">
              <w:rPr>
                <w:rFonts w:cs="Arial"/>
                <w:color w:val="7F7F7F"/>
                <w:szCs w:val="18"/>
                <w:lang w:eastAsia="en-AU"/>
              </w:rPr>
              <w:t>Machinery Operators And Drivers</w:t>
            </w:r>
          </w:p>
        </w:tc>
        <w:tc>
          <w:tcPr>
            <w:tcW w:w="1099" w:type="dxa"/>
            <w:tcBorders>
              <w:top w:val="nil"/>
              <w:left w:val="nil"/>
              <w:bottom w:val="nil"/>
              <w:right w:val="nil"/>
            </w:tcBorders>
            <w:shd w:val="clear" w:color="auto" w:fill="auto"/>
            <w:noWrap/>
            <w:vAlign w:val="center"/>
            <w:hideMark/>
          </w:tcPr>
          <w:p w:rsidR="009A29C5" w:rsidRPr="009A29C5" w:rsidRDefault="009A29C5" w:rsidP="009A29C5">
            <w:pPr>
              <w:jc w:val="right"/>
              <w:rPr>
                <w:rFonts w:cs="Arial"/>
                <w:color w:val="7F7F7F"/>
                <w:szCs w:val="18"/>
                <w:lang w:eastAsia="en-AU"/>
              </w:rPr>
            </w:pPr>
            <w:r w:rsidRPr="009A29C5">
              <w:rPr>
                <w:rFonts w:cs="Arial"/>
                <w:color w:val="7F7F7F"/>
                <w:szCs w:val="18"/>
                <w:lang w:eastAsia="en-AU"/>
              </w:rPr>
              <w:t>-100%</w:t>
            </w:r>
          </w:p>
        </w:tc>
        <w:tc>
          <w:tcPr>
            <w:tcW w:w="1099" w:type="dxa"/>
            <w:tcBorders>
              <w:top w:val="nil"/>
              <w:left w:val="nil"/>
              <w:bottom w:val="nil"/>
              <w:right w:val="nil"/>
            </w:tcBorders>
            <w:shd w:val="clear" w:color="auto" w:fill="auto"/>
            <w:noWrap/>
            <w:vAlign w:val="center"/>
            <w:hideMark/>
          </w:tcPr>
          <w:p w:rsidR="009A29C5" w:rsidRPr="009A29C5" w:rsidRDefault="009A29C5" w:rsidP="009A29C5">
            <w:pPr>
              <w:jc w:val="right"/>
              <w:rPr>
                <w:rFonts w:cs="Arial"/>
                <w:color w:val="7F7F7F"/>
                <w:szCs w:val="18"/>
                <w:lang w:eastAsia="en-AU"/>
              </w:rPr>
            </w:pPr>
            <w:r w:rsidRPr="009A29C5">
              <w:rPr>
                <w:rFonts w:cs="Arial"/>
                <w:color w:val="7F7F7F"/>
                <w:szCs w:val="18"/>
                <w:lang w:eastAsia="en-AU"/>
              </w:rPr>
              <w:t>-100%</w:t>
            </w:r>
          </w:p>
        </w:tc>
        <w:tc>
          <w:tcPr>
            <w:tcW w:w="1099" w:type="dxa"/>
            <w:tcBorders>
              <w:top w:val="nil"/>
              <w:left w:val="nil"/>
              <w:bottom w:val="nil"/>
              <w:right w:val="nil"/>
            </w:tcBorders>
            <w:shd w:val="clear" w:color="auto" w:fill="auto"/>
            <w:noWrap/>
            <w:vAlign w:val="center"/>
            <w:hideMark/>
          </w:tcPr>
          <w:p w:rsidR="009A29C5" w:rsidRPr="009A29C5" w:rsidRDefault="009A29C5" w:rsidP="009A29C5">
            <w:pPr>
              <w:jc w:val="right"/>
              <w:rPr>
                <w:rFonts w:cs="Arial"/>
                <w:color w:val="7F7F7F"/>
                <w:szCs w:val="18"/>
                <w:lang w:eastAsia="en-AU"/>
              </w:rPr>
            </w:pPr>
            <w:r w:rsidRPr="009A29C5">
              <w:rPr>
                <w:rFonts w:cs="Arial"/>
                <w:color w:val="7F7F7F"/>
                <w:szCs w:val="18"/>
                <w:lang w:eastAsia="en-AU"/>
              </w:rPr>
              <w:t>-100%</w:t>
            </w:r>
          </w:p>
        </w:tc>
        <w:tc>
          <w:tcPr>
            <w:tcW w:w="1099" w:type="dxa"/>
            <w:tcBorders>
              <w:top w:val="nil"/>
              <w:left w:val="nil"/>
              <w:bottom w:val="nil"/>
              <w:right w:val="nil"/>
            </w:tcBorders>
            <w:shd w:val="clear" w:color="auto" w:fill="auto"/>
            <w:noWrap/>
            <w:vAlign w:val="center"/>
            <w:hideMark/>
          </w:tcPr>
          <w:p w:rsidR="009A29C5" w:rsidRPr="009A29C5" w:rsidRDefault="009A29C5" w:rsidP="009A29C5">
            <w:pPr>
              <w:jc w:val="right"/>
              <w:rPr>
                <w:rFonts w:cs="Arial"/>
                <w:color w:val="7F7F7F"/>
                <w:szCs w:val="18"/>
                <w:lang w:eastAsia="en-AU"/>
              </w:rPr>
            </w:pPr>
            <w:r w:rsidRPr="009A29C5">
              <w:rPr>
                <w:rFonts w:cs="Arial"/>
                <w:color w:val="7F7F7F"/>
                <w:szCs w:val="18"/>
                <w:lang w:eastAsia="en-AU"/>
              </w:rPr>
              <w:t>-</w:t>
            </w:r>
          </w:p>
        </w:tc>
        <w:tc>
          <w:tcPr>
            <w:tcW w:w="1099" w:type="dxa"/>
            <w:tcBorders>
              <w:top w:val="nil"/>
              <w:left w:val="nil"/>
              <w:bottom w:val="nil"/>
              <w:right w:val="nil"/>
            </w:tcBorders>
            <w:shd w:val="clear" w:color="auto" w:fill="auto"/>
            <w:noWrap/>
            <w:vAlign w:val="center"/>
            <w:hideMark/>
          </w:tcPr>
          <w:p w:rsidR="009A29C5" w:rsidRPr="009A29C5" w:rsidRDefault="009A29C5" w:rsidP="009A29C5">
            <w:pPr>
              <w:jc w:val="right"/>
              <w:rPr>
                <w:rFonts w:cs="Arial"/>
                <w:color w:val="7F7F7F"/>
                <w:szCs w:val="18"/>
                <w:lang w:eastAsia="en-AU"/>
              </w:rPr>
            </w:pPr>
            <w:r w:rsidRPr="009A29C5">
              <w:rPr>
                <w:rFonts w:cs="Arial"/>
                <w:color w:val="7F7F7F"/>
                <w:szCs w:val="18"/>
                <w:lang w:eastAsia="en-AU"/>
              </w:rPr>
              <w:t>-100%</w:t>
            </w:r>
          </w:p>
        </w:tc>
      </w:tr>
      <w:tr w:rsidR="009A29C5" w:rsidRPr="009A29C5" w:rsidTr="009A29C5">
        <w:trPr>
          <w:trHeight w:val="300"/>
        </w:trPr>
        <w:tc>
          <w:tcPr>
            <w:tcW w:w="2600" w:type="dxa"/>
            <w:tcBorders>
              <w:top w:val="nil"/>
              <w:left w:val="nil"/>
              <w:bottom w:val="nil"/>
              <w:right w:val="nil"/>
            </w:tcBorders>
            <w:shd w:val="clear" w:color="auto" w:fill="auto"/>
            <w:vAlign w:val="center"/>
            <w:hideMark/>
          </w:tcPr>
          <w:p w:rsidR="009A29C5" w:rsidRPr="009A29C5" w:rsidRDefault="009A29C5" w:rsidP="009A29C5">
            <w:pPr>
              <w:rPr>
                <w:rFonts w:cs="Arial"/>
                <w:color w:val="7F7F7F"/>
                <w:szCs w:val="18"/>
                <w:lang w:eastAsia="en-AU"/>
              </w:rPr>
            </w:pPr>
            <w:r w:rsidRPr="009A29C5">
              <w:rPr>
                <w:rFonts w:cs="Arial"/>
                <w:color w:val="7F7F7F"/>
                <w:szCs w:val="18"/>
                <w:lang w:eastAsia="en-AU"/>
              </w:rPr>
              <w:t>Managers</w:t>
            </w:r>
          </w:p>
        </w:tc>
        <w:tc>
          <w:tcPr>
            <w:tcW w:w="1099" w:type="dxa"/>
            <w:tcBorders>
              <w:top w:val="nil"/>
              <w:left w:val="nil"/>
              <w:bottom w:val="nil"/>
              <w:right w:val="nil"/>
            </w:tcBorders>
            <w:shd w:val="clear" w:color="auto" w:fill="auto"/>
            <w:noWrap/>
            <w:vAlign w:val="center"/>
            <w:hideMark/>
          </w:tcPr>
          <w:p w:rsidR="009A29C5" w:rsidRPr="009A29C5" w:rsidRDefault="009A29C5" w:rsidP="009A29C5">
            <w:pPr>
              <w:jc w:val="right"/>
              <w:rPr>
                <w:rFonts w:cs="Arial"/>
                <w:color w:val="7F7F7F"/>
                <w:szCs w:val="18"/>
                <w:lang w:eastAsia="en-AU"/>
              </w:rPr>
            </w:pPr>
            <w:r w:rsidRPr="009A29C5">
              <w:rPr>
                <w:rFonts w:cs="Arial"/>
                <w:color w:val="7F7F7F"/>
                <w:szCs w:val="18"/>
                <w:lang w:eastAsia="en-AU"/>
              </w:rPr>
              <w:t>-</w:t>
            </w:r>
          </w:p>
        </w:tc>
        <w:tc>
          <w:tcPr>
            <w:tcW w:w="1099" w:type="dxa"/>
            <w:tcBorders>
              <w:top w:val="nil"/>
              <w:left w:val="nil"/>
              <w:bottom w:val="nil"/>
              <w:right w:val="nil"/>
            </w:tcBorders>
            <w:shd w:val="clear" w:color="auto" w:fill="auto"/>
            <w:noWrap/>
            <w:vAlign w:val="center"/>
            <w:hideMark/>
          </w:tcPr>
          <w:p w:rsidR="009A29C5" w:rsidRPr="009A29C5" w:rsidRDefault="009A29C5" w:rsidP="009A29C5">
            <w:pPr>
              <w:jc w:val="right"/>
              <w:rPr>
                <w:rFonts w:cs="Arial"/>
                <w:color w:val="7F7F7F"/>
                <w:szCs w:val="18"/>
                <w:lang w:eastAsia="en-AU"/>
              </w:rPr>
            </w:pPr>
            <w:r w:rsidRPr="009A29C5">
              <w:rPr>
                <w:rFonts w:cs="Arial"/>
                <w:color w:val="7F7F7F"/>
                <w:szCs w:val="18"/>
                <w:lang w:eastAsia="en-AU"/>
              </w:rPr>
              <w:t>-100%</w:t>
            </w:r>
          </w:p>
        </w:tc>
        <w:tc>
          <w:tcPr>
            <w:tcW w:w="1099" w:type="dxa"/>
            <w:tcBorders>
              <w:top w:val="nil"/>
              <w:left w:val="nil"/>
              <w:bottom w:val="nil"/>
              <w:right w:val="nil"/>
            </w:tcBorders>
            <w:shd w:val="clear" w:color="auto" w:fill="auto"/>
            <w:noWrap/>
            <w:vAlign w:val="center"/>
            <w:hideMark/>
          </w:tcPr>
          <w:p w:rsidR="009A29C5" w:rsidRPr="009A29C5" w:rsidRDefault="009A29C5" w:rsidP="009A29C5">
            <w:pPr>
              <w:jc w:val="right"/>
              <w:rPr>
                <w:rFonts w:cs="Arial"/>
                <w:color w:val="7F7F7F"/>
                <w:szCs w:val="18"/>
                <w:lang w:eastAsia="en-AU"/>
              </w:rPr>
            </w:pPr>
            <w:r w:rsidRPr="009A29C5">
              <w:rPr>
                <w:rFonts w:cs="Arial"/>
                <w:color w:val="7F7F7F"/>
                <w:szCs w:val="18"/>
                <w:lang w:eastAsia="en-AU"/>
              </w:rPr>
              <w:t>-</w:t>
            </w:r>
          </w:p>
        </w:tc>
        <w:tc>
          <w:tcPr>
            <w:tcW w:w="1099" w:type="dxa"/>
            <w:tcBorders>
              <w:top w:val="nil"/>
              <w:left w:val="nil"/>
              <w:bottom w:val="nil"/>
              <w:right w:val="nil"/>
            </w:tcBorders>
            <w:shd w:val="clear" w:color="auto" w:fill="auto"/>
            <w:noWrap/>
            <w:vAlign w:val="center"/>
            <w:hideMark/>
          </w:tcPr>
          <w:p w:rsidR="009A29C5" w:rsidRPr="009A29C5" w:rsidRDefault="009A29C5" w:rsidP="009A29C5">
            <w:pPr>
              <w:jc w:val="right"/>
              <w:rPr>
                <w:rFonts w:cs="Arial"/>
                <w:color w:val="7F7F7F"/>
                <w:szCs w:val="18"/>
                <w:lang w:eastAsia="en-AU"/>
              </w:rPr>
            </w:pPr>
            <w:r w:rsidRPr="009A29C5">
              <w:rPr>
                <w:rFonts w:cs="Arial"/>
                <w:color w:val="7F7F7F"/>
                <w:szCs w:val="18"/>
                <w:lang w:eastAsia="en-AU"/>
              </w:rPr>
              <w:t>-</w:t>
            </w:r>
          </w:p>
        </w:tc>
        <w:tc>
          <w:tcPr>
            <w:tcW w:w="1099" w:type="dxa"/>
            <w:tcBorders>
              <w:top w:val="nil"/>
              <w:left w:val="nil"/>
              <w:bottom w:val="nil"/>
              <w:right w:val="nil"/>
            </w:tcBorders>
            <w:shd w:val="clear" w:color="auto" w:fill="auto"/>
            <w:noWrap/>
            <w:vAlign w:val="center"/>
            <w:hideMark/>
          </w:tcPr>
          <w:p w:rsidR="009A29C5" w:rsidRPr="009A29C5" w:rsidRDefault="009A29C5" w:rsidP="009A29C5">
            <w:pPr>
              <w:jc w:val="right"/>
              <w:rPr>
                <w:rFonts w:cs="Arial"/>
                <w:color w:val="7F7F7F"/>
                <w:szCs w:val="18"/>
                <w:lang w:eastAsia="en-AU"/>
              </w:rPr>
            </w:pPr>
            <w:r w:rsidRPr="009A29C5">
              <w:rPr>
                <w:rFonts w:cs="Arial"/>
                <w:color w:val="7F7F7F"/>
                <w:szCs w:val="18"/>
                <w:lang w:eastAsia="en-AU"/>
              </w:rPr>
              <w:t>-</w:t>
            </w:r>
          </w:p>
        </w:tc>
      </w:tr>
      <w:tr w:rsidR="009A29C5" w:rsidRPr="009A29C5" w:rsidTr="009A29C5">
        <w:trPr>
          <w:trHeight w:val="300"/>
        </w:trPr>
        <w:tc>
          <w:tcPr>
            <w:tcW w:w="2600" w:type="dxa"/>
            <w:tcBorders>
              <w:top w:val="nil"/>
              <w:left w:val="nil"/>
              <w:bottom w:val="nil"/>
              <w:right w:val="nil"/>
            </w:tcBorders>
            <w:shd w:val="clear" w:color="auto" w:fill="auto"/>
            <w:vAlign w:val="center"/>
            <w:hideMark/>
          </w:tcPr>
          <w:p w:rsidR="009A29C5" w:rsidRPr="009A29C5" w:rsidRDefault="009A29C5" w:rsidP="009A29C5">
            <w:pPr>
              <w:rPr>
                <w:rFonts w:cs="Arial"/>
                <w:color w:val="7F7F7F"/>
                <w:szCs w:val="18"/>
                <w:lang w:eastAsia="en-AU"/>
              </w:rPr>
            </w:pPr>
            <w:r w:rsidRPr="009A29C5">
              <w:rPr>
                <w:rFonts w:cs="Arial"/>
                <w:color w:val="7F7F7F"/>
                <w:szCs w:val="18"/>
                <w:lang w:eastAsia="en-AU"/>
              </w:rPr>
              <w:t>Professionals</w:t>
            </w:r>
          </w:p>
        </w:tc>
        <w:tc>
          <w:tcPr>
            <w:tcW w:w="1099" w:type="dxa"/>
            <w:tcBorders>
              <w:top w:val="nil"/>
              <w:left w:val="nil"/>
              <w:bottom w:val="nil"/>
              <w:right w:val="nil"/>
            </w:tcBorders>
            <w:shd w:val="clear" w:color="auto" w:fill="auto"/>
            <w:noWrap/>
            <w:vAlign w:val="center"/>
            <w:hideMark/>
          </w:tcPr>
          <w:p w:rsidR="009A29C5" w:rsidRPr="009A29C5" w:rsidRDefault="009A29C5" w:rsidP="009A29C5">
            <w:pPr>
              <w:jc w:val="right"/>
              <w:rPr>
                <w:rFonts w:cs="Arial"/>
                <w:color w:val="7F7F7F"/>
                <w:szCs w:val="18"/>
                <w:lang w:eastAsia="en-AU"/>
              </w:rPr>
            </w:pPr>
            <w:r w:rsidRPr="009A29C5">
              <w:rPr>
                <w:rFonts w:cs="Arial"/>
                <w:color w:val="7F7F7F"/>
                <w:szCs w:val="18"/>
                <w:lang w:eastAsia="en-AU"/>
              </w:rPr>
              <w:t>-</w:t>
            </w:r>
          </w:p>
        </w:tc>
        <w:tc>
          <w:tcPr>
            <w:tcW w:w="1099" w:type="dxa"/>
            <w:tcBorders>
              <w:top w:val="nil"/>
              <w:left w:val="nil"/>
              <w:bottom w:val="nil"/>
              <w:right w:val="nil"/>
            </w:tcBorders>
            <w:shd w:val="clear" w:color="auto" w:fill="auto"/>
            <w:noWrap/>
            <w:vAlign w:val="center"/>
            <w:hideMark/>
          </w:tcPr>
          <w:p w:rsidR="009A29C5" w:rsidRPr="009A29C5" w:rsidRDefault="009A29C5" w:rsidP="009A29C5">
            <w:pPr>
              <w:jc w:val="right"/>
              <w:rPr>
                <w:rFonts w:cs="Arial"/>
                <w:color w:val="7F7F7F"/>
                <w:szCs w:val="18"/>
                <w:lang w:eastAsia="en-AU"/>
              </w:rPr>
            </w:pPr>
            <w:r w:rsidRPr="009A29C5">
              <w:rPr>
                <w:rFonts w:cs="Arial"/>
                <w:color w:val="7F7F7F"/>
                <w:szCs w:val="18"/>
                <w:lang w:eastAsia="en-AU"/>
              </w:rPr>
              <w:t>-</w:t>
            </w:r>
          </w:p>
        </w:tc>
        <w:tc>
          <w:tcPr>
            <w:tcW w:w="1099" w:type="dxa"/>
            <w:tcBorders>
              <w:top w:val="nil"/>
              <w:left w:val="nil"/>
              <w:bottom w:val="nil"/>
              <w:right w:val="nil"/>
            </w:tcBorders>
            <w:shd w:val="clear" w:color="auto" w:fill="auto"/>
            <w:noWrap/>
            <w:vAlign w:val="center"/>
            <w:hideMark/>
          </w:tcPr>
          <w:p w:rsidR="009A29C5" w:rsidRPr="009A29C5" w:rsidRDefault="009A29C5" w:rsidP="009A29C5">
            <w:pPr>
              <w:jc w:val="right"/>
              <w:rPr>
                <w:rFonts w:cs="Arial"/>
                <w:color w:val="7F7F7F"/>
                <w:szCs w:val="18"/>
                <w:lang w:eastAsia="en-AU"/>
              </w:rPr>
            </w:pPr>
            <w:r w:rsidRPr="009A29C5">
              <w:rPr>
                <w:rFonts w:cs="Arial"/>
                <w:color w:val="7F7F7F"/>
                <w:szCs w:val="18"/>
                <w:lang w:eastAsia="en-AU"/>
              </w:rPr>
              <w:t>-100%</w:t>
            </w:r>
          </w:p>
        </w:tc>
        <w:tc>
          <w:tcPr>
            <w:tcW w:w="1099" w:type="dxa"/>
            <w:tcBorders>
              <w:top w:val="nil"/>
              <w:left w:val="nil"/>
              <w:bottom w:val="nil"/>
              <w:right w:val="nil"/>
            </w:tcBorders>
            <w:shd w:val="clear" w:color="auto" w:fill="auto"/>
            <w:noWrap/>
            <w:vAlign w:val="center"/>
            <w:hideMark/>
          </w:tcPr>
          <w:p w:rsidR="009A29C5" w:rsidRPr="009A29C5" w:rsidRDefault="009A29C5" w:rsidP="009A29C5">
            <w:pPr>
              <w:jc w:val="right"/>
              <w:rPr>
                <w:rFonts w:cs="Arial"/>
                <w:color w:val="7F7F7F"/>
                <w:szCs w:val="18"/>
                <w:lang w:eastAsia="en-AU"/>
              </w:rPr>
            </w:pPr>
            <w:r w:rsidRPr="009A29C5">
              <w:rPr>
                <w:rFonts w:cs="Arial"/>
                <w:color w:val="7F7F7F"/>
                <w:szCs w:val="18"/>
                <w:lang w:eastAsia="en-AU"/>
              </w:rPr>
              <w:t>-</w:t>
            </w:r>
          </w:p>
        </w:tc>
        <w:tc>
          <w:tcPr>
            <w:tcW w:w="1099" w:type="dxa"/>
            <w:tcBorders>
              <w:top w:val="nil"/>
              <w:left w:val="nil"/>
              <w:bottom w:val="nil"/>
              <w:right w:val="nil"/>
            </w:tcBorders>
            <w:shd w:val="clear" w:color="auto" w:fill="auto"/>
            <w:noWrap/>
            <w:vAlign w:val="center"/>
            <w:hideMark/>
          </w:tcPr>
          <w:p w:rsidR="009A29C5" w:rsidRPr="009A29C5" w:rsidRDefault="009A29C5" w:rsidP="009A29C5">
            <w:pPr>
              <w:jc w:val="right"/>
              <w:rPr>
                <w:rFonts w:cs="Arial"/>
                <w:color w:val="7F7F7F"/>
                <w:szCs w:val="18"/>
                <w:lang w:eastAsia="en-AU"/>
              </w:rPr>
            </w:pPr>
            <w:r w:rsidRPr="009A29C5">
              <w:rPr>
                <w:rFonts w:cs="Arial"/>
                <w:color w:val="7F7F7F"/>
                <w:szCs w:val="18"/>
                <w:lang w:eastAsia="en-AU"/>
              </w:rPr>
              <w:t>-</w:t>
            </w:r>
          </w:p>
        </w:tc>
      </w:tr>
      <w:tr w:rsidR="009A29C5" w:rsidRPr="009A29C5" w:rsidTr="009A29C5">
        <w:trPr>
          <w:trHeight w:val="300"/>
        </w:trPr>
        <w:tc>
          <w:tcPr>
            <w:tcW w:w="2600" w:type="dxa"/>
            <w:tcBorders>
              <w:top w:val="nil"/>
              <w:left w:val="nil"/>
              <w:bottom w:val="nil"/>
              <w:right w:val="nil"/>
            </w:tcBorders>
            <w:shd w:val="clear" w:color="auto" w:fill="auto"/>
            <w:vAlign w:val="center"/>
            <w:hideMark/>
          </w:tcPr>
          <w:p w:rsidR="009A29C5" w:rsidRPr="009A29C5" w:rsidRDefault="009A29C5" w:rsidP="009A29C5">
            <w:pPr>
              <w:rPr>
                <w:rFonts w:cs="Arial"/>
                <w:color w:val="7F7F7F"/>
                <w:szCs w:val="18"/>
                <w:lang w:eastAsia="en-AU"/>
              </w:rPr>
            </w:pPr>
            <w:r w:rsidRPr="009A29C5">
              <w:rPr>
                <w:rFonts w:cs="Arial"/>
                <w:color w:val="7F7F7F"/>
                <w:szCs w:val="18"/>
                <w:lang w:eastAsia="en-AU"/>
              </w:rPr>
              <w:t>Sales Workers</w:t>
            </w:r>
          </w:p>
        </w:tc>
        <w:tc>
          <w:tcPr>
            <w:tcW w:w="1099" w:type="dxa"/>
            <w:tcBorders>
              <w:top w:val="nil"/>
              <w:left w:val="nil"/>
              <w:bottom w:val="nil"/>
              <w:right w:val="nil"/>
            </w:tcBorders>
            <w:shd w:val="clear" w:color="auto" w:fill="auto"/>
            <w:noWrap/>
            <w:vAlign w:val="center"/>
            <w:hideMark/>
          </w:tcPr>
          <w:p w:rsidR="009A29C5" w:rsidRPr="009A29C5" w:rsidRDefault="009A29C5" w:rsidP="009A29C5">
            <w:pPr>
              <w:jc w:val="right"/>
              <w:rPr>
                <w:rFonts w:cs="Arial"/>
                <w:color w:val="7F7F7F"/>
                <w:szCs w:val="18"/>
                <w:lang w:eastAsia="en-AU"/>
              </w:rPr>
            </w:pPr>
            <w:r w:rsidRPr="009A29C5">
              <w:rPr>
                <w:rFonts w:cs="Arial"/>
                <w:color w:val="7F7F7F"/>
                <w:szCs w:val="18"/>
                <w:lang w:eastAsia="en-AU"/>
              </w:rPr>
              <w:t>254%</w:t>
            </w:r>
          </w:p>
        </w:tc>
        <w:tc>
          <w:tcPr>
            <w:tcW w:w="1099" w:type="dxa"/>
            <w:tcBorders>
              <w:top w:val="nil"/>
              <w:left w:val="nil"/>
              <w:bottom w:val="nil"/>
              <w:right w:val="nil"/>
            </w:tcBorders>
            <w:shd w:val="clear" w:color="auto" w:fill="auto"/>
            <w:noWrap/>
            <w:vAlign w:val="center"/>
            <w:hideMark/>
          </w:tcPr>
          <w:p w:rsidR="009A29C5" w:rsidRPr="009A29C5" w:rsidRDefault="009A29C5" w:rsidP="009A29C5">
            <w:pPr>
              <w:jc w:val="right"/>
              <w:rPr>
                <w:rFonts w:cs="Arial"/>
                <w:color w:val="7F7F7F"/>
                <w:szCs w:val="18"/>
                <w:lang w:eastAsia="en-AU"/>
              </w:rPr>
            </w:pPr>
            <w:r w:rsidRPr="009A29C5">
              <w:rPr>
                <w:rFonts w:cs="Arial"/>
                <w:color w:val="7F7F7F"/>
                <w:szCs w:val="18"/>
                <w:lang w:eastAsia="en-AU"/>
              </w:rPr>
              <w:t>137%</w:t>
            </w:r>
          </w:p>
        </w:tc>
        <w:tc>
          <w:tcPr>
            <w:tcW w:w="1099" w:type="dxa"/>
            <w:tcBorders>
              <w:top w:val="nil"/>
              <w:left w:val="nil"/>
              <w:bottom w:val="nil"/>
              <w:right w:val="nil"/>
            </w:tcBorders>
            <w:shd w:val="clear" w:color="auto" w:fill="auto"/>
            <w:noWrap/>
            <w:vAlign w:val="center"/>
            <w:hideMark/>
          </w:tcPr>
          <w:p w:rsidR="009A29C5" w:rsidRPr="009A29C5" w:rsidRDefault="009A29C5" w:rsidP="009A29C5">
            <w:pPr>
              <w:jc w:val="right"/>
              <w:rPr>
                <w:rFonts w:cs="Arial"/>
                <w:color w:val="7F7F7F"/>
                <w:szCs w:val="18"/>
                <w:lang w:eastAsia="en-AU"/>
              </w:rPr>
            </w:pPr>
            <w:r w:rsidRPr="009A29C5">
              <w:rPr>
                <w:rFonts w:cs="Arial"/>
                <w:color w:val="7F7F7F"/>
                <w:szCs w:val="18"/>
                <w:lang w:eastAsia="en-AU"/>
              </w:rPr>
              <w:t>7%</w:t>
            </w:r>
          </w:p>
        </w:tc>
        <w:tc>
          <w:tcPr>
            <w:tcW w:w="1099" w:type="dxa"/>
            <w:tcBorders>
              <w:top w:val="nil"/>
              <w:left w:val="nil"/>
              <w:bottom w:val="nil"/>
              <w:right w:val="nil"/>
            </w:tcBorders>
            <w:shd w:val="clear" w:color="auto" w:fill="auto"/>
            <w:noWrap/>
            <w:vAlign w:val="center"/>
            <w:hideMark/>
          </w:tcPr>
          <w:p w:rsidR="009A29C5" w:rsidRPr="009A29C5" w:rsidRDefault="009A29C5" w:rsidP="009A29C5">
            <w:pPr>
              <w:jc w:val="right"/>
              <w:rPr>
                <w:rFonts w:cs="Arial"/>
                <w:color w:val="7F7F7F"/>
                <w:szCs w:val="18"/>
                <w:lang w:eastAsia="en-AU"/>
              </w:rPr>
            </w:pPr>
            <w:r w:rsidRPr="009A29C5">
              <w:rPr>
                <w:rFonts w:cs="Arial"/>
                <w:color w:val="7F7F7F"/>
                <w:szCs w:val="18"/>
                <w:lang w:eastAsia="en-AU"/>
              </w:rPr>
              <w:t>59%</w:t>
            </w:r>
          </w:p>
        </w:tc>
        <w:tc>
          <w:tcPr>
            <w:tcW w:w="1099" w:type="dxa"/>
            <w:tcBorders>
              <w:top w:val="nil"/>
              <w:left w:val="nil"/>
              <w:bottom w:val="nil"/>
              <w:right w:val="nil"/>
            </w:tcBorders>
            <w:shd w:val="clear" w:color="auto" w:fill="auto"/>
            <w:noWrap/>
            <w:vAlign w:val="center"/>
            <w:hideMark/>
          </w:tcPr>
          <w:p w:rsidR="009A29C5" w:rsidRPr="009A29C5" w:rsidRDefault="009A29C5" w:rsidP="009A29C5">
            <w:pPr>
              <w:jc w:val="right"/>
              <w:rPr>
                <w:rFonts w:cs="Arial"/>
                <w:color w:val="7F7F7F"/>
                <w:szCs w:val="18"/>
                <w:lang w:eastAsia="en-AU"/>
              </w:rPr>
            </w:pPr>
            <w:r w:rsidRPr="009A29C5">
              <w:rPr>
                <w:rFonts w:cs="Arial"/>
                <w:color w:val="7F7F7F"/>
                <w:szCs w:val="18"/>
                <w:lang w:eastAsia="en-AU"/>
              </w:rPr>
              <w:t>28%</w:t>
            </w:r>
          </w:p>
        </w:tc>
      </w:tr>
      <w:tr w:rsidR="009A29C5" w:rsidRPr="009A29C5" w:rsidTr="009A29C5">
        <w:trPr>
          <w:trHeight w:val="480"/>
        </w:trPr>
        <w:tc>
          <w:tcPr>
            <w:tcW w:w="2600" w:type="dxa"/>
            <w:tcBorders>
              <w:top w:val="nil"/>
              <w:left w:val="nil"/>
              <w:bottom w:val="nil"/>
              <w:right w:val="nil"/>
            </w:tcBorders>
            <w:shd w:val="clear" w:color="auto" w:fill="auto"/>
            <w:vAlign w:val="center"/>
            <w:hideMark/>
          </w:tcPr>
          <w:p w:rsidR="009A29C5" w:rsidRPr="009A29C5" w:rsidRDefault="009A29C5" w:rsidP="009A29C5">
            <w:pPr>
              <w:rPr>
                <w:rFonts w:cs="Arial"/>
                <w:color w:val="7F7F7F"/>
                <w:szCs w:val="18"/>
                <w:lang w:eastAsia="en-AU"/>
              </w:rPr>
            </w:pPr>
            <w:r w:rsidRPr="009A29C5">
              <w:rPr>
                <w:rFonts w:cs="Arial"/>
                <w:color w:val="7F7F7F"/>
                <w:szCs w:val="18"/>
                <w:lang w:eastAsia="en-AU"/>
              </w:rPr>
              <w:t>Technicians And Trades Workers</w:t>
            </w:r>
          </w:p>
        </w:tc>
        <w:tc>
          <w:tcPr>
            <w:tcW w:w="1099" w:type="dxa"/>
            <w:tcBorders>
              <w:top w:val="nil"/>
              <w:left w:val="nil"/>
              <w:bottom w:val="nil"/>
              <w:right w:val="nil"/>
            </w:tcBorders>
            <w:shd w:val="clear" w:color="auto" w:fill="auto"/>
            <w:noWrap/>
            <w:vAlign w:val="center"/>
            <w:hideMark/>
          </w:tcPr>
          <w:p w:rsidR="009A29C5" w:rsidRPr="009A29C5" w:rsidRDefault="009A29C5" w:rsidP="009A29C5">
            <w:pPr>
              <w:jc w:val="right"/>
              <w:rPr>
                <w:rFonts w:cs="Arial"/>
                <w:color w:val="7F7F7F"/>
                <w:szCs w:val="18"/>
                <w:lang w:eastAsia="en-AU"/>
              </w:rPr>
            </w:pPr>
            <w:r w:rsidRPr="009A29C5">
              <w:rPr>
                <w:rFonts w:cs="Arial"/>
                <w:color w:val="7F7F7F"/>
                <w:szCs w:val="18"/>
                <w:lang w:eastAsia="en-AU"/>
              </w:rPr>
              <w:t>1%</w:t>
            </w:r>
          </w:p>
        </w:tc>
        <w:tc>
          <w:tcPr>
            <w:tcW w:w="1099" w:type="dxa"/>
            <w:tcBorders>
              <w:top w:val="nil"/>
              <w:left w:val="nil"/>
              <w:bottom w:val="nil"/>
              <w:right w:val="nil"/>
            </w:tcBorders>
            <w:shd w:val="clear" w:color="auto" w:fill="auto"/>
            <w:noWrap/>
            <w:vAlign w:val="center"/>
            <w:hideMark/>
          </w:tcPr>
          <w:p w:rsidR="009A29C5" w:rsidRPr="009A29C5" w:rsidRDefault="009A29C5" w:rsidP="009A29C5">
            <w:pPr>
              <w:jc w:val="right"/>
              <w:rPr>
                <w:rFonts w:cs="Arial"/>
                <w:color w:val="7F7F7F"/>
                <w:szCs w:val="18"/>
                <w:lang w:eastAsia="en-AU"/>
              </w:rPr>
            </w:pPr>
            <w:r w:rsidRPr="009A29C5">
              <w:rPr>
                <w:rFonts w:cs="Arial"/>
                <w:color w:val="7F7F7F"/>
                <w:szCs w:val="18"/>
                <w:lang w:eastAsia="en-AU"/>
              </w:rPr>
              <w:t>-5%</w:t>
            </w:r>
          </w:p>
        </w:tc>
        <w:tc>
          <w:tcPr>
            <w:tcW w:w="1099" w:type="dxa"/>
            <w:tcBorders>
              <w:top w:val="nil"/>
              <w:left w:val="nil"/>
              <w:bottom w:val="nil"/>
              <w:right w:val="nil"/>
            </w:tcBorders>
            <w:shd w:val="clear" w:color="auto" w:fill="auto"/>
            <w:noWrap/>
            <w:vAlign w:val="center"/>
            <w:hideMark/>
          </w:tcPr>
          <w:p w:rsidR="009A29C5" w:rsidRPr="009A29C5" w:rsidRDefault="009A29C5" w:rsidP="009A29C5">
            <w:pPr>
              <w:jc w:val="right"/>
              <w:rPr>
                <w:rFonts w:cs="Arial"/>
                <w:color w:val="7F7F7F"/>
                <w:szCs w:val="18"/>
                <w:lang w:eastAsia="en-AU"/>
              </w:rPr>
            </w:pPr>
            <w:r w:rsidRPr="009A29C5">
              <w:rPr>
                <w:rFonts w:cs="Arial"/>
                <w:color w:val="7F7F7F"/>
                <w:szCs w:val="18"/>
                <w:lang w:eastAsia="en-AU"/>
              </w:rPr>
              <w:t>-6%</w:t>
            </w:r>
          </w:p>
        </w:tc>
        <w:tc>
          <w:tcPr>
            <w:tcW w:w="1099" w:type="dxa"/>
            <w:tcBorders>
              <w:top w:val="nil"/>
              <w:left w:val="nil"/>
              <w:bottom w:val="nil"/>
              <w:right w:val="nil"/>
            </w:tcBorders>
            <w:shd w:val="clear" w:color="auto" w:fill="auto"/>
            <w:noWrap/>
            <w:vAlign w:val="center"/>
            <w:hideMark/>
          </w:tcPr>
          <w:p w:rsidR="009A29C5" w:rsidRPr="009A29C5" w:rsidRDefault="009A29C5" w:rsidP="009A29C5">
            <w:pPr>
              <w:jc w:val="right"/>
              <w:rPr>
                <w:rFonts w:cs="Arial"/>
                <w:color w:val="7F7F7F"/>
                <w:szCs w:val="18"/>
                <w:lang w:eastAsia="en-AU"/>
              </w:rPr>
            </w:pPr>
            <w:r w:rsidRPr="009A29C5">
              <w:rPr>
                <w:rFonts w:cs="Arial"/>
                <w:color w:val="7F7F7F"/>
                <w:szCs w:val="18"/>
                <w:lang w:eastAsia="en-AU"/>
              </w:rPr>
              <w:t>3%</w:t>
            </w:r>
          </w:p>
        </w:tc>
        <w:tc>
          <w:tcPr>
            <w:tcW w:w="1099" w:type="dxa"/>
            <w:tcBorders>
              <w:top w:val="nil"/>
              <w:left w:val="nil"/>
              <w:bottom w:val="nil"/>
              <w:right w:val="nil"/>
            </w:tcBorders>
            <w:shd w:val="clear" w:color="auto" w:fill="auto"/>
            <w:noWrap/>
            <w:vAlign w:val="center"/>
            <w:hideMark/>
          </w:tcPr>
          <w:p w:rsidR="009A29C5" w:rsidRPr="009A29C5" w:rsidRDefault="009A29C5" w:rsidP="009A29C5">
            <w:pPr>
              <w:jc w:val="right"/>
              <w:rPr>
                <w:rFonts w:cs="Arial"/>
                <w:color w:val="7F7F7F"/>
                <w:szCs w:val="18"/>
                <w:lang w:eastAsia="en-AU"/>
              </w:rPr>
            </w:pPr>
            <w:r w:rsidRPr="009A29C5">
              <w:rPr>
                <w:rFonts w:cs="Arial"/>
                <w:color w:val="7F7F7F"/>
                <w:szCs w:val="18"/>
                <w:lang w:eastAsia="en-AU"/>
              </w:rPr>
              <w:t>3%</w:t>
            </w:r>
          </w:p>
        </w:tc>
      </w:tr>
      <w:tr w:rsidR="009A29C5" w:rsidRPr="009A29C5" w:rsidTr="009A29C5">
        <w:trPr>
          <w:trHeight w:val="720"/>
        </w:trPr>
        <w:tc>
          <w:tcPr>
            <w:tcW w:w="2600" w:type="dxa"/>
            <w:tcBorders>
              <w:top w:val="nil"/>
              <w:left w:val="nil"/>
              <w:bottom w:val="nil"/>
              <w:right w:val="nil"/>
            </w:tcBorders>
            <w:shd w:val="clear" w:color="auto" w:fill="auto"/>
            <w:vAlign w:val="center"/>
            <w:hideMark/>
          </w:tcPr>
          <w:p w:rsidR="009A29C5" w:rsidRPr="009A29C5" w:rsidRDefault="009A29C5" w:rsidP="009A29C5">
            <w:pPr>
              <w:ind w:left="333"/>
              <w:rPr>
                <w:rFonts w:cs="Arial"/>
                <w:i/>
                <w:iCs/>
                <w:color w:val="7F7F7F"/>
                <w:szCs w:val="18"/>
                <w:lang w:eastAsia="en-AU"/>
              </w:rPr>
            </w:pPr>
            <w:r w:rsidRPr="009A29C5">
              <w:rPr>
                <w:rFonts w:cs="Arial"/>
                <w:i/>
                <w:iCs/>
                <w:color w:val="7F7F7F"/>
                <w:szCs w:val="18"/>
                <w:lang w:eastAsia="en-AU"/>
              </w:rPr>
              <w:t>Automotive and Engineering Trades Workers</w:t>
            </w:r>
          </w:p>
        </w:tc>
        <w:tc>
          <w:tcPr>
            <w:tcW w:w="1099" w:type="dxa"/>
            <w:tcBorders>
              <w:top w:val="nil"/>
              <w:left w:val="nil"/>
              <w:bottom w:val="nil"/>
              <w:right w:val="nil"/>
            </w:tcBorders>
            <w:shd w:val="clear" w:color="auto" w:fill="auto"/>
            <w:noWrap/>
            <w:vAlign w:val="center"/>
            <w:hideMark/>
          </w:tcPr>
          <w:p w:rsidR="009A29C5" w:rsidRPr="009A29C5" w:rsidRDefault="009A29C5" w:rsidP="009A29C5">
            <w:pPr>
              <w:jc w:val="right"/>
              <w:rPr>
                <w:rFonts w:cs="Arial"/>
                <w:i/>
                <w:iCs/>
                <w:color w:val="7F7F7F"/>
                <w:szCs w:val="18"/>
                <w:lang w:eastAsia="en-AU"/>
              </w:rPr>
            </w:pPr>
            <w:r w:rsidRPr="009A29C5">
              <w:rPr>
                <w:rFonts w:cs="Arial"/>
                <w:i/>
                <w:iCs/>
                <w:color w:val="7F7F7F"/>
                <w:szCs w:val="18"/>
                <w:lang w:eastAsia="en-AU"/>
              </w:rPr>
              <w:t>-5%</w:t>
            </w:r>
          </w:p>
        </w:tc>
        <w:tc>
          <w:tcPr>
            <w:tcW w:w="1099" w:type="dxa"/>
            <w:tcBorders>
              <w:top w:val="nil"/>
              <w:left w:val="nil"/>
              <w:bottom w:val="nil"/>
              <w:right w:val="nil"/>
            </w:tcBorders>
            <w:shd w:val="clear" w:color="auto" w:fill="auto"/>
            <w:noWrap/>
            <w:vAlign w:val="center"/>
            <w:hideMark/>
          </w:tcPr>
          <w:p w:rsidR="009A29C5" w:rsidRPr="009A29C5" w:rsidRDefault="009A29C5" w:rsidP="009A29C5">
            <w:pPr>
              <w:jc w:val="right"/>
              <w:rPr>
                <w:rFonts w:cs="Arial"/>
                <w:i/>
                <w:iCs/>
                <w:color w:val="7F7F7F"/>
                <w:szCs w:val="18"/>
                <w:lang w:eastAsia="en-AU"/>
              </w:rPr>
            </w:pPr>
            <w:r w:rsidRPr="009A29C5">
              <w:rPr>
                <w:rFonts w:cs="Arial"/>
                <w:i/>
                <w:iCs/>
                <w:color w:val="7F7F7F"/>
                <w:szCs w:val="18"/>
                <w:lang w:eastAsia="en-AU"/>
              </w:rPr>
              <w:t>-4%</w:t>
            </w:r>
          </w:p>
        </w:tc>
        <w:tc>
          <w:tcPr>
            <w:tcW w:w="1099" w:type="dxa"/>
            <w:tcBorders>
              <w:top w:val="nil"/>
              <w:left w:val="nil"/>
              <w:bottom w:val="nil"/>
              <w:right w:val="nil"/>
            </w:tcBorders>
            <w:shd w:val="clear" w:color="auto" w:fill="auto"/>
            <w:noWrap/>
            <w:vAlign w:val="center"/>
            <w:hideMark/>
          </w:tcPr>
          <w:p w:rsidR="009A29C5" w:rsidRPr="009A29C5" w:rsidRDefault="009A29C5" w:rsidP="009A29C5">
            <w:pPr>
              <w:jc w:val="right"/>
              <w:rPr>
                <w:rFonts w:cs="Arial"/>
                <w:i/>
                <w:iCs/>
                <w:color w:val="7F7F7F"/>
                <w:szCs w:val="18"/>
                <w:lang w:eastAsia="en-AU"/>
              </w:rPr>
            </w:pPr>
            <w:r w:rsidRPr="009A29C5">
              <w:rPr>
                <w:rFonts w:cs="Arial"/>
                <w:i/>
                <w:iCs/>
                <w:color w:val="7F7F7F"/>
                <w:szCs w:val="18"/>
                <w:lang w:eastAsia="en-AU"/>
              </w:rPr>
              <w:t>-12%</w:t>
            </w:r>
          </w:p>
        </w:tc>
        <w:tc>
          <w:tcPr>
            <w:tcW w:w="1099" w:type="dxa"/>
            <w:tcBorders>
              <w:top w:val="nil"/>
              <w:left w:val="nil"/>
              <w:bottom w:val="nil"/>
              <w:right w:val="nil"/>
            </w:tcBorders>
            <w:shd w:val="clear" w:color="auto" w:fill="auto"/>
            <w:noWrap/>
            <w:vAlign w:val="center"/>
            <w:hideMark/>
          </w:tcPr>
          <w:p w:rsidR="009A29C5" w:rsidRPr="009A29C5" w:rsidRDefault="009A29C5" w:rsidP="009A29C5">
            <w:pPr>
              <w:jc w:val="right"/>
              <w:rPr>
                <w:rFonts w:cs="Arial"/>
                <w:i/>
                <w:iCs/>
                <w:color w:val="7F7F7F"/>
                <w:szCs w:val="18"/>
                <w:lang w:eastAsia="en-AU"/>
              </w:rPr>
            </w:pPr>
            <w:r w:rsidRPr="009A29C5">
              <w:rPr>
                <w:rFonts w:cs="Arial"/>
                <w:i/>
                <w:iCs/>
                <w:color w:val="7F7F7F"/>
                <w:szCs w:val="18"/>
                <w:lang w:eastAsia="en-AU"/>
              </w:rPr>
              <w:t>-7%</w:t>
            </w:r>
          </w:p>
        </w:tc>
        <w:tc>
          <w:tcPr>
            <w:tcW w:w="1099" w:type="dxa"/>
            <w:tcBorders>
              <w:top w:val="nil"/>
              <w:left w:val="nil"/>
              <w:bottom w:val="nil"/>
              <w:right w:val="nil"/>
            </w:tcBorders>
            <w:shd w:val="clear" w:color="auto" w:fill="auto"/>
            <w:noWrap/>
            <w:vAlign w:val="center"/>
            <w:hideMark/>
          </w:tcPr>
          <w:p w:rsidR="009A29C5" w:rsidRPr="009A29C5" w:rsidRDefault="009A29C5" w:rsidP="009A29C5">
            <w:pPr>
              <w:jc w:val="right"/>
              <w:rPr>
                <w:rFonts w:cs="Arial"/>
                <w:i/>
                <w:iCs/>
                <w:color w:val="7F7F7F"/>
                <w:szCs w:val="18"/>
                <w:lang w:eastAsia="en-AU"/>
              </w:rPr>
            </w:pPr>
            <w:r w:rsidRPr="009A29C5">
              <w:rPr>
                <w:rFonts w:cs="Arial"/>
                <w:i/>
                <w:iCs/>
                <w:color w:val="7F7F7F"/>
                <w:szCs w:val="18"/>
                <w:lang w:eastAsia="en-AU"/>
              </w:rPr>
              <w:t>-1%</w:t>
            </w:r>
          </w:p>
        </w:tc>
      </w:tr>
      <w:tr w:rsidR="009A29C5" w:rsidRPr="009A29C5" w:rsidTr="009A29C5">
        <w:trPr>
          <w:trHeight w:val="480"/>
        </w:trPr>
        <w:tc>
          <w:tcPr>
            <w:tcW w:w="2600" w:type="dxa"/>
            <w:tcBorders>
              <w:top w:val="nil"/>
              <w:left w:val="nil"/>
              <w:bottom w:val="nil"/>
              <w:right w:val="nil"/>
            </w:tcBorders>
            <w:shd w:val="clear" w:color="auto" w:fill="auto"/>
            <w:vAlign w:val="center"/>
            <w:hideMark/>
          </w:tcPr>
          <w:p w:rsidR="009A29C5" w:rsidRPr="009A29C5" w:rsidRDefault="009A29C5" w:rsidP="009A29C5">
            <w:pPr>
              <w:ind w:left="333"/>
              <w:rPr>
                <w:rFonts w:cs="Arial"/>
                <w:i/>
                <w:iCs/>
                <w:color w:val="7F7F7F"/>
                <w:szCs w:val="18"/>
                <w:lang w:eastAsia="en-AU"/>
              </w:rPr>
            </w:pPr>
            <w:r w:rsidRPr="009A29C5">
              <w:rPr>
                <w:rFonts w:cs="Arial"/>
                <w:i/>
                <w:iCs/>
                <w:color w:val="7F7F7F"/>
                <w:szCs w:val="18"/>
                <w:lang w:eastAsia="en-AU"/>
              </w:rPr>
              <w:t>Construction Trades Workers</w:t>
            </w:r>
          </w:p>
        </w:tc>
        <w:tc>
          <w:tcPr>
            <w:tcW w:w="1099" w:type="dxa"/>
            <w:tcBorders>
              <w:top w:val="nil"/>
              <w:left w:val="nil"/>
              <w:bottom w:val="nil"/>
              <w:right w:val="nil"/>
            </w:tcBorders>
            <w:shd w:val="clear" w:color="auto" w:fill="auto"/>
            <w:noWrap/>
            <w:vAlign w:val="center"/>
            <w:hideMark/>
          </w:tcPr>
          <w:p w:rsidR="009A29C5" w:rsidRPr="009A29C5" w:rsidRDefault="009A29C5" w:rsidP="009A29C5">
            <w:pPr>
              <w:jc w:val="right"/>
              <w:rPr>
                <w:rFonts w:cs="Arial"/>
                <w:i/>
                <w:iCs/>
                <w:color w:val="7F7F7F"/>
                <w:szCs w:val="18"/>
                <w:lang w:eastAsia="en-AU"/>
              </w:rPr>
            </w:pPr>
            <w:r w:rsidRPr="009A29C5">
              <w:rPr>
                <w:rFonts w:cs="Arial"/>
                <w:i/>
                <w:iCs/>
                <w:color w:val="7F7F7F"/>
                <w:szCs w:val="18"/>
                <w:lang w:eastAsia="en-AU"/>
              </w:rPr>
              <w:t>-9%</w:t>
            </w:r>
          </w:p>
        </w:tc>
        <w:tc>
          <w:tcPr>
            <w:tcW w:w="1099" w:type="dxa"/>
            <w:tcBorders>
              <w:top w:val="nil"/>
              <w:left w:val="nil"/>
              <w:bottom w:val="nil"/>
              <w:right w:val="nil"/>
            </w:tcBorders>
            <w:shd w:val="clear" w:color="auto" w:fill="auto"/>
            <w:noWrap/>
            <w:vAlign w:val="center"/>
            <w:hideMark/>
          </w:tcPr>
          <w:p w:rsidR="009A29C5" w:rsidRPr="009A29C5" w:rsidRDefault="009A29C5" w:rsidP="009A29C5">
            <w:pPr>
              <w:jc w:val="right"/>
              <w:rPr>
                <w:rFonts w:cs="Arial"/>
                <w:i/>
                <w:iCs/>
                <w:color w:val="7F7F7F"/>
                <w:szCs w:val="18"/>
                <w:lang w:eastAsia="en-AU"/>
              </w:rPr>
            </w:pPr>
            <w:r w:rsidRPr="009A29C5">
              <w:rPr>
                <w:rFonts w:cs="Arial"/>
                <w:i/>
                <w:iCs/>
                <w:color w:val="7F7F7F"/>
                <w:szCs w:val="18"/>
                <w:lang w:eastAsia="en-AU"/>
              </w:rPr>
              <w:t>-19%</w:t>
            </w:r>
          </w:p>
        </w:tc>
        <w:tc>
          <w:tcPr>
            <w:tcW w:w="1099" w:type="dxa"/>
            <w:tcBorders>
              <w:top w:val="nil"/>
              <w:left w:val="nil"/>
              <w:bottom w:val="nil"/>
              <w:right w:val="nil"/>
            </w:tcBorders>
            <w:shd w:val="clear" w:color="auto" w:fill="auto"/>
            <w:noWrap/>
            <w:vAlign w:val="center"/>
            <w:hideMark/>
          </w:tcPr>
          <w:p w:rsidR="009A29C5" w:rsidRPr="009A29C5" w:rsidRDefault="009A29C5" w:rsidP="009A29C5">
            <w:pPr>
              <w:jc w:val="right"/>
              <w:rPr>
                <w:rFonts w:cs="Arial"/>
                <w:i/>
                <w:iCs/>
                <w:color w:val="7F7F7F"/>
                <w:szCs w:val="18"/>
                <w:lang w:eastAsia="en-AU"/>
              </w:rPr>
            </w:pPr>
            <w:r w:rsidRPr="009A29C5">
              <w:rPr>
                <w:rFonts w:cs="Arial"/>
                <w:i/>
                <w:iCs/>
                <w:color w:val="7F7F7F"/>
                <w:szCs w:val="18"/>
                <w:lang w:eastAsia="en-AU"/>
              </w:rPr>
              <w:t>-17%</w:t>
            </w:r>
          </w:p>
        </w:tc>
        <w:tc>
          <w:tcPr>
            <w:tcW w:w="1099" w:type="dxa"/>
            <w:tcBorders>
              <w:top w:val="nil"/>
              <w:left w:val="nil"/>
              <w:bottom w:val="nil"/>
              <w:right w:val="nil"/>
            </w:tcBorders>
            <w:shd w:val="clear" w:color="auto" w:fill="auto"/>
            <w:noWrap/>
            <w:vAlign w:val="center"/>
            <w:hideMark/>
          </w:tcPr>
          <w:p w:rsidR="009A29C5" w:rsidRPr="009A29C5" w:rsidRDefault="009A29C5" w:rsidP="009A29C5">
            <w:pPr>
              <w:jc w:val="right"/>
              <w:rPr>
                <w:rFonts w:cs="Arial"/>
                <w:i/>
                <w:iCs/>
                <w:color w:val="7F7F7F"/>
                <w:szCs w:val="18"/>
                <w:lang w:eastAsia="en-AU"/>
              </w:rPr>
            </w:pPr>
            <w:r w:rsidRPr="009A29C5">
              <w:rPr>
                <w:rFonts w:cs="Arial"/>
                <w:i/>
                <w:iCs/>
                <w:color w:val="7F7F7F"/>
                <w:szCs w:val="18"/>
                <w:lang w:eastAsia="en-AU"/>
              </w:rPr>
              <w:t>-3%</w:t>
            </w:r>
          </w:p>
        </w:tc>
        <w:tc>
          <w:tcPr>
            <w:tcW w:w="1099" w:type="dxa"/>
            <w:tcBorders>
              <w:top w:val="nil"/>
              <w:left w:val="nil"/>
              <w:bottom w:val="nil"/>
              <w:right w:val="nil"/>
            </w:tcBorders>
            <w:shd w:val="clear" w:color="auto" w:fill="auto"/>
            <w:noWrap/>
            <w:vAlign w:val="center"/>
            <w:hideMark/>
          </w:tcPr>
          <w:p w:rsidR="009A29C5" w:rsidRPr="009A29C5" w:rsidRDefault="009A29C5" w:rsidP="009A29C5">
            <w:pPr>
              <w:jc w:val="right"/>
              <w:rPr>
                <w:rFonts w:cs="Arial"/>
                <w:i/>
                <w:iCs/>
                <w:color w:val="7F7F7F"/>
                <w:szCs w:val="18"/>
                <w:lang w:eastAsia="en-AU"/>
              </w:rPr>
            </w:pPr>
            <w:r w:rsidRPr="009A29C5">
              <w:rPr>
                <w:rFonts w:cs="Arial"/>
                <w:i/>
                <w:iCs/>
                <w:color w:val="7F7F7F"/>
                <w:szCs w:val="18"/>
                <w:lang w:eastAsia="en-AU"/>
              </w:rPr>
              <w:t>6%</w:t>
            </w:r>
          </w:p>
        </w:tc>
      </w:tr>
      <w:tr w:rsidR="009A29C5" w:rsidRPr="009A29C5" w:rsidTr="009A29C5">
        <w:trPr>
          <w:trHeight w:val="720"/>
        </w:trPr>
        <w:tc>
          <w:tcPr>
            <w:tcW w:w="2600" w:type="dxa"/>
            <w:tcBorders>
              <w:top w:val="nil"/>
              <w:left w:val="nil"/>
              <w:bottom w:val="nil"/>
              <w:right w:val="nil"/>
            </w:tcBorders>
            <w:shd w:val="clear" w:color="auto" w:fill="auto"/>
            <w:vAlign w:val="center"/>
            <w:hideMark/>
          </w:tcPr>
          <w:p w:rsidR="009A29C5" w:rsidRPr="009A29C5" w:rsidRDefault="009A29C5" w:rsidP="009A29C5">
            <w:pPr>
              <w:ind w:left="333"/>
              <w:rPr>
                <w:rFonts w:cs="Arial"/>
                <w:i/>
                <w:iCs/>
                <w:color w:val="7F7F7F"/>
                <w:szCs w:val="18"/>
                <w:lang w:eastAsia="en-AU"/>
              </w:rPr>
            </w:pPr>
            <w:proofErr w:type="spellStart"/>
            <w:r w:rsidRPr="009A29C5">
              <w:rPr>
                <w:rFonts w:cs="Arial"/>
                <w:i/>
                <w:iCs/>
                <w:color w:val="7F7F7F"/>
                <w:szCs w:val="18"/>
                <w:lang w:eastAsia="en-AU"/>
              </w:rPr>
              <w:t>Electrotechnology</w:t>
            </w:r>
            <w:proofErr w:type="spellEnd"/>
            <w:r w:rsidRPr="009A29C5">
              <w:rPr>
                <w:rFonts w:cs="Arial"/>
                <w:i/>
                <w:iCs/>
                <w:color w:val="7F7F7F"/>
                <w:szCs w:val="18"/>
                <w:lang w:eastAsia="en-AU"/>
              </w:rPr>
              <w:t xml:space="preserve"> and Telecommunications Trades Workers</w:t>
            </w:r>
          </w:p>
        </w:tc>
        <w:tc>
          <w:tcPr>
            <w:tcW w:w="1099" w:type="dxa"/>
            <w:tcBorders>
              <w:top w:val="nil"/>
              <w:left w:val="nil"/>
              <w:bottom w:val="nil"/>
              <w:right w:val="nil"/>
            </w:tcBorders>
            <w:shd w:val="clear" w:color="auto" w:fill="auto"/>
            <w:noWrap/>
            <w:vAlign w:val="center"/>
            <w:hideMark/>
          </w:tcPr>
          <w:p w:rsidR="009A29C5" w:rsidRPr="009A29C5" w:rsidRDefault="009A29C5" w:rsidP="009A29C5">
            <w:pPr>
              <w:jc w:val="right"/>
              <w:rPr>
                <w:rFonts w:cs="Arial"/>
                <w:i/>
                <w:iCs/>
                <w:color w:val="7F7F7F"/>
                <w:szCs w:val="18"/>
                <w:lang w:eastAsia="en-AU"/>
              </w:rPr>
            </w:pPr>
            <w:r w:rsidRPr="009A29C5">
              <w:rPr>
                <w:rFonts w:cs="Arial"/>
                <w:i/>
                <w:iCs/>
                <w:color w:val="7F7F7F"/>
                <w:szCs w:val="18"/>
                <w:lang w:eastAsia="en-AU"/>
              </w:rPr>
              <w:t>15%</w:t>
            </w:r>
          </w:p>
        </w:tc>
        <w:tc>
          <w:tcPr>
            <w:tcW w:w="1099" w:type="dxa"/>
            <w:tcBorders>
              <w:top w:val="nil"/>
              <w:left w:val="nil"/>
              <w:bottom w:val="nil"/>
              <w:right w:val="nil"/>
            </w:tcBorders>
            <w:shd w:val="clear" w:color="auto" w:fill="auto"/>
            <w:noWrap/>
            <w:vAlign w:val="center"/>
            <w:hideMark/>
          </w:tcPr>
          <w:p w:rsidR="009A29C5" w:rsidRPr="009A29C5" w:rsidRDefault="009A29C5" w:rsidP="009A29C5">
            <w:pPr>
              <w:jc w:val="right"/>
              <w:rPr>
                <w:rFonts w:cs="Arial"/>
                <w:i/>
                <w:iCs/>
                <w:color w:val="7F7F7F"/>
                <w:szCs w:val="18"/>
                <w:lang w:eastAsia="en-AU"/>
              </w:rPr>
            </w:pPr>
            <w:r w:rsidRPr="009A29C5">
              <w:rPr>
                <w:rFonts w:cs="Arial"/>
                <w:i/>
                <w:iCs/>
                <w:color w:val="7F7F7F"/>
                <w:szCs w:val="18"/>
                <w:lang w:eastAsia="en-AU"/>
              </w:rPr>
              <w:t>6%</w:t>
            </w:r>
          </w:p>
        </w:tc>
        <w:tc>
          <w:tcPr>
            <w:tcW w:w="1099" w:type="dxa"/>
            <w:tcBorders>
              <w:top w:val="nil"/>
              <w:left w:val="nil"/>
              <w:bottom w:val="nil"/>
              <w:right w:val="nil"/>
            </w:tcBorders>
            <w:shd w:val="clear" w:color="auto" w:fill="auto"/>
            <w:noWrap/>
            <w:vAlign w:val="center"/>
            <w:hideMark/>
          </w:tcPr>
          <w:p w:rsidR="009A29C5" w:rsidRPr="009A29C5" w:rsidRDefault="009A29C5" w:rsidP="009A29C5">
            <w:pPr>
              <w:jc w:val="right"/>
              <w:rPr>
                <w:rFonts w:cs="Arial"/>
                <w:i/>
                <w:iCs/>
                <w:color w:val="7F7F7F"/>
                <w:szCs w:val="18"/>
                <w:lang w:eastAsia="en-AU"/>
              </w:rPr>
            </w:pPr>
            <w:r w:rsidRPr="009A29C5">
              <w:rPr>
                <w:rFonts w:cs="Arial"/>
                <w:i/>
                <w:iCs/>
                <w:color w:val="7F7F7F"/>
                <w:szCs w:val="18"/>
                <w:lang w:eastAsia="en-AU"/>
              </w:rPr>
              <w:t>5%</w:t>
            </w:r>
          </w:p>
        </w:tc>
        <w:tc>
          <w:tcPr>
            <w:tcW w:w="1099" w:type="dxa"/>
            <w:tcBorders>
              <w:top w:val="nil"/>
              <w:left w:val="nil"/>
              <w:bottom w:val="nil"/>
              <w:right w:val="nil"/>
            </w:tcBorders>
            <w:shd w:val="clear" w:color="auto" w:fill="auto"/>
            <w:noWrap/>
            <w:vAlign w:val="center"/>
            <w:hideMark/>
          </w:tcPr>
          <w:p w:rsidR="009A29C5" w:rsidRPr="009A29C5" w:rsidRDefault="009A29C5" w:rsidP="009A29C5">
            <w:pPr>
              <w:jc w:val="right"/>
              <w:rPr>
                <w:rFonts w:cs="Arial"/>
                <w:i/>
                <w:iCs/>
                <w:color w:val="7F7F7F"/>
                <w:szCs w:val="18"/>
                <w:lang w:eastAsia="en-AU"/>
              </w:rPr>
            </w:pPr>
            <w:r w:rsidRPr="009A29C5">
              <w:rPr>
                <w:rFonts w:cs="Arial"/>
                <w:i/>
                <w:iCs/>
                <w:color w:val="7F7F7F"/>
                <w:szCs w:val="18"/>
                <w:lang w:eastAsia="en-AU"/>
              </w:rPr>
              <w:t>9%</w:t>
            </w:r>
          </w:p>
        </w:tc>
        <w:tc>
          <w:tcPr>
            <w:tcW w:w="1099" w:type="dxa"/>
            <w:tcBorders>
              <w:top w:val="nil"/>
              <w:left w:val="nil"/>
              <w:bottom w:val="nil"/>
              <w:right w:val="nil"/>
            </w:tcBorders>
            <w:shd w:val="clear" w:color="auto" w:fill="auto"/>
            <w:noWrap/>
            <w:vAlign w:val="center"/>
            <w:hideMark/>
          </w:tcPr>
          <w:p w:rsidR="009A29C5" w:rsidRPr="009A29C5" w:rsidRDefault="009A29C5" w:rsidP="009A29C5">
            <w:pPr>
              <w:jc w:val="right"/>
              <w:rPr>
                <w:rFonts w:cs="Arial"/>
                <w:i/>
                <w:iCs/>
                <w:color w:val="7F7F7F"/>
                <w:szCs w:val="18"/>
                <w:lang w:eastAsia="en-AU"/>
              </w:rPr>
            </w:pPr>
            <w:r w:rsidRPr="009A29C5">
              <w:rPr>
                <w:rFonts w:cs="Arial"/>
                <w:i/>
                <w:iCs/>
                <w:color w:val="7F7F7F"/>
                <w:szCs w:val="18"/>
                <w:lang w:eastAsia="en-AU"/>
              </w:rPr>
              <w:t>5%</w:t>
            </w:r>
          </w:p>
        </w:tc>
      </w:tr>
      <w:tr w:rsidR="009A29C5" w:rsidRPr="009A29C5" w:rsidTr="009A29C5">
        <w:trPr>
          <w:trHeight w:val="480"/>
        </w:trPr>
        <w:tc>
          <w:tcPr>
            <w:tcW w:w="2600" w:type="dxa"/>
            <w:tcBorders>
              <w:top w:val="nil"/>
              <w:left w:val="nil"/>
              <w:bottom w:val="nil"/>
              <w:right w:val="nil"/>
            </w:tcBorders>
            <w:shd w:val="clear" w:color="auto" w:fill="auto"/>
            <w:vAlign w:val="center"/>
            <w:hideMark/>
          </w:tcPr>
          <w:p w:rsidR="009A29C5" w:rsidRPr="009A29C5" w:rsidRDefault="009A29C5" w:rsidP="009A29C5">
            <w:pPr>
              <w:ind w:left="333"/>
              <w:rPr>
                <w:rFonts w:cs="Arial"/>
                <w:i/>
                <w:iCs/>
                <w:color w:val="7F7F7F"/>
                <w:szCs w:val="18"/>
                <w:lang w:eastAsia="en-AU"/>
              </w:rPr>
            </w:pPr>
            <w:r w:rsidRPr="009A29C5">
              <w:rPr>
                <w:rFonts w:cs="Arial"/>
                <w:i/>
                <w:iCs/>
                <w:color w:val="7F7F7F"/>
                <w:szCs w:val="18"/>
                <w:lang w:eastAsia="en-AU"/>
              </w:rPr>
              <w:t>Engineering, ICT and Science Technicians</w:t>
            </w:r>
          </w:p>
        </w:tc>
        <w:tc>
          <w:tcPr>
            <w:tcW w:w="1099" w:type="dxa"/>
            <w:tcBorders>
              <w:top w:val="nil"/>
              <w:left w:val="nil"/>
              <w:bottom w:val="nil"/>
              <w:right w:val="nil"/>
            </w:tcBorders>
            <w:shd w:val="clear" w:color="auto" w:fill="auto"/>
            <w:noWrap/>
            <w:vAlign w:val="center"/>
            <w:hideMark/>
          </w:tcPr>
          <w:p w:rsidR="009A29C5" w:rsidRPr="009A29C5" w:rsidRDefault="009A29C5" w:rsidP="009A29C5">
            <w:pPr>
              <w:jc w:val="right"/>
              <w:rPr>
                <w:rFonts w:cs="Arial"/>
                <w:i/>
                <w:iCs/>
                <w:color w:val="7F7F7F"/>
                <w:szCs w:val="18"/>
                <w:lang w:eastAsia="en-AU"/>
              </w:rPr>
            </w:pPr>
            <w:r w:rsidRPr="009A29C5">
              <w:rPr>
                <w:rFonts w:cs="Arial"/>
                <w:i/>
                <w:iCs/>
                <w:color w:val="7F7F7F"/>
                <w:szCs w:val="18"/>
                <w:lang w:eastAsia="en-AU"/>
              </w:rPr>
              <w:t>4,357%</w:t>
            </w:r>
          </w:p>
        </w:tc>
        <w:tc>
          <w:tcPr>
            <w:tcW w:w="1099" w:type="dxa"/>
            <w:tcBorders>
              <w:top w:val="nil"/>
              <w:left w:val="nil"/>
              <w:bottom w:val="nil"/>
              <w:right w:val="nil"/>
            </w:tcBorders>
            <w:shd w:val="clear" w:color="auto" w:fill="auto"/>
            <w:noWrap/>
            <w:vAlign w:val="center"/>
            <w:hideMark/>
          </w:tcPr>
          <w:p w:rsidR="009A29C5" w:rsidRPr="009A29C5" w:rsidRDefault="009A29C5" w:rsidP="009A29C5">
            <w:pPr>
              <w:jc w:val="right"/>
              <w:rPr>
                <w:rFonts w:cs="Arial"/>
                <w:i/>
                <w:iCs/>
                <w:color w:val="7F7F7F"/>
                <w:szCs w:val="18"/>
                <w:lang w:eastAsia="en-AU"/>
              </w:rPr>
            </w:pPr>
            <w:r w:rsidRPr="009A29C5">
              <w:rPr>
                <w:rFonts w:cs="Arial"/>
                <w:i/>
                <w:iCs/>
                <w:color w:val="7F7F7F"/>
                <w:szCs w:val="18"/>
                <w:lang w:eastAsia="en-AU"/>
              </w:rPr>
              <w:t>2,613%</w:t>
            </w:r>
          </w:p>
        </w:tc>
        <w:tc>
          <w:tcPr>
            <w:tcW w:w="1099" w:type="dxa"/>
            <w:tcBorders>
              <w:top w:val="nil"/>
              <w:left w:val="nil"/>
              <w:bottom w:val="nil"/>
              <w:right w:val="nil"/>
            </w:tcBorders>
            <w:shd w:val="clear" w:color="auto" w:fill="auto"/>
            <w:noWrap/>
            <w:vAlign w:val="center"/>
            <w:hideMark/>
          </w:tcPr>
          <w:p w:rsidR="009A29C5" w:rsidRPr="009A29C5" w:rsidRDefault="009A29C5" w:rsidP="009A29C5">
            <w:pPr>
              <w:jc w:val="right"/>
              <w:rPr>
                <w:rFonts w:cs="Arial"/>
                <w:i/>
                <w:iCs/>
                <w:color w:val="7F7F7F"/>
                <w:szCs w:val="18"/>
                <w:lang w:eastAsia="en-AU"/>
              </w:rPr>
            </w:pPr>
            <w:r w:rsidRPr="009A29C5">
              <w:rPr>
                <w:rFonts w:cs="Arial"/>
                <w:i/>
                <w:iCs/>
                <w:color w:val="7F7F7F"/>
                <w:szCs w:val="18"/>
                <w:lang w:eastAsia="en-AU"/>
              </w:rPr>
              <w:t>634%</w:t>
            </w:r>
          </w:p>
        </w:tc>
        <w:tc>
          <w:tcPr>
            <w:tcW w:w="1099" w:type="dxa"/>
            <w:tcBorders>
              <w:top w:val="nil"/>
              <w:left w:val="nil"/>
              <w:bottom w:val="nil"/>
              <w:right w:val="nil"/>
            </w:tcBorders>
            <w:shd w:val="clear" w:color="auto" w:fill="auto"/>
            <w:noWrap/>
            <w:vAlign w:val="center"/>
            <w:hideMark/>
          </w:tcPr>
          <w:p w:rsidR="009A29C5" w:rsidRPr="009A29C5" w:rsidRDefault="009A29C5" w:rsidP="009A29C5">
            <w:pPr>
              <w:jc w:val="right"/>
              <w:rPr>
                <w:rFonts w:cs="Arial"/>
                <w:i/>
                <w:iCs/>
                <w:color w:val="7F7F7F"/>
                <w:szCs w:val="18"/>
                <w:lang w:eastAsia="en-AU"/>
              </w:rPr>
            </w:pPr>
            <w:r w:rsidRPr="009A29C5">
              <w:rPr>
                <w:rFonts w:cs="Arial"/>
                <w:i/>
                <w:iCs/>
                <w:color w:val="7F7F7F"/>
                <w:szCs w:val="18"/>
                <w:lang w:eastAsia="en-AU"/>
              </w:rPr>
              <w:t>303%</w:t>
            </w:r>
          </w:p>
        </w:tc>
        <w:tc>
          <w:tcPr>
            <w:tcW w:w="1099" w:type="dxa"/>
            <w:tcBorders>
              <w:top w:val="nil"/>
              <w:left w:val="nil"/>
              <w:bottom w:val="nil"/>
              <w:right w:val="nil"/>
            </w:tcBorders>
            <w:shd w:val="clear" w:color="auto" w:fill="auto"/>
            <w:noWrap/>
            <w:vAlign w:val="center"/>
            <w:hideMark/>
          </w:tcPr>
          <w:p w:rsidR="009A29C5" w:rsidRPr="009A29C5" w:rsidRDefault="009A29C5" w:rsidP="009A29C5">
            <w:pPr>
              <w:jc w:val="right"/>
              <w:rPr>
                <w:rFonts w:cs="Arial"/>
                <w:i/>
                <w:iCs/>
                <w:color w:val="7F7F7F"/>
                <w:szCs w:val="18"/>
                <w:lang w:eastAsia="en-AU"/>
              </w:rPr>
            </w:pPr>
            <w:r w:rsidRPr="009A29C5">
              <w:rPr>
                <w:rFonts w:cs="Arial"/>
                <w:i/>
                <w:iCs/>
                <w:color w:val="7F7F7F"/>
                <w:szCs w:val="18"/>
                <w:lang w:eastAsia="en-AU"/>
              </w:rPr>
              <w:t>31%</w:t>
            </w:r>
          </w:p>
        </w:tc>
      </w:tr>
      <w:tr w:rsidR="009A29C5" w:rsidRPr="009A29C5" w:rsidTr="009A29C5">
        <w:trPr>
          <w:trHeight w:val="300"/>
        </w:trPr>
        <w:tc>
          <w:tcPr>
            <w:tcW w:w="2600" w:type="dxa"/>
            <w:tcBorders>
              <w:top w:val="nil"/>
              <w:left w:val="nil"/>
              <w:bottom w:val="nil"/>
              <w:right w:val="nil"/>
            </w:tcBorders>
            <w:shd w:val="clear" w:color="auto" w:fill="auto"/>
            <w:vAlign w:val="center"/>
            <w:hideMark/>
          </w:tcPr>
          <w:p w:rsidR="009A29C5" w:rsidRPr="009A29C5" w:rsidRDefault="009A29C5" w:rsidP="009A29C5">
            <w:pPr>
              <w:ind w:left="333"/>
              <w:rPr>
                <w:rFonts w:cs="Arial"/>
                <w:i/>
                <w:iCs/>
                <w:color w:val="7F7F7F"/>
                <w:szCs w:val="18"/>
                <w:lang w:eastAsia="en-AU"/>
              </w:rPr>
            </w:pPr>
            <w:r w:rsidRPr="009A29C5">
              <w:rPr>
                <w:rFonts w:cs="Arial"/>
                <w:i/>
                <w:iCs/>
                <w:color w:val="7F7F7F"/>
                <w:szCs w:val="18"/>
                <w:lang w:eastAsia="en-AU"/>
              </w:rPr>
              <w:t>Food Trades Workers</w:t>
            </w:r>
          </w:p>
        </w:tc>
        <w:tc>
          <w:tcPr>
            <w:tcW w:w="1099" w:type="dxa"/>
            <w:tcBorders>
              <w:top w:val="nil"/>
              <w:left w:val="nil"/>
              <w:bottom w:val="nil"/>
              <w:right w:val="nil"/>
            </w:tcBorders>
            <w:shd w:val="clear" w:color="auto" w:fill="auto"/>
            <w:noWrap/>
            <w:vAlign w:val="center"/>
            <w:hideMark/>
          </w:tcPr>
          <w:p w:rsidR="009A29C5" w:rsidRPr="009A29C5" w:rsidRDefault="009A29C5" w:rsidP="009A29C5">
            <w:pPr>
              <w:jc w:val="right"/>
              <w:rPr>
                <w:rFonts w:cs="Arial"/>
                <w:i/>
                <w:iCs/>
                <w:color w:val="7F7F7F"/>
                <w:szCs w:val="18"/>
                <w:lang w:eastAsia="en-AU"/>
              </w:rPr>
            </w:pPr>
            <w:r w:rsidRPr="009A29C5">
              <w:rPr>
                <w:rFonts w:cs="Arial"/>
                <w:i/>
                <w:iCs/>
                <w:color w:val="7F7F7F"/>
                <w:szCs w:val="18"/>
                <w:lang w:eastAsia="en-AU"/>
              </w:rPr>
              <w:t>16%</w:t>
            </w:r>
          </w:p>
        </w:tc>
        <w:tc>
          <w:tcPr>
            <w:tcW w:w="1099" w:type="dxa"/>
            <w:tcBorders>
              <w:top w:val="nil"/>
              <w:left w:val="nil"/>
              <w:bottom w:val="nil"/>
              <w:right w:val="nil"/>
            </w:tcBorders>
            <w:shd w:val="clear" w:color="auto" w:fill="auto"/>
            <w:noWrap/>
            <w:vAlign w:val="center"/>
            <w:hideMark/>
          </w:tcPr>
          <w:p w:rsidR="009A29C5" w:rsidRPr="009A29C5" w:rsidRDefault="009A29C5" w:rsidP="009A29C5">
            <w:pPr>
              <w:jc w:val="right"/>
              <w:rPr>
                <w:rFonts w:cs="Arial"/>
                <w:i/>
                <w:iCs/>
                <w:color w:val="7F7F7F"/>
                <w:szCs w:val="18"/>
                <w:lang w:eastAsia="en-AU"/>
              </w:rPr>
            </w:pPr>
            <w:r w:rsidRPr="009A29C5">
              <w:rPr>
                <w:rFonts w:cs="Arial"/>
                <w:i/>
                <w:iCs/>
                <w:color w:val="7F7F7F"/>
                <w:szCs w:val="18"/>
                <w:lang w:eastAsia="en-AU"/>
              </w:rPr>
              <w:t>14%</w:t>
            </w:r>
          </w:p>
        </w:tc>
        <w:tc>
          <w:tcPr>
            <w:tcW w:w="1099" w:type="dxa"/>
            <w:tcBorders>
              <w:top w:val="nil"/>
              <w:left w:val="nil"/>
              <w:bottom w:val="nil"/>
              <w:right w:val="nil"/>
            </w:tcBorders>
            <w:shd w:val="clear" w:color="auto" w:fill="auto"/>
            <w:noWrap/>
            <w:vAlign w:val="center"/>
            <w:hideMark/>
          </w:tcPr>
          <w:p w:rsidR="009A29C5" w:rsidRPr="009A29C5" w:rsidRDefault="009A29C5" w:rsidP="009A29C5">
            <w:pPr>
              <w:jc w:val="right"/>
              <w:rPr>
                <w:rFonts w:cs="Arial"/>
                <w:i/>
                <w:iCs/>
                <w:color w:val="7F7F7F"/>
                <w:szCs w:val="18"/>
                <w:lang w:eastAsia="en-AU"/>
              </w:rPr>
            </w:pPr>
            <w:r w:rsidRPr="009A29C5">
              <w:rPr>
                <w:rFonts w:cs="Arial"/>
                <w:i/>
                <w:iCs/>
                <w:color w:val="7F7F7F"/>
                <w:szCs w:val="18"/>
                <w:lang w:eastAsia="en-AU"/>
              </w:rPr>
              <w:t>17%</w:t>
            </w:r>
          </w:p>
        </w:tc>
        <w:tc>
          <w:tcPr>
            <w:tcW w:w="1099" w:type="dxa"/>
            <w:tcBorders>
              <w:top w:val="nil"/>
              <w:left w:val="nil"/>
              <w:bottom w:val="nil"/>
              <w:right w:val="nil"/>
            </w:tcBorders>
            <w:shd w:val="clear" w:color="auto" w:fill="auto"/>
            <w:noWrap/>
            <w:vAlign w:val="center"/>
            <w:hideMark/>
          </w:tcPr>
          <w:p w:rsidR="009A29C5" w:rsidRPr="009A29C5" w:rsidRDefault="009A29C5" w:rsidP="009A29C5">
            <w:pPr>
              <w:jc w:val="right"/>
              <w:rPr>
                <w:rFonts w:cs="Arial"/>
                <w:i/>
                <w:iCs/>
                <w:color w:val="7F7F7F"/>
                <w:szCs w:val="18"/>
                <w:lang w:eastAsia="en-AU"/>
              </w:rPr>
            </w:pPr>
            <w:r w:rsidRPr="009A29C5">
              <w:rPr>
                <w:rFonts w:cs="Arial"/>
                <w:i/>
                <w:iCs/>
                <w:color w:val="7F7F7F"/>
                <w:szCs w:val="18"/>
                <w:lang w:eastAsia="en-AU"/>
              </w:rPr>
              <w:t>26%</w:t>
            </w:r>
          </w:p>
        </w:tc>
        <w:tc>
          <w:tcPr>
            <w:tcW w:w="1099" w:type="dxa"/>
            <w:tcBorders>
              <w:top w:val="nil"/>
              <w:left w:val="nil"/>
              <w:bottom w:val="nil"/>
              <w:right w:val="nil"/>
            </w:tcBorders>
            <w:shd w:val="clear" w:color="auto" w:fill="auto"/>
            <w:noWrap/>
            <w:vAlign w:val="center"/>
            <w:hideMark/>
          </w:tcPr>
          <w:p w:rsidR="009A29C5" w:rsidRPr="009A29C5" w:rsidRDefault="009A29C5" w:rsidP="009A29C5">
            <w:pPr>
              <w:jc w:val="right"/>
              <w:rPr>
                <w:rFonts w:cs="Arial"/>
                <w:i/>
                <w:iCs/>
                <w:color w:val="7F7F7F"/>
                <w:szCs w:val="18"/>
                <w:lang w:eastAsia="en-AU"/>
              </w:rPr>
            </w:pPr>
            <w:r w:rsidRPr="009A29C5">
              <w:rPr>
                <w:rFonts w:cs="Arial"/>
                <w:i/>
                <w:iCs/>
                <w:color w:val="7F7F7F"/>
                <w:szCs w:val="18"/>
                <w:lang w:eastAsia="en-AU"/>
              </w:rPr>
              <w:t>0%</w:t>
            </w:r>
          </w:p>
        </w:tc>
      </w:tr>
      <w:tr w:rsidR="009A29C5" w:rsidRPr="009A29C5" w:rsidTr="009A29C5">
        <w:trPr>
          <w:trHeight w:val="480"/>
        </w:trPr>
        <w:tc>
          <w:tcPr>
            <w:tcW w:w="2600" w:type="dxa"/>
            <w:tcBorders>
              <w:top w:val="nil"/>
              <w:left w:val="nil"/>
              <w:bottom w:val="nil"/>
              <w:right w:val="nil"/>
            </w:tcBorders>
            <w:shd w:val="clear" w:color="auto" w:fill="auto"/>
            <w:vAlign w:val="center"/>
            <w:hideMark/>
          </w:tcPr>
          <w:p w:rsidR="009A29C5" w:rsidRPr="009A29C5" w:rsidRDefault="009A29C5" w:rsidP="009A29C5">
            <w:pPr>
              <w:ind w:left="333"/>
              <w:rPr>
                <w:rFonts w:cs="Arial"/>
                <w:i/>
                <w:iCs/>
                <w:color w:val="7F7F7F"/>
                <w:szCs w:val="18"/>
                <w:lang w:eastAsia="en-AU"/>
              </w:rPr>
            </w:pPr>
            <w:r w:rsidRPr="009A29C5">
              <w:rPr>
                <w:rFonts w:cs="Arial"/>
                <w:i/>
                <w:iCs/>
                <w:color w:val="7F7F7F"/>
                <w:szCs w:val="18"/>
                <w:lang w:eastAsia="en-AU"/>
              </w:rPr>
              <w:t>Other Technicians and Trades Workers</w:t>
            </w:r>
          </w:p>
        </w:tc>
        <w:tc>
          <w:tcPr>
            <w:tcW w:w="1099" w:type="dxa"/>
            <w:tcBorders>
              <w:top w:val="nil"/>
              <w:left w:val="nil"/>
              <w:bottom w:val="nil"/>
              <w:right w:val="nil"/>
            </w:tcBorders>
            <w:shd w:val="clear" w:color="auto" w:fill="auto"/>
            <w:noWrap/>
            <w:vAlign w:val="center"/>
            <w:hideMark/>
          </w:tcPr>
          <w:p w:rsidR="009A29C5" w:rsidRPr="009A29C5" w:rsidRDefault="009A29C5" w:rsidP="009A29C5">
            <w:pPr>
              <w:jc w:val="right"/>
              <w:rPr>
                <w:rFonts w:cs="Arial"/>
                <w:i/>
                <w:iCs/>
                <w:color w:val="7F7F7F"/>
                <w:szCs w:val="18"/>
                <w:lang w:eastAsia="en-AU"/>
              </w:rPr>
            </w:pPr>
            <w:r w:rsidRPr="009A29C5">
              <w:rPr>
                <w:rFonts w:cs="Arial"/>
                <w:i/>
                <w:iCs/>
                <w:color w:val="7F7F7F"/>
                <w:szCs w:val="18"/>
                <w:lang w:eastAsia="en-AU"/>
              </w:rPr>
              <w:t>-4%</w:t>
            </w:r>
          </w:p>
        </w:tc>
        <w:tc>
          <w:tcPr>
            <w:tcW w:w="1099" w:type="dxa"/>
            <w:tcBorders>
              <w:top w:val="nil"/>
              <w:left w:val="nil"/>
              <w:bottom w:val="nil"/>
              <w:right w:val="nil"/>
            </w:tcBorders>
            <w:shd w:val="clear" w:color="auto" w:fill="auto"/>
            <w:noWrap/>
            <w:vAlign w:val="center"/>
            <w:hideMark/>
          </w:tcPr>
          <w:p w:rsidR="009A29C5" w:rsidRPr="009A29C5" w:rsidRDefault="009A29C5" w:rsidP="009A29C5">
            <w:pPr>
              <w:jc w:val="right"/>
              <w:rPr>
                <w:rFonts w:cs="Arial"/>
                <w:i/>
                <w:iCs/>
                <w:color w:val="7F7F7F"/>
                <w:szCs w:val="18"/>
                <w:lang w:eastAsia="en-AU"/>
              </w:rPr>
            </w:pPr>
            <w:r w:rsidRPr="009A29C5">
              <w:rPr>
                <w:rFonts w:cs="Arial"/>
                <w:i/>
                <w:iCs/>
                <w:color w:val="7F7F7F"/>
                <w:szCs w:val="18"/>
                <w:lang w:eastAsia="en-AU"/>
              </w:rPr>
              <w:t>-2%</w:t>
            </w:r>
          </w:p>
        </w:tc>
        <w:tc>
          <w:tcPr>
            <w:tcW w:w="1099" w:type="dxa"/>
            <w:tcBorders>
              <w:top w:val="nil"/>
              <w:left w:val="nil"/>
              <w:bottom w:val="nil"/>
              <w:right w:val="nil"/>
            </w:tcBorders>
            <w:shd w:val="clear" w:color="auto" w:fill="auto"/>
            <w:noWrap/>
            <w:vAlign w:val="center"/>
            <w:hideMark/>
          </w:tcPr>
          <w:p w:rsidR="009A29C5" w:rsidRPr="009A29C5" w:rsidRDefault="009A29C5" w:rsidP="009A29C5">
            <w:pPr>
              <w:jc w:val="right"/>
              <w:rPr>
                <w:rFonts w:cs="Arial"/>
                <w:i/>
                <w:iCs/>
                <w:color w:val="7F7F7F"/>
                <w:szCs w:val="18"/>
                <w:lang w:eastAsia="en-AU"/>
              </w:rPr>
            </w:pPr>
            <w:r w:rsidRPr="009A29C5">
              <w:rPr>
                <w:rFonts w:cs="Arial"/>
                <w:i/>
                <w:iCs/>
                <w:color w:val="7F7F7F"/>
                <w:szCs w:val="18"/>
                <w:lang w:eastAsia="en-AU"/>
              </w:rPr>
              <w:t>6%</w:t>
            </w:r>
          </w:p>
        </w:tc>
        <w:tc>
          <w:tcPr>
            <w:tcW w:w="1099" w:type="dxa"/>
            <w:tcBorders>
              <w:top w:val="nil"/>
              <w:left w:val="nil"/>
              <w:bottom w:val="nil"/>
              <w:right w:val="nil"/>
            </w:tcBorders>
            <w:shd w:val="clear" w:color="auto" w:fill="auto"/>
            <w:noWrap/>
            <w:vAlign w:val="center"/>
            <w:hideMark/>
          </w:tcPr>
          <w:p w:rsidR="009A29C5" w:rsidRPr="009A29C5" w:rsidRDefault="009A29C5" w:rsidP="009A29C5">
            <w:pPr>
              <w:jc w:val="right"/>
              <w:rPr>
                <w:rFonts w:cs="Arial"/>
                <w:i/>
                <w:iCs/>
                <w:color w:val="7F7F7F"/>
                <w:szCs w:val="18"/>
                <w:lang w:eastAsia="en-AU"/>
              </w:rPr>
            </w:pPr>
            <w:r w:rsidRPr="009A29C5">
              <w:rPr>
                <w:rFonts w:cs="Arial"/>
                <w:i/>
                <w:iCs/>
                <w:color w:val="7F7F7F"/>
                <w:szCs w:val="18"/>
                <w:lang w:eastAsia="en-AU"/>
              </w:rPr>
              <w:t>8%</w:t>
            </w:r>
          </w:p>
        </w:tc>
        <w:tc>
          <w:tcPr>
            <w:tcW w:w="1099" w:type="dxa"/>
            <w:tcBorders>
              <w:top w:val="nil"/>
              <w:left w:val="nil"/>
              <w:bottom w:val="nil"/>
              <w:right w:val="nil"/>
            </w:tcBorders>
            <w:shd w:val="clear" w:color="auto" w:fill="auto"/>
            <w:noWrap/>
            <w:vAlign w:val="center"/>
            <w:hideMark/>
          </w:tcPr>
          <w:p w:rsidR="009A29C5" w:rsidRPr="009A29C5" w:rsidRDefault="009A29C5" w:rsidP="009A29C5">
            <w:pPr>
              <w:jc w:val="right"/>
              <w:rPr>
                <w:rFonts w:cs="Arial"/>
                <w:i/>
                <w:iCs/>
                <w:color w:val="7F7F7F"/>
                <w:szCs w:val="18"/>
                <w:lang w:eastAsia="en-AU"/>
              </w:rPr>
            </w:pPr>
            <w:r w:rsidRPr="009A29C5">
              <w:rPr>
                <w:rFonts w:cs="Arial"/>
                <w:i/>
                <w:iCs/>
                <w:color w:val="7F7F7F"/>
                <w:szCs w:val="18"/>
                <w:lang w:eastAsia="en-AU"/>
              </w:rPr>
              <w:t>1%</w:t>
            </w:r>
          </w:p>
        </w:tc>
      </w:tr>
      <w:tr w:rsidR="009A29C5" w:rsidRPr="009A29C5" w:rsidTr="009A29C5">
        <w:trPr>
          <w:trHeight w:val="480"/>
        </w:trPr>
        <w:tc>
          <w:tcPr>
            <w:tcW w:w="2600" w:type="dxa"/>
            <w:tcBorders>
              <w:top w:val="nil"/>
              <w:left w:val="nil"/>
              <w:bottom w:val="nil"/>
              <w:right w:val="nil"/>
            </w:tcBorders>
            <w:shd w:val="clear" w:color="auto" w:fill="auto"/>
            <w:vAlign w:val="center"/>
            <w:hideMark/>
          </w:tcPr>
          <w:p w:rsidR="009A29C5" w:rsidRPr="009A29C5" w:rsidRDefault="009A29C5" w:rsidP="009A29C5">
            <w:pPr>
              <w:ind w:left="333"/>
              <w:rPr>
                <w:rFonts w:cs="Arial"/>
                <w:i/>
                <w:iCs/>
                <w:color w:val="7F7F7F"/>
                <w:szCs w:val="18"/>
                <w:lang w:eastAsia="en-AU"/>
              </w:rPr>
            </w:pPr>
            <w:r w:rsidRPr="009A29C5">
              <w:rPr>
                <w:rFonts w:cs="Arial"/>
                <w:i/>
                <w:iCs/>
                <w:color w:val="7F7F7F"/>
                <w:szCs w:val="18"/>
                <w:lang w:eastAsia="en-AU"/>
              </w:rPr>
              <w:t>Skilled Animal and Horticultural Workers</w:t>
            </w:r>
          </w:p>
        </w:tc>
        <w:tc>
          <w:tcPr>
            <w:tcW w:w="1099" w:type="dxa"/>
            <w:tcBorders>
              <w:top w:val="nil"/>
              <w:left w:val="nil"/>
              <w:bottom w:val="nil"/>
              <w:right w:val="nil"/>
            </w:tcBorders>
            <w:shd w:val="clear" w:color="auto" w:fill="auto"/>
            <w:noWrap/>
            <w:vAlign w:val="center"/>
            <w:hideMark/>
          </w:tcPr>
          <w:p w:rsidR="009A29C5" w:rsidRPr="009A29C5" w:rsidRDefault="009A29C5" w:rsidP="009A29C5">
            <w:pPr>
              <w:jc w:val="right"/>
              <w:rPr>
                <w:rFonts w:cs="Arial"/>
                <w:i/>
                <w:iCs/>
                <w:color w:val="7F7F7F"/>
                <w:szCs w:val="18"/>
                <w:lang w:eastAsia="en-AU"/>
              </w:rPr>
            </w:pPr>
            <w:r w:rsidRPr="009A29C5">
              <w:rPr>
                <w:rFonts w:cs="Arial"/>
                <w:i/>
                <w:iCs/>
                <w:color w:val="7F7F7F"/>
                <w:szCs w:val="18"/>
                <w:lang w:eastAsia="en-AU"/>
              </w:rPr>
              <w:t>-3%</w:t>
            </w:r>
          </w:p>
        </w:tc>
        <w:tc>
          <w:tcPr>
            <w:tcW w:w="1099" w:type="dxa"/>
            <w:tcBorders>
              <w:top w:val="nil"/>
              <w:left w:val="nil"/>
              <w:bottom w:val="nil"/>
              <w:right w:val="nil"/>
            </w:tcBorders>
            <w:shd w:val="clear" w:color="auto" w:fill="auto"/>
            <w:noWrap/>
            <w:vAlign w:val="center"/>
            <w:hideMark/>
          </w:tcPr>
          <w:p w:rsidR="009A29C5" w:rsidRPr="009A29C5" w:rsidRDefault="009A29C5" w:rsidP="009A29C5">
            <w:pPr>
              <w:jc w:val="right"/>
              <w:rPr>
                <w:rFonts w:cs="Arial"/>
                <w:i/>
                <w:iCs/>
                <w:color w:val="7F7F7F"/>
                <w:szCs w:val="18"/>
                <w:lang w:eastAsia="en-AU"/>
              </w:rPr>
            </w:pPr>
            <w:r w:rsidRPr="009A29C5">
              <w:rPr>
                <w:rFonts w:cs="Arial"/>
                <w:i/>
                <w:iCs/>
                <w:color w:val="7F7F7F"/>
                <w:szCs w:val="18"/>
                <w:lang w:eastAsia="en-AU"/>
              </w:rPr>
              <w:t>-13%</w:t>
            </w:r>
          </w:p>
        </w:tc>
        <w:tc>
          <w:tcPr>
            <w:tcW w:w="1099" w:type="dxa"/>
            <w:tcBorders>
              <w:top w:val="nil"/>
              <w:left w:val="nil"/>
              <w:bottom w:val="nil"/>
              <w:right w:val="nil"/>
            </w:tcBorders>
            <w:shd w:val="clear" w:color="auto" w:fill="auto"/>
            <w:noWrap/>
            <w:vAlign w:val="center"/>
            <w:hideMark/>
          </w:tcPr>
          <w:p w:rsidR="009A29C5" w:rsidRPr="009A29C5" w:rsidRDefault="009A29C5" w:rsidP="009A29C5">
            <w:pPr>
              <w:jc w:val="right"/>
              <w:rPr>
                <w:rFonts w:cs="Arial"/>
                <w:i/>
                <w:iCs/>
                <w:color w:val="7F7F7F"/>
                <w:szCs w:val="18"/>
                <w:lang w:eastAsia="en-AU"/>
              </w:rPr>
            </w:pPr>
            <w:r w:rsidRPr="009A29C5">
              <w:rPr>
                <w:rFonts w:cs="Arial"/>
                <w:i/>
                <w:iCs/>
                <w:color w:val="7F7F7F"/>
                <w:szCs w:val="18"/>
                <w:lang w:eastAsia="en-AU"/>
              </w:rPr>
              <w:t>-14%</w:t>
            </w:r>
          </w:p>
        </w:tc>
        <w:tc>
          <w:tcPr>
            <w:tcW w:w="1099" w:type="dxa"/>
            <w:tcBorders>
              <w:top w:val="nil"/>
              <w:left w:val="nil"/>
              <w:bottom w:val="nil"/>
              <w:right w:val="nil"/>
            </w:tcBorders>
            <w:shd w:val="clear" w:color="auto" w:fill="auto"/>
            <w:noWrap/>
            <w:vAlign w:val="center"/>
            <w:hideMark/>
          </w:tcPr>
          <w:p w:rsidR="009A29C5" w:rsidRPr="009A29C5" w:rsidRDefault="009A29C5" w:rsidP="009A29C5">
            <w:pPr>
              <w:jc w:val="right"/>
              <w:rPr>
                <w:rFonts w:cs="Arial"/>
                <w:i/>
                <w:iCs/>
                <w:color w:val="7F7F7F"/>
                <w:szCs w:val="18"/>
                <w:lang w:eastAsia="en-AU"/>
              </w:rPr>
            </w:pPr>
            <w:r w:rsidRPr="009A29C5">
              <w:rPr>
                <w:rFonts w:cs="Arial"/>
                <w:i/>
                <w:iCs/>
                <w:color w:val="7F7F7F"/>
                <w:szCs w:val="18"/>
                <w:lang w:eastAsia="en-AU"/>
              </w:rPr>
              <w:t>-4%</w:t>
            </w:r>
          </w:p>
        </w:tc>
        <w:tc>
          <w:tcPr>
            <w:tcW w:w="1099" w:type="dxa"/>
            <w:tcBorders>
              <w:top w:val="nil"/>
              <w:left w:val="nil"/>
              <w:bottom w:val="nil"/>
              <w:right w:val="nil"/>
            </w:tcBorders>
            <w:shd w:val="clear" w:color="auto" w:fill="auto"/>
            <w:noWrap/>
            <w:vAlign w:val="center"/>
            <w:hideMark/>
          </w:tcPr>
          <w:p w:rsidR="009A29C5" w:rsidRPr="009A29C5" w:rsidRDefault="009A29C5" w:rsidP="009A29C5">
            <w:pPr>
              <w:jc w:val="right"/>
              <w:rPr>
                <w:rFonts w:cs="Arial"/>
                <w:i/>
                <w:iCs/>
                <w:color w:val="7F7F7F"/>
                <w:szCs w:val="18"/>
                <w:lang w:eastAsia="en-AU"/>
              </w:rPr>
            </w:pPr>
            <w:r w:rsidRPr="009A29C5">
              <w:rPr>
                <w:rFonts w:cs="Arial"/>
                <w:i/>
                <w:iCs/>
                <w:color w:val="7F7F7F"/>
                <w:szCs w:val="18"/>
                <w:lang w:eastAsia="en-AU"/>
              </w:rPr>
              <w:t>3%</w:t>
            </w:r>
          </w:p>
        </w:tc>
      </w:tr>
      <w:tr w:rsidR="009A29C5" w:rsidRPr="009A29C5" w:rsidTr="009A29C5">
        <w:trPr>
          <w:trHeight w:val="300"/>
        </w:trPr>
        <w:tc>
          <w:tcPr>
            <w:tcW w:w="2600" w:type="dxa"/>
            <w:tcBorders>
              <w:top w:val="nil"/>
              <w:left w:val="nil"/>
              <w:bottom w:val="nil"/>
              <w:right w:val="nil"/>
            </w:tcBorders>
            <w:shd w:val="clear" w:color="000000" w:fill="7F7F7F"/>
            <w:noWrap/>
            <w:vAlign w:val="center"/>
            <w:hideMark/>
          </w:tcPr>
          <w:p w:rsidR="009A29C5" w:rsidRPr="009A29C5" w:rsidRDefault="009A29C5" w:rsidP="009A29C5">
            <w:pPr>
              <w:rPr>
                <w:rFonts w:cs="Arial"/>
                <w:b/>
                <w:bCs/>
                <w:color w:val="FFFFFF"/>
                <w:szCs w:val="18"/>
                <w:lang w:eastAsia="en-AU"/>
              </w:rPr>
            </w:pPr>
            <w:r w:rsidRPr="009A29C5">
              <w:rPr>
                <w:rFonts w:cs="Arial"/>
                <w:b/>
                <w:bCs/>
                <w:color w:val="FFFFFF"/>
                <w:szCs w:val="18"/>
                <w:lang w:eastAsia="en-AU"/>
              </w:rPr>
              <w:t>Total</w:t>
            </w:r>
          </w:p>
        </w:tc>
        <w:tc>
          <w:tcPr>
            <w:tcW w:w="1099" w:type="dxa"/>
            <w:tcBorders>
              <w:top w:val="nil"/>
              <w:left w:val="nil"/>
              <w:bottom w:val="nil"/>
              <w:right w:val="nil"/>
            </w:tcBorders>
            <w:shd w:val="clear" w:color="000000" w:fill="7F7F7F"/>
            <w:noWrap/>
            <w:vAlign w:val="center"/>
            <w:hideMark/>
          </w:tcPr>
          <w:p w:rsidR="009A29C5" w:rsidRPr="009A29C5" w:rsidRDefault="009A29C5" w:rsidP="009A29C5">
            <w:pPr>
              <w:jc w:val="right"/>
              <w:rPr>
                <w:rFonts w:cs="Arial"/>
                <w:b/>
                <w:bCs/>
                <w:color w:val="FFFFFF"/>
                <w:szCs w:val="18"/>
                <w:lang w:eastAsia="en-AU"/>
              </w:rPr>
            </w:pPr>
            <w:r w:rsidRPr="009A29C5">
              <w:rPr>
                <w:rFonts w:cs="Arial"/>
                <w:b/>
                <w:bCs/>
                <w:color w:val="FFFFFF"/>
                <w:szCs w:val="18"/>
                <w:lang w:eastAsia="en-AU"/>
              </w:rPr>
              <w:t>1%</w:t>
            </w:r>
          </w:p>
        </w:tc>
        <w:tc>
          <w:tcPr>
            <w:tcW w:w="1099" w:type="dxa"/>
            <w:tcBorders>
              <w:top w:val="nil"/>
              <w:left w:val="nil"/>
              <w:bottom w:val="nil"/>
              <w:right w:val="nil"/>
            </w:tcBorders>
            <w:shd w:val="clear" w:color="000000" w:fill="7F7F7F"/>
            <w:noWrap/>
            <w:vAlign w:val="center"/>
            <w:hideMark/>
          </w:tcPr>
          <w:p w:rsidR="009A29C5" w:rsidRPr="009A29C5" w:rsidRDefault="009A29C5" w:rsidP="009A29C5">
            <w:pPr>
              <w:jc w:val="right"/>
              <w:rPr>
                <w:rFonts w:cs="Arial"/>
                <w:b/>
                <w:bCs/>
                <w:color w:val="FFFFFF"/>
                <w:szCs w:val="18"/>
                <w:lang w:eastAsia="en-AU"/>
              </w:rPr>
            </w:pPr>
            <w:r w:rsidRPr="009A29C5">
              <w:rPr>
                <w:rFonts w:cs="Arial"/>
                <w:b/>
                <w:bCs/>
                <w:color w:val="FFFFFF"/>
                <w:szCs w:val="18"/>
                <w:lang w:eastAsia="en-AU"/>
              </w:rPr>
              <w:t>-5%</w:t>
            </w:r>
          </w:p>
        </w:tc>
        <w:tc>
          <w:tcPr>
            <w:tcW w:w="1099" w:type="dxa"/>
            <w:tcBorders>
              <w:top w:val="nil"/>
              <w:left w:val="nil"/>
              <w:bottom w:val="nil"/>
              <w:right w:val="nil"/>
            </w:tcBorders>
            <w:shd w:val="clear" w:color="000000" w:fill="7F7F7F"/>
            <w:noWrap/>
            <w:vAlign w:val="center"/>
            <w:hideMark/>
          </w:tcPr>
          <w:p w:rsidR="009A29C5" w:rsidRPr="009A29C5" w:rsidRDefault="009A29C5" w:rsidP="009A29C5">
            <w:pPr>
              <w:jc w:val="right"/>
              <w:rPr>
                <w:rFonts w:cs="Arial"/>
                <w:b/>
                <w:bCs/>
                <w:color w:val="FFFFFF"/>
                <w:szCs w:val="18"/>
                <w:lang w:eastAsia="en-AU"/>
              </w:rPr>
            </w:pPr>
            <w:r w:rsidRPr="009A29C5">
              <w:rPr>
                <w:rFonts w:cs="Arial"/>
                <w:b/>
                <w:bCs/>
                <w:color w:val="FFFFFF"/>
                <w:szCs w:val="18"/>
                <w:lang w:eastAsia="en-AU"/>
              </w:rPr>
              <w:t>-6%</w:t>
            </w:r>
          </w:p>
        </w:tc>
        <w:tc>
          <w:tcPr>
            <w:tcW w:w="1099" w:type="dxa"/>
            <w:tcBorders>
              <w:top w:val="nil"/>
              <w:left w:val="nil"/>
              <w:bottom w:val="nil"/>
              <w:right w:val="nil"/>
            </w:tcBorders>
            <w:shd w:val="clear" w:color="000000" w:fill="7F7F7F"/>
            <w:noWrap/>
            <w:vAlign w:val="center"/>
            <w:hideMark/>
          </w:tcPr>
          <w:p w:rsidR="009A29C5" w:rsidRPr="009A29C5" w:rsidRDefault="009A29C5" w:rsidP="009A29C5">
            <w:pPr>
              <w:jc w:val="right"/>
              <w:rPr>
                <w:rFonts w:cs="Arial"/>
                <w:b/>
                <w:bCs/>
                <w:color w:val="FFFFFF"/>
                <w:szCs w:val="18"/>
                <w:lang w:eastAsia="en-AU"/>
              </w:rPr>
            </w:pPr>
            <w:r w:rsidRPr="009A29C5">
              <w:rPr>
                <w:rFonts w:cs="Arial"/>
                <w:b/>
                <w:bCs/>
                <w:color w:val="FFFFFF"/>
                <w:szCs w:val="18"/>
                <w:lang w:eastAsia="en-AU"/>
              </w:rPr>
              <w:t>3%</w:t>
            </w:r>
          </w:p>
        </w:tc>
        <w:tc>
          <w:tcPr>
            <w:tcW w:w="1099" w:type="dxa"/>
            <w:tcBorders>
              <w:top w:val="nil"/>
              <w:left w:val="nil"/>
              <w:bottom w:val="nil"/>
              <w:right w:val="nil"/>
            </w:tcBorders>
            <w:shd w:val="clear" w:color="000000" w:fill="7F7F7F"/>
            <w:noWrap/>
            <w:vAlign w:val="center"/>
            <w:hideMark/>
          </w:tcPr>
          <w:p w:rsidR="009A29C5" w:rsidRPr="009A29C5" w:rsidRDefault="009A29C5" w:rsidP="009A29C5">
            <w:pPr>
              <w:jc w:val="right"/>
              <w:rPr>
                <w:rFonts w:cs="Arial"/>
                <w:b/>
                <w:bCs/>
                <w:color w:val="FFFFFF"/>
                <w:szCs w:val="18"/>
                <w:lang w:eastAsia="en-AU"/>
              </w:rPr>
            </w:pPr>
            <w:r w:rsidRPr="009A29C5">
              <w:rPr>
                <w:rFonts w:cs="Arial"/>
                <w:b/>
                <w:bCs/>
                <w:color w:val="FFFFFF"/>
                <w:szCs w:val="18"/>
                <w:lang w:eastAsia="en-AU"/>
              </w:rPr>
              <w:t>4%</w:t>
            </w:r>
          </w:p>
        </w:tc>
      </w:tr>
    </w:tbl>
    <w:p w:rsidR="009951B2" w:rsidRPr="009951B2" w:rsidRDefault="009951B2" w:rsidP="00AB62FC">
      <w:pPr>
        <w:pStyle w:val="Quote"/>
        <w:rPr>
          <w:b w:val="0"/>
          <w:sz w:val="18"/>
          <w:szCs w:val="18"/>
        </w:rPr>
      </w:pPr>
    </w:p>
    <w:p w:rsidR="009951B2" w:rsidRDefault="009951B2" w:rsidP="00AB62FC">
      <w:pPr>
        <w:pStyle w:val="Quote"/>
        <w:rPr>
          <w:b w:val="0"/>
          <w:sz w:val="18"/>
          <w:szCs w:val="18"/>
        </w:rPr>
      </w:pPr>
    </w:p>
    <w:p w:rsidR="00671FB7" w:rsidRDefault="00671FB7">
      <w:r>
        <w:rPr>
          <w:b/>
        </w:rPr>
        <w:br w:type="page"/>
      </w: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4110E9" w:rsidTr="004110E9">
        <w:tc>
          <w:tcPr>
            <w:tcW w:w="1134" w:type="dxa"/>
            <w:tcMar>
              <w:left w:w="0" w:type="dxa"/>
              <w:right w:w="0" w:type="dxa"/>
            </w:tcMar>
          </w:tcPr>
          <w:p w:rsidR="004110E9" w:rsidRDefault="004110E9" w:rsidP="0005261F">
            <w:pPr>
              <w:pStyle w:val="Quote"/>
              <w:tabs>
                <w:tab w:val="left" w:pos="1134"/>
              </w:tabs>
              <w:rPr>
                <w:b w:val="0"/>
                <w:color w:val="B41F22" w:themeColor="accent1"/>
              </w:rPr>
            </w:pPr>
            <w:r>
              <w:rPr>
                <w:b w:val="0"/>
                <w:color w:val="B41F22" w:themeColor="accent1"/>
              </w:rPr>
              <w:lastRenderedPageBreak/>
              <w:t xml:space="preserve">Table </w:t>
            </w:r>
            <w:r w:rsidR="0005261F">
              <w:rPr>
                <w:b w:val="0"/>
                <w:color w:val="B41F22" w:themeColor="accent1"/>
              </w:rPr>
              <w:t>3</w:t>
            </w:r>
            <w:r>
              <w:rPr>
                <w:b w:val="0"/>
                <w:color w:val="B41F22" w:themeColor="accent1"/>
              </w:rPr>
              <w:t>.5.1:</w:t>
            </w:r>
          </w:p>
        </w:tc>
        <w:tc>
          <w:tcPr>
            <w:tcW w:w="6946" w:type="dxa"/>
            <w:tcMar>
              <w:left w:w="0" w:type="dxa"/>
              <w:right w:w="0" w:type="dxa"/>
            </w:tcMar>
          </w:tcPr>
          <w:p w:rsidR="004110E9" w:rsidRDefault="004110E9" w:rsidP="004110E9">
            <w:pPr>
              <w:pStyle w:val="Quote"/>
              <w:tabs>
                <w:tab w:val="left" w:pos="1134"/>
              </w:tabs>
              <w:rPr>
                <w:b w:val="0"/>
                <w:color w:val="B41F22" w:themeColor="accent1"/>
              </w:rPr>
            </w:pPr>
            <w:r w:rsidRPr="004110E9">
              <w:rPr>
                <w:b w:val="0"/>
                <w:color w:val="B41F22" w:themeColor="accent1"/>
              </w:rPr>
              <w:t>Government subsidised apprentice course enrolments by industry, 2010 to 2015 (half year)</w:t>
            </w:r>
          </w:p>
        </w:tc>
      </w:tr>
    </w:tbl>
    <w:tbl>
      <w:tblPr>
        <w:tblW w:w="8095" w:type="dxa"/>
        <w:tblInd w:w="93" w:type="dxa"/>
        <w:tblLayout w:type="fixed"/>
        <w:tblLook w:val="04A0" w:firstRow="1" w:lastRow="0" w:firstColumn="1" w:lastColumn="0" w:noHBand="0" w:noVBand="1"/>
      </w:tblPr>
      <w:tblGrid>
        <w:gridCol w:w="2600"/>
        <w:gridCol w:w="915"/>
        <w:gridCol w:w="916"/>
        <w:gridCol w:w="916"/>
        <w:gridCol w:w="916"/>
        <w:gridCol w:w="916"/>
        <w:gridCol w:w="916"/>
      </w:tblGrid>
      <w:tr w:rsidR="004110E9" w:rsidRPr="004110E9" w:rsidTr="00671FB7">
        <w:trPr>
          <w:trHeight w:val="300"/>
        </w:trPr>
        <w:tc>
          <w:tcPr>
            <w:tcW w:w="2600" w:type="dxa"/>
            <w:tcBorders>
              <w:top w:val="nil"/>
              <w:left w:val="nil"/>
              <w:bottom w:val="nil"/>
              <w:right w:val="nil"/>
            </w:tcBorders>
            <w:shd w:val="clear" w:color="000000" w:fill="7F7F7F"/>
            <w:noWrap/>
            <w:vAlign w:val="center"/>
            <w:hideMark/>
          </w:tcPr>
          <w:p w:rsidR="004110E9" w:rsidRPr="004110E9" w:rsidRDefault="004110E9" w:rsidP="004110E9">
            <w:pPr>
              <w:rPr>
                <w:rFonts w:cs="Arial"/>
                <w:color w:val="FFFFFF"/>
                <w:szCs w:val="18"/>
                <w:lang w:eastAsia="en-AU"/>
              </w:rPr>
            </w:pPr>
            <w:r w:rsidRPr="004110E9">
              <w:rPr>
                <w:rFonts w:cs="Arial"/>
                <w:color w:val="FFFFFF"/>
                <w:szCs w:val="18"/>
                <w:lang w:eastAsia="en-AU"/>
              </w:rPr>
              <w:t> </w:t>
            </w:r>
          </w:p>
        </w:tc>
        <w:tc>
          <w:tcPr>
            <w:tcW w:w="915" w:type="dxa"/>
            <w:tcBorders>
              <w:top w:val="nil"/>
              <w:left w:val="nil"/>
              <w:bottom w:val="nil"/>
              <w:right w:val="nil"/>
            </w:tcBorders>
            <w:shd w:val="clear" w:color="000000" w:fill="7F7F7F"/>
            <w:noWrap/>
            <w:vAlign w:val="center"/>
            <w:hideMark/>
          </w:tcPr>
          <w:p w:rsidR="004110E9" w:rsidRPr="004110E9" w:rsidRDefault="004110E9" w:rsidP="004110E9">
            <w:pPr>
              <w:jc w:val="right"/>
              <w:rPr>
                <w:rFonts w:cs="Arial"/>
                <w:b/>
                <w:bCs/>
                <w:color w:val="FFFFFF"/>
                <w:szCs w:val="18"/>
                <w:lang w:eastAsia="en-AU"/>
              </w:rPr>
            </w:pPr>
            <w:r w:rsidRPr="004110E9">
              <w:rPr>
                <w:rFonts w:cs="Arial"/>
                <w:b/>
                <w:bCs/>
                <w:color w:val="FFFFFF"/>
                <w:szCs w:val="18"/>
                <w:lang w:eastAsia="en-AU"/>
              </w:rPr>
              <w:t>2010</w:t>
            </w:r>
          </w:p>
        </w:tc>
        <w:tc>
          <w:tcPr>
            <w:tcW w:w="916" w:type="dxa"/>
            <w:tcBorders>
              <w:top w:val="nil"/>
              <w:left w:val="nil"/>
              <w:bottom w:val="nil"/>
              <w:right w:val="nil"/>
            </w:tcBorders>
            <w:shd w:val="clear" w:color="000000" w:fill="7F7F7F"/>
            <w:noWrap/>
            <w:vAlign w:val="center"/>
            <w:hideMark/>
          </w:tcPr>
          <w:p w:rsidR="004110E9" w:rsidRPr="004110E9" w:rsidRDefault="004110E9" w:rsidP="004110E9">
            <w:pPr>
              <w:jc w:val="right"/>
              <w:rPr>
                <w:rFonts w:cs="Arial"/>
                <w:b/>
                <w:bCs/>
                <w:color w:val="FFFFFF"/>
                <w:szCs w:val="18"/>
                <w:lang w:eastAsia="en-AU"/>
              </w:rPr>
            </w:pPr>
            <w:r w:rsidRPr="004110E9">
              <w:rPr>
                <w:rFonts w:cs="Arial"/>
                <w:b/>
                <w:bCs/>
                <w:color w:val="FFFFFF"/>
                <w:szCs w:val="18"/>
                <w:lang w:eastAsia="en-AU"/>
              </w:rPr>
              <w:t>2011</w:t>
            </w:r>
          </w:p>
        </w:tc>
        <w:tc>
          <w:tcPr>
            <w:tcW w:w="916" w:type="dxa"/>
            <w:tcBorders>
              <w:top w:val="nil"/>
              <w:left w:val="nil"/>
              <w:bottom w:val="nil"/>
              <w:right w:val="nil"/>
            </w:tcBorders>
            <w:shd w:val="clear" w:color="000000" w:fill="7F7F7F"/>
            <w:noWrap/>
            <w:vAlign w:val="center"/>
            <w:hideMark/>
          </w:tcPr>
          <w:p w:rsidR="004110E9" w:rsidRPr="004110E9" w:rsidRDefault="004110E9" w:rsidP="004110E9">
            <w:pPr>
              <w:jc w:val="right"/>
              <w:rPr>
                <w:rFonts w:cs="Arial"/>
                <w:b/>
                <w:bCs/>
                <w:color w:val="FFFFFF"/>
                <w:szCs w:val="18"/>
                <w:lang w:eastAsia="en-AU"/>
              </w:rPr>
            </w:pPr>
            <w:r w:rsidRPr="004110E9">
              <w:rPr>
                <w:rFonts w:cs="Arial"/>
                <w:b/>
                <w:bCs/>
                <w:color w:val="FFFFFF"/>
                <w:szCs w:val="18"/>
                <w:lang w:eastAsia="en-AU"/>
              </w:rPr>
              <w:t>2012</w:t>
            </w:r>
          </w:p>
        </w:tc>
        <w:tc>
          <w:tcPr>
            <w:tcW w:w="916" w:type="dxa"/>
            <w:tcBorders>
              <w:top w:val="nil"/>
              <w:left w:val="nil"/>
              <w:bottom w:val="nil"/>
              <w:right w:val="nil"/>
            </w:tcBorders>
            <w:shd w:val="clear" w:color="000000" w:fill="7F7F7F"/>
            <w:noWrap/>
            <w:vAlign w:val="center"/>
            <w:hideMark/>
          </w:tcPr>
          <w:p w:rsidR="004110E9" w:rsidRPr="004110E9" w:rsidRDefault="004110E9" w:rsidP="004110E9">
            <w:pPr>
              <w:jc w:val="right"/>
              <w:rPr>
                <w:rFonts w:cs="Arial"/>
                <w:b/>
                <w:bCs/>
                <w:color w:val="FFFFFF"/>
                <w:szCs w:val="18"/>
                <w:lang w:eastAsia="en-AU"/>
              </w:rPr>
            </w:pPr>
            <w:r w:rsidRPr="004110E9">
              <w:rPr>
                <w:rFonts w:cs="Arial"/>
                <w:b/>
                <w:bCs/>
                <w:color w:val="FFFFFF"/>
                <w:szCs w:val="18"/>
                <w:lang w:eastAsia="en-AU"/>
              </w:rPr>
              <w:t>2013</w:t>
            </w:r>
          </w:p>
        </w:tc>
        <w:tc>
          <w:tcPr>
            <w:tcW w:w="916" w:type="dxa"/>
            <w:tcBorders>
              <w:top w:val="nil"/>
              <w:left w:val="nil"/>
              <w:bottom w:val="nil"/>
              <w:right w:val="nil"/>
            </w:tcBorders>
            <w:shd w:val="clear" w:color="000000" w:fill="7F7F7F"/>
            <w:noWrap/>
            <w:vAlign w:val="center"/>
            <w:hideMark/>
          </w:tcPr>
          <w:p w:rsidR="004110E9" w:rsidRPr="004110E9" w:rsidRDefault="004110E9" w:rsidP="004110E9">
            <w:pPr>
              <w:jc w:val="right"/>
              <w:rPr>
                <w:rFonts w:cs="Arial"/>
                <w:b/>
                <w:bCs/>
                <w:color w:val="FFFFFF"/>
                <w:szCs w:val="18"/>
                <w:lang w:eastAsia="en-AU"/>
              </w:rPr>
            </w:pPr>
            <w:r w:rsidRPr="004110E9">
              <w:rPr>
                <w:rFonts w:cs="Arial"/>
                <w:b/>
                <w:bCs/>
                <w:color w:val="FFFFFF"/>
                <w:szCs w:val="18"/>
                <w:lang w:eastAsia="en-AU"/>
              </w:rPr>
              <w:t>2014</w:t>
            </w:r>
          </w:p>
        </w:tc>
        <w:tc>
          <w:tcPr>
            <w:tcW w:w="916" w:type="dxa"/>
            <w:tcBorders>
              <w:top w:val="nil"/>
              <w:left w:val="nil"/>
              <w:bottom w:val="nil"/>
              <w:right w:val="nil"/>
            </w:tcBorders>
            <w:shd w:val="clear" w:color="000000" w:fill="7F7F7F"/>
            <w:noWrap/>
            <w:vAlign w:val="center"/>
            <w:hideMark/>
          </w:tcPr>
          <w:p w:rsidR="004110E9" w:rsidRPr="004110E9" w:rsidRDefault="004110E9" w:rsidP="004110E9">
            <w:pPr>
              <w:jc w:val="right"/>
              <w:rPr>
                <w:rFonts w:cs="Arial"/>
                <w:b/>
                <w:bCs/>
                <w:color w:val="FFFFFF"/>
                <w:szCs w:val="18"/>
                <w:lang w:eastAsia="en-AU"/>
              </w:rPr>
            </w:pPr>
            <w:r w:rsidRPr="004110E9">
              <w:rPr>
                <w:rFonts w:cs="Arial"/>
                <w:b/>
                <w:bCs/>
                <w:color w:val="FFFFFF"/>
                <w:szCs w:val="18"/>
                <w:lang w:eastAsia="en-AU"/>
              </w:rPr>
              <w:t>2015</w:t>
            </w:r>
          </w:p>
        </w:tc>
      </w:tr>
      <w:tr w:rsidR="004110E9" w:rsidRPr="004110E9" w:rsidTr="00671FB7">
        <w:trPr>
          <w:trHeight w:val="480"/>
        </w:trPr>
        <w:tc>
          <w:tcPr>
            <w:tcW w:w="2600" w:type="dxa"/>
            <w:tcBorders>
              <w:top w:val="nil"/>
              <w:left w:val="nil"/>
              <w:bottom w:val="nil"/>
              <w:right w:val="nil"/>
            </w:tcBorders>
            <w:shd w:val="clear" w:color="auto" w:fill="auto"/>
            <w:vAlign w:val="center"/>
            <w:hideMark/>
          </w:tcPr>
          <w:p w:rsidR="004110E9" w:rsidRPr="004110E9" w:rsidRDefault="004110E9" w:rsidP="004110E9">
            <w:pPr>
              <w:rPr>
                <w:rFonts w:cs="Arial"/>
                <w:color w:val="7F7F7F"/>
                <w:szCs w:val="18"/>
                <w:lang w:eastAsia="en-AU"/>
              </w:rPr>
            </w:pPr>
            <w:r w:rsidRPr="004110E9">
              <w:rPr>
                <w:rFonts w:cs="Arial"/>
                <w:color w:val="7F7F7F"/>
                <w:szCs w:val="18"/>
                <w:lang w:eastAsia="en-AU"/>
              </w:rPr>
              <w:t>Accommodation and Food Services</w:t>
            </w:r>
          </w:p>
        </w:tc>
        <w:tc>
          <w:tcPr>
            <w:tcW w:w="915" w:type="dxa"/>
            <w:tcBorders>
              <w:top w:val="nil"/>
              <w:left w:val="nil"/>
              <w:bottom w:val="nil"/>
              <w:right w:val="nil"/>
            </w:tcBorders>
            <w:shd w:val="clear" w:color="auto" w:fill="auto"/>
            <w:noWrap/>
            <w:vAlign w:val="center"/>
            <w:hideMark/>
          </w:tcPr>
          <w:p w:rsidR="004110E9" w:rsidRPr="004110E9" w:rsidRDefault="004110E9" w:rsidP="004110E9">
            <w:pPr>
              <w:jc w:val="right"/>
              <w:rPr>
                <w:rFonts w:cs="Arial"/>
                <w:color w:val="7F7F7F"/>
                <w:szCs w:val="18"/>
                <w:lang w:eastAsia="en-AU"/>
              </w:rPr>
            </w:pPr>
            <w:r w:rsidRPr="004110E9">
              <w:rPr>
                <w:rFonts w:cs="Arial"/>
                <w:color w:val="7F7F7F"/>
                <w:szCs w:val="18"/>
                <w:lang w:eastAsia="en-AU"/>
              </w:rPr>
              <w:t>2,149</w:t>
            </w:r>
          </w:p>
        </w:tc>
        <w:tc>
          <w:tcPr>
            <w:tcW w:w="916" w:type="dxa"/>
            <w:tcBorders>
              <w:top w:val="nil"/>
              <w:left w:val="nil"/>
              <w:bottom w:val="nil"/>
              <w:right w:val="nil"/>
            </w:tcBorders>
            <w:shd w:val="clear" w:color="auto" w:fill="auto"/>
            <w:noWrap/>
            <w:vAlign w:val="center"/>
            <w:hideMark/>
          </w:tcPr>
          <w:p w:rsidR="004110E9" w:rsidRPr="004110E9" w:rsidRDefault="004110E9" w:rsidP="004110E9">
            <w:pPr>
              <w:jc w:val="right"/>
              <w:rPr>
                <w:rFonts w:cs="Arial"/>
                <w:color w:val="7F7F7F"/>
                <w:szCs w:val="18"/>
                <w:lang w:eastAsia="en-AU"/>
              </w:rPr>
            </w:pPr>
            <w:r w:rsidRPr="004110E9">
              <w:rPr>
                <w:rFonts w:cs="Arial"/>
                <w:color w:val="7F7F7F"/>
                <w:szCs w:val="18"/>
                <w:lang w:eastAsia="en-AU"/>
              </w:rPr>
              <w:t>2,102</w:t>
            </w:r>
          </w:p>
        </w:tc>
        <w:tc>
          <w:tcPr>
            <w:tcW w:w="916" w:type="dxa"/>
            <w:tcBorders>
              <w:top w:val="nil"/>
              <w:left w:val="nil"/>
              <w:bottom w:val="nil"/>
              <w:right w:val="nil"/>
            </w:tcBorders>
            <w:shd w:val="clear" w:color="auto" w:fill="auto"/>
            <w:noWrap/>
            <w:vAlign w:val="center"/>
            <w:hideMark/>
          </w:tcPr>
          <w:p w:rsidR="004110E9" w:rsidRPr="004110E9" w:rsidRDefault="004110E9" w:rsidP="004110E9">
            <w:pPr>
              <w:jc w:val="right"/>
              <w:rPr>
                <w:rFonts w:cs="Arial"/>
                <w:color w:val="7F7F7F"/>
                <w:szCs w:val="18"/>
                <w:lang w:eastAsia="en-AU"/>
              </w:rPr>
            </w:pPr>
            <w:r w:rsidRPr="004110E9">
              <w:rPr>
                <w:rFonts w:cs="Arial"/>
                <w:color w:val="7F7F7F"/>
                <w:szCs w:val="18"/>
                <w:lang w:eastAsia="en-AU"/>
              </w:rPr>
              <w:t>2,087</w:t>
            </w:r>
          </w:p>
        </w:tc>
        <w:tc>
          <w:tcPr>
            <w:tcW w:w="916" w:type="dxa"/>
            <w:tcBorders>
              <w:top w:val="nil"/>
              <w:left w:val="nil"/>
              <w:bottom w:val="nil"/>
              <w:right w:val="nil"/>
            </w:tcBorders>
            <w:shd w:val="clear" w:color="auto" w:fill="auto"/>
            <w:noWrap/>
            <w:vAlign w:val="center"/>
            <w:hideMark/>
          </w:tcPr>
          <w:p w:rsidR="004110E9" w:rsidRPr="004110E9" w:rsidRDefault="004110E9" w:rsidP="004110E9">
            <w:pPr>
              <w:jc w:val="right"/>
              <w:rPr>
                <w:rFonts w:cs="Arial"/>
                <w:color w:val="7F7F7F"/>
                <w:szCs w:val="18"/>
                <w:lang w:eastAsia="en-AU"/>
              </w:rPr>
            </w:pPr>
            <w:r w:rsidRPr="004110E9">
              <w:rPr>
                <w:rFonts w:cs="Arial"/>
                <w:color w:val="7F7F7F"/>
                <w:szCs w:val="18"/>
                <w:lang w:eastAsia="en-AU"/>
              </w:rPr>
              <w:t>1,976</w:t>
            </w:r>
          </w:p>
        </w:tc>
        <w:tc>
          <w:tcPr>
            <w:tcW w:w="916" w:type="dxa"/>
            <w:tcBorders>
              <w:top w:val="nil"/>
              <w:left w:val="nil"/>
              <w:bottom w:val="nil"/>
              <w:right w:val="nil"/>
            </w:tcBorders>
            <w:shd w:val="clear" w:color="auto" w:fill="auto"/>
            <w:noWrap/>
            <w:vAlign w:val="center"/>
            <w:hideMark/>
          </w:tcPr>
          <w:p w:rsidR="004110E9" w:rsidRPr="004110E9" w:rsidRDefault="004110E9" w:rsidP="004110E9">
            <w:pPr>
              <w:jc w:val="right"/>
              <w:rPr>
                <w:rFonts w:cs="Arial"/>
                <w:color w:val="7F7F7F"/>
                <w:szCs w:val="18"/>
                <w:lang w:eastAsia="en-AU"/>
              </w:rPr>
            </w:pPr>
            <w:r w:rsidRPr="004110E9">
              <w:rPr>
                <w:rFonts w:cs="Arial"/>
                <w:color w:val="7F7F7F"/>
                <w:szCs w:val="18"/>
                <w:lang w:eastAsia="en-AU"/>
              </w:rPr>
              <w:t>2,582</w:t>
            </w:r>
          </w:p>
        </w:tc>
        <w:tc>
          <w:tcPr>
            <w:tcW w:w="916" w:type="dxa"/>
            <w:tcBorders>
              <w:top w:val="nil"/>
              <w:left w:val="nil"/>
              <w:bottom w:val="nil"/>
              <w:right w:val="nil"/>
            </w:tcBorders>
            <w:shd w:val="clear" w:color="auto" w:fill="auto"/>
            <w:noWrap/>
            <w:vAlign w:val="center"/>
            <w:hideMark/>
          </w:tcPr>
          <w:p w:rsidR="004110E9" w:rsidRPr="004110E9" w:rsidRDefault="004110E9" w:rsidP="004110E9">
            <w:pPr>
              <w:jc w:val="right"/>
              <w:rPr>
                <w:rFonts w:cs="Arial"/>
                <w:color w:val="7F7F7F"/>
                <w:szCs w:val="18"/>
                <w:lang w:eastAsia="en-AU"/>
              </w:rPr>
            </w:pPr>
            <w:r w:rsidRPr="004110E9">
              <w:rPr>
                <w:rFonts w:cs="Arial"/>
                <w:color w:val="7F7F7F"/>
                <w:szCs w:val="18"/>
                <w:lang w:eastAsia="en-AU"/>
              </w:rPr>
              <w:t>2,576</w:t>
            </w:r>
          </w:p>
        </w:tc>
      </w:tr>
      <w:tr w:rsidR="004110E9" w:rsidRPr="004110E9" w:rsidTr="00671FB7">
        <w:trPr>
          <w:trHeight w:val="480"/>
        </w:trPr>
        <w:tc>
          <w:tcPr>
            <w:tcW w:w="2600" w:type="dxa"/>
            <w:tcBorders>
              <w:top w:val="nil"/>
              <w:left w:val="nil"/>
              <w:bottom w:val="nil"/>
              <w:right w:val="nil"/>
            </w:tcBorders>
            <w:shd w:val="clear" w:color="auto" w:fill="auto"/>
            <w:vAlign w:val="center"/>
            <w:hideMark/>
          </w:tcPr>
          <w:p w:rsidR="004110E9" w:rsidRPr="004110E9" w:rsidRDefault="004110E9" w:rsidP="004110E9">
            <w:pPr>
              <w:rPr>
                <w:rFonts w:cs="Arial"/>
                <w:color w:val="7F7F7F"/>
                <w:szCs w:val="18"/>
                <w:lang w:eastAsia="en-AU"/>
              </w:rPr>
            </w:pPr>
            <w:r w:rsidRPr="004110E9">
              <w:rPr>
                <w:rFonts w:cs="Arial"/>
                <w:color w:val="7F7F7F"/>
                <w:szCs w:val="18"/>
                <w:lang w:eastAsia="en-AU"/>
              </w:rPr>
              <w:t>Administrative and Support Services</w:t>
            </w:r>
          </w:p>
        </w:tc>
        <w:tc>
          <w:tcPr>
            <w:tcW w:w="915" w:type="dxa"/>
            <w:tcBorders>
              <w:top w:val="nil"/>
              <w:left w:val="nil"/>
              <w:bottom w:val="nil"/>
              <w:right w:val="nil"/>
            </w:tcBorders>
            <w:shd w:val="clear" w:color="auto" w:fill="auto"/>
            <w:noWrap/>
            <w:vAlign w:val="center"/>
            <w:hideMark/>
          </w:tcPr>
          <w:p w:rsidR="004110E9" w:rsidRPr="004110E9" w:rsidRDefault="004110E9" w:rsidP="004110E9">
            <w:pPr>
              <w:jc w:val="right"/>
              <w:rPr>
                <w:rFonts w:cs="Arial"/>
                <w:color w:val="7F7F7F"/>
                <w:szCs w:val="18"/>
                <w:lang w:eastAsia="en-AU"/>
              </w:rPr>
            </w:pPr>
            <w:r w:rsidRPr="004110E9">
              <w:rPr>
                <w:rFonts w:cs="Arial"/>
                <w:color w:val="7F7F7F"/>
                <w:szCs w:val="18"/>
                <w:lang w:eastAsia="en-AU"/>
              </w:rPr>
              <w:t>403</w:t>
            </w:r>
          </w:p>
        </w:tc>
        <w:tc>
          <w:tcPr>
            <w:tcW w:w="916" w:type="dxa"/>
            <w:tcBorders>
              <w:top w:val="nil"/>
              <w:left w:val="nil"/>
              <w:bottom w:val="nil"/>
              <w:right w:val="nil"/>
            </w:tcBorders>
            <w:shd w:val="clear" w:color="auto" w:fill="auto"/>
            <w:noWrap/>
            <w:vAlign w:val="center"/>
            <w:hideMark/>
          </w:tcPr>
          <w:p w:rsidR="004110E9" w:rsidRPr="004110E9" w:rsidRDefault="004110E9" w:rsidP="004110E9">
            <w:pPr>
              <w:jc w:val="right"/>
              <w:rPr>
                <w:rFonts w:cs="Arial"/>
                <w:color w:val="7F7F7F"/>
                <w:szCs w:val="18"/>
                <w:lang w:eastAsia="en-AU"/>
              </w:rPr>
            </w:pPr>
            <w:r w:rsidRPr="004110E9">
              <w:rPr>
                <w:rFonts w:cs="Arial"/>
                <w:color w:val="7F7F7F"/>
                <w:szCs w:val="18"/>
                <w:lang w:eastAsia="en-AU"/>
              </w:rPr>
              <w:t>457</w:t>
            </w:r>
          </w:p>
        </w:tc>
        <w:tc>
          <w:tcPr>
            <w:tcW w:w="916" w:type="dxa"/>
            <w:tcBorders>
              <w:top w:val="nil"/>
              <w:left w:val="nil"/>
              <w:bottom w:val="nil"/>
              <w:right w:val="nil"/>
            </w:tcBorders>
            <w:shd w:val="clear" w:color="auto" w:fill="auto"/>
            <w:noWrap/>
            <w:vAlign w:val="center"/>
            <w:hideMark/>
          </w:tcPr>
          <w:p w:rsidR="004110E9" w:rsidRPr="004110E9" w:rsidRDefault="004110E9" w:rsidP="004110E9">
            <w:pPr>
              <w:jc w:val="right"/>
              <w:rPr>
                <w:rFonts w:cs="Arial"/>
                <w:color w:val="7F7F7F"/>
                <w:szCs w:val="18"/>
                <w:lang w:eastAsia="en-AU"/>
              </w:rPr>
            </w:pPr>
            <w:r w:rsidRPr="004110E9">
              <w:rPr>
                <w:rFonts w:cs="Arial"/>
                <w:color w:val="7F7F7F"/>
                <w:szCs w:val="18"/>
                <w:lang w:eastAsia="en-AU"/>
              </w:rPr>
              <w:t>447</w:t>
            </w:r>
          </w:p>
        </w:tc>
        <w:tc>
          <w:tcPr>
            <w:tcW w:w="916" w:type="dxa"/>
            <w:tcBorders>
              <w:top w:val="nil"/>
              <w:left w:val="nil"/>
              <w:bottom w:val="nil"/>
              <w:right w:val="nil"/>
            </w:tcBorders>
            <w:shd w:val="clear" w:color="auto" w:fill="auto"/>
            <w:noWrap/>
            <w:vAlign w:val="center"/>
            <w:hideMark/>
          </w:tcPr>
          <w:p w:rsidR="004110E9" w:rsidRPr="004110E9" w:rsidRDefault="004110E9" w:rsidP="004110E9">
            <w:pPr>
              <w:jc w:val="right"/>
              <w:rPr>
                <w:rFonts w:cs="Arial"/>
                <w:color w:val="7F7F7F"/>
                <w:szCs w:val="18"/>
                <w:lang w:eastAsia="en-AU"/>
              </w:rPr>
            </w:pPr>
            <w:r w:rsidRPr="004110E9">
              <w:rPr>
                <w:rFonts w:cs="Arial"/>
                <w:color w:val="7F7F7F"/>
                <w:szCs w:val="18"/>
                <w:lang w:eastAsia="en-AU"/>
              </w:rPr>
              <w:t>254</w:t>
            </w:r>
          </w:p>
        </w:tc>
        <w:tc>
          <w:tcPr>
            <w:tcW w:w="916" w:type="dxa"/>
            <w:tcBorders>
              <w:top w:val="nil"/>
              <w:left w:val="nil"/>
              <w:bottom w:val="nil"/>
              <w:right w:val="nil"/>
            </w:tcBorders>
            <w:shd w:val="clear" w:color="auto" w:fill="auto"/>
            <w:noWrap/>
            <w:vAlign w:val="center"/>
            <w:hideMark/>
          </w:tcPr>
          <w:p w:rsidR="004110E9" w:rsidRPr="004110E9" w:rsidRDefault="004110E9" w:rsidP="004110E9">
            <w:pPr>
              <w:jc w:val="right"/>
              <w:rPr>
                <w:rFonts w:cs="Arial"/>
                <w:color w:val="7F7F7F"/>
                <w:szCs w:val="18"/>
                <w:lang w:eastAsia="en-AU"/>
              </w:rPr>
            </w:pPr>
            <w:r w:rsidRPr="004110E9">
              <w:rPr>
                <w:rFonts w:cs="Arial"/>
                <w:color w:val="7F7F7F"/>
                <w:szCs w:val="18"/>
                <w:lang w:eastAsia="en-AU"/>
              </w:rPr>
              <w:t>105</w:t>
            </w:r>
          </w:p>
        </w:tc>
        <w:tc>
          <w:tcPr>
            <w:tcW w:w="916" w:type="dxa"/>
            <w:tcBorders>
              <w:top w:val="nil"/>
              <w:left w:val="nil"/>
              <w:bottom w:val="nil"/>
              <w:right w:val="nil"/>
            </w:tcBorders>
            <w:shd w:val="clear" w:color="auto" w:fill="auto"/>
            <w:noWrap/>
            <w:vAlign w:val="center"/>
            <w:hideMark/>
          </w:tcPr>
          <w:p w:rsidR="004110E9" w:rsidRPr="004110E9" w:rsidRDefault="004110E9" w:rsidP="004110E9">
            <w:pPr>
              <w:jc w:val="right"/>
              <w:rPr>
                <w:rFonts w:cs="Arial"/>
                <w:color w:val="7F7F7F"/>
                <w:szCs w:val="18"/>
                <w:lang w:eastAsia="en-AU"/>
              </w:rPr>
            </w:pPr>
            <w:r w:rsidRPr="004110E9">
              <w:rPr>
                <w:rFonts w:cs="Arial"/>
                <w:color w:val="7F7F7F"/>
                <w:szCs w:val="18"/>
                <w:lang w:eastAsia="en-AU"/>
              </w:rPr>
              <w:t>15</w:t>
            </w:r>
          </w:p>
        </w:tc>
      </w:tr>
      <w:tr w:rsidR="004110E9" w:rsidRPr="004110E9" w:rsidTr="00671FB7">
        <w:trPr>
          <w:trHeight w:val="480"/>
        </w:trPr>
        <w:tc>
          <w:tcPr>
            <w:tcW w:w="2600" w:type="dxa"/>
            <w:tcBorders>
              <w:top w:val="nil"/>
              <w:left w:val="nil"/>
              <w:bottom w:val="nil"/>
              <w:right w:val="nil"/>
            </w:tcBorders>
            <w:shd w:val="clear" w:color="auto" w:fill="auto"/>
            <w:vAlign w:val="center"/>
            <w:hideMark/>
          </w:tcPr>
          <w:p w:rsidR="004110E9" w:rsidRPr="004110E9" w:rsidRDefault="004110E9" w:rsidP="004110E9">
            <w:pPr>
              <w:rPr>
                <w:rFonts w:cs="Arial"/>
                <w:color w:val="7F7F7F"/>
                <w:szCs w:val="18"/>
                <w:lang w:eastAsia="en-AU"/>
              </w:rPr>
            </w:pPr>
            <w:r w:rsidRPr="004110E9">
              <w:rPr>
                <w:rFonts w:cs="Arial"/>
                <w:color w:val="7F7F7F"/>
                <w:szCs w:val="18"/>
                <w:lang w:eastAsia="en-AU"/>
              </w:rPr>
              <w:t>Agriculture, Forestry and Fishing</w:t>
            </w:r>
          </w:p>
        </w:tc>
        <w:tc>
          <w:tcPr>
            <w:tcW w:w="915" w:type="dxa"/>
            <w:tcBorders>
              <w:top w:val="nil"/>
              <w:left w:val="nil"/>
              <w:bottom w:val="nil"/>
              <w:right w:val="nil"/>
            </w:tcBorders>
            <w:shd w:val="clear" w:color="auto" w:fill="auto"/>
            <w:noWrap/>
            <w:vAlign w:val="center"/>
            <w:hideMark/>
          </w:tcPr>
          <w:p w:rsidR="004110E9" w:rsidRPr="004110E9" w:rsidRDefault="004110E9" w:rsidP="004110E9">
            <w:pPr>
              <w:jc w:val="right"/>
              <w:rPr>
                <w:rFonts w:cs="Arial"/>
                <w:color w:val="7F7F7F"/>
                <w:szCs w:val="18"/>
                <w:lang w:eastAsia="en-AU"/>
              </w:rPr>
            </w:pPr>
            <w:r w:rsidRPr="004110E9">
              <w:rPr>
                <w:rFonts w:cs="Arial"/>
                <w:color w:val="7F7F7F"/>
                <w:szCs w:val="18"/>
                <w:lang w:eastAsia="en-AU"/>
              </w:rPr>
              <w:t>25</w:t>
            </w:r>
          </w:p>
        </w:tc>
        <w:tc>
          <w:tcPr>
            <w:tcW w:w="916" w:type="dxa"/>
            <w:tcBorders>
              <w:top w:val="nil"/>
              <w:left w:val="nil"/>
              <w:bottom w:val="nil"/>
              <w:right w:val="nil"/>
            </w:tcBorders>
            <w:shd w:val="clear" w:color="auto" w:fill="auto"/>
            <w:noWrap/>
            <w:vAlign w:val="center"/>
            <w:hideMark/>
          </w:tcPr>
          <w:p w:rsidR="004110E9" w:rsidRPr="004110E9" w:rsidRDefault="004110E9" w:rsidP="004110E9">
            <w:pPr>
              <w:jc w:val="right"/>
              <w:rPr>
                <w:rFonts w:cs="Arial"/>
                <w:color w:val="7F7F7F"/>
                <w:szCs w:val="18"/>
                <w:lang w:eastAsia="en-AU"/>
              </w:rPr>
            </w:pPr>
            <w:r w:rsidRPr="004110E9">
              <w:rPr>
                <w:rFonts w:cs="Arial"/>
                <w:color w:val="7F7F7F"/>
                <w:szCs w:val="18"/>
                <w:lang w:eastAsia="en-AU"/>
              </w:rPr>
              <w:t>33</w:t>
            </w:r>
          </w:p>
        </w:tc>
        <w:tc>
          <w:tcPr>
            <w:tcW w:w="916" w:type="dxa"/>
            <w:tcBorders>
              <w:top w:val="nil"/>
              <w:left w:val="nil"/>
              <w:bottom w:val="nil"/>
              <w:right w:val="nil"/>
            </w:tcBorders>
            <w:shd w:val="clear" w:color="auto" w:fill="auto"/>
            <w:noWrap/>
            <w:vAlign w:val="center"/>
            <w:hideMark/>
          </w:tcPr>
          <w:p w:rsidR="004110E9" w:rsidRPr="004110E9" w:rsidRDefault="004110E9" w:rsidP="004110E9">
            <w:pPr>
              <w:jc w:val="right"/>
              <w:rPr>
                <w:rFonts w:cs="Arial"/>
                <w:color w:val="7F7F7F"/>
                <w:szCs w:val="18"/>
                <w:lang w:eastAsia="en-AU"/>
              </w:rPr>
            </w:pPr>
            <w:r w:rsidRPr="004110E9">
              <w:rPr>
                <w:rFonts w:cs="Arial"/>
                <w:color w:val="7F7F7F"/>
                <w:szCs w:val="18"/>
                <w:lang w:eastAsia="en-AU"/>
              </w:rPr>
              <w:t>38</w:t>
            </w:r>
          </w:p>
        </w:tc>
        <w:tc>
          <w:tcPr>
            <w:tcW w:w="916" w:type="dxa"/>
            <w:tcBorders>
              <w:top w:val="nil"/>
              <w:left w:val="nil"/>
              <w:bottom w:val="nil"/>
              <w:right w:val="nil"/>
            </w:tcBorders>
            <w:shd w:val="clear" w:color="auto" w:fill="auto"/>
            <w:noWrap/>
            <w:vAlign w:val="center"/>
            <w:hideMark/>
          </w:tcPr>
          <w:p w:rsidR="004110E9" w:rsidRPr="004110E9" w:rsidRDefault="004110E9" w:rsidP="004110E9">
            <w:pPr>
              <w:jc w:val="right"/>
              <w:rPr>
                <w:rFonts w:cs="Arial"/>
                <w:color w:val="7F7F7F"/>
                <w:szCs w:val="18"/>
                <w:lang w:eastAsia="en-AU"/>
              </w:rPr>
            </w:pPr>
            <w:r w:rsidRPr="004110E9">
              <w:rPr>
                <w:rFonts w:cs="Arial"/>
                <w:color w:val="7F7F7F"/>
                <w:szCs w:val="18"/>
                <w:lang w:eastAsia="en-AU"/>
              </w:rPr>
              <w:t>69</w:t>
            </w:r>
          </w:p>
        </w:tc>
        <w:tc>
          <w:tcPr>
            <w:tcW w:w="916" w:type="dxa"/>
            <w:tcBorders>
              <w:top w:val="nil"/>
              <w:left w:val="nil"/>
              <w:bottom w:val="nil"/>
              <w:right w:val="nil"/>
            </w:tcBorders>
            <w:shd w:val="clear" w:color="auto" w:fill="auto"/>
            <w:noWrap/>
            <w:vAlign w:val="center"/>
            <w:hideMark/>
          </w:tcPr>
          <w:p w:rsidR="004110E9" w:rsidRPr="004110E9" w:rsidRDefault="004110E9" w:rsidP="004110E9">
            <w:pPr>
              <w:jc w:val="right"/>
              <w:rPr>
                <w:rFonts w:cs="Arial"/>
                <w:color w:val="7F7F7F"/>
                <w:szCs w:val="18"/>
                <w:lang w:eastAsia="en-AU"/>
              </w:rPr>
            </w:pPr>
            <w:r w:rsidRPr="004110E9">
              <w:rPr>
                <w:rFonts w:cs="Arial"/>
                <w:color w:val="7F7F7F"/>
                <w:szCs w:val="18"/>
                <w:lang w:eastAsia="en-AU"/>
              </w:rPr>
              <w:t>121</w:t>
            </w:r>
          </w:p>
        </w:tc>
        <w:tc>
          <w:tcPr>
            <w:tcW w:w="916" w:type="dxa"/>
            <w:tcBorders>
              <w:top w:val="nil"/>
              <w:left w:val="nil"/>
              <w:bottom w:val="nil"/>
              <w:right w:val="nil"/>
            </w:tcBorders>
            <w:shd w:val="clear" w:color="auto" w:fill="auto"/>
            <w:noWrap/>
            <w:vAlign w:val="center"/>
            <w:hideMark/>
          </w:tcPr>
          <w:p w:rsidR="004110E9" w:rsidRPr="004110E9" w:rsidRDefault="004110E9" w:rsidP="004110E9">
            <w:pPr>
              <w:jc w:val="right"/>
              <w:rPr>
                <w:rFonts w:cs="Arial"/>
                <w:color w:val="7F7F7F"/>
                <w:szCs w:val="18"/>
                <w:lang w:eastAsia="en-AU"/>
              </w:rPr>
            </w:pPr>
            <w:r w:rsidRPr="004110E9">
              <w:rPr>
                <w:rFonts w:cs="Arial"/>
                <w:color w:val="7F7F7F"/>
                <w:szCs w:val="18"/>
                <w:lang w:eastAsia="en-AU"/>
              </w:rPr>
              <w:t>269</w:t>
            </w:r>
          </w:p>
        </w:tc>
      </w:tr>
      <w:tr w:rsidR="004110E9" w:rsidRPr="004110E9" w:rsidTr="00671FB7">
        <w:trPr>
          <w:trHeight w:val="300"/>
        </w:trPr>
        <w:tc>
          <w:tcPr>
            <w:tcW w:w="2600" w:type="dxa"/>
            <w:tcBorders>
              <w:top w:val="nil"/>
              <w:left w:val="nil"/>
              <w:bottom w:val="nil"/>
              <w:right w:val="nil"/>
            </w:tcBorders>
            <w:shd w:val="clear" w:color="auto" w:fill="auto"/>
            <w:vAlign w:val="center"/>
            <w:hideMark/>
          </w:tcPr>
          <w:p w:rsidR="004110E9" w:rsidRPr="004110E9" w:rsidRDefault="004110E9" w:rsidP="004110E9">
            <w:pPr>
              <w:rPr>
                <w:rFonts w:cs="Arial"/>
                <w:color w:val="7F7F7F"/>
                <w:szCs w:val="18"/>
                <w:lang w:eastAsia="en-AU"/>
              </w:rPr>
            </w:pPr>
            <w:r w:rsidRPr="004110E9">
              <w:rPr>
                <w:rFonts w:cs="Arial"/>
                <w:color w:val="7F7F7F"/>
                <w:szCs w:val="18"/>
                <w:lang w:eastAsia="en-AU"/>
              </w:rPr>
              <w:t>Arts and Recreation Services</w:t>
            </w:r>
          </w:p>
        </w:tc>
        <w:tc>
          <w:tcPr>
            <w:tcW w:w="915" w:type="dxa"/>
            <w:tcBorders>
              <w:top w:val="nil"/>
              <w:left w:val="nil"/>
              <w:bottom w:val="nil"/>
              <w:right w:val="nil"/>
            </w:tcBorders>
            <w:shd w:val="clear" w:color="auto" w:fill="auto"/>
            <w:noWrap/>
            <w:vAlign w:val="center"/>
            <w:hideMark/>
          </w:tcPr>
          <w:p w:rsidR="004110E9" w:rsidRPr="004110E9" w:rsidRDefault="004110E9" w:rsidP="004110E9">
            <w:pPr>
              <w:jc w:val="right"/>
              <w:rPr>
                <w:rFonts w:cs="Arial"/>
                <w:color w:val="7F7F7F"/>
                <w:szCs w:val="18"/>
                <w:lang w:eastAsia="en-AU"/>
              </w:rPr>
            </w:pPr>
            <w:r w:rsidRPr="004110E9">
              <w:rPr>
                <w:rFonts w:cs="Arial"/>
                <w:color w:val="7F7F7F"/>
                <w:szCs w:val="18"/>
                <w:lang w:eastAsia="en-AU"/>
              </w:rPr>
              <w:t>477</w:t>
            </w:r>
          </w:p>
        </w:tc>
        <w:tc>
          <w:tcPr>
            <w:tcW w:w="916" w:type="dxa"/>
            <w:tcBorders>
              <w:top w:val="nil"/>
              <w:left w:val="nil"/>
              <w:bottom w:val="nil"/>
              <w:right w:val="nil"/>
            </w:tcBorders>
            <w:shd w:val="clear" w:color="auto" w:fill="auto"/>
            <w:noWrap/>
            <w:vAlign w:val="center"/>
            <w:hideMark/>
          </w:tcPr>
          <w:p w:rsidR="004110E9" w:rsidRPr="004110E9" w:rsidRDefault="004110E9" w:rsidP="004110E9">
            <w:pPr>
              <w:jc w:val="right"/>
              <w:rPr>
                <w:rFonts w:cs="Arial"/>
                <w:color w:val="7F7F7F"/>
                <w:szCs w:val="18"/>
                <w:lang w:eastAsia="en-AU"/>
              </w:rPr>
            </w:pPr>
            <w:r w:rsidRPr="004110E9">
              <w:rPr>
                <w:rFonts w:cs="Arial"/>
                <w:color w:val="7F7F7F"/>
                <w:szCs w:val="18"/>
                <w:lang w:eastAsia="en-AU"/>
              </w:rPr>
              <w:t>531</w:t>
            </w:r>
          </w:p>
        </w:tc>
        <w:tc>
          <w:tcPr>
            <w:tcW w:w="916" w:type="dxa"/>
            <w:tcBorders>
              <w:top w:val="nil"/>
              <w:left w:val="nil"/>
              <w:bottom w:val="nil"/>
              <w:right w:val="nil"/>
            </w:tcBorders>
            <w:shd w:val="clear" w:color="auto" w:fill="auto"/>
            <w:noWrap/>
            <w:vAlign w:val="center"/>
            <w:hideMark/>
          </w:tcPr>
          <w:p w:rsidR="004110E9" w:rsidRPr="004110E9" w:rsidRDefault="004110E9" w:rsidP="004110E9">
            <w:pPr>
              <w:jc w:val="right"/>
              <w:rPr>
                <w:rFonts w:cs="Arial"/>
                <w:color w:val="7F7F7F"/>
                <w:szCs w:val="18"/>
                <w:lang w:eastAsia="en-AU"/>
              </w:rPr>
            </w:pPr>
            <w:r w:rsidRPr="004110E9">
              <w:rPr>
                <w:rFonts w:cs="Arial"/>
                <w:color w:val="7F7F7F"/>
                <w:szCs w:val="18"/>
                <w:lang w:eastAsia="en-AU"/>
              </w:rPr>
              <w:t>559</w:t>
            </w:r>
          </w:p>
        </w:tc>
        <w:tc>
          <w:tcPr>
            <w:tcW w:w="916" w:type="dxa"/>
            <w:tcBorders>
              <w:top w:val="nil"/>
              <w:left w:val="nil"/>
              <w:bottom w:val="nil"/>
              <w:right w:val="nil"/>
            </w:tcBorders>
            <w:shd w:val="clear" w:color="auto" w:fill="auto"/>
            <w:noWrap/>
            <w:vAlign w:val="center"/>
            <w:hideMark/>
          </w:tcPr>
          <w:p w:rsidR="004110E9" w:rsidRPr="004110E9" w:rsidRDefault="004110E9" w:rsidP="004110E9">
            <w:pPr>
              <w:jc w:val="right"/>
              <w:rPr>
                <w:rFonts w:cs="Arial"/>
                <w:color w:val="7F7F7F"/>
                <w:szCs w:val="18"/>
                <w:lang w:eastAsia="en-AU"/>
              </w:rPr>
            </w:pPr>
            <w:r w:rsidRPr="004110E9">
              <w:rPr>
                <w:rFonts w:cs="Arial"/>
                <w:color w:val="7F7F7F"/>
                <w:szCs w:val="18"/>
                <w:lang w:eastAsia="en-AU"/>
              </w:rPr>
              <w:t>523</w:t>
            </w:r>
          </w:p>
        </w:tc>
        <w:tc>
          <w:tcPr>
            <w:tcW w:w="916" w:type="dxa"/>
            <w:tcBorders>
              <w:top w:val="nil"/>
              <w:left w:val="nil"/>
              <w:bottom w:val="nil"/>
              <w:right w:val="nil"/>
            </w:tcBorders>
            <w:shd w:val="clear" w:color="auto" w:fill="auto"/>
            <w:noWrap/>
            <w:vAlign w:val="center"/>
            <w:hideMark/>
          </w:tcPr>
          <w:p w:rsidR="004110E9" w:rsidRPr="004110E9" w:rsidRDefault="004110E9" w:rsidP="004110E9">
            <w:pPr>
              <w:jc w:val="right"/>
              <w:rPr>
                <w:rFonts w:cs="Arial"/>
                <w:color w:val="7F7F7F"/>
                <w:szCs w:val="18"/>
                <w:lang w:eastAsia="en-AU"/>
              </w:rPr>
            </w:pPr>
            <w:r w:rsidRPr="004110E9">
              <w:rPr>
                <w:rFonts w:cs="Arial"/>
                <w:color w:val="7F7F7F"/>
                <w:szCs w:val="18"/>
                <w:lang w:eastAsia="en-AU"/>
              </w:rPr>
              <w:t>473</w:t>
            </w:r>
          </w:p>
        </w:tc>
        <w:tc>
          <w:tcPr>
            <w:tcW w:w="916" w:type="dxa"/>
            <w:tcBorders>
              <w:top w:val="nil"/>
              <w:left w:val="nil"/>
              <w:bottom w:val="nil"/>
              <w:right w:val="nil"/>
            </w:tcBorders>
            <w:shd w:val="clear" w:color="auto" w:fill="auto"/>
            <w:noWrap/>
            <w:vAlign w:val="center"/>
            <w:hideMark/>
          </w:tcPr>
          <w:p w:rsidR="004110E9" w:rsidRPr="004110E9" w:rsidRDefault="004110E9" w:rsidP="004110E9">
            <w:pPr>
              <w:jc w:val="right"/>
              <w:rPr>
                <w:rFonts w:cs="Arial"/>
                <w:color w:val="7F7F7F"/>
                <w:szCs w:val="18"/>
                <w:lang w:eastAsia="en-AU"/>
              </w:rPr>
            </w:pPr>
            <w:r w:rsidRPr="004110E9">
              <w:rPr>
                <w:rFonts w:cs="Arial"/>
                <w:color w:val="7F7F7F"/>
                <w:szCs w:val="18"/>
                <w:lang w:eastAsia="en-AU"/>
              </w:rPr>
              <w:t>535</w:t>
            </w:r>
          </w:p>
        </w:tc>
      </w:tr>
      <w:tr w:rsidR="004110E9" w:rsidRPr="004110E9" w:rsidTr="00671FB7">
        <w:trPr>
          <w:trHeight w:val="300"/>
        </w:trPr>
        <w:tc>
          <w:tcPr>
            <w:tcW w:w="2600" w:type="dxa"/>
            <w:tcBorders>
              <w:top w:val="nil"/>
              <w:left w:val="nil"/>
              <w:bottom w:val="nil"/>
              <w:right w:val="nil"/>
            </w:tcBorders>
            <w:shd w:val="clear" w:color="auto" w:fill="auto"/>
            <w:vAlign w:val="center"/>
            <w:hideMark/>
          </w:tcPr>
          <w:p w:rsidR="004110E9" w:rsidRPr="004110E9" w:rsidRDefault="004110E9" w:rsidP="004110E9">
            <w:pPr>
              <w:rPr>
                <w:rFonts w:cs="Arial"/>
                <w:color w:val="7F7F7F"/>
                <w:szCs w:val="18"/>
                <w:lang w:eastAsia="en-AU"/>
              </w:rPr>
            </w:pPr>
            <w:r w:rsidRPr="004110E9">
              <w:rPr>
                <w:rFonts w:cs="Arial"/>
                <w:color w:val="7F7F7F"/>
                <w:szCs w:val="18"/>
                <w:lang w:eastAsia="en-AU"/>
              </w:rPr>
              <w:t>Construction</w:t>
            </w:r>
          </w:p>
        </w:tc>
        <w:tc>
          <w:tcPr>
            <w:tcW w:w="915" w:type="dxa"/>
            <w:tcBorders>
              <w:top w:val="nil"/>
              <w:left w:val="nil"/>
              <w:bottom w:val="nil"/>
              <w:right w:val="nil"/>
            </w:tcBorders>
            <w:shd w:val="clear" w:color="auto" w:fill="auto"/>
            <w:noWrap/>
            <w:vAlign w:val="center"/>
            <w:hideMark/>
          </w:tcPr>
          <w:p w:rsidR="004110E9" w:rsidRPr="004110E9" w:rsidRDefault="004110E9" w:rsidP="004110E9">
            <w:pPr>
              <w:jc w:val="right"/>
              <w:rPr>
                <w:rFonts w:cs="Arial"/>
                <w:color w:val="7F7F7F"/>
                <w:szCs w:val="18"/>
                <w:lang w:eastAsia="en-AU"/>
              </w:rPr>
            </w:pPr>
            <w:r w:rsidRPr="004110E9">
              <w:rPr>
                <w:rFonts w:cs="Arial"/>
                <w:color w:val="7F7F7F"/>
                <w:szCs w:val="18"/>
                <w:lang w:eastAsia="en-AU"/>
              </w:rPr>
              <w:t>18,935</w:t>
            </w:r>
          </w:p>
        </w:tc>
        <w:tc>
          <w:tcPr>
            <w:tcW w:w="916" w:type="dxa"/>
            <w:tcBorders>
              <w:top w:val="nil"/>
              <w:left w:val="nil"/>
              <w:bottom w:val="nil"/>
              <w:right w:val="nil"/>
            </w:tcBorders>
            <w:shd w:val="clear" w:color="auto" w:fill="auto"/>
            <w:noWrap/>
            <w:vAlign w:val="center"/>
            <w:hideMark/>
          </w:tcPr>
          <w:p w:rsidR="004110E9" w:rsidRPr="004110E9" w:rsidRDefault="004110E9" w:rsidP="004110E9">
            <w:pPr>
              <w:jc w:val="right"/>
              <w:rPr>
                <w:rFonts w:cs="Arial"/>
                <w:color w:val="7F7F7F"/>
                <w:szCs w:val="18"/>
                <w:lang w:eastAsia="en-AU"/>
              </w:rPr>
            </w:pPr>
            <w:r w:rsidRPr="004110E9">
              <w:rPr>
                <w:rFonts w:cs="Arial"/>
                <w:color w:val="7F7F7F"/>
                <w:szCs w:val="18"/>
                <w:lang w:eastAsia="en-AU"/>
              </w:rPr>
              <w:t>21,174</w:t>
            </w:r>
          </w:p>
        </w:tc>
        <w:tc>
          <w:tcPr>
            <w:tcW w:w="916" w:type="dxa"/>
            <w:tcBorders>
              <w:top w:val="nil"/>
              <w:left w:val="nil"/>
              <w:bottom w:val="nil"/>
              <w:right w:val="nil"/>
            </w:tcBorders>
            <w:shd w:val="clear" w:color="auto" w:fill="auto"/>
            <w:noWrap/>
            <w:vAlign w:val="center"/>
            <w:hideMark/>
          </w:tcPr>
          <w:p w:rsidR="004110E9" w:rsidRPr="004110E9" w:rsidRDefault="004110E9" w:rsidP="004110E9">
            <w:pPr>
              <w:jc w:val="right"/>
              <w:rPr>
                <w:rFonts w:cs="Arial"/>
                <w:color w:val="7F7F7F"/>
                <w:szCs w:val="18"/>
                <w:lang w:eastAsia="en-AU"/>
              </w:rPr>
            </w:pPr>
            <w:r w:rsidRPr="004110E9">
              <w:rPr>
                <w:rFonts w:cs="Arial"/>
                <w:color w:val="7F7F7F"/>
                <w:szCs w:val="18"/>
                <w:lang w:eastAsia="en-AU"/>
              </w:rPr>
              <w:t>21,009</w:t>
            </w:r>
          </w:p>
        </w:tc>
        <w:tc>
          <w:tcPr>
            <w:tcW w:w="916" w:type="dxa"/>
            <w:tcBorders>
              <w:top w:val="nil"/>
              <w:left w:val="nil"/>
              <w:bottom w:val="nil"/>
              <w:right w:val="nil"/>
            </w:tcBorders>
            <w:shd w:val="clear" w:color="auto" w:fill="auto"/>
            <w:noWrap/>
            <w:vAlign w:val="center"/>
            <w:hideMark/>
          </w:tcPr>
          <w:p w:rsidR="004110E9" w:rsidRPr="004110E9" w:rsidRDefault="004110E9" w:rsidP="004110E9">
            <w:pPr>
              <w:jc w:val="right"/>
              <w:rPr>
                <w:rFonts w:cs="Arial"/>
                <w:color w:val="7F7F7F"/>
                <w:szCs w:val="18"/>
                <w:lang w:eastAsia="en-AU"/>
              </w:rPr>
            </w:pPr>
            <w:r w:rsidRPr="004110E9">
              <w:rPr>
                <w:rFonts w:cs="Arial"/>
                <w:color w:val="7F7F7F"/>
                <w:szCs w:val="18"/>
                <w:lang w:eastAsia="en-AU"/>
              </w:rPr>
              <w:t>18,980</w:t>
            </w:r>
          </w:p>
        </w:tc>
        <w:tc>
          <w:tcPr>
            <w:tcW w:w="916" w:type="dxa"/>
            <w:tcBorders>
              <w:top w:val="nil"/>
              <w:left w:val="nil"/>
              <w:bottom w:val="nil"/>
              <w:right w:val="nil"/>
            </w:tcBorders>
            <w:shd w:val="clear" w:color="auto" w:fill="auto"/>
            <w:noWrap/>
            <w:vAlign w:val="center"/>
            <w:hideMark/>
          </w:tcPr>
          <w:p w:rsidR="004110E9" w:rsidRPr="004110E9" w:rsidRDefault="004110E9" w:rsidP="004110E9">
            <w:pPr>
              <w:jc w:val="right"/>
              <w:rPr>
                <w:rFonts w:cs="Arial"/>
                <w:color w:val="7F7F7F"/>
                <w:szCs w:val="18"/>
                <w:lang w:eastAsia="en-AU"/>
              </w:rPr>
            </w:pPr>
            <w:r w:rsidRPr="004110E9">
              <w:rPr>
                <w:rFonts w:cs="Arial"/>
                <w:color w:val="7F7F7F"/>
                <w:szCs w:val="18"/>
                <w:lang w:eastAsia="en-AU"/>
              </w:rPr>
              <w:t>18,280</w:t>
            </w:r>
          </w:p>
        </w:tc>
        <w:tc>
          <w:tcPr>
            <w:tcW w:w="916" w:type="dxa"/>
            <w:tcBorders>
              <w:top w:val="nil"/>
              <w:left w:val="nil"/>
              <w:bottom w:val="nil"/>
              <w:right w:val="nil"/>
            </w:tcBorders>
            <w:shd w:val="clear" w:color="auto" w:fill="auto"/>
            <w:noWrap/>
            <w:vAlign w:val="center"/>
            <w:hideMark/>
          </w:tcPr>
          <w:p w:rsidR="004110E9" w:rsidRPr="004110E9" w:rsidRDefault="004110E9" w:rsidP="004110E9">
            <w:pPr>
              <w:jc w:val="right"/>
              <w:rPr>
                <w:rFonts w:cs="Arial"/>
                <w:color w:val="7F7F7F"/>
                <w:szCs w:val="18"/>
                <w:lang w:eastAsia="en-AU"/>
              </w:rPr>
            </w:pPr>
            <w:r w:rsidRPr="004110E9">
              <w:rPr>
                <w:rFonts w:cs="Arial"/>
                <w:color w:val="7F7F7F"/>
                <w:szCs w:val="18"/>
                <w:lang w:eastAsia="en-AU"/>
              </w:rPr>
              <w:t>19,334</w:t>
            </w:r>
          </w:p>
        </w:tc>
      </w:tr>
      <w:tr w:rsidR="004110E9" w:rsidRPr="004110E9" w:rsidTr="00671FB7">
        <w:trPr>
          <w:trHeight w:val="300"/>
        </w:trPr>
        <w:tc>
          <w:tcPr>
            <w:tcW w:w="2600" w:type="dxa"/>
            <w:tcBorders>
              <w:top w:val="nil"/>
              <w:left w:val="nil"/>
              <w:bottom w:val="nil"/>
              <w:right w:val="nil"/>
            </w:tcBorders>
            <w:shd w:val="clear" w:color="auto" w:fill="auto"/>
            <w:vAlign w:val="center"/>
            <w:hideMark/>
          </w:tcPr>
          <w:p w:rsidR="004110E9" w:rsidRPr="004110E9" w:rsidRDefault="004110E9" w:rsidP="004110E9">
            <w:pPr>
              <w:rPr>
                <w:rFonts w:cs="Arial"/>
                <w:color w:val="7F7F7F"/>
                <w:szCs w:val="18"/>
                <w:lang w:eastAsia="en-AU"/>
              </w:rPr>
            </w:pPr>
            <w:r w:rsidRPr="004110E9">
              <w:rPr>
                <w:rFonts w:cs="Arial"/>
                <w:color w:val="7F7F7F"/>
                <w:szCs w:val="18"/>
                <w:lang w:eastAsia="en-AU"/>
              </w:rPr>
              <w:t>Cross-industry</w:t>
            </w:r>
          </w:p>
        </w:tc>
        <w:tc>
          <w:tcPr>
            <w:tcW w:w="915" w:type="dxa"/>
            <w:tcBorders>
              <w:top w:val="nil"/>
              <w:left w:val="nil"/>
              <w:bottom w:val="nil"/>
              <w:right w:val="nil"/>
            </w:tcBorders>
            <w:shd w:val="clear" w:color="auto" w:fill="auto"/>
            <w:noWrap/>
            <w:vAlign w:val="center"/>
            <w:hideMark/>
          </w:tcPr>
          <w:p w:rsidR="004110E9" w:rsidRPr="004110E9" w:rsidRDefault="004110E9" w:rsidP="004110E9">
            <w:pPr>
              <w:jc w:val="right"/>
              <w:rPr>
                <w:rFonts w:cs="Arial"/>
                <w:color w:val="7F7F7F"/>
                <w:szCs w:val="18"/>
                <w:lang w:eastAsia="en-AU"/>
              </w:rPr>
            </w:pPr>
            <w:r w:rsidRPr="004110E9">
              <w:rPr>
                <w:rFonts w:cs="Arial"/>
                <w:color w:val="7F7F7F"/>
                <w:szCs w:val="18"/>
                <w:lang w:eastAsia="en-AU"/>
              </w:rPr>
              <w:t>1</w:t>
            </w:r>
          </w:p>
        </w:tc>
        <w:tc>
          <w:tcPr>
            <w:tcW w:w="916" w:type="dxa"/>
            <w:tcBorders>
              <w:top w:val="nil"/>
              <w:left w:val="nil"/>
              <w:bottom w:val="nil"/>
              <w:right w:val="nil"/>
            </w:tcBorders>
            <w:shd w:val="clear" w:color="auto" w:fill="auto"/>
            <w:noWrap/>
            <w:vAlign w:val="center"/>
            <w:hideMark/>
          </w:tcPr>
          <w:p w:rsidR="004110E9" w:rsidRPr="004110E9" w:rsidRDefault="004110E9" w:rsidP="004110E9">
            <w:pPr>
              <w:jc w:val="right"/>
              <w:rPr>
                <w:rFonts w:cs="Arial"/>
                <w:color w:val="7F7F7F"/>
                <w:szCs w:val="18"/>
                <w:lang w:eastAsia="en-AU"/>
              </w:rPr>
            </w:pPr>
            <w:r w:rsidRPr="004110E9">
              <w:rPr>
                <w:rFonts w:cs="Arial"/>
                <w:color w:val="7F7F7F"/>
                <w:szCs w:val="18"/>
                <w:lang w:eastAsia="en-AU"/>
              </w:rPr>
              <w:t>1</w:t>
            </w:r>
          </w:p>
        </w:tc>
        <w:tc>
          <w:tcPr>
            <w:tcW w:w="916" w:type="dxa"/>
            <w:tcBorders>
              <w:top w:val="nil"/>
              <w:left w:val="nil"/>
              <w:bottom w:val="nil"/>
              <w:right w:val="nil"/>
            </w:tcBorders>
            <w:shd w:val="clear" w:color="auto" w:fill="auto"/>
            <w:noWrap/>
            <w:vAlign w:val="center"/>
            <w:hideMark/>
          </w:tcPr>
          <w:p w:rsidR="004110E9" w:rsidRPr="004110E9" w:rsidRDefault="004110E9" w:rsidP="004110E9">
            <w:pPr>
              <w:jc w:val="right"/>
              <w:rPr>
                <w:rFonts w:cs="Arial"/>
                <w:color w:val="7F7F7F"/>
                <w:szCs w:val="18"/>
                <w:lang w:eastAsia="en-AU"/>
              </w:rPr>
            </w:pPr>
            <w:r w:rsidRPr="004110E9">
              <w:rPr>
                <w:rFonts w:cs="Arial"/>
                <w:color w:val="7F7F7F"/>
                <w:szCs w:val="18"/>
                <w:lang w:eastAsia="en-AU"/>
              </w:rPr>
              <w:t>3</w:t>
            </w:r>
          </w:p>
        </w:tc>
        <w:tc>
          <w:tcPr>
            <w:tcW w:w="916" w:type="dxa"/>
            <w:tcBorders>
              <w:top w:val="nil"/>
              <w:left w:val="nil"/>
              <w:bottom w:val="nil"/>
              <w:right w:val="nil"/>
            </w:tcBorders>
            <w:shd w:val="clear" w:color="auto" w:fill="auto"/>
            <w:noWrap/>
            <w:vAlign w:val="center"/>
            <w:hideMark/>
          </w:tcPr>
          <w:p w:rsidR="004110E9" w:rsidRPr="004110E9" w:rsidRDefault="004110E9" w:rsidP="004110E9">
            <w:pPr>
              <w:jc w:val="right"/>
              <w:rPr>
                <w:rFonts w:cs="Arial"/>
                <w:color w:val="7F7F7F"/>
                <w:szCs w:val="18"/>
                <w:lang w:eastAsia="en-AU"/>
              </w:rPr>
            </w:pPr>
            <w:r w:rsidRPr="004110E9">
              <w:rPr>
                <w:rFonts w:cs="Arial"/>
                <w:color w:val="7F7F7F"/>
                <w:szCs w:val="18"/>
                <w:lang w:eastAsia="en-AU"/>
              </w:rPr>
              <w:t>0</w:t>
            </w:r>
          </w:p>
        </w:tc>
        <w:tc>
          <w:tcPr>
            <w:tcW w:w="916" w:type="dxa"/>
            <w:tcBorders>
              <w:top w:val="nil"/>
              <w:left w:val="nil"/>
              <w:bottom w:val="nil"/>
              <w:right w:val="nil"/>
            </w:tcBorders>
            <w:shd w:val="clear" w:color="auto" w:fill="auto"/>
            <w:noWrap/>
            <w:vAlign w:val="center"/>
            <w:hideMark/>
          </w:tcPr>
          <w:p w:rsidR="004110E9" w:rsidRPr="004110E9" w:rsidRDefault="004110E9" w:rsidP="004110E9">
            <w:pPr>
              <w:jc w:val="right"/>
              <w:rPr>
                <w:rFonts w:cs="Arial"/>
                <w:color w:val="7F7F7F"/>
                <w:szCs w:val="18"/>
                <w:lang w:eastAsia="en-AU"/>
              </w:rPr>
            </w:pPr>
            <w:r w:rsidRPr="004110E9">
              <w:rPr>
                <w:rFonts w:cs="Arial"/>
                <w:color w:val="7F7F7F"/>
                <w:szCs w:val="18"/>
                <w:lang w:eastAsia="en-AU"/>
              </w:rPr>
              <w:t>1</w:t>
            </w:r>
          </w:p>
        </w:tc>
        <w:tc>
          <w:tcPr>
            <w:tcW w:w="916" w:type="dxa"/>
            <w:tcBorders>
              <w:top w:val="nil"/>
              <w:left w:val="nil"/>
              <w:bottom w:val="nil"/>
              <w:right w:val="nil"/>
            </w:tcBorders>
            <w:shd w:val="clear" w:color="auto" w:fill="auto"/>
            <w:noWrap/>
            <w:vAlign w:val="center"/>
            <w:hideMark/>
          </w:tcPr>
          <w:p w:rsidR="004110E9" w:rsidRPr="004110E9" w:rsidRDefault="004110E9" w:rsidP="004110E9">
            <w:pPr>
              <w:jc w:val="right"/>
              <w:rPr>
                <w:rFonts w:cs="Arial"/>
                <w:color w:val="7F7F7F"/>
                <w:szCs w:val="18"/>
                <w:lang w:eastAsia="en-AU"/>
              </w:rPr>
            </w:pPr>
            <w:r w:rsidRPr="004110E9">
              <w:rPr>
                <w:rFonts w:cs="Arial"/>
                <w:color w:val="7F7F7F"/>
                <w:szCs w:val="18"/>
                <w:lang w:eastAsia="en-AU"/>
              </w:rPr>
              <w:t>0</w:t>
            </w:r>
          </w:p>
        </w:tc>
      </w:tr>
      <w:tr w:rsidR="004110E9" w:rsidRPr="004110E9" w:rsidTr="00671FB7">
        <w:trPr>
          <w:trHeight w:val="480"/>
        </w:trPr>
        <w:tc>
          <w:tcPr>
            <w:tcW w:w="2600" w:type="dxa"/>
            <w:tcBorders>
              <w:top w:val="nil"/>
              <w:left w:val="nil"/>
              <w:bottom w:val="nil"/>
              <w:right w:val="nil"/>
            </w:tcBorders>
            <w:shd w:val="clear" w:color="auto" w:fill="auto"/>
            <w:vAlign w:val="center"/>
            <w:hideMark/>
          </w:tcPr>
          <w:p w:rsidR="004110E9" w:rsidRPr="004110E9" w:rsidRDefault="004110E9" w:rsidP="004110E9">
            <w:pPr>
              <w:rPr>
                <w:rFonts w:cs="Arial"/>
                <w:color w:val="7F7F7F"/>
                <w:szCs w:val="18"/>
                <w:lang w:eastAsia="en-AU"/>
              </w:rPr>
            </w:pPr>
            <w:r w:rsidRPr="004110E9">
              <w:rPr>
                <w:rFonts w:cs="Arial"/>
                <w:color w:val="7F7F7F"/>
                <w:szCs w:val="18"/>
                <w:lang w:eastAsia="en-AU"/>
              </w:rPr>
              <w:t>Electricity, Gas, Water and Waste Services</w:t>
            </w:r>
          </w:p>
        </w:tc>
        <w:tc>
          <w:tcPr>
            <w:tcW w:w="915" w:type="dxa"/>
            <w:tcBorders>
              <w:top w:val="nil"/>
              <w:left w:val="nil"/>
              <w:bottom w:val="nil"/>
              <w:right w:val="nil"/>
            </w:tcBorders>
            <w:shd w:val="clear" w:color="auto" w:fill="auto"/>
            <w:noWrap/>
            <w:vAlign w:val="center"/>
            <w:hideMark/>
          </w:tcPr>
          <w:p w:rsidR="004110E9" w:rsidRPr="004110E9" w:rsidRDefault="004110E9" w:rsidP="004110E9">
            <w:pPr>
              <w:jc w:val="right"/>
              <w:rPr>
                <w:rFonts w:cs="Arial"/>
                <w:color w:val="7F7F7F"/>
                <w:szCs w:val="18"/>
                <w:lang w:eastAsia="en-AU"/>
              </w:rPr>
            </w:pPr>
            <w:r w:rsidRPr="004110E9">
              <w:rPr>
                <w:rFonts w:cs="Arial"/>
                <w:color w:val="7F7F7F"/>
                <w:szCs w:val="18"/>
                <w:lang w:eastAsia="en-AU"/>
              </w:rPr>
              <w:t>199</w:t>
            </w:r>
          </w:p>
        </w:tc>
        <w:tc>
          <w:tcPr>
            <w:tcW w:w="916" w:type="dxa"/>
            <w:tcBorders>
              <w:top w:val="nil"/>
              <w:left w:val="nil"/>
              <w:bottom w:val="nil"/>
              <w:right w:val="nil"/>
            </w:tcBorders>
            <w:shd w:val="clear" w:color="auto" w:fill="auto"/>
            <w:noWrap/>
            <w:vAlign w:val="center"/>
            <w:hideMark/>
          </w:tcPr>
          <w:p w:rsidR="004110E9" w:rsidRPr="004110E9" w:rsidRDefault="004110E9" w:rsidP="004110E9">
            <w:pPr>
              <w:jc w:val="right"/>
              <w:rPr>
                <w:rFonts w:cs="Arial"/>
                <w:color w:val="7F7F7F"/>
                <w:szCs w:val="18"/>
                <w:lang w:eastAsia="en-AU"/>
              </w:rPr>
            </w:pPr>
            <w:r w:rsidRPr="004110E9">
              <w:rPr>
                <w:rFonts w:cs="Arial"/>
                <w:color w:val="7F7F7F"/>
                <w:szCs w:val="18"/>
                <w:lang w:eastAsia="en-AU"/>
              </w:rPr>
              <w:t>230</w:t>
            </w:r>
          </w:p>
        </w:tc>
        <w:tc>
          <w:tcPr>
            <w:tcW w:w="916" w:type="dxa"/>
            <w:tcBorders>
              <w:top w:val="nil"/>
              <w:left w:val="nil"/>
              <w:bottom w:val="nil"/>
              <w:right w:val="nil"/>
            </w:tcBorders>
            <w:shd w:val="clear" w:color="auto" w:fill="auto"/>
            <w:noWrap/>
            <w:vAlign w:val="center"/>
            <w:hideMark/>
          </w:tcPr>
          <w:p w:rsidR="004110E9" w:rsidRPr="004110E9" w:rsidRDefault="004110E9" w:rsidP="004110E9">
            <w:pPr>
              <w:jc w:val="right"/>
              <w:rPr>
                <w:rFonts w:cs="Arial"/>
                <w:color w:val="7F7F7F"/>
                <w:szCs w:val="18"/>
                <w:lang w:eastAsia="en-AU"/>
              </w:rPr>
            </w:pPr>
            <w:r w:rsidRPr="004110E9">
              <w:rPr>
                <w:rFonts w:cs="Arial"/>
                <w:color w:val="7F7F7F"/>
                <w:szCs w:val="18"/>
                <w:lang w:eastAsia="en-AU"/>
              </w:rPr>
              <w:t>217</w:t>
            </w:r>
          </w:p>
        </w:tc>
        <w:tc>
          <w:tcPr>
            <w:tcW w:w="916" w:type="dxa"/>
            <w:tcBorders>
              <w:top w:val="nil"/>
              <w:left w:val="nil"/>
              <w:bottom w:val="nil"/>
              <w:right w:val="nil"/>
            </w:tcBorders>
            <w:shd w:val="clear" w:color="auto" w:fill="auto"/>
            <w:noWrap/>
            <w:vAlign w:val="center"/>
            <w:hideMark/>
          </w:tcPr>
          <w:p w:rsidR="004110E9" w:rsidRPr="004110E9" w:rsidRDefault="004110E9" w:rsidP="004110E9">
            <w:pPr>
              <w:jc w:val="right"/>
              <w:rPr>
                <w:rFonts w:cs="Arial"/>
                <w:color w:val="7F7F7F"/>
                <w:szCs w:val="18"/>
                <w:lang w:eastAsia="en-AU"/>
              </w:rPr>
            </w:pPr>
            <w:r w:rsidRPr="004110E9">
              <w:rPr>
                <w:rFonts w:cs="Arial"/>
                <w:color w:val="7F7F7F"/>
                <w:szCs w:val="18"/>
                <w:lang w:eastAsia="en-AU"/>
              </w:rPr>
              <w:t>6</w:t>
            </w:r>
          </w:p>
        </w:tc>
        <w:tc>
          <w:tcPr>
            <w:tcW w:w="916" w:type="dxa"/>
            <w:tcBorders>
              <w:top w:val="nil"/>
              <w:left w:val="nil"/>
              <w:bottom w:val="nil"/>
              <w:right w:val="nil"/>
            </w:tcBorders>
            <w:shd w:val="clear" w:color="auto" w:fill="auto"/>
            <w:noWrap/>
            <w:vAlign w:val="center"/>
            <w:hideMark/>
          </w:tcPr>
          <w:p w:rsidR="004110E9" w:rsidRPr="004110E9" w:rsidRDefault="004110E9" w:rsidP="004110E9">
            <w:pPr>
              <w:jc w:val="right"/>
              <w:rPr>
                <w:rFonts w:cs="Arial"/>
                <w:color w:val="7F7F7F"/>
                <w:szCs w:val="18"/>
                <w:lang w:eastAsia="en-AU"/>
              </w:rPr>
            </w:pPr>
            <w:r w:rsidRPr="004110E9">
              <w:rPr>
                <w:rFonts w:cs="Arial"/>
                <w:color w:val="7F7F7F"/>
                <w:szCs w:val="18"/>
                <w:lang w:eastAsia="en-AU"/>
              </w:rPr>
              <w:t>339</w:t>
            </w:r>
          </w:p>
        </w:tc>
        <w:tc>
          <w:tcPr>
            <w:tcW w:w="916" w:type="dxa"/>
            <w:tcBorders>
              <w:top w:val="nil"/>
              <w:left w:val="nil"/>
              <w:bottom w:val="nil"/>
              <w:right w:val="nil"/>
            </w:tcBorders>
            <w:shd w:val="clear" w:color="auto" w:fill="auto"/>
            <w:noWrap/>
            <w:vAlign w:val="center"/>
            <w:hideMark/>
          </w:tcPr>
          <w:p w:rsidR="004110E9" w:rsidRPr="004110E9" w:rsidRDefault="004110E9" w:rsidP="004110E9">
            <w:pPr>
              <w:jc w:val="right"/>
              <w:rPr>
                <w:rFonts w:cs="Arial"/>
                <w:color w:val="7F7F7F"/>
                <w:szCs w:val="18"/>
                <w:lang w:eastAsia="en-AU"/>
              </w:rPr>
            </w:pPr>
            <w:r w:rsidRPr="004110E9">
              <w:rPr>
                <w:rFonts w:cs="Arial"/>
                <w:color w:val="7F7F7F"/>
                <w:szCs w:val="18"/>
                <w:lang w:eastAsia="en-AU"/>
              </w:rPr>
              <w:t>366</w:t>
            </w:r>
          </w:p>
        </w:tc>
      </w:tr>
      <w:tr w:rsidR="004110E9" w:rsidRPr="004110E9" w:rsidTr="00671FB7">
        <w:trPr>
          <w:trHeight w:val="480"/>
        </w:trPr>
        <w:tc>
          <w:tcPr>
            <w:tcW w:w="2600" w:type="dxa"/>
            <w:tcBorders>
              <w:top w:val="nil"/>
              <w:left w:val="nil"/>
              <w:bottom w:val="nil"/>
              <w:right w:val="nil"/>
            </w:tcBorders>
            <w:shd w:val="clear" w:color="auto" w:fill="auto"/>
            <w:vAlign w:val="center"/>
            <w:hideMark/>
          </w:tcPr>
          <w:p w:rsidR="004110E9" w:rsidRPr="004110E9" w:rsidRDefault="004110E9" w:rsidP="004110E9">
            <w:pPr>
              <w:rPr>
                <w:rFonts w:cs="Arial"/>
                <w:color w:val="7F7F7F"/>
                <w:szCs w:val="18"/>
                <w:lang w:eastAsia="en-AU"/>
              </w:rPr>
            </w:pPr>
            <w:r w:rsidRPr="004110E9">
              <w:rPr>
                <w:rFonts w:cs="Arial"/>
                <w:color w:val="7F7F7F"/>
                <w:szCs w:val="18"/>
                <w:lang w:eastAsia="en-AU"/>
              </w:rPr>
              <w:t>Financial and Insurance Services</w:t>
            </w:r>
          </w:p>
        </w:tc>
        <w:tc>
          <w:tcPr>
            <w:tcW w:w="915" w:type="dxa"/>
            <w:tcBorders>
              <w:top w:val="nil"/>
              <w:left w:val="nil"/>
              <w:bottom w:val="nil"/>
              <w:right w:val="nil"/>
            </w:tcBorders>
            <w:shd w:val="clear" w:color="auto" w:fill="auto"/>
            <w:noWrap/>
            <w:vAlign w:val="center"/>
            <w:hideMark/>
          </w:tcPr>
          <w:p w:rsidR="004110E9" w:rsidRPr="004110E9" w:rsidRDefault="004110E9" w:rsidP="004110E9">
            <w:pPr>
              <w:jc w:val="right"/>
              <w:rPr>
                <w:rFonts w:cs="Arial"/>
                <w:color w:val="7F7F7F"/>
                <w:szCs w:val="18"/>
                <w:lang w:eastAsia="en-AU"/>
              </w:rPr>
            </w:pPr>
            <w:r w:rsidRPr="004110E9">
              <w:rPr>
                <w:rFonts w:cs="Arial"/>
                <w:color w:val="7F7F7F"/>
                <w:szCs w:val="18"/>
                <w:lang w:eastAsia="en-AU"/>
              </w:rPr>
              <w:t>1</w:t>
            </w:r>
          </w:p>
        </w:tc>
        <w:tc>
          <w:tcPr>
            <w:tcW w:w="916" w:type="dxa"/>
            <w:tcBorders>
              <w:top w:val="nil"/>
              <w:left w:val="nil"/>
              <w:bottom w:val="nil"/>
              <w:right w:val="nil"/>
            </w:tcBorders>
            <w:shd w:val="clear" w:color="auto" w:fill="auto"/>
            <w:noWrap/>
            <w:vAlign w:val="center"/>
            <w:hideMark/>
          </w:tcPr>
          <w:p w:rsidR="004110E9" w:rsidRPr="004110E9" w:rsidRDefault="004110E9" w:rsidP="004110E9">
            <w:pPr>
              <w:jc w:val="right"/>
              <w:rPr>
                <w:rFonts w:cs="Arial"/>
                <w:color w:val="7F7F7F"/>
                <w:szCs w:val="18"/>
                <w:lang w:eastAsia="en-AU"/>
              </w:rPr>
            </w:pPr>
            <w:r w:rsidRPr="004110E9">
              <w:rPr>
                <w:rFonts w:cs="Arial"/>
                <w:color w:val="7F7F7F"/>
                <w:szCs w:val="18"/>
                <w:lang w:eastAsia="en-AU"/>
              </w:rPr>
              <w:t>0</w:t>
            </w:r>
          </w:p>
        </w:tc>
        <w:tc>
          <w:tcPr>
            <w:tcW w:w="916" w:type="dxa"/>
            <w:tcBorders>
              <w:top w:val="nil"/>
              <w:left w:val="nil"/>
              <w:bottom w:val="nil"/>
              <w:right w:val="nil"/>
            </w:tcBorders>
            <w:shd w:val="clear" w:color="auto" w:fill="auto"/>
            <w:noWrap/>
            <w:vAlign w:val="center"/>
            <w:hideMark/>
          </w:tcPr>
          <w:p w:rsidR="004110E9" w:rsidRPr="004110E9" w:rsidRDefault="004110E9" w:rsidP="004110E9">
            <w:pPr>
              <w:jc w:val="right"/>
              <w:rPr>
                <w:rFonts w:cs="Arial"/>
                <w:color w:val="7F7F7F"/>
                <w:szCs w:val="18"/>
                <w:lang w:eastAsia="en-AU"/>
              </w:rPr>
            </w:pPr>
            <w:r w:rsidRPr="004110E9">
              <w:rPr>
                <w:rFonts w:cs="Arial"/>
                <w:color w:val="7F7F7F"/>
                <w:szCs w:val="18"/>
                <w:lang w:eastAsia="en-AU"/>
              </w:rPr>
              <w:t>0</w:t>
            </w:r>
          </w:p>
        </w:tc>
        <w:tc>
          <w:tcPr>
            <w:tcW w:w="916" w:type="dxa"/>
            <w:tcBorders>
              <w:top w:val="nil"/>
              <w:left w:val="nil"/>
              <w:bottom w:val="nil"/>
              <w:right w:val="nil"/>
            </w:tcBorders>
            <w:shd w:val="clear" w:color="auto" w:fill="auto"/>
            <w:noWrap/>
            <w:vAlign w:val="center"/>
            <w:hideMark/>
          </w:tcPr>
          <w:p w:rsidR="004110E9" w:rsidRPr="004110E9" w:rsidRDefault="004110E9" w:rsidP="004110E9">
            <w:pPr>
              <w:jc w:val="right"/>
              <w:rPr>
                <w:rFonts w:cs="Arial"/>
                <w:color w:val="7F7F7F"/>
                <w:szCs w:val="18"/>
                <w:lang w:eastAsia="en-AU"/>
              </w:rPr>
            </w:pPr>
            <w:r w:rsidRPr="004110E9">
              <w:rPr>
                <w:rFonts w:cs="Arial"/>
                <w:color w:val="7F7F7F"/>
                <w:szCs w:val="18"/>
                <w:lang w:eastAsia="en-AU"/>
              </w:rPr>
              <w:t>0</w:t>
            </w:r>
          </w:p>
        </w:tc>
        <w:tc>
          <w:tcPr>
            <w:tcW w:w="916" w:type="dxa"/>
            <w:tcBorders>
              <w:top w:val="nil"/>
              <w:left w:val="nil"/>
              <w:bottom w:val="nil"/>
              <w:right w:val="nil"/>
            </w:tcBorders>
            <w:shd w:val="clear" w:color="auto" w:fill="auto"/>
            <w:noWrap/>
            <w:vAlign w:val="center"/>
            <w:hideMark/>
          </w:tcPr>
          <w:p w:rsidR="004110E9" w:rsidRPr="004110E9" w:rsidRDefault="004110E9" w:rsidP="004110E9">
            <w:pPr>
              <w:jc w:val="right"/>
              <w:rPr>
                <w:rFonts w:cs="Arial"/>
                <w:color w:val="7F7F7F"/>
                <w:szCs w:val="18"/>
                <w:lang w:eastAsia="en-AU"/>
              </w:rPr>
            </w:pPr>
            <w:r w:rsidRPr="004110E9">
              <w:rPr>
                <w:rFonts w:cs="Arial"/>
                <w:color w:val="7F7F7F"/>
                <w:szCs w:val="18"/>
                <w:lang w:eastAsia="en-AU"/>
              </w:rPr>
              <w:t>0</w:t>
            </w:r>
          </w:p>
        </w:tc>
        <w:tc>
          <w:tcPr>
            <w:tcW w:w="916" w:type="dxa"/>
            <w:tcBorders>
              <w:top w:val="nil"/>
              <w:left w:val="nil"/>
              <w:bottom w:val="nil"/>
              <w:right w:val="nil"/>
            </w:tcBorders>
            <w:shd w:val="clear" w:color="auto" w:fill="auto"/>
            <w:noWrap/>
            <w:vAlign w:val="center"/>
            <w:hideMark/>
          </w:tcPr>
          <w:p w:rsidR="004110E9" w:rsidRPr="004110E9" w:rsidRDefault="004110E9" w:rsidP="004110E9">
            <w:pPr>
              <w:jc w:val="right"/>
              <w:rPr>
                <w:rFonts w:cs="Arial"/>
                <w:color w:val="7F7F7F"/>
                <w:szCs w:val="18"/>
                <w:lang w:eastAsia="en-AU"/>
              </w:rPr>
            </w:pPr>
            <w:r w:rsidRPr="004110E9">
              <w:rPr>
                <w:rFonts w:cs="Arial"/>
                <w:color w:val="7F7F7F"/>
                <w:szCs w:val="18"/>
                <w:lang w:eastAsia="en-AU"/>
              </w:rPr>
              <w:t>0</w:t>
            </w:r>
          </w:p>
        </w:tc>
      </w:tr>
      <w:tr w:rsidR="004110E9" w:rsidRPr="004110E9" w:rsidTr="00671FB7">
        <w:trPr>
          <w:trHeight w:val="480"/>
        </w:trPr>
        <w:tc>
          <w:tcPr>
            <w:tcW w:w="2600" w:type="dxa"/>
            <w:tcBorders>
              <w:top w:val="nil"/>
              <w:left w:val="nil"/>
              <w:bottom w:val="nil"/>
              <w:right w:val="nil"/>
            </w:tcBorders>
            <w:shd w:val="clear" w:color="auto" w:fill="auto"/>
            <w:vAlign w:val="center"/>
            <w:hideMark/>
          </w:tcPr>
          <w:p w:rsidR="004110E9" w:rsidRPr="004110E9" w:rsidRDefault="004110E9" w:rsidP="004110E9">
            <w:pPr>
              <w:rPr>
                <w:rFonts w:cs="Arial"/>
                <w:color w:val="7F7F7F"/>
                <w:szCs w:val="18"/>
                <w:lang w:eastAsia="en-AU"/>
              </w:rPr>
            </w:pPr>
            <w:r w:rsidRPr="004110E9">
              <w:rPr>
                <w:rFonts w:cs="Arial"/>
                <w:color w:val="7F7F7F"/>
                <w:szCs w:val="18"/>
                <w:lang w:eastAsia="en-AU"/>
              </w:rPr>
              <w:t>Health Care and Social Assistance</w:t>
            </w:r>
          </w:p>
        </w:tc>
        <w:tc>
          <w:tcPr>
            <w:tcW w:w="915" w:type="dxa"/>
            <w:tcBorders>
              <w:top w:val="nil"/>
              <w:left w:val="nil"/>
              <w:bottom w:val="nil"/>
              <w:right w:val="nil"/>
            </w:tcBorders>
            <w:shd w:val="clear" w:color="auto" w:fill="auto"/>
            <w:noWrap/>
            <w:vAlign w:val="center"/>
            <w:hideMark/>
          </w:tcPr>
          <w:p w:rsidR="004110E9" w:rsidRPr="004110E9" w:rsidRDefault="004110E9" w:rsidP="004110E9">
            <w:pPr>
              <w:jc w:val="right"/>
              <w:rPr>
                <w:rFonts w:cs="Arial"/>
                <w:color w:val="7F7F7F"/>
                <w:szCs w:val="18"/>
                <w:lang w:eastAsia="en-AU"/>
              </w:rPr>
            </w:pPr>
            <w:r w:rsidRPr="004110E9">
              <w:rPr>
                <w:rFonts w:cs="Arial"/>
                <w:color w:val="7F7F7F"/>
                <w:szCs w:val="18"/>
                <w:lang w:eastAsia="en-AU"/>
              </w:rPr>
              <w:t>100</w:t>
            </w:r>
          </w:p>
        </w:tc>
        <w:tc>
          <w:tcPr>
            <w:tcW w:w="916" w:type="dxa"/>
            <w:tcBorders>
              <w:top w:val="nil"/>
              <w:left w:val="nil"/>
              <w:bottom w:val="nil"/>
              <w:right w:val="nil"/>
            </w:tcBorders>
            <w:shd w:val="clear" w:color="auto" w:fill="auto"/>
            <w:noWrap/>
            <w:vAlign w:val="center"/>
            <w:hideMark/>
          </w:tcPr>
          <w:p w:rsidR="004110E9" w:rsidRPr="004110E9" w:rsidRDefault="004110E9" w:rsidP="004110E9">
            <w:pPr>
              <w:jc w:val="right"/>
              <w:rPr>
                <w:rFonts w:cs="Arial"/>
                <w:color w:val="7F7F7F"/>
                <w:szCs w:val="18"/>
                <w:lang w:eastAsia="en-AU"/>
              </w:rPr>
            </w:pPr>
            <w:r w:rsidRPr="004110E9">
              <w:rPr>
                <w:rFonts w:cs="Arial"/>
                <w:color w:val="7F7F7F"/>
                <w:szCs w:val="18"/>
                <w:lang w:eastAsia="en-AU"/>
              </w:rPr>
              <w:t>99</w:t>
            </w:r>
          </w:p>
        </w:tc>
        <w:tc>
          <w:tcPr>
            <w:tcW w:w="916" w:type="dxa"/>
            <w:tcBorders>
              <w:top w:val="nil"/>
              <w:left w:val="nil"/>
              <w:bottom w:val="nil"/>
              <w:right w:val="nil"/>
            </w:tcBorders>
            <w:shd w:val="clear" w:color="auto" w:fill="auto"/>
            <w:noWrap/>
            <w:vAlign w:val="center"/>
            <w:hideMark/>
          </w:tcPr>
          <w:p w:rsidR="004110E9" w:rsidRPr="004110E9" w:rsidRDefault="004110E9" w:rsidP="004110E9">
            <w:pPr>
              <w:jc w:val="right"/>
              <w:rPr>
                <w:rFonts w:cs="Arial"/>
                <w:color w:val="7F7F7F"/>
                <w:szCs w:val="18"/>
                <w:lang w:eastAsia="en-AU"/>
              </w:rPr>
            </w:pPr>
            <w:r w:rsidRPr="004110E9">
              <w:rPr>
                <w:rFonts w:cs="Arial"/>
                <w:color w:val="7F7F7F"/>
                <w:szCs w:val="18"/>
                <w:lang w:eastAsia="en-AU"/>
              </w:rPr>
              <w:t>81</w:t>
            </w:r>
          </w:p>
        </w:tc>
        <w:tc>
          <w:tcPr>
            <w:tcW w:w="916" w:type="dxa"/>
            <w:tcBorders>
              <w:top w:val="nil"/>
              <w:left w:val="nil"/>
              <w:bottom w:val="nil"/>
              <w:right w:val="nil"/>
            </w:tcBorders>
            <w:shd w:val="clear" w:color="auto" w:fill="auto"/>
            <w:noWrap/>
            <w:vAlign w:val="center"/>
            <w:hideMark/>
          </w:tcPr>
          <w:p w:rsidR="004110E9" w:rsidRPr="004110E9" w:rsidRDefault="004110E9" w:rsidP="004110E9">
            <w:pPr>
              <w:jc w:val="right"/>
              <w:rPr>
                <w:rFonts w:cs="Arial"/>
                <w:color w:val="7F7F7F"/>
                <w:szCs w:val="18"/>
                <w:lang w:eastAsia="en-AU"/>
              </w:rPr>
            </w:pPr>
            <w:r w:rsidRPr="004110E9">
              <w:rPr>
                <w:rFonts w:cs="Arial"/>
                <w:color w:val="7F7F7F"/>
                <w:szCs w:val="18"/>
                <w:lang w:eastAsia="en-AU"/>
              </w:rPr>
              <w:t>65</w:t>
            </w:r>
          </w:p>
        </w:tc>
        <w:tc>
          <w:tcPr>
            <w:tcW w:w="916" w:type="dxa"/>
            <w:tcBorders>
              <w:top w:val="nil"/>
              <w:left w:val="nil"/>
              <w:bottom w:val="nil"/>
              <w:right w:val="nil"/>
            </w:tcBorders>
            <w:shd w:val="clear" w:color="auto" w:fill="auto"/>
            <w:noWrap/>
            <w:vAlign w:val="center"/>
            <w:hideMark/>
          </w:tcPr>
          <w:p w:rsidR="004110E9" w:rsidRPr="004110E9" w:rsidRDefault="004110E9" w:rsidP="004110E9">
            <w:pPr>
              <w:jc w:val="right"/>
              <w:rPr>
                <w:rFonts w:cs="Arial"/>
                <w:color w:val="7F7F7F"/>
                <w:szCs w:val="18"/>
                <w:lang w:eastAsia="en-AU"/>
              </w:rPr>
            </w:pPr>
            <w:r w:rsidRPr="004110E9">
              <w:rPr>
                <w:rFonts w:cs="Arial"/>
                <w:color w:val="7F7F7F"/>
                <w:szCs w:val="18"/>
                <w:lang w:eastAsia="en-AU"/>
              </w:rPr>
              <w:t>27</w:t>
            </w:r>
          </w:p>
        </w:tc>
        <w:tc>
          <w:tcPr>
            <w:tcW w:w="916" w:type="dxa"/>
            <w:tcBorders>
              <w:top w:val="nil"/>
              <w:left w:val="nil"/>
              <w:bottom w:val="nil"/>
              <w:right w:val="nil"/>
            </w:tcBorders>
            <w:shd w:val="clear" w:color="auto" w:fill="auto"/>
            <w:noWrap/>
            <w:vAlign w:val="center"/>
            <w:hideMark/>
          </w:tcPr>
          <w:p w:rsidR="004110E9" w:rsidRPr="004110E9" w:rsidRDefault="004110E9" w:rsidP="004110E9">
            <w:pPr>
              <w:jc w:val="right"/>
              <w:rPr>
                <w:rFonts w:cs="Arial"/>
                <w:color w:val="7F7F7F"/>
                <w:szCs w:val="18"/>
                <w:lang w:eastAsia="en-AU"/>
              </w:rPr>
            </w:pPr>
            <w:r w:rsidRPr="004110E9">
              <w:rPr>
                <w:rFonts w:cs="Arial"/>
                <w:color w:val="7F7F7F"/>
                <w:szCs w:val="18"/>
                <w:lang w:eastAsia="en-AU"/>
              </w:rPr>
              <w:t>18</w:t>
            </w:r>
          </w:p>
        </w:tc>
      </w:tr>
      <w:tr w:rsidR="004110E9" w:rsidRPr="004110E9" w:rsidTr="00671FB7">
        <w:trPr>
          <w:trHeight w:val="480"/>
        </w:trPr>
        <w:tc>
          <w:tcPr>
            <w:tcW w:w="2600" w:type="dxa"/>
            <w:tcBorders>
              <w:top w:val="nil"/>
              <w:left w:val="nil"/>
              <w:bottom w:val="nil"/>
              <w:right w:val="nil"/>
            </w:tcBorders>
            <w:shd w:val="clear" w:color="auto" w:fill="auto"/>
            <w:vAlign w:val="center"/>
            <w:hideMark/>
          </w:tcPr>
          <w:p w:rsidR="004110E9" w:rsidRPr="004110E9" w:rsidRDefault="004110E9" w:rsidP="004110E9">
            <w:pPr>
              <w:rPr>
                <w:rFonts w:cs="Arial"/>
                <w:color w:val="7F7F7F"/>
                <w:szCs w:val="18"/>
                <w:lang w:eastAsia="en-AU"/>
              </w:rPr>
            </w:pPr>
            <w:r w:rsidRPr="004110E9">
              <w:rPr>
                <w:rFonts w:cs="Arial"/>
                <w:color w:val="7F7F7F"/>
                <w:szCs w:val="18"/>
                <w:lang w:eastAsia="en-AU"/>
              </w:rPr>
              <w:t>Information Media and Telecommunications</w:t>
            </w:r>
          </w:p>
        </w:tc>
        <w:tc>
          <w:tcPr>
            <w:tcW w:w="915" w:type="dxa"/>
            <w:tcBorders>
              <w:top w:val="nil"/>
              <w:left w:val="nil"/>
              <w:bottom w:val="nil"/>
              <w:right w:val="nil"/>
            </w:tcBorders>
            <w:shd w:val="clear" w:color="auto" w:fill="auto"/>
            <w:noWrap/>
            <w:vAlign w:val="center"/>
            <w:hideMark/>
          </w:tcPr>
          <w:p w:rsidR="004110E9" w:rsidRPr="004110E9" w:rsidRDefault="004110E9" w:rsidP="004110E9">
            <w:pPr>
              <w:jc w:val="right"/>
              <w:rPr>
                <w:rFonts w:cs="Arial"/>
                <w:color w:val="7F7F7F"/>
                <w:szCs w:val="18"/>
                <w:lang w:eastAsia="en-AU"/>
              </w:rPr>
            </w:pPr>
            <w:r w:rsidRPr="004110E9">
              <w:rPr>
                <w:rFonts w:cs="Arial"/>
                <w:color w:val="7F7F7F"/>
                <w:szCs w:val="18"/>
                <w:lang w:eastAsia="en-AU"/>
              </w:rPr>
              <w:t>13</w:t>
            </w:r>
          </w:p>
        </w:tc>
        <w:tc>
          <w:tcPr>
            <w:tcW w:w="916" w:type="dxa"/>
            <w:tcBorders>
              <w:top w:val="nil"/>
              <w:left w:val="nil"/>
              <w:bottom w:val="nil"/>
              <w:right w:val="nil"/>
            </w:tcBorders>
            <w:shd w:val="clear" w:color="auto" w:fill="auto"/>
            <w:noWrap/>
            <w:vAlign w:val="center"/>
            <w:hideMark/>
          </w:tcPr>
          <w:p w:rsidR="004110E9" w:rsidRPr="004110E9" w:rsidRDefault="004110E9" w:rsidP="004110E9">
            <w:pPr>
              <w:jc w:val="right"/>
              <w:rPr>
                <w:rFonts w:cs="Arial"/>
                <w:color w:val="7F7F7F"/>
                <w:szCs w:val="18"/>
                <w:lang w:eastAsia="en-AU"/>
              </w:rPr>
            </w:pPr>
            <w:r w:rsidRPr="004110E9">
              <w:rPr>
                <w:rFonts w:cs="Arial"/>
                <w:color w:val="7F7F7F"/>
                <w:szCs w:val="18"/>
                <w:lang w:eastAsia="en-AU"/>
              </w:rPr>
              <w:t>3</w:t>
            </w:r>
          </w:p>
        </w:tc>
        <w:tc>
          <w:tcPr>
            <w:tcW w:w="916" w:type="dxa"/>
            <w:tcBorders>
              <w:top w:val="nil"/>
              <w:left w:val="nil"/>
              <w:bottom w:val="nil"/>
              <w:right w:val="nil"/>
            </w:tcBorders>
            <w:shd w:val="clear" w:color="auto" w:fill="auto"/>
            <w:noWrap/>
            <w:vAlign w:val="center"/>
            <w:hideMark/>
          </w:tcPr>
          <w:p w:rsidR="004110E9" w:rsidRPr="004110E9" w:rsidRDefault="004110E9" w:rsidP="004110E9">
            <w:pPr>
              <w:jc w:val="right"/>
              <w:rPr>
                <w:rFonts w:cs="Arial"/>
                <w:color w:val="7F7F7F"/>
                <w:szCs w:val="18"/>
                <w:lang w:eastAsia="en-AU"/>
              </w:rPr>
            </w:pPr>
            <w:r w:rsidRPr="004110E9">
              <w:rPr>
                <w:rFonts w:cs="Arial"/>
                <w:color w:val="7F7F7F"/>
                <w:szCs w:val="18"/>
                <w:lang w:eastAsia="en-AU"/>
              </w:rPr>
              <w:t>1</w:t>
            </w:r>
          </w:p>
        </w:tc>
        <w:tc>
          <w:tcPr>
            <w:tcW w:w="916" w:type="dxa"/>
            <w:tcBorders>
              <w:top w:val="nil"/>
              <w:left w:val="nil"/>
              <w:bottom w:val="nil"/>
              <w:right w:val="nil"/>
            </w:tcBorders>
            <w:shd w:val="clear" w:color="auto" w:fill="auto"/>
            <w:noWrap/>
            <w:vAlign w:val="center"/>
            <w:hideMark/>
          </w:tcPr>
          <w:p w:rsidR="004110E9" w:rsidRPr="004110E9" w:rsidRDefault="004110E9" w:rsidP="004110E9">
            <w:pPr>
              <w:jc w:val="right"/>
              <w:rPr>
                <w:rFonts w:cs="Arial"/>
                <w:color w:val="7F7F7F"/>
                <w:szCs w:val="18"/>
                <w:lang w:eastAsia="en-AU"/>
              </w:rPr>
            </w:pPr>
            <w:r w:rsidRPr="004110E9">
              <w:rPr>
                <w:rFonts w:cs="Arial"/>
                <w:color w:val="7F7F7F"/>
                <w:szCs w:val="18"/>
                <w:lang w:eastAsia="en-AU"/>
              </w:rPr>
              <w:t>0</w:t>
            </w:r>
          </w:p>
        </w:tc>
        <w:tc>
          <w:tcPr>
            <w:tcW w:w="916" w:type="dxa"/>
            <w:tcBorders>
              <w:top w:val="nil"/>
              <w:left w:val="nil"/>
              <w:bottom w:val="nil"/>
              <w:right w:val="nil"/>
            </w:tcBorders>
            <w:shd w:val="clear" w:color="auto" w:fill="auto"/>
            <w:noWrap/>
            <w:vAlign w:val="center"/>
            <w:hideMark/>
          </w:tcPr>
          <w:p w:rsidR="004110E9" w:rsidRPr="004110E9" w:rsidRDefault="004110E9" w:rsidP="004110E9">
            <w:pPr>
              <w:jc w:val="right"/>
              <w:rPr>
                <w:rFonts w:cs="Arial"/>
                <w:color w:val="7F7F7F"/>
                <w:szCs w:val="18"/>
                <w:lang w:eastAsia="en-AU"/>
              </w:rPr>
            </w:pPr>
            <w:r w:rsidRPr="004110E9">
              <w:rPr>
                <w:rFonts w:cs="Arial"/>
                <w:color w:val="7F7F7F"/>
                <w:szCs w:val="18"/>
                <w:lang w:eastAsia="en-AU"/>
              </w:rPr>
              <w:t>1</w:t>
            </w:r>
          </w:p>
        </w:tc>
        <w:tc>
          <w:tcPr>
            <w:tcW w:w="916" w:type="dxa"/>
            <w:tcBorders>
              <w:top w:val="nil"/>
              <w:left w:val="nil"/>
              <w:bottom w:val="nil"/>
              <w:right w:val="nil"/>
            </w:tcBorders>
            <w:shd w:val="clear" w:color="auto" w:fill="auto"/>
            <w:noWrap/>
            <w:vAlign w:val="center"/>
            <w:hideMark/>
          </w:tcPr>
          <w:p w:rsidR="004110E9" w:rsidRPr="004110E9" w:rsidRDefault="004110E9" w:rsidP="004110E9">
            <w:pPr>
              <w:jc w:val="right"/>
              <w:rPr>
                <w:rFonts w:cs="Arial"/>
                <w:color w:val="7F7F7F"/>
                <w:szCs w:val="18"/>
                <w:lang w:eastAsia="en-AU"/>
              </w:rPr>
            </w:pPr>
            <w:r w:rsidRPr="004110E9">
              <w:rPr>
                <w:rFonts w:cs="Arial"/>
                <w:color w:val="7F7F7F"/>
                <w:szCs w:val="18"/>
                <w:lang w:eastAsia="en-AU"/>
              </w:rPr>
              <w:t>89</w:t>
            </w:r>
          </w:p>
        </w:tc>
      </w:tr>
      <w:tr w:rsidR="004110E9" w:rsidRPr="004110E9" w:rsidTr="00671FB7">
        <w:trPr>
          <w:trHeight w:val="300"/>
        </w:trPr>
        <w:tc>
          <w:tcPr>
            <w:tcW w:w="2600" w:type="dxa"/>
            <w:tcBorders>
              <w:top w:val="nil"/>
              <w:left w:val="nil"/>
              <w:bottom w:val="nil"/>
              <w:right w:val="nil"/>
            </w:tcBorders>
            <w:shd w:val="clear" w:color="auto" w:fill="auto"/>
            <w:vAlign w:val="center"/>
            <w:hideMark/>
          </w:tcPr>
          <w:p w:rsidR="004110E9" w:rsidRPr="004110E9" w:rsidRDefault="004110E9" w:rsidP="004110E9">
            <w:pPr>
              <w:rPr>
                <w:rFonts w:cs="Arial"/>
                <w:color w:val="7F7F7F"/>
                <w:szCs w:val="18"/>
                <w:lang w:eastAsia="en-AU"/>
              </w:rPr>
            </w:pPr>
            <w:r w:rsidRPr="004110E9">
              <w:rPr>
                <w:rFonts w:cs="Arial"/>
                <w:color w:val="7F7F7F"/>
                <w:szCs w:val="18"/>
                <w:lang w:eastAsia="en-AU"/>
              </w:rPr>
              <w:t>Manufacturing</w:t>
            </w:r>
          </w:p>
        </w:tc>
        <w:tc>
          <w:tcPr>
            <w:tcW w:w="915" w:type="dxa"/>
            <w:tcBorders>
              <w:top w:val="nil"/>
              <w:left w:val="nil"/>
              <w:bottom w:val="nil"/>
              <w:right w:val="nil"/>
            </w:tcBorders>
            <w:shd w:val="clear" w:color="auto" w:fill="auto"/>
            <w:noWrap/>
            <w:vAlign w:val="center"/>
            <w:hideMark/>
          </w:tcPr>
          <w:p w:rsidR="004110E9" w:rsidRPr="004110E9" w:rsidRDefault="004110E9" w:rsidP="004110E9">
            <w:pPr>
              <w:jc w:val="right"/>
              <w:rPr>
                <w:rFonts w:cs="Arial"/>
                <w:color w:val="7F7F7F"/>
                <w:szCs w:val="18"/>
                <w:lang w:eastAsia="en-AU"/>
              </w:rPr>
            </w:pPr>
            <w:r w:rsidRPr="004110E9">
              <w:rPr>
                <w:rFonts w:cs="Arial"/>
                <w:color w:val="7F7F7F"/>
                <w:szCs w:val="18"/>
                <w:lang w:eastAsia="en-AU"/>
              </w:rPr>
              <w:t>5,338</w:t>
            </w:r>
          </w:p>
        </w:tc>
        <w:tc>
          <w:tcPr>
            <w:tcW w:w="916" w:type="dxa"/>
            <w:tcBorders>
              <w:top w:val="nil"/>
              <w:left w:val="nil"/>
              <w:bottom w:val="nil"/>
              <w:right w:val="nil"/>
            </w:tcBorders>
            <w:shd w:val="clear" w:color="auto" w:fill="auto"/>
            <w:noWrap/>
            <w:vAlign w:val="center"/>
            <w:hideMark/>
          </w:tcPr>
          <w:p w:rsidR="004110E9" w:rsidRPr="004110E9" w:rsidRDefault="004110E9" w:rsidP="004110E9">
            <w:pPr>
              <w:jc w:val="right"/>
              <w:rPr>
                <w:rFonts w:cs="Arial"/>
                <w:color w:val="7F7F7F"/>
                <w:szCs w:val="18"/>
                <w:lang w:eastAsia="en-AU"/>
              </w:rPr>
            </w:pPr>
            <w:r w:rsidRPr="004110E9">
              <w:rPr>
                <w:rFonts w:cs="Arial"/>
                <w:color w:val="7F7F7F"/>
                <w:szCs w:val="18"/>
                <w:lang w:eastAsia="en-AU"/>
              </w:rPr>
              <w:t>5,367</w:t>
            </w:r>
          </w:p>
        </w:tc>
        <w:tc>
          <w:tcPr>
            <w:tcW w:w="916" w:type="dxa"/>
            <w:tcBorders>
              <w:top w:val="nil"/>
              <w:left w:val="nil"/>
              <w:bottom w:val="nil"/>
              <w:right w:val="nil"/>
            </w:tcBorders>
            <w:shd w:val="clear" w:color="auto" w:fill="auto"/>
            <w:noWrap/>
            <w:vAlign w:val="center"/>
            <w:hideMark/>
          </w:tcPr>
          <w:p w:rsidR="004110E9" w:rsidRPr="004110E9" w:rsidRDefault="004110E9" w:rsidP="004110E9">
            <w:pPr>
              <w:jc w:val="right"/>
              <w:rPr>
                <w:rFonts w:cs="Arial"/>
                <w:color w:val="7F7F7F"/>
                <w:szCs w:val="18"/>
                <w:lang w:eastAsia="en-AU"/>
              </w:rPr>
            </w:pPr>
            <w:r w:rsidRPr="004110E9">
              <w:rPr>
                <w:rFonts w:cs="Arial"/>
                <w:color w:val="7F7F7F"/>
                <w:szCs w:val="18"/>
                <w:lang w:eastAsia="en-AU"/>
              </w:rPr>
              <w:t>5,486</w:t>
            </w:r>
          </w:p>
        </w:tc>
        <w:tc>
          <w:tcPr>
            <w:tcW w:w="916" w:type="dxa"/>
            <w:tcBorders>
              <w:top w:val="nil"/>
              <w:left w:val="nil"/>
              <w:bottom w:val="nil"/>
              <w:right w:val="nil"/>
            </w:tcBorders>
            <w:shd w:val="clear" w:color="auto" w:fill="auto"/>
            <w:noWrap/>
            <w:vAlign w:val="center"/>
            <w:hideMark/>
          </w:tcPr>
          <w:p w:rsidR="004110E9" w:rsidRPr="004110E9" w:rsidRDefault="004110E9" w:rsidP="004110E9">
            <w:pPr>
              <w:jc w:val="right"/>
              <w:rPr>
                <w:rFonts w:cs="Arial"/>
                <w:color w:val="7F7F7F"/>
                <w:szCs w:val="18"/>
                <w:lang w:eastAsia="en-AU"/>
              </w:rPr>
            </w:pPr>
            <w:r w:rsidRPr="004110E9">
              <w:rPr>
                <w:rFonts w:cs="Arial"/>
                <w:color w:val="7F7F7F"/>
                <w:szCs w:val="18"/>
                <w:lang w:eastAsia="en-AU"/>
              </w:rPr>
              <w:t>5,321</w:t>
            </w:r>
          </w:p>
        </w:tc>
        <w:tc>
          <w:tcPr>
            <w:tcW w:w="916" w:type="dxa"/>
            <w:tcBorders>
              <w:top w:val="nil"/>
              <w:left w:val="nil"/>
              <w:bottom w:val="nil"/>
              <w:right w:val="nil"/>
            </w:tcBorders>
            <w:shd w:val="clear" w:color="auto" w:fill="auto"/>
            <w:noWrap/>
            <w:vAlign w:val="center"/>
            <w:hideMark/>
          </w:tcPr>
          <w:p w:rsidR="004110E9" w:rsidRPr="004110E9" w:rsidRDefault="004110E9" w:rsidP="004110E9">
            <w:pPr>
              <w:jc w:val="right"/>
              <w:rPr>
                <w:rFonts w:cs="Arial"/>
                <w:color w:val="7F7F7F"/>
                <w:szCs w:val="18"/>
                <w:lang w:eastAsia="en-AU"/>
              </w:rPr>
            </w:pPr>
            <w:r w:rsidRPr="004110E9">
              <w:rPr>
                <w:rFonts w:cs="Arial"/>
                <w:color w:val="7F7F7F"/>
                <w:szCs w:val="18"/>
                <w:lang w:eastAsia="en-AU"/>
              </w:rPr>
              <w:t>5,382</w:t>
            </w:r>
          </w:p>
        </w:tc>
        <w:tc>
          <w:tcPr>
            <w:tcW w:w="916" w:type="dxa"/>
            <w:tcBorders>
              <w:top w:val="nil"/>
              <w:left w:val="nil"/>
              <w:bottom w:val="nil"/>
              <w:right w:val="nil"/>
            </w:tcBorders>
            <w:shd w:val="clear" w:color="auto" w:fill="auto"/>
            <w:noWrap/>
            <w:vAlign w:val="center"/>
            <w:hideMark/>
          </w:tcPr>
          <w:p w:rsidR="004110E9" w:rsidRPr="004110E9" w:rsidRDefault="004110E9" w:rsidP="004110E9">
            <w:pPr>
              <w:jc w:val="right"/>
              <w:rPr>
                <w:rFonts w:cs="Arial"/>
                <w:color w:val="7F7F7F"/>
                <w:szCs w:val="18"/>
                <w:lang w:eastAsia="en-AU"/>
              </w:rPr>
            </w:pPr>
            <w:r w:rsidRPr="004110E9">
              <w:rPr>
                <w:rFonts w:cs="Arial"/>
                <w:color w:val="7F7F7F"/>
                <w:szCs w:val="18"/>
                <w:lang w:eastAsia="en-AU"/>
              </w:rPr>
              <w:t>4,869</w:t>
            </w:r>
          </w:p>
        </w:tc>
      </w:tr>
      <w:tr w:rsidR="004110E9" w:rsidRPr="004110E9" w:rsidTr="00671FB7">
        <w:trPr>
          <w:trHeight w:val="300"/>
        </w:trPr>
        <w:tc>
          <w:tcPr>
            <w:tcW w:w="2600" w:type="dxa"/>
            <w:tcBorders>
              <w:top w:val="nil"/>
              <w:left w:val="nil"/>
              <w:bottom w:val="nil"/>
              <w:right w:val="nil"/>
            </w:tcBorders>
            <w:shd w:val="clear" w:color="auto" w:fill="auto"/>
            <w:vAlign w:val="center"/>
            <w:hideMark/>
          </w:tcPr>
          <w:p w:rsidR="004110E9" w:rsidRPr="004110E9" w:rsidRDefault="004110E9" w:rsidP="004110E9">
            <w:pPr>
              <w:rPr>
                <w:rFonts w:cs="Arial"/>
                <w:color w:val="7F7F7F"/>
                <w:szCs w:val="18"/>
                <w:lang w:eastAsia="en-AU"/>
              </w:rPr>
            </w:pPr>
            <w:r w:rsidRPr="004110E9">
              <w:rPr>
                <w:rFonts w:cs="Arial"/>
                <w:color w:val="7F7F7F"/>
                <w:szCs w:val="18"/>
                <w:lang w:eastAsia="en-AU"/>
              </w:rPr>
              <w:t>Other Services</w:t>
            </w:r>
          </w:p>
        </w:tc>
        <w:tc>
          <w:tcPr>
            <w:tcW w:w="915" w:type="dxa"/>
            <w:tcBorders>
              <w:top w:val="nil"/>
              <w:left w:val="nil"/>
              <w:bottom w:val="nil"/>
              <w:right w:val="nil"/>
            </w:tcBorders>
            <w:shd w:val="clear" w:color="auto" w:fill="auto"/>
            <w:noWrap/>
            <w:vAlign w:val="center"/>
            <w:hideMark/>
          </w:tcPr>
          <w:p w:rsidR="004110E9" w:rsidRPr="004110E9" w:rsidRDefault="004110E9" w:rsidP="004110E9">
            <w:pPr>
              <w:jc w:val="right"/>
              <w:rPr>
                <w:rFonts w:cs="Arial"/>
                <w:color w:val="7F7F7F"/>
                <w:szCs w:val="18"/>
                <w:lang w:eastAsia="en-AU"/>
              </w:rPr>
            </w:pPr>
            <w:r w:rsidRPr="004110E9">
              <w:rPr>
                <w:rFonts w:cs="Arial"/>
                <w:color w:val="7F7F7F"/>
                <w:szCs w:val="18"/>
                <w:lang w:eastAsia="en-AU"/>
              </w:rPr>
              <w:t>5,684</w:t>
            </w:r>
          </w:p>
        </w:tc>
        <w:tc>
          <w:tcPr>
            <w:tcW w:w="916" w:type="dxa"/>
            <w:tcBorders>
              <w:top w:val="nil"/>
              <w:left w:val="nil"/>
              <w:bottom w:val="nil"/>
              <w:right w:val="nil"/>
            </w:tcBorders>
            <w:shd w:val="clear" w:color="auto" w:fill="auto"/>
            <w:noWrap/>
            <w:vAlign w:val="center"/>
            <w:hideMark/>
          </w:tcPr>
          <w:p w:rsidR="004110E9" w:rsidRPr="004110E9" w:rsidRDefault="004110E9" w:rsidP="004110E9">
            <w:pPr>
              <w:jc w:val="right"/>
              <w:rPr>
                <w:rFonts w:cs="Arial"/>
                <w:color w:val="7F7F7F"/>
                <w:szCs w:val="18"/>
                <w:lang w:eastAsia="en-AU"/>
              </w:rPr>
            </w:pPr>
            <w:r w:rsidRPr="004110E9">
              <w:rPr>
                <w:rFonts w:cs="Arial"/>
                <w:color w:val="7F7F7F"/>
                <w:szCs w:val="18"/>
                <w:lang w:eastAsia="en-AU"/>
              </w:rPr>
              <w:t>5,515</w:t>
            </w:r>
          </w:p>
        </w:tc>
        <w:tc>
          <w:tcPr>
            <w:tcW w:w="916" w:type="dxa"/>
            <w:tcBorders>
              <w:top w:val="nil"/>
              <w:left w:val="nil"/>
              <w:bottom w:val="nil"/>
              <w:right w:val="nil"/>
            </w:tcBorders>
            <w:shd w:val="clear" w:color="auto" w:fill="auto"/>
            <w:noWrap/>
            <w:vAlign w:val="center"/>
            <w:hideMark/>
          </w:tcPr>
          <w:p w:rsidR="004110E9" w:rsidRPr="004110E9" w:rsidRDefault="004110E9" w:rsidP="004110E9">
            <w:pPr>
              <w:jc w:val="right"/>
              <w:rPr>
                <w:rFonts w:cs="Arial"/>
                <w:color w:val="7F7F7F"/>
                <w:szCs w:val="18"/>
                <w:lang w:eastAsia="en-AU"/>
              </w:rPr>
            </w:pPr>
            <w:r w:rsidRPr="004110E9">
              <w:rPr>
                <w:rFonts w:cs="Arial"/>
                <w:color w:val="7F7F7F"/>
                <w:szCs w:val="18"/>
                <w:lang w:eastAsia="en-AU"/>
              </w:rPr>
              <w:t>5,732</w:t>
            </w:r>
          </w:p>
        </w:tc>
        <w:tc>
          <w:tcPr>
            <w:tcW w:w="916" w:type="dxa"/>
            <w:tcBorders>
              <w:top w:val="nil"/>
              <w:left w:val="nil"/>
              <w:bottom w:val="nil"/>
              <w:right w:val="nil"/>
            </w:tcBorders>
            <w:shd w:val="clear" w:color="auto" w:fill="auto"/>
            <w:noWrap/>
            <w:vAlign w:val="center"/>
            <w:hideMark/>
          </w:tcPr>
          <w:p w:rsidR="004110E9" w:rsidRPr="004110E9" w:rsidRDefault="004110E9" w:rsidP="004110E9">
            <w:pPr>
              <w:jc w:val="right"/>
              <w:rPr>
                <w:rFonts w:cs="Arial"/>
                <w:color w:val="7F7F7F"/>
                <w:szCs w:val="18"/>
                <w:lang w:eastAsia="en-AU"/>
              </w:rPr>
            </w:pPr>
            <w:r w:rsidRPr="004110E9">
              <w:rPr>
                <w:rFonts w:cs="Arial"/>
                <w:color w:val="7F7F7F"/>
                <w:szCs w:val="18"/>
                <w:lang w:eastAsia="en-AU"/>
              </w:rPr>
              <w:t>5,414</w:t>
            </w:r>
          </w:p>
        </w:tc>
        <w:tc>
          <w:tcPr>
            <w:tcW w:w="916" w:type="dxa"/>
            <w:tcBorders>
              <w:top w:val="nil"/>
              <w:left w:val="nil"/>
              <w:bottom w:val="nil"/>
              <w:right w:val="nil"/>
            </w:tcBorders>
            <w:shd w:val="clear" w:color="auto" w:fill="auto"/>
            <w:noWrap/>
            <w:vAlign w:val="center"/>
            <w:hideMark/>
          </w:tcPr>
          <w:p w:rsidR="004110E9" w:rsidRPr="004110E9" w:rsidRDefault="004110E9" w:rsidP="004110E9">
            <w:pPr>
              <w:jc w:val="right"/>
              <w:rPr>
                <w:rFonts w:cs="Arial"/>
                <w:color w:val="7F7F7F"/>
                <w:szCs w:val="18"/>
                <w:lang w:eastAsia="en-AU"/>
              </w:rPr>
            </w:pPr>
            <w:r w:rsidRPr="004110E9">
              <w:rPr>
                <w:rFonts w:cs="Arial"/>
                <w:color w:val="7F7F7F"/>
                <w:szCs w:val="18"/>
                <w:lang w:eastAsia="en-AU"/>
              </w:rPr>
              <w:t>5,124</w:t>
            </w:r>
          </w:p>
        </w:tc>
        <w:tc>
          <w:tcPr>
            <w:tcW w:w="916" w:type="dxa"/>
            <w:tcBorders>
              <w:top w:val="nil"/>
              <w:left w:val="nil"/>
              <w:bottom w:val="nil"/>
              <w:right w:val="nil"/>
            </w:tcBorders>
            <w:shd w:val="clear" w:color="auto" w:fill="auto"/>
            <w:noWrap/>
            <w:vAlign w:val="center"/>
            <w:hideMark/>
          </w:tcPr>
          <w:p w:rsidR="004110E9" w:rsidRPr="004110E9" w:rsidRDefault="004110E9" w:rsidP="004110E9">
            <w:pPr>
              <w:jc w:val="right"/>
              <w:rPr>
                <w:rFonts w:cs="Arial"/>
                <w:color w:val="7F7F7F"/>
                <w:szCs w:val="18"/>
                <w:lang w:eastAsia="en-AU"/>
              </w:rPr>
            </w:pPr>
            <w:r w:rsidRPr="004110E9">
              <w:rPr>
                <w:rFonts w:cs="Arial"/>
                <w:color w:val="7F7F7F"/>
                <w:szCs w:val="18"/>
                <w:lang w:eastAsia="en-AU"/>
              </w:rPr>
              <w:t>5,427</w:t>
            </w:r>
          </w:p>
        </w:tc>
      </w:tr>
      <w:tr w:rsidR="004110E9" w:rsidRPr="004110E9" w:rsidTr="00671FB7">
        <w:trPr>
          <w:trHeight w:val="480"/>
        </w:trPr>
        <w:tc>
          <w:tcPr>
            <w:tcW w:w="2600" w:type="dxa"/>
            <w:tcBorders>
              <w:top w:val="nil"/>
              <w:left w:val="nil"/>
              <w:bottom w:val="nil"/>
              <w:right w:val="nil"/>
            </w:tcBorders>
            <w:shd w:val="clear" w:color="auto" w:fill="auto"/>
            <w:vAlign w:val="center"/>
            <w:hideMark/>
          </w:tcPr>
          <w:p w:rsidR="004110E9" w:rsidRPr="004110E9" w:rsidRDefault="004110E9" w:rsidP="004110E9">
            <w:pPr>
              <w:rPr>
                <w:rFonts w:cs="Arial"/>
                <w:color w:val="7F7F7F"/>
                <w:szCs w:val="18"/>
                <w:lang w:eastAsia="en-AU"/>
              </w:rPr>
            </w:pPr>
            <w:r w:rsidRPr="004110E9">
              <w:rPr>
                <w:rFonts w:cs="Arial"/>
                <w:color w:val="7F7F7F"/>
                <w:szCs w:val="18"/>
                <w:lang w:eastAsia="en-AU"/>
              </w:rPr>
              <w:t>Professional, Scientific and Technical Services</w:t>
            </w:r>
          </w:p>
        </w:tc>
        <w:tc>
          <w:tcPr>
            <w:tcW w:w="915" w:type="dxa"/>
            <w:tcBorders>
              <w:top w:val="nil"/>
              <w:left w:val="nil"/>
              <w:bottom w:val="nil"/>
              <w:right w:val="nil"/>
            </w:tcBorders>
            <w:shd w:val="clear" w:color="auto" w:fill="auto"/>
            <w:noWrap/>
            <w:vAlign w:val="center"/>
            <w:hideMark/>
          </w:tcPr>
          <w:p w:rsidR="004110E9" w:rsidRPr="004110E9" w:rsidRDefault="004110E9" w:rsidP="004110E9">
            <w:pPr>
              <w:jc w:val="right"/>
              <w:rPr>
                <w:rFonts w:cs="Arial"/>
                <w:color w:val="7F7F7F"/>
                <w:szCs w:val="18"/>
                <w:lang w:eastAsia="en-AU"/>
              </w:rPr>
            </w:pPr>
            <w:r w:rsidRPr="004110E9">
              <w:rPr>
                <w:rFonts w:cs="Arial"/>
                <w:color w:val="7F7F7F"/>
                <w:szCs w:val="18"/>
                <w:lang w:eastAsia="en-AU"/>
              </w:rPr>
              <w:t>105</w:t>
            </w:r>
          </w:p>
        </w:tc>
        <w:tc>
          <w:tcPr>
            <w:tcW w:w="916" w:type="dxa"/>
            <w:tcBorders>
              <w:top w:val="nil"/>
              <w:left w:val="nil"/>
              <w:bottom w:val="nil"/>
              <w:right w:val="nil"/>
            </w:tcBorders>
            <w:shd w:val="clear" w:color="auto" w:fill="auto"/>
            <w:noWrap/>
            <w:vAlign w:val="center"/>
            <w:hideMark/>
          </w:tcPr>
          <w:p w:rsidR="004110E9" w:rsidRPr="004110E9" w:rsidRDefault="004110E9" w:rsidP="004110E9">
            <w:pPr>
              <w:jc w:val="right"/>
              <w:rPr>
                <w:rFonts w:cs="Arial"/>
                <w:color w:val="7F7F7F"/>
                <w:szCs w:val="18"/>
                <w:lang w:eastAsia="en-AU"/>
              </w:rPr>
            </w:pPr>
            <w:r w:rsidRPr="004110E9">
              <w:rPr>
                <w:rFonts w:cs="Arial"/>
                <w:color w:val="7F7F7F"/>
                <w:szCs w:val="18"/>
                <w:lang w:eastAsia="en-AU"/>
              </w:rPr>
              <w:t>117</w:t>
            </w:r>
          </w:p>
        </w:tc>
        <w:tc>
          <w:tcPr>
            <w:tcW w:w="916" w:type="dxa"/>
            <w:tcBorders>
              <w:top w:val="nil"/>
              <w:left w:val="nil"/>
              <w:bottom w:val="nil"/>
              <w:right w:val="nil"/>
            </w:tcBorders>
            <w:shd w:val="clear" w:color="auto" w:fill="auto"/>
            <w:noWrap/>
            <w:vAlign w:val="center"/>
            <w:hideMark/>
          </w:tcPr>
          <w:p w:rsidR="004110E9" w:rsidRPr="004110E9" w:rsidRDefault="004110E9" w:rsidP="004110E9">
            <w:pPr>
              <w:jc w:val="right"/>
              <w:rPr>
                <w:rFonts w:cs="Arial"/>
                <w:color w:val="7F7F7F"/>
                <w:szCs w:val="18"/>
                <w:lang w:eastAsia="en-AU"/>
              </w:rPr>
            </w:pPr>
            <w:r w:rsidRPr="004110E9">
              <w:rPr>
                <w:rFonts w:cs="Arial"/>
                <w:color w:val="7F7F7F"/>
                <w:szCs w:val="18"/>
                <w:lang w:eastAsia="en-AU"/>
              </w:rPr>
              <w:t>110</w:t>
            </w:r>
          </w:p>
        </w:tc>
        <w:tc>
          <w:tcPr>
            <w:tcW w:w="916" w:type="dxa"/>
            <w:tcBorders>
              <w:top w:val="nil"/>
              <w:left w:val="nil"/>
              <w:bottom w:val="nil"/>
              <w:right w:val="nil"/>
            </w:tcBorders>
            <w:shd w:val="clear" w:color="auto" w:fill="auto"/>
            <w:noWrap/>
            <w:vAlign w:val="center"/>
            <w:hideMark/>
          </w:tcPr>
          <w:p w:rsidR="004110E9" w:rsidRPr="004110E9" w:rsidRDefault="004110E9" w:rsidP="004110E9">
            <w:pPr>
              <w:jc w:val="right"/>
              <w:rPr>
                <w:rFonts w:cs="Arial"/>
                <w:color w:val="7F7F7F"/>
                <w:szCs w:val="18"/>
                <w:lang w:eastAsia="en-AU"/>
              </w:rPr>
            </w:pPr>
            <w:r w:rsidRPr="004110E9">
              <w:rPr>
                <w:rFonts w:cs="Arial"/>
                <w:color w:val="7F7F7F"/>
                <w:szCs w:val="18"/>
                <w:lang w:eastAsia="en-AU"/>
              </w:rPr>
              <w:t>130</w:t>
            </w:r>
          </w:p>
        </w:tc>
        <w:tc>
          <w:tcPr>
            <w:tcW w:w="916" w:type="dxa"/>
            <w:tcBorders>
              <w:top w:val="nil"/>
              <w:left w:val="nil"/>
              <w:bottom w:val="nil"/>
              <w:right w:val="nil"/>
            </w:tcBorders>
            <w:shd w:val="clear" w:color="auto" w:fill="auto"/>
            <w:noWrap/>
            <w:vAlign w:val="center"/>
            <w:hideMark/>
          </w:tcPr>
          <w:p w:rsidR="004110E9" w:rsidRPr="004110E9" w:rsidRDefault="004110E9" w:rsidP="004110E9">
            <w:pPr>
              <w:jc w:val="right"/>
              <w:rPr>
                <w:rFonts w:cs="Arial"/>
                <w:color w:val="7F7F7F"/>
                <w:szCs w:val="18"/>
                <w:lang w:eastAsia="en-AU"/>
              </w:rPr>
            </w:pPr>
            <w:r w:rsidRPr="004110E9">
              <w:rPr>
                <w:rFonts w:cs="Arial"/>
                <w:color w:val="7F7F7F"/>
                <w:szCs w:val="18"/>
                <w:lang w:eastAsia="en-AU"/>
              </w:rPr>
              <w:t>204</w:t>
            </w:r>
          </w:p>
        </w:tc>
        <w:tc>
          <w:tcPr>
            <w:tcW w:w="916" w:type="dxa"/>
            <w:tcBorders>
              <w:top w:val="nil"/>
              <w:left w:val="nil"/>
              <w:bottom w:val="nil"/>
              <w:right w:val="nil"/>
            </w:tcBorders>
            <w:shd w:val="clear" w:color="auto" w:fill="auto"/>
            <w:noWrap/>
            <w:vAlign w:val="center"/>
            <w:hideMark/>
          </w:tcPr>
          <w:p w:rsidR="004110E9" w:rsidRPr="004110E9" w:rsidRDefault="004110E9" w:rsidP="004110E9">
            <w:pPr>
              <w:jc w:val="right"/>
              <w:rPr>
                <w:rFonts w:cs="Arial"/>
                <w:color w:val="7F7F7F"/>
                <w:szCs w:val="18"/>
                <w:lang w:eastAsia="en-AU"/>
              </w:rPr>
            </w:pPr>
            <w:r w:rsidRPr="004110E9">
              <w:rPr>
                <w:rFonts w:cs="Arial"/>
                <w:color w:val="7F7F7F"/>
                <w:szCs w:val="18"/>
                <w:lang w:eastAsia="en-AU"/>
              </w:rPr>
              <w:t>240</w:t>
            </w:r>
          </w:p>
        </w:tc>
      </w:tr>
      <w:tr w:rsidR="004110E9" w:rsidRPr="004110E9" w:rsidTr="00671FB7">
        <w:trPr>
          <w:trHeight w:val="480"/>
        </w:trPr>
        <w:tc>
          <w:tcPr>
            <w:tcW w:w="2600" w:type="dxa"/>
            <w:tcBorders>
              <w:top w:val="nil"/>
              <w:left w:val="nil"/>
              <w:bottom w:val="nil"/>
              <w:right w:val="nil"/>
            </w:tcBorders>
            <w:shd w:val="clear" w:color="auto" w:fill="auto"/>
            <w:vAlign w:val="center"/>
            <w:hideMark/>
          </w:tcPr>
          <w:p w:rsidR="004110E9" w:rsidRPr="004110E9" w:rsidRDefault="004110E9" w:rsidP="004110E9">
            <w:pPr>
              <w:rPr>
                <w:rFonts w:cs="Arial"/>
                <w:color w:val="7F7F7F"/>
                <w:szCs w:val="18"/>
                <w:lang w:eastAsia="en-AU"/>
              </w:rPr>
            </w:pPr>
            <w:r w:rsidRPr="004110E9">
              <w:rPr>
                <w:rFonts w:cs="Arial"/>
                <w:color w:val="7F7F7F"/>
                <w:szCs w:val="18"/>
                <w:lang w:eastAsia="en-AU"/>
              </w:rPr>
              <w:t>Public Administration and Safety</w:t>
            </w:r>
          </w:p>
        </w:tc>
        <w:tc>
          <w:tcPr>
            <w:tcW w:w="915" w:type="dxa"/>
            <w:tcBorders>
              <w:top w:val="nil"/>
              <w:left w:val="nil"/>
              <w:bottom w:val="nil"/>
              <w:right w:val="nil"/>
            </w:tcBorders>
            <w:shd w:val="clear" w:color="auto" w:fill="auto"/>
            <w:noWrap/>
            <w:vAlign w:val="center"/>
            <w:hideMark/>
          </w:tcPr>
          <w:p w:rsidR="004110E9" w:rsidRPr="004110E9" w:rsidRDefault="004110E9" w:rsidP="004110E9">
            <w:pPr>
              <w:jc w:val="right"/>
              <w:rPr>
                <w:rFonts w:cs="Arial"/>
                <w:color w:val="7F7F7F"/>
                <w:szCs w:val="18"/>
                <w:lang w:eastAsia="en-AU"/>
              </w:rPr>
            </w:pPr>
            <w:r w:rsidRPr="004110E9">
              <w:rPr>
                <w:rFonts w:cs="Arial"/>
                <w:color w:val="7F7F7F"/>
                <w:szCs w:val="18"/>
                <w:lang w:eastAsia="en-AU"/>
              </w:rPr>
              <w:t>102</w:t>
            </w:r>
          </w:p>
        </w:tc>
        <w:tc>
          <w:tcPr>
            <w:tcW w:w="916" w:type="dxa"/>
            <w:tcBorders>
              <w:top w:val="nil"/>
              <w:left w:val="nil"/>
              <w:bottom w:val="nil"/>
              <w:right w:val="nil"/>
            </w:tcBorders>
            <w:shd w:val="clear" w:color="auto" w:fill="auto"/>
            <w:noWrap/>
            <w:vAlign w:val="center"/>
            <w:hideMark/>
          </w:tcPr>
          <w:p w:rsidR="004110E9" w:rsidRPr="004110E9" w:rsidRDefault="004110E9" w:rsidP="004110E9">
            <w:pPr>
              <w:jc w:val="right"/>
              <w:rPr>
                <w:rFonts w:cs="Arial"/>
                <w:color w:val="7F7F7F"/>
                <w:szCs w:val="18"/>
                <w:lang w:eastAsia="en-AU"/>
              </w:rPr>
            </w:pPr>
            <w:r w:rsidRPr="004110E9">
              <w:rPr>
                <w:rFonts w:cs="Arial"/>
                <w:color w:val="7F7F7F"/>
                <w:szCs w:val="18"/>
                <w:lang w:eastAsia="en-AU"/>
              </w:rPr>
              <w:t>81</w:t>
            </w:r>
          </w:p>
        </w:tc>
        <w:tc>
          <w:tcPr>
            <w:tcW w:w="916" w:type="dxa"/>
            <w:tcBorders>
              <w:top w:val="nil"/>
              <w:left w:val="nil"/>
              <w:bottom w:val="nil"/>
              <w:right w:val="nil"/>
            </w:tcBorders>
            <w:shd w:val="clear" w:color="auto" w:fill="auto"/>
            <w:noWrap/>
            <w:vAlign w:val="center"/>
            <w:hideMark/>
          </w:tcPr>
          <w:p w:rsidR="004110E9" w:rsidRPr="004110E9" w:rsidRDefault="004110E9" w:rsidP="004110E9">
            <w:pPr>
              <w:jc w:val="right"/>
              <w:rPr>
                <w:rFonts w:cs="Arial"/>
                <w:color w:val="7F7F7F"/>
                <w:szCs w:val="18"/>
                <w:lang w:eastAsia="en-AU"/>
              </w:rPr>
            </w:pPr>
            <w:r w:rsidRPr="004110E9">
              <w:rPr>
                <w:rFonts w:cs="Arial"/>
                <w:color w:val="7F7F7F"/>
                <w:szCs w:val="18"/>
                <w:lang w:eastAsia="en-AU"/>
              </w:rPr>
              <w:t>94</w:t>
            </w:r>
          </w:p>
        </w:tc>
        <w:tc>
          <w:tcPr>
            <w:tcW w:w="916" w:type="dxa"/>
            <w:tcBorders>
              <w:top w:val="nil"/>
              <w:left w:val="nil"/>
              <w:bottom w:val="nil"/>
              <w:right w:val="nil"/>
            </w:tcBorders>
            <w:shd w:val="clear" w:color="auto" w:fill="auto"/>
            <w:noWrap/>
            <w:vAlign w:val="center"/>
            <w:hideMark/>
          </w:tcPr>
          <w:p w:rsidR="004110E9" w:rsidRPr="004110E9" w:rsidRDefault="004110E9" w:rsidP="004110E9">
            <w:pPr>
              <w:jc w:val="right"/>
              <w:rPr>
                <w:rFonts w:cs="Arial"/>
                <w:color w:val="7F7F7F"/>
                <w:szCs w:val="18"/>
                <w:lang w:eastAsia="en-AU"/>
              </w:rPr>
            </w:pPr>
            <w:r w:rsidRPr="004110E9">
              <w:rPr>
                <w:rFonts w:cs="Arial"/>
                <w:color w:val="7F7F7F"/>
                <w:szCs w:val="18"/>
                <w:lang w:eastAsia="en-AU"/>
              </w:rPr>
              <w:t>96</w:t>
            </w:r>
          </w:p>
        </w:tc>
        <w:tc>
          <w:tcPr>
            <w:tcW w:w="916" w:type="dxa"/>
            <w:tcBorders>
              <w:top w:val="nil"/>
              <w:left w:val="nil"/>
              <w:bottom w:val="nil"/>
              <w:right w:val="nil"/>
            </w:tcBorders>
            <w:shd w:val="clear" w:color="auto" w:fill="auto"/>
            <w:noWrap/>
            <w:vAlign w:val="center"/>
            <w:hideMark/>
          </w:tcPr>
          <w:p w:rsidR="004110E9" w:rsidRPr="004110E9" w:rsidRDefault="004110E9" w:rsidP="004110E9">
            <w:pPr>
              <w:jc w:val="right"/>
              <w:rPr>
                <w:rFonts w:cs="Arial"/>
                <w:color w:val="7F7F7F"/>
                <w:szCs w:val="18"/>
                <w:lang w:eastAsia="en-AU"/>
              </w:rPr>
            </w:pPr>
            <w:r w:rsidRPr="004110E9">
              <w:rPr>
                <w:rFonts w:cs="Arial"/>
                <w:color w:val="7F7F7F"/>
                <w:szCs w:val="18"/>
                <w:lang w:eastAsia="en-AU"/>
              </w:rPr>
              <w:t>90</w:t>
            </w:r>
          </w:p>
        </w:tc>
        <w:tc>
          <w:tcPr>
            <w:tcW w:w="916" w:type="dxa"/>
            <w:tcBorders>
              <w:top w:val="nil"/>
              <w:left w:val="nil"/>
              <w:bottom w:val="nil"/>
              <w:right w:val="nil"/>
            </w:tcBorders>
            <w:shd w:val="clear" w:color="auto" w:fill="auto"/>
            <w:noWrap/>
            <w:vAlign w:val="center"/>
            <w:hideMark/>
          </w:tcPr>
          <w:p w:rsidR="004110E9" w:rsidRPr="004110E9" w:rsidRDefault="004110E9" w:rsidP="004110E9">
            <w:pPr>
              <w:jc w:val="right"/>
              <w:rPr>
                <w:rFonts w:cs="Arial"/>
                <w:color w:val="7F7F7F"/>
                <w:szCs w:val="18"/>
                <w:lang w:eastAsia="en-AU"/>
              </w:rPr>
            </w:pPr>
            <w:r w:rsidRPr="004110E9">
              <w:rPr>
                <w:rFonts w:cs="Arial"/>
                <w:color w:val="7F7F7F"/>
                <w:szCs w:val="18"/>
                <w:lang w:eastAsia="en-AU"/>
              </w:rPr>
              <w:t>77</w:t>
            </w:r>
          </w:p>
        </w:tc>
      </w:tr>
      <w:tr w:rsidR="004110E9" w:rsidRPr="004110E9" w:rsidTr="00671FB7">
        <w:trPr>
          <w:trHeight w:val="300"/>
        </w:trPr>
        <w:tc>
          <w:tcPr>
            <w:tcW w:w="2600" w:type="dxa"/>
            <w:tcBorders>
              <w:top w:val="nil"/>
              <w:left w:val="nil"/>
              <w:bottom w:val="nil"/>
              <w:right w:val="nil"/>
            </w:tcBorders>
            <w:shd w:val="clear" w:color="auto" w:fill="auto"/>
            <w:vAlign w:val="center"/>
            <w:hideMark/>
          </w:tcPr>
          <w:p w:rsidR="004110E9" w:rsidRPr="004110E9" w:rsidRDefault="004110E9" w:rsidP="004110E9">
            <w:pPr>
              <w:rPr>
                <w:rFonts w:cs="Arial"/>
                <w:color w:val="7F7F7F"/>
                <w:szCs w:val="18"/>
                <w:lang w:eastAsia="en-AU"/>
              </w:rPr>
            </w:pPr>
            <w:r w:rsidRPr="004110E9">
              <w:rPr>
                <w:rFonts w:cs="Arial"/>
                <w:color w:val="7F7F7F"/>
                <w:szCs w:val="18"/>
                <w:lang w:eastAsia="en-AU"/>
              </w:rPr>
              <w:t>Retail Trade</w:t>
            </w:r>
          </w:p>
        </w:tc>
        <w:tc>
          <w:tcPr>
            <w:tcW w:w="915" w:type="dxa"/>
            <w:tcBorders>
              <w:top w:val="nil"/>
              <w:left w:val="nil"/>
              <w:bottom w:val="nil"/>
              <w:right w:val="nil"/>
            </w:tcBorders>
            <w:shd w:val="clear" w:color="auto" w:fill="auto"/>
            <w:noWrap/>
            <w:vAlign w:val="center"/>
            <w:hideMark/>
          </w:tcPr>
          <w:p w:rsidR="004110E9" w:rsidRPr="004110E9" w:rsidRDefault="004110E9" w:rsidP="004110E9">
            <w:pPr>
              <w:jc w:val="right"/>
              <w:rPr>
                <w:rFonts w:cs="Arial"/>
                <w:color w:val="7F7F7F"/>
                <w:szCs w:val="18"/>
                <w:lang w:eastAsia="en-AU"/>
              </w:rPr>
            </w:pPr>
            <w:r w:rsidRPr="004110E9">
              <w:rPr>
                <w:rFonts w:cs="Arial"/>
                <w:color w:val="7F7F7F"/>
                <w:szCs w:val="18"/>
                <w:lang w:eastAsia="en-AU"/>
              </w:rPr>
              <w:t>1,499</w:t>
            </w:r>
          </w:p>
        </w:tc>
        <w:tc>
          <w:tcPr>
            <w:tcW w:w="916" w:type="dxa"/>
            <w:tcBorders>
              <w:top w:val="nil"/>
              <w:left w:val="nil"/>
              <w:bottom w:val="nil"/>
              <w:right w:val="nil"/>
            </w:tcBorders>
            <w:shd w:val="clear" w:color="auto" w:fill="auto"/>
            <w:noWrap/>
            <w:vAlign w:val="center"/>
            <w:hideMark/>
          </w:tcPr>
          <w:p w:rsidR="004110E9" w:rsidRPr="004110E9" w:rsidRDefault="004110E9" w:rsidP="004110E9">
            <w:pPr>
              <w:jc w:val="right"/>
              <w:rPr>
                <w:rFonts w:cs="Arial"/>
                <w:color w:val="7F7F7F"/>
                <w:szCs w:val="18"/>
                <w:lang w:eastAsia="en-AU"/>
              </w:rPr>
            </w:pPr>
            <w:r w:rsidRPr="004110E9">
              <w:rPr>
                <w:rFonts w:cs="Arial"/>
                <w:color w:val="7F7F7F"/>
                <w:szCs w:val="18"/>
                <w:lang w:eastAsia="en-AU"/>
              </w:rPr>
              <w:t>1,540</w:t>
            </w:r>
          </w:p>
        </w:tc>
        <w:tc>
          <w:tcPr>
            <w:tcW w:w="916" w:type="dxa"/>
            <w:tcBorders>
              <w:top w:val="nil"/>
              <w:left w:val="nil"/>
              <w:bottom w:val="nil"/>
              <w:right w:val="nil"/>
            </w:tcBorders>
            <w:shd w:val="clear" w:color="auto" w:fill="auto"/>
            <w:noWrap/>
            <w:vAlign w:val="center"/>
            <w:hideMark/>
          </w:tcPr>
          <w:p w:rsidR="004110E9" w:rsidRPr="004110E9" w:rsidRDefault="004110E9" w:rsidP="004110E9">
            <w:pPr>
              <w:jc w:val="right"/>
              <w:rPr>
                <w:rFonts w:cs="Arial"/>
                <w:color w:val="7F7F7F"/>
                <w:szCs w:val="18"/>
                <w:lang w:eastAsia="en-AU"/>
              </w:rPr>
            </w:pPr>
            <w:r w:rsidRPr="004110E9">
              <w:rPr>
                <w:rFonts w:cs="Arial"/>
                <w:color w:val="7F7F7F"/>
                <w:szCs w:val="18"/>
                <w:lang w:eastAsia="en-AU"/>
              </w:rPr>
              <w:t>1,693</w:t>
            </w:r>
          </w:p>
        </w:tc>
        <w:tc>
          <w:tcPr>
            <w:tcW w:w="916" w:type="dxa"/>
            <w:tcBorders>
              <w:top w:val="nil"/>
              <w:left w:val="nil"/>
              <w:bottom w:val="nil"/>
              <w:right w:val="nil"/>
            </w:tcBorders>
            <w:shd w:val="clear" w:color="auto" w:fill="auto"/>
            <w:noWrap/>
            <w:vAlign w:val="center"/>
            <w:hideMark/>
          </w:tcPr>
          <w:p w:rsidR="004110E9" w:rsidRPr="004110E9" w:rsidRDefault="004110E9" w:rsidP="004110E9">
            <w:pPr>
              <w:jc w:val="right"/>
              <w:rPr>
                <w:rFonts w:cs="Arial"/>
                <w:color w:val="7F7F7F"/>
                <w:szCs w:val="18"/>
                <w:lang w:eastAsia="en-AU"/>
              </w:rPr>
            </w:pPr>
            <w:r w:rsidRPr="004110E9">
              <w:rPr>
                <w:rFonts w:cs="Arial"/>
                <w:color w:val="7F7F7F"/>
                <w:szCs w:val="18"/>
                <w:lang w:eastAsia="en-AU"/>
              </w:rPr>
              <w:t>1,502</w:t>
            </w:r>
          </w:p>
        </w:tc>
        <w:tc>
          <w:tcPr>
            <w:tcW w:w="916" w:type="dxa"/>
            <w:tcBorders>
              <w:top w:val="nil"/>
              <w:left w:val="nil"/>
              <w:bottom w:val="nil"/>
              <w:right w:val="nil"/>
            </w:tcBorders>
            <w:shd w:val="clear" w:color="auto" w:fill="auto"/>
            <w:noWrap/>
            <w:vAlign w:val="center"/>
            <w:hideMark/>
          </w:tcPr>
          <w:p w:rsidR="004110E9" w:rsidRPr="004110E9" w:rsidRDefault="004110E9" w:rsidP="004110E9">
            <w:pPr>
              <w:jc w:val="right"/>
              <w:rPr>
                <w:rFonts w:cs="Arial"/>
                <w:color w:val="7F7F7F"/>
                <w:szCs w:val="18"/>
                <w:lang w:eastAsia="en-AU"/>
              </w:rPr>
            </w:pPr>
            <w:r w:rsidRPr="004110E9">
              <w:rPr>
                <w:rFonts w:cs="Arial"/>
                <w:color w:val="7F7F7F"/>
                <w:szCs w:val="18"/>
                <w:lang w:eastAsia="en-AU"/>
              </w:rPr>
              <w:t>1,561</w:t>
            </w:r>
          </w:p>
        </w:tc>
        <w:tc>
          <w:tcPr>
            <w:tcW w:w="916" w:type="dxa"/>
            <w:tcBorders>
              <w:top w:val="nil"/>
              <w:left w:val="nil"/>
              <w:bottom w:val="nil"/>
              <w:right w:val="nil"/>
            </w:tcBorders>
            <w:shd w:val="clear" w:color="auto" w:fill="auto"/>
            <w:noWrap/>
            <w:vAlign w:val="center"/>
            <w:hideMark/>
          </w:tcPr>
          <w:p w:rsidR="004110E9" w:rsidRPr="004110E9" w:rsidRDefault="004110E9" w:rsidP="004110E9">
            <w:pPr>
              <w:jc w:val="right"/>
              <w:rPr>
                <w:rFonts w:cs="Arial"/>
                <w:color w:val="7F7F7F"/>
                <w:szCs w:val="18"/>
                <w:lang w:eastAsia="en-AU"/>
              </w:rPr>
            </w:pPr>
            <w:r w:rsidRPr="004110E9">
              <w:rPr>
                <w:rFonts w:cs="Arial"/>
                <w:color w:val="7F7F7F"/>
                <w:szCs w:val="18"/>
                <w:lang w:eastAsia="en-AU"/>
              </w:rPr>
              <w:t>1,694</w:t>
            </w:r>
          </w:p>
        </w:tc>
      </w:tr>
      <w:tr w:rsidR="004110E9" w:rsidRPr="004110E9" w:rsidTr="00671FB7">
        <w:trPr>
          <w:trHeight w:val="480"/>
        </w:trPr>
        <w:tc>
          <w:tcPr>
            <w:tcW w:w="2600" w:type="dxa"/>
            <w:tcBorders>
              <w:top w:val="nil"/>
              <w:left w:val="nil"/>
              <w:bottom w:val="nil"/>
              <w:right w:val="nil"/>
            </w:tcBorders>
            <w:shd w:val="clear" w:color="auto" w:fill="auto"/>
            <w:vAlign w:val="center"/>
            <w:hideMark/>
          </w:tcPr>
          <w:p w:rsidR="004110E9" w:rsidRPr="004110E9" w:rsidRDefault="004110E9" w:rsidP="004110E9">
            <w:pPr>
              <w:rPr>
                <w:rFonts w:cs="Arial"/>
                <w:color w:val="7F7F7F"/>
                <w:szCs w:val="18"/>
                <w:lang w:eastAsia="en-AU"/>
              </w:rPr>
            </w:pPr>
            <w:r w:rsidRPr="004110E9">
              <w:rPr>
                <w:rFonts w:cs="Arial"/>
                <w:color w:val="7F7F7F"/>
                <w:szCs w:val="18"/>
                <w:lang w:eastAsia="en-AU"/>
              </w:rPr>
              <w:t>Transport, Postal and Warehousing</w:t>
            </w:r>
          </w:p>
        </w:tc>
        <w:tc>
          <w:tcPr>
            <w:tcW w:w="915" w:type="dxa"/>
            <w:tcBorders>
              <w:top w:val="nil"/>
              <w:left w:val="nil"/>
              <w:bottom w:val="nil"/>
              <w:right w:val="nil"/>
            </w:tcBorders>
            <w:shd w:val="clear" w:color="auto" w:fill="auto"/>
            <w:noWrap/>
            <w:vAlign w:val="center"/>
            <w:hideMark/>
          </w:tcPr>
          <w:p w:rsidR="004110E9" w:rsidRPr="004110E9" w:rsidRDefault="004110E9" w:rsidP="004110E9">
            <w:pPr>
              <w:jc w:val="right"/>
              <w:rPr>
                <w:rFonts w:cs="Arial"/>
                <w:color w:val="7F7F7F"/>
                <w:szCs w:val="18"/>
                <w:lang w:eastAsia="en-AU"/>
              </w:rPr>
            </w:pPr>
            <w:r w:rsidRPr="004110E9">
              <w:rPr>
                <w:rFonts w:cs="Arial"/>
                <w:color w:val="7F7F7F"/>
                <w:szCs w:val="18"/>
                <w:lang w:eastAsia="en-AU"/>
              </w:rPr>
              <w:t>8</w:t>
            </w:r>
          </w:p>
        </w:tc>
        <w:tc>
          <w:tcPr>
            <w:tcW w:w="916" w:type="dxa"/>
            <w:tcBorders>
              <w:top w:val="nil"/>
              <w:left w:val="nil"/>
              <w:bottom w:val="nil"/>
              <w:right w:val="nil"/>
            </w:tcBorders>
            <w:shd w:val="clear" w:color="auto" w:fill="auto"/>
            <w:noWrap/>
            <w:vAlign w:val="center"/>
            <w:hideMark/>
          </w:tcPr>
          <w:p w:rsidR="004110E9" w:rsidRPr="004110E9" w:rsidRDefault="004110E9" w:rsidP="004110E9">
            <w:pPr>
              <w:jc w:val="right"/>
              <w:rPr>
                <w:rFonts w:cs="Arial"/>
                <w:color w:val="7F7F7F"/>
                <w:szCs w:val="18"/>
                <w:lang w:eastAsia="en-AU"/>
              </w:rPr>
            </w:pPr>
            <w:r w:rsidRPr="004110E9">
              <w:rPr>
                <w:rFonts w:cs="Arial"/>
                <w:color w:val="7F7F7F"/>
                <w:szCs w:val="18"/>
                <w:lang w:eastAsia="en-AU"/>
              </w:rPr>
              <w:t>0</w:t>
            </w:r>
          </w:p>
        </w:tc>
        <w:tc>
          <w:tcPr>
            <w:tcW w:w="916" w:type="dxa"/>
            <w:tcBorders>
              <w:top w:val="nil"/>
              <w:left w:val="nil"/>
              <w:bottom w:val="nil"/>
              <w:right w:val="nil"/>
            </w:tcBorders>
            <w:shd w:val="clear" w:color="auto" w:fill="auto"/>
            <w:noWrap/>
            <w:vAlign w:val="center"/>
            <w:hideMark/>
          </w:tcPr>
          <w:p w:rsidR="004110E9" w:rsidRPr="004110E9" w:rsidRDefault="004110E9" w:rsidP="004110E9">
            <w:pPr>
              <w:jc w:val="right"/>
              <w:rPr>
                <w:rFonts w:cs="Arial"/>
                <w:color w:val="7F7F7F"/>
                <w:szCs w:val="18"/>
                <w:lang w:eastAsia="en-AU"/>
              </w:rPr>
            </w:pPr>
            <w:r w:rsidRPr="004110E9">
              <w:rPr>
                <w:rFonts w:cs="Arial"/>
                <w:color w:val="7F7F7F"/>
                <w:szCs w:val="18"/>
                <w:lang w:eastAsia="en-AU"/>
              </w:rPr>
              <w:t>13</w:t>
            </w:r>
          </w:p>
        </w:tc>
        <w:tc>
          <w:tcPr>
            <w:tcW w:w="916" w:type="dxa"/>
            <w:tcBorders>
              <w:top w:val="nil"/>
              <w:left w:val="nil"/>
              <w:bottom w:val="nil"/>
              <w:right w:val="nil"/>
            </w:tcBorders>
            <w:shd w:val="clear" w:color="auto" w:fill="auto"/>
            <w:noWrap/>
            <w:vAlign w:val="center"/>
            <w:hideMark/>
          </w:tcPr>
          <w:p w:rsidR="004110E9" w:rsidRPr="004110E9" w:rsidRDefault="004110E9" w:rsidP="004110E9">
            <w:pPr>
              <w:jc w:val="right"/>
              <w:rPr>
                <w:rFonts w:cs="Arial"/>
                <w:color w:val="7F7F7F"/>
                <w:szCs w:val="18"/>
                <w:lang w:eastAsia="en-AU"/>
              </w:rPr>
            </w:pPr>
            <w:r w:rsidRPr="004110E9">
              <w:rPr>
                <w:rFonts w:cs="Arial"/>
                <w:color w:val="7F7F7F"/>
                <w:szCs w:val="18"/>
                <w:lang w:eastAsia="en-AU"/>
              </w:rPr>
              <w:t>1</w:t>
            </w:r>
          </w:p>
        </w:tc>
        <w:tc>
          <w:tcPr>
            <w:tcW w:w="916" w:type="dxa"/>
            <w:tcBorders>
              <w:top w:val="nil"/>
              <w:left w:val="nil"/>
              <w:bottom w:val="nil"/>
              <w:right w:val="nil"/>
            </w:tcBorders>
            <w:shd w:val="clear" w:color="auto" w:fill="auto"/>
            <w:noWrap/>
            <w:vAlign w:val="center"/>
            <w:hideMark/>
          </w:tcPr>
          <w:p w:rsidR="004110E9" w:rsidRPr="004110E9" w:rsidRDefault="004110E9" w:rsidP="004110E9">
            <w:pPr>
              <w:jc w:val="right"/>
              <w:rPr>
                <w:rFonts w:cs="Arial"/>
                <w:color w:val="7F7F7F"/>
                <w:szCs w:val="18"/>
                <w:lang w:eastAsia="en-AU"/>
              </w:rPr>
            </w:pPr>
            <w:r w:rsidRPr="004110E9">
              <w:rPr>
                <w:rFonts w:cs="Arial"/>
                <w:color w:val="7F7F7F"/>
                <w:szCs w:val="18"/>
                <w:lang w:eastAsia="en-AU"/>
              </w:rPr>
              <w:t>8</w:t>
            </w:r>
          </w:p>
        </w:tc>
        <w:tc>
          <w:tcPr>
            <w:tcW w:w="916" w:type="dxa"/>
            <w:tcBorders>
              <w:top w:val="nil"/>
              <w:left w:val="nil"/>
              <w:bottom w:val="nil"/>
              <w:right w:val="nil"/>
            </w:tcBorders>
            <w:shd w:val="clear" w:color="auto" w:fill="auto"/>
            <w:noWrap/>
            <w:vAlign w:val="center"/>
            <w:hideMark/>
          </w:tcPr>
          <w:p w:rsidR="004110E9" w:rsidRPr="004110E9" w:rsidRDefault="004110E9" w:rsidP="004110E9">
            <w:pPr>
              <w:jc w:val="right"/>
              <w:rPr>
                <w:rFonts w:cs="Arial"/>
                <w:color w:val="7F7F7F"/>
                <w:szCs w:val="18"/>
                <w:lang w:eastAsia="en-AU"/>
              </w:rPr>
            </w:pPr>
            <w:r w:rsidRPr="004110E9">
              <w:rPr>
                <w:rFonts w:cs="Arial"/>
                <w:color w:val="7F7F7F"/>
                <w:szCs w:val="18"/>
                <w:lang w:eastAsia="en-AU"/>
              </w:rPr>
              <w:t>11</w:t>
            </w:r>
          </w:p>
        </w:tc>
      </w:tr>
      <w:tr w:rsidR="004110E9" w:rsidRPr="004110E9" w:rsidTr="00671FB7">
        <w:trPr>
          <w:trHeight w:val="300"/>
        </w:trPr>
        <w:tc>
          <w:tcPr>
            <w:tcW w:w="2600" w:type="dxa"/>
            <w:tcBorders>
              <w:top w:val="nil"/>
              <w:left w:val="nil"/>
              <w:bottom w:val="nil"/>
              <w:right w:val="nil"/>
            </w:tcBorders>
            <w:shd w:val="clear" w:color="auto" w:fill="auto"/>
            <w:vAlign w:val="center"/>
            <w:hideMark/>
          </w:tcPr>
          <w:p w:rsidR="004110E9" w:rsidRPr="004110E9" w:rsidRDefault="004110E9" w:rsidP="004110E9">
            <w:pPr>
              <w:rPr>
                <w:rFonts w:cs="Arial"/>
                <w:color w:val="7F7F7F"/>
                <w:szCs w:val="18"/>
                <w:lang w:eastAsia="en-AU"/>
              </w:rPr>
            </w:pPr>
            <w:r w:rsidRPr="004110E9">
              <w:rPr>
                <w:rFonts w:cs="Arial"/>
                <w:color w:val="7F7F7F"/>
                <w:szCs w:val="18"/>
                <w:lang w:eastAsia="en-AU"/>
              </w:rPr>
              <w:t>Wholesale Trade</w:t>
            </w:r>
          </w:p>
        </w:tc>
        <w:tc>
          <w:tcPr>
            <w:tcW w:w="915" w:type="dxa"/>
            <w:tcBorders>
              <w:top w:val="nil"/>
              <w:left w:val="nil"/>
              <w:bottom w:val="nil"/>
              <w:right w:val="nil"/>
            </w:tcBorders>
            <w:shd w:val="clear" w:color="auto" w:fill="auto"/>
            <w:noWrap/>
            <w:vAlign w:val="center"/>
            <w:hideMark/>
          </w:tcPr>
          <w:p w:rsidR="004110E9" w:rsidRPr="004110E9" w:rsidRDefault="004110E9" w:rsidP="004110E9">
            <w:pPr>
              <w:jc w:val="right"/>
              <w:rPr>
                <w:rFonts w:cs="Arial"/>
                <w:color w:val="7F7F7F"/>
                <w:szCs w:val="18"/>
                <w:lang w:eastAsia="en-AU"/>
              </w:rPr>
            </w:pPr>
            <w:r w:rsidRPr="004110E9">
              <w:rPr>
                <w:rFonts w:cs="Arial"/>
                <w:color w:val="7F7F7F"/>
                <w:szCs w:val="18"/>
                <w:lang w:eastAsia="en-AU"/>
              </w:rPr>
              <w:t>99</w:t>
            </w:r>
          </w:p>
        </w:tc>
        <w:tc>
          <w:tcPr>
            <w:tcW w:w="916" w:type="dxa"/>
            <w:tcBorders>
              <w:top w:val="nil"/>
              <w:left w:val="nil"/>
              <w:bottom w:val="nil"/>
              <w:right w:val="nil"/>
            </w:tcBorders>
            <w:shd w:val="clear" w:color="auto" w:fill="auto"/>
            <w:noWrap/>
            <w:vAlign w:val="center"/>
            <w:hideMark/>
          </w:tcPr>
          <w:p w:rsidR="004110E9" w:rsidRPr="004110E9" w:rsidRDefault="004110E9" w:rsidP="004110E9">
            <w:pPr>
              <w:jc w:val="right"/>
              <w:rPr>
                <w:rFonts w:cs="Arial"/>
                <w:color w:val="7F7F7F"/>
                <w:szCs w:val="18"/>
                <w:lang w:eastAsia="en-AU"/>
              </w:rPr>
            </w:pPr>
            <w:r w:rsidRPr="004110E9">
              <w:rPr>
                <w:rFonts w:cs="Arial"/>
                <w:color w:val="7F7F7F"/>
                <w:szCs w:val="18"/>
                <w:lang w:eastAsia="en-AU"/>
              </w:rPr>
              <w:t>100</w:t>
            </w:r>
          </w:p>
        </w:tc>
        <w:tc>
          <w:tcPr>
            <w:tcW w:w="916" w:type="dxa"/>
            <w:tcBorders>
              <w:top w:val="nil"/>
              <w:left w:val="nil"/>
              <w:bottom w:val="nil"/>
              <w:right w:val="nil"/>
            </w:tcBorders>
            <w:shd w:val="clear" w:color="auto" w:fill="auto"/>
            <w:noWrap/>
            <w:vAlign w:val="center"/>
            <w:hideMark/>
          </w:tcPr>
          <w:p w:rsidR="004110E9" w:rsidRPr="004110E9" w:rsidRDefault="004110E9" w:rsidP="004110E9">
            <w:pPr>
              <w:jc w:val="right"/>
              <w:rPr>
                <w:rFonts w:cs="Arial"/>
                <w:color w:val="7F7F7F"/>
                <w:szCs w:val="18"/>
                <w:lang w:eastAsia="en-AU"/>
              </w:rPr>
            </w:pPr>
            <w:r w:rsidRPr="004110E9">
              <w:rPr>
                <w:rFonts w:cs="Arial"/>
                <w:color w:val="7F7F7F"/>
                <w:szCs w:val="18"/>
                <w:lang w:eastAsia="en-AU"/>
              </w:rPr>
              <w:t>86</w:t>
            </w:r>
          </w:p>
        </w:tc>
        <w:tc>
          <w:tcPr>
            <w:tcW w:w="916" w:type="dxa"/>
            <w:tcBorders>
              <w:top w:val="nil"/>
              <w:left w:val="nil"/>
              <w:bottom w:val="nil"/>
              <w:right w:val="nil"/>
            </w:tcBorders>
            <w:shd w:val="clear" w:color="auto" w:fill="auto"/>
            <w:noWrap/>
            <w:vAlign w:val="center"/>
            <w:hideMark/>
          </w:tcPr>
          <w:p w:rsidR="004110E9" w:rsidRPr="004110E9" w:rsidRDefault="004110E9" w:rsidP="004110E9">
            <w:pPr>
              <w:jc w:val="right"/>
              <w:rPr>
                <w:rFonts w:cs="Arial"/>
                <w:color w:val="7F7F7F"/>
                <w:szCs w:val="18"/>
                <w:lang w:eastAsia="en-AU"/>
              </w:rPr>
            </w:pPr>
            <w:r w:rsidRPr="004110E9">
              <w:rPr>
                <w:rFonts w:cs="Arial"/>
                <w:color w:val="7F7F7F"/>
                <w:szCs w:val="18"/>
                <w:lang w:eastAsia="en-AU"/>
              </w:rPr>
              <w:t>42</w:t>
            </w:r>
          </w:p>
        </w:tc>
        <w:tc>
          <w:tcPr>
            <w:tcW w:w="916" w:type="dxa"/>
            <w:tcBorders>
              <w:top w:val="nil"/>
              <w:left w:val="nil"/>
              <w:bottom w:val="nil"/>
              <w:right w:val="nil"/>
            </w:tcBorders>
            <w:shd w:val="clear" w:color="auto" w:fill="auto"/>
            <w:noWrap/>
            <w:vAlign w:val="center"/>
            <w:hideMark/>
          </w:tcPr>
          <w:p w:rsidR="004110E9" w:rsidRPr="004110E9" w:rsidRDefault="004110E9" w:rsidP="004110E9">
            <w:pPr>
              <w:jc w:val="right"/>
              <w:rPr>
                <w:rFonts w:cs="Arial"/>
                <w:color w:val="7F7F7F"/>
                <w:szCs w:val="18"/>
                <w:lang w:eastAsia="en-AU"/>
              </w:rPr>
            </w:pPr>
            <w:r w:rsidRPr="004110E9">
              <w:rPr>
                <w:rFonts w:cs="Arial"/>
                <w:color w:val="7F7F7F"/>
                <w:szCs w:val="18"/>
                <w:lang w:eastAsia="en-AU"/>
              </w:rPr>
              <w:t>9</w:t>
            </w:r>
          </w:p>
        </w:tc>
        <w:tc>
          <w:tcPr>
            <w:tcW w:w="916" w:type="dxa"/>
            <w:tcBorders>
              <w:top w:val="nil"/>
              <w:left w:val="nil"/>
              <w:bottom w:val="nil"/>
              <w:right w:val="nil"/>
            </w:tcBorders>
            <w:shd w:val="clear" w:color="auto" w:fill="auto"/>
            <w:noWrap/>
            <w:vAlign w:val="center"/>
            <w:hideMark/>
          </w:tcPr>
          <w:p w:rsidR="004110E9" w:rsidRPr="004110E9" w:rsidRDefault="004110E9" w:rsidP="004110E9">
            <w:pPr>
              <w:jc w:val="right"/>
              <w:rPr>
                <w:rFonts w:cs="Arial"/>
                <w:color w:val="7F7F7F"/>
                <w:szCs w:val="18"/>
                <w:lang w:eastAsia="en-AU"/>
              </w:rPr>
            </w:pPr>
            <w:r w:rsidRPr="004110E9">
              <w:rPr>
                <w:rFonts w:cs="Arial"/>
                <w:color w:val="7F7F7F"/>
                <w:szCs w:val="18"/>
                <w:lang w:eastAsia="en-AU"/>
              </w:rPr>
              <w:t>3</w:t>
            </w:r>
          </w:p>
        </w:tc>
      </w:tr>
      <w:tr w:rsidR="004110E9" w:rsidRPr="004110E9" w:rsidTr="00671FB7">
        <w:trPr>
          <w:trHeight w:val="300"/>
        </w:trPr>
        <w:tc>
          <w:tcPr>
            <w:tcW w:w="2600" w:type="dxa"/>
            <w:tcBorders>
              <w:top w:val="nil"/>
              <w:left w:val="nil"/>
              <w:bottom w:val="nil"/>
              <w:right w:val="nil"/>
            </w:tcBorders>
            <w:shd w:val="clear" w:color="000000" w:fill="7F7F7F"/>
            <w:noWrap/>
            <w:vAlign w:val="center"/>
            <w:hideMark/>
          </w:tcPr>
          <w:p w:rsidR="004110E9" w:rsidRPr="004110E9" w:rsidRDefault="004110E9" w:rsidP="004110E9">
            <w:pPr>
              <w:rPr>
                <w:rFonts w:cs="Arial"/>
                <w:b/>
                <w:bCs/>
                <w:color w:val="FFFFFF"/>
                <w:szCs w:val="18"/>
                <w:lang w:eastAsia="en-AU"/>
              </w:rPr>
            </w:pPr>
            <w:r w:rsidRPr="004110E9">
              <w:rPr>
                <w:rFonts w:cs="Arial"/>
                <w:b/>
                <w:bCs/>
                <w:color w:val="FFFFFF"/>
                <w:szCs w:val="18"/>
                <w:lang w:eastAsia="en-AU"/>
              </w:rPr>
              <w:t>Total</w:t>
            </w:r>
          </w:p>
        </w:tc>
        <w:tc>
          <w:tcPr>
            <w:tcW w:w="915" w:type="dxa"/>
            <w:tcBorders>
              <w:top w:val="nil"/>
              <w:left w:val="nil"/>
              <w:bottom w:val="nil"/>
              <w:right w:val="nil"/>
            </w:tcBorders>
            <w:shd w:val="clear" w:color="000000" w:fill="7F7F7F"/>
            <w:noWrap/>
            <w:vAlign w:val="center"/>
            <w:hideMark/>
          </w:tcPr>
          <w:p w:rsidR="004110E9" w:rsidRPr="004110E9" w:rsidRDefault="004110E9" w:rsidP="004110E9">
            <w:pPr>
              <w:jc w:val="right"/>
              <w:rPr>
                <w:rFonts w:cs="Arial"/>
                <w:b/>
                <w:bCs/>
                <w:color w:val="FFFFFF"/>
                <w:szCs w:val="18"/>
                <w:lang w:eastAsia="en-AU"/>
              </w:rPr>
            </w:pPr>
            <w:r w:rsidRPr="004110E9">
              <w:rPr>
                <w:rFonts w:cs="Arial"/>
                <w:b/>
                <w:bCs/>
                <w:color w:val="FFFFFF"/>
                <w:szCs w:val="18"/>
                <w:lang w:eastAsia="en-AU"/>
              </w:rPr>
              <w:t>35,138</w:t>
            </w:r>
          </w:p>
        </w:tc>
        <w:tc>
          <w:tcPr>
            <w:tcW w:w="916" w:type="dxa"/>
            <w:tcBorders>
              <w:top w:val="nil"/>
              <w:left w:val="nil"/>
              <w:bottom w:val="nil"/>
              <w:right w:val="nil"/>
            </w:tcBorders>
            <w:shd w:val="clear" w:color="000000" w:fill="7F7F7F"/>
            <w:noWrap/>
            <w:vAlign w:val="center"/>
            <w:hideMark/>
          </w:tcPr>
          <w:p w:rsidR="004110E9" w:rsidRPr="004110E9" w:rsidRDefault="004110E9" w:rsidP="004110E9">
            <w:pPr>
              <w:jc w:val="right"/>
              <w:rPr>
                <w:rFonts w:cs="Arial"/>
                <w:b/>
                <w:bCs/>
                <w:color w:val="FFFFFF"/>
                <w:szCs w:val="18"/>
                <w:lang w:eastAsia="en-AU"/>
              </w:rPr>
            </w:pPr>
            <w:r w:rsidRPr="004110E9">
              <w:rPr>
                <w:rFonts w:cs="Arial"/>
                <w:b/>
                <w:bCs/>
                <w:color w:val="FFFFFF"/>
                <w:szCs w:val="18"/>
                <w:lang w:eastAsia="en-AU"/>
              </w:rPr>
              <w:t>37,350</w:t>
            </w:r>
          </w:p>
        </w:tc>
        <w:tc>
          <w:tcPr>
            <w:tcW w:w="916" w:type="dxa"/>
            <w:tcBorders>
              <w:top w:val="nil"/>
              <w:left w:val="nil"/>
              <w:bottom w:val="nil"/>
              <w:right w:val="nil"/>
            </w:tcBorders>
            <w:shd w:val="clear" w:color="000000" w:fill="7F7F7F"/>
            <w:noWrap/>
            <w:vAlign w:val="center"/>
            <w:hideMark/>
          </w:tcPr>
          <w:p w:rsidR="004110E9" w:rsidRPr="004110E9" w:rsidRDefault="004110E9" w:rsidP="004110E9">
            <w:pPr>
              <w:jc w:val="right"/>
              <w:rPr>
                <w:rFonts w:cs="Arial"/>
                <w:b/>
                <w:bCs/>
                <w:color w:val="FFFFFF"/>
                <w:szCs w:val="18"/>
                <w:lang w:eastAsia="en-AU"/>
              </w:rPr>
            </w:pPr>
            <w:r w:rsidRPr="004110E9">
              <w:rPr>
                <w:rFonts w:cs="Arial"/>
                <w:b/>
                <w:bCs/>
                <w:color w:val="FFFFFF"/>
                <w:szCs w:val="18"/>
                <w:lang w:eastAsia="en-AU"/>
              </w:rPr>
              <w:t>37,656</w:t>
            </w:r>
          </w:p>
        </w:tc>
        <w:tc>
          <w:tcPr>
            <w:tcW w:w="916" w:type="dxa"/>
            <w:tcBorders>
              <w:top w:val="nil"/>
              <w:left w:val="nil"/>
              <w:bottom w:val="nil"/>
              <w:right w:val="nil"/>
            </w:tcBorders>
            <w:shd w:val="clear" w:color="000000" w:fill="7F7F7F"/>
            <w:noWrap/>
            <w:vAlign w:val="center"/>
            <w:hideMark/>
          </w:tcPr>
          <w:p w:rsidR="004110E9" w:rsidRPr="004110E9" w:rsidRDefault="004110E9" w:rsidP="004110E9">
            <w:pPr>
              <w:jc w:val="right"/>
              <w:rPr>
                <w:rFonts w:cs="Arial"/>
                <w:b/>
                <w:bCs/>
                <w:color w:val="FFFFFF"/>
                <w:szCs w:val="18"/>
                <w:lang w:eastAsia="en-AU"/>
              </w:rPr>
            </w:pPr>
            <w:r w:rsidRPr="004110E9">
              <w:rPr>
                <w:rFonts w:cs="Arial"/>
                <w:b/>
                <w:bCs/>
                <w:color w:val="FFFFFF"/>
                <w:szCs w:val="18"/>
                <w:lang w:eastAsia="en-AU"/>
              </w:rPr>
              <w:t>34,379</w:t>
            </w:r>
          </w:p>
        </w:tc>
        <w:tc>
          <w:tcPr>
            <w:tcW w:w="916" w:type="dxa"/>
            <w:tcBorders>
              <w:top w:val="nil"/>
              <w:left w:val="nil"/>
              <w:bottom w:val="nil"/>
              <w:right w:val="nil"/>
            </w:tcBorders>
            <w:shd w:val="clear" w:color="000000" w:fill="7F7F7F"/>
            <w:noWrap/>
            <w:vAlign w:val="center"/>
            <w:hideMark/>
          </w:tcPr>
          <w:p w:rsidR="004110E9" w:rsidRPr="004110E9" w:rsidRDefault="004110E9" w:rsidP="004110E9">
            <w:pPr>
              <w:jc w:val="right"/>
              <w:rPr>
                <w:rFonts w:cs="Arial"/>
                <w:b/>
                <w:bCs/>
                <w:color w:val="FFFFFF"/>
                <w:szCs w:val="18"/>
                <w:lang w:eastAsia="en-AU"/>
              </w:rPr>
            </w:pPr>
            <w:r w:rsidRPr="004110E9">
              <w:rPr>
                <w:rFonts w:cs="Arial"/>
                <w:b/>
                <w:bCs/>
                <w:color w:val="FFFFFF"/>
                <w:szCs w:val="18"/>
                <w:lang w:eastAsia="en-AU"/>
              </w:rPr>
              <w:t>34,307</w:t>
            </w:r>
          </w:p>
        </w:tc>
        <w:tc>
          <w:tcPr>
            <w:tcW w:w="916" w:type="dxa"/>
            <w:tcBorders>
              <w:top w:val="nil"/>
              <w:left w:val="nil"/>
              <w:bottom w:val="nil"/>
              <w:right w:val="nil"/>
            </w:tcBorders>
            <w:shd w:val="clear" w:color="000000" w:fill="7F7F7F"/>
            <w:noWrap/>
            <w:vAlign w:val="center"/>
            <w:hideMark/>
          </w:tcPr>
          <w:p w:rsidR="004110E9" w:rsidRPr="004110E9" w:rsidRDefault="004110E9" w:rsidP="004110E9">
            <w:pPr>
              <w:jc w:val="right"/>
              <w:rPr>
                <w:rFonts w:cs="Arial"/>
                <w:b/>
                <w:bCs/>
                <w:color w:val="FFFFFF"/>
                <w:szCs w:val="18"/>
                <w:lang w:eastAsia="en-AU"/>
              </w:rPr>
            </w:pPr>
            <w:r w:rsidRPr="004110E9">
              <w:rPr>
                <w:rFonts w:cs="Arial"/>
                <w:b/>
                <w:bCs/>
                <w:color w:val="FFFFFF"/>
                <w:szCs w:val="18"/>
                <w:lang w:eastAsia="en-AU"/>
              </w:rPr>
              <w:t>35,523</w:t>
            </w:r>
          </w:p>
        </w:tc>
      </w:tr>
    </w:tbl>
    <w:p w:rsidR="004110E9" w:rsidRDefault="004110E9" w:rsidP="00AB62FC">
      <w:pPr>
        <w:pStyle w:val="Quote"/>
        <w:rPr>
          <w:b w:val="0"/>
          <w:sz w:val="18"/>
          <w:szCs w:val="18"/>
        </w:rPr>
      </w:pPr>
    </w:p>
    <w:p w:rsidR="00671FB7" w:rsidRDefault="00671FB7" w:rsidP="00AB62FC">
      <w:pPr>
        <w:pStyle w:val="Quote"/>
        <w:rPr>
          <w:b w:val="0"/>
          <w:sz w:val="18"/>
          <w:szCs w:val="18"/>
        </w:rPr>
      </w:pPr>
    </w:p>
    <w:p w:rsidR="00AB62FC" w:rsidRPr="00671FB7" w:rsidRDefault="00AB62FC" w:rsidP="00AB62FC">
      <w:pPr>
        <w:rPr>
          <w:color w:val="7F7F7F" w:themeColor="text2"/>
          <w:sz w:val="19"/>
          <w:szCs w:val="19"/>
        </w:rPr>
      </w:pPr>
      <w:r w:rsidRPr="00365EB2">
        <w:br w:type="page"/>
      </w: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671FB7" w:rsidTr="00385371">
        <w:tc>
          <w:tcPr>
            <w:tcW w:w="1134" w:type="dxa"/>
            <w:tcMar>
              <w:left w:w="0" w:type="dxa"/>
              <w:right w:w="0" w:type="dxa"/>
            </w:tcMar>
          </w:tcPr>
          <w:p w:rsidR="00671FB7" w:rsidRDefault="00671FB7" w:rsidP="0005261F">
            <w:pPr>
              <w:pStyle w:val="Quote"/>
              <w:tabs>
                <w:tab w:val="left" w:pos="1134"/>
              </w:tabs>
              <w:rPr>
                <w:b w:val="0"/>
                <w:color w:val="B41F22" w:themeColor="accent1"/>
              </w:rPr>
            </w:pPr>
            <w:r>
              <w:rPr>
                <w:b w:val="0"/>
                <w:color w:val="B41F22" w:themeColor="accent1"/>
              </w:rPr>
              <w:lastRenderedPageBreak/>
              <w:t xml:space="preserve">Table </w:t>
            </w:r>
            <w:r w:rsidR="0005261F">
              <w:rPr>
                <w:b w:val="0"/>
                <w:color w:val="B41F22" w:themeColor="accent1"/>
              </w:rPr>
              <w:t>3</w:t>
            </w:r>
            <w:r>
              <w:rPr>
                <w:b w:val="0"/>
                <w:color w:val="B41F22" w:themeColor="accent1"/>
              </w:rPr>
              <w:t>.5.2:</w:t>
            </w:r>
          </w:p>
        </w:tc>
        <w:tc>
          <w:tcPr>
            <w:tcW w:w="6946" w:type="dxa"/>
            <w:tcMar>
              <w:left w:w="0" w:type="dxa"/>
              <w:right w:w="0" w:type="dxa"/>
            </w:tcMar>
          </w:tcPr>
          <w:p w:rsidR="00671FB7" w:rsidRDefault="00671FB7" w:rsidP="00385371">
            <w:pPr>
              <w:pStyle w:val="Quote"/>
              <w:tabs>
                <w:tab w:val="left" w:pos="1134"/>
              </w:tabs>
              <w:rPr>
                <w:b w:val="0"/>
                <w:color w:val="B41F22" w:themeColor="accent1"/>
              </w:rPr>
            </w:pPr>
            <w:r w:rsidRPr="00671FB7">
              <w:rPr>
                <w:b w:val="0"/>
                <w:color w:val="B41F22" w:themeColor="accent1"/>
              </w:rPr>
              <w:t>Change in number of government subsidised apprentice course enrolments by industry (half year)</w:t>
            </w:r>
          </w:p>
        </w:tc>
      </w:tr>
    </w:tbl>
    <w:tbl>
      <w:tblPr>
        <w:tblW w:w="8095" w:type="dxa"/>
        <w:tblInd w:w="93" w:type="dxa"/>
        <w:tblLayout w:type="fixed"/>
        <w:tblLook w:val="04A0" w:firstRow="1" w:lastRow="0" w:firstColumn="1" w:lastColumn="0" w:noHBand="0" w:noVBand="1"/>
      </w:tblPr>
      <w:tblGrid>
        <w:gridCol w:w="2600"/>
        <w:gridCol w:w="1099"/>
        <w:gridCol w:w="1099"/>
        <w:gridCol w:w="1099"/>
        <w:gridCol w:w="1099"/>
        <w:gridCol w:w="1099"/>
      </w:tblGrid>
      <w:tr w:rsidR="00671FB7" w:rsidRPr="00671FB7" w:rsidTr="00671FB7">
        <w:trPr>
          <w:trHeight w:val="720"/>
        </w:trPr>
        <w:tc>
          <w:tcPr>
            <w:tcW w:w="2600" w:type="dxa"/>
            <w:tcBorders>
              <w:top w:val="nil"/>
              <w:left w:val="nil"/>
              <w:bottom w:val="nil"/>
              <w:right w:val="nil"/>
            </w:tcBorders>
            <w:shd w:val="clear" w:color="000000" w:fill="7F7F7F"/>
            <w:noWrap/>
            <w:vAlign w:val="center"/>
            <w:hideMark/>
          </w:tcPr>
          <w:p w:rsidR="00671FB7" w:rsidRPr="00671FB7" w:rsidRDefault="00671FB7" w:rsidP="00671FB7">
            <w:pPr>
              <w:rPr>
                <w:rFonts w:cs="Arial"/>
                <w:color w:val="FFFFFF"/>
                <w:szCs w:val="18"/>
                <w:lang w:eastAsia="en-AU"/>
              </w:rPr>
            </w:pPr>
            <w:r w:rsidRPr="00671FB7">
              <w:rPr>
                <w:rFonts w:cs="Arial"/>
                <w:color w:val="FFFFFF"/>
                <w:szCs w:val="18"/>
                <w:lang w:eastAsia="en-AU"/>
              </w:rPr>
              <w:t> </w:t>
            </w:r>
          </w:p>
        </w:tc>
        <w:tc>
          <w:tcPr>
            <w:tcW w:w="1099" w:type="dxa"/>
            <w:tcBorders>
              <w:top w:val="nil"/>
              <w:left w:val="nil"/>
              <w:bottom w:val="nil"/>
              <w:right w:val="nil"/>
            </w:tcBorders>
            <w:shd w:val="clear" w:color="000000" w:fill="7F7F7F"/>
            <w:vAlign w:val="center"/>
            <w:hideMark/>
          </w:tcPr>
          <w:p w:rsidR="00671FB7" w:rsidRPr="00671FB7" w:rsidRDefault="00671FB7" w:rsidP="00671FB7">
            <w:pPr>
              <w:jc w:val="right"/>
              <w:rPr>
                <w:rFonts w:cs="Arial"/>
                <w:b/>
                <w:bCs/>
                <w:color w:val="FFFFFF"/>
                <w:szCs w:val="18"/>
                <w:lang w:eastAsia="en-AU"/>
              </w:rPr>
            </w:pPr>
            <w:r w:rsidRPr="00671FB7">
              <w:rPr>
                <w:rFonts w:cs="Arial"/>
                <w:b/>
                <w:bCs/>
                <w:color w:val="FFFFFF"/>
                <w:szCs w:val="18"/>
                <w:lang w:eastAsia="en-AU"/>
              </w:rPr>
              <w:t>% change 2010 to 2015</w:t>
            </w:r>
          </w:p>
        </w:tc>
        <w:tc>
          <w:tcPr>
            <w:tcW w:w="1099" w:type="dxa"/>
            <w:tcBorders>
              <w:top w:val="nil"/>
              <w:left w:val="nil"/>
              <w:bottom w:val="nil"/>
              <w:right w:val="nil"/>
            </w:tcBorders>
            <w:shd w:val="clear" w:color="000000" w:fill="7F7F7F"/>
            <w:vAlign w:val="center"/>
            <w:hideMark/>
          </w:tcPr>
          <w:p w:rsidR="00671FB7" w:rsidRPr="00671FB7" w:rsidRDefault="00671FB7" w:rsidP="00671FB7">
            <w:pPr>
              <w:jc w:val="right"/>
              <w:rPr>
                <w:rFonts w:cs="Arial"/>
                <w:b/>
                <w:bCs/>
                <w:color w:val="FFFFFF"/>
                <w:szCs w:val="18"/>
                <w:lang w:eastAsia="en-AU"/>
              </w:rPr>
            </w:pPr>
            <w:r w:rsidRPr="00671FB7">
              <w:rPr>
                <w:rFonts w:cs="Arial"/>
                <w:b/>
                <w:bCs/>
                <w:color w:val="FFFFFF"/>
                <w:szCs w:val="18"/>
                <w:lang w:eastAsia="en-AU"/>
              </w:rPr>
              <w:t>% change 2011 to 2015</w:t>
            </w:r>
          </w:p>
        </w:tc>
        <w:tc>
          <w:tcPr>
            <w:tcW w:w="1099" w:type="dxa"/>
            <w:tcBorders>
              <w:top w:val="nil"/>
              <w:left w:val="nil"/>
              <w:bottom w:val="nil"/>
              <w:right w:val="nil"/>
            </w:tcBorders>
            <w:shd w:val="clear" w:color="000000" w:fill="7F7F7F"/>
            <w:vAlign w:val="center"/>
            <w:hideMark/>
          </w:tcPr>
          <w:p w:rsidR="00671FB7" w:rsidRPr="00671FB7" w:rsidRDefault="00671FB7" w:rsidP="00671FB7">
            <w:pPr>
              <w:jc w:val="right"/>
              <w:rPr>
                <w:rFonts w:cs="Arial"/>
                <w:b/>
                <w:bCs/>
                <w:color w:val="FFFFFF"/>
                <w:szCs w:val="18"/>
                <w:lang w:eastAsia="en-AU"/>
              </w:rPr>
            </w:pPr>
            <w:r w:rsidRPr="00671FB7">
              <w:rPr>
                <w:rFonts w:cs="Arial"/>
                <w:b/>
                <w:bCs/>
                <w:color w:val="FFFFFF"/>
                <w:szCs w:val="18"/>
                <w:lang w:eastAsia="en-AU"/>
              </w:rPr>
              <w:t>% change 2012 to 2015</w:t>
            </w:r>
          </w:p>
        </w:tc>
        <w:tc>
          <w:tcPr>
            <w:tcW w:w="1099" w:type="dxa"/>
            <w:tcBorders>
              <w:top w:val="nil"/>
              <w:left w:val="nil"/>
              <w:bottom w:val="nil"/>
              <w:right w:val="nil"/>
            </w:tcBorders>
            <w:shd w:val="clear" w:color="000000" w:fill="7F7F7F"/>
            <w:vAlign w:val="center"/>
            <w:hideMark/>
          </w:tcPr>
          <w:p w:rsidR="00671FB7" w:rsidRPr="00671FB7" w:rsidRDefault="00671FB7" w:rsidP="00671FB7">
            <w:pPr>
              <w:jc w:val="right"/>
              <w:rPr>
                <w:rFonts w:cs="Arial"/>
                <w:b/>
                <w:bCs/>
                <w:color w:val="FFFFFF"/>
                <w:szCs w:val="18"/>
                <w:lang w:eastAsia="en-AU"/>
              </w:rPr>
            </w:pPr>
            <w:r w:rsidRPr="00671FB7">
              <w:rPr>
                <w:rFonts w:cs="Arial"/>
                <w:b/>
                <w:bCs/>
                <w:color w:val="FFFFFF"/>
                <w:szCs w:val="18"/>
                <w:lang w:eastAsia="en-AU"/>
              </w:rPr>
              <w:t>% change 2013 to 2015</w:t>
            </w:r>
          </w:p>
        </w:tc>
        <w:tc>
          <w:tcPr>
            <w:tcW w:w="1099" w:type="dxa"/>
            <w:tcBorders>
              <w:top w:val="nil"/>
              <w:left w:val="nil"/>
              <w:bottom w:val="nil"/>
              <w:right w:val="nil"/>
            </w:tcBorders>
            <w:shd w:val="clear" w:color="000000" w:fill="7F7F7F"/>
            <w:vAlign w:val="center"/>
            <w:hideMark/>
          </w:tcPr>
          <w:p w:rsidR="00671FB7" w:rsidRPr="00671FB7" w:rsidRDefault="00671FB7" w:rsidP="00671FB7">
            <w:pPr>
              <w:jc w:val="right"/>
              <w:rPr>
                <w:rFonts w:cs="Arial"/>
                <w:b/>
                <w:bCs/>
                <w:color w:val="FFFFFF"/>
                <w:szCs w:val="18"/>
                <w:lang w:eastAsia="en-AU"/>
              </w:rPr>
            </w:pPr>
            <w:r w:rsidRPr="00671FB7">
              <w:rPr>
                <w:rFonts w:cs="Arial"/>
                <w:b/>
                <w:bCs/>
                <w:color w:val="FFFFFF"/>
                <w:szCs w:val="18"/>
                <w:lang w:eastAsia="en-AU"/>
              </w:rPr>
              <w:t>% change 2014 to 2015</w:t>
            </w:r>
          </w:p>
        </w:tc>
      </w:tr>
      <w:tr w:rsidR="00671FB7" w:rsidRPr="00671FB7" w:rsidTr="00671FB7">
        <w:trPr>
          <w:trHeight w:val="480"/>
        </w:trPr>
        <w:tc>
          <w:tcPr>
            <w:tcW w:w="2600" w:type="dxa"/>
            <w:tcBorders>
              <w:top w:val="nil"/>
              <w:left w:val="nil"/>
              <w:bottom w:val="nil"/>
              <w:right w:val="nil"/>
            </w:tcBorders>
            <w:shd w:val="clear" w:color="auto" w:fill="auto"/>
            <w:vAlign w:val="center"/>
            <w:hideMark/>
          </w:tcPr>
          <w:p w:rsidR="00671FB7" w:rsidRPr="00671FB7" w:rsidRDefault="00671FB7" w:rsidP="00671FB7">
            <w:pPr>
              <w:rPr>
                <w:rFonts w:cs="Arial"/>
                <w:color w:val="7F7F7F"/>
                <w:szCs w:val="18"/>
                <w:lang w:eastAsia="en-AU"/>
              </w:rPr>
            </w:pPr>
            <w:r w:rsidRPr="00671FB7">
              <w:rPr>
                <w:rFonts w:cs="Arial"/>
                <w:color w:val="7F7F7F"/>
                <w:szCs w:val="18"/>
                <w:lang w:eastAsia="en-AU"/>
              </w:rPr>
              <w:t>Accommodation and Food Services</w:t>
            </w:r>
          </w:p>
        </w:tc>
        <w:tc>
          <w:tcPr>
            <w:tcW w:w="1099" w:type="dxa"/>
            <w:tcBorders>
              <w:top w:val="nil"/>
              <w:left w:val="nil"/>
              <w:bottom w:val="nil"/>
              <w:right w:val="nil"/>
            </w:tcBorders>
            <w:shd w:val="clear" w:color="auto" w:fill="auto"/>
            <w:noWrap/>
            <w:vAlign w:val="center"/>
            <w:hideMark/>
          </w:tcPr>
          <w:p w:rsidR="00671FB7" w:rsidRPr="00671FB7" w:rsidRDefault="00671FB7" w:rsidP="00671FB7">
            <w:pPr>
              <w:jc w:val="right"/>
              <w:rPr>
                <w:rFonts w:cs="Arial"/>
                <w:color w:val="7F7F7F"/>
                <w:szCs w:val="18"/>
                <w:lang w:eastAsia="en-AU"/>
              </w:rPr>
            </w:pPr>
            <w:r w:rsidRPr="00671FB7">
              <w:rPr>
                <w:rFonts w:cs="Arial"/>
                <w:color w:val="7F7F7F"/>
                <w:szCs w:val="18"/>
                <w:lang w:eastAsia="en-AU"/>
              </w:rPr>
              <w:t>20%</w:t>
            </w:r>
          </w:p>
        </w:tc>
        <w:tc>
          <w:tcPr>
            <w:tcW w:w="1099" w:type="dxa"/>
            <w:tcBorders>
              <w:top w:val="nil"/>
              <w:left w:val="nil"/>
              <w:bottom w:val="nil"/>
              <w:right w:val="nil"/>
            </w:tcBorders>
            <w:shd w:val="clear" w:color="auto" w:fill="auto"/>
            <w:noWrap/>
            <w:vAlign w:val="center"/>
            <w:hideMark/>
          </w:tcPr>
          <w:p w:rsidR="00671FB7" w:rsidRPr="00671FB7" w:rsidRDefault="00671FB7" w:rsidP="00671FB7">
            <w:pPr>
              <w:jc w:val="right"/>
              <w:rPr>
                <w:rFonts w:cs="Arial"/>
                <w:color w:val="7F7F7F"/>
                <w:szCs w:val="18"/>
                <w:lang w:eastAsia="en-AU"/>
              </w:rPr>
            </w:pPr>
            <w:r w:rsidRPr="00671FB7">
              <w:rPr>
                <w:rFonts w:cs="Arial"/>
                <w:color w:val="7F7F7F"/>
                <w:szCs w:val="18"/>
                <w:lang w:eastAsia="en-AU"/>
              </w:rPr>
              <w:t>23%</w:t>
            </w:r>
          </w:p>
        </w:tc>
        <w:tc>
          <w:tcPr>
            <w:tcW w:w="1099" w:type="dxa"/>
            <w:tcBorders>
              <w:top w:val="nil"/>
              <w:left w:val="nil"/>
              <w:bottom w:val="nil"/>
              <w:right w:val="nil"/>
            </w:tcBorders>
            <w:shd w:val="clear" w:color="auto" w:fill="auto"/>
            <w:noWrap/>
            <w:vAlign w:val="center"/>
            <w:hideMark/>
          </w:tcPr>
          <w:p w:rsidR="00671FB7" w:rsidRPr="00671FB7" w:rsidRDefault="00671FB7" w:rsidP="00671FB7">
            <w:pPr>
              <w:jc w:val="right"/>
              <w:rPr>
                <w:rFonts w:cs="Arial"/>
                <w:color w:val="7F7F7F"/>
                <w:szCs w:val="18"/>
                <w:lang w:eastAsia="en-AU"/>
              </w:rPr>
            </w:pPr>
            <w:r w:rsidRPr="00671FB7">
              <w:rPr>
                <w:rFonts w:cs="Arial"/>
                <w:color w:val="7F7F7F"/>
                <w:szCs w:val="18"/>
                <w:lang w:eastAsia="en-AU"/>
              </w:rPr>
              <w:t>23%</w:t>
            </w:r>
          </w:p>
        </w:tc>
        <w:tc>
          <w:tcPr>
            <w:tcW w:w="1099" w:type="dxa"/>
            <w:tcBorders>
              <w:top w:val="nil"/>
              <w:left w:val="nil"/>
              <w:bottom w:val="nil"/>
              <w:right w:val="nil"/>
            </w:tcBorders>
            <w:shd w:val="clear" w:color="auto" w:fill="auto"/>
            <w:noWrap/>
            <w:vAlign w:val="center"/>
            <w:hideMark/>
          </w:tcPr>
          <w:p w:rsidR="00671FB7" w:rsidRPr="00671FB7" w:rsidRDefault="00671FB7" w:rsidP="00671FB7">
            <w:pPr>
              <w:jc w:val="right"/>
              <w:rPr>
                <w:rFonts w:cs="Arial"/>
                <w:color w:val="7F7F7F"/>
                <w:szCs w:val="18"/>
                <w:lang w:eastAsia="en-AU"/>
              </w:rPr>
            </w:pPr>
            <w:r w:rsidRPr="00671FB7">
              <w:rPr>
                <w:rFonts w:cs="Arial"/>
                <w:color w:val="7F7F7F"/>
                <w:szCs w:val="18"/>
                <w:lang w:eastAsia="en-AU"/>
              </w:rPr>
              <w:t>30%</w:t>
            </w:r>
          </w:p>
        </w:tc>
        <w:tc>
          <w:tcPr>
            <w:tcW w:w="1099" w:type="dxa"/>
            <w:tcBorders>
              <w:top w:val="nil"/>
              <w:left w:val="nil"/>
              <w:bottom w:val="nil"/>
              <w:right w:val="nil"/>
            </w:tcBorders>
            <w:shd w:val="clear" w:color="auto" w:fill="auto"/>
            <w:noWrap/>
            <w:vAlign w:val="center"/>
            <w:hideMark/>
          </w:tcPr>
          <w:p w:rsidR="00671FB7" w:rsidRPr="00671FB7" w:rsidRDefault="00671FB7" w:rsidP="00671FB7">
            <w:pPr>
              <w:jc w:val="right"/>
              <w:rPr>
                <w:rFonts w:cs="Arial"/>
                <w:color w:val="7F7F7F"/>
                <w:szCs w:val="18"/>
                <w:lang w:eastAsia="en-AU"/>
              </w:rPr>
            </w:pPr>
            <w:r w:rsidRPr="00671FB7">
              <w:rPr>
                <w:rFonts w:cs="Arial"/>
                <w:color w:val="7F7F7F"/>
                <w:szCs w:val="18"/>
                <w:lang w:eastAsia="en-AU"/>
              </w:rPr>
              <w:t>0%</w:t>
            </w:r>
          </w:p>
        </w:tc>
      </w:tr>
      <w:tr w:rsidR="00671FB7" w:rsidRPr="00671FB7" w:rsidTr="00671FB7">
        <w:trPr>
          <w:trHeight w:val="480"/>
        </w:trPr>
        <w:tc>
          <w:tcPr>
            <w:tcW w:w="2600" w:type="dxa"/>
            <w:tcBorders>
              <w:top w:val="nil"/>
              <w:left w:val="nil"/>
              <w:bottom w:val="nil"/>
              <w:right w:val="nil"/>
            </w:tcBorders>
            <w:shd w:val="clear" w:color="auto" w:fill="auto"/>
            <w:vAlign w:val="center"/>
            <w:hideMark/>
          </w:tcPr>
          <w:p w:rsidR="00671FB7" w:rsidRPr="00671FB7" w:rsidRDefault="00671FB7" w:rsidP="00671FB7">
            <w:pPr>
              <w:rPr>
                <w:rFonts w:cs="Arial"/>
                <w:color w:val="7F7F7F"/>
                <w:szCs w:val="18"/>
                <w:lang w:eastAsia="en-AU"/>
              </w:rPr>
            </w:pPr>
            <w:r w:rsidRPr="00671FB7">
              <w:rPr>
                <w:rFonts w:cs="Arial"/>
                <w:color w:val="7F7F7F"/>
                <w:szCs w:val="18"/>
                <w:lang w:eastAsia="en-AU"/>
              </w:rPr>
              <w:t>Administrative and Support Services</w:t>
            </w:r>
          </w:p>
        </w:tc>
        <w:tc>
          <w:tcPr>
            <w:tcW w:w="1099" w:type="dxa"/>
            <w:tcBorders>
              <w:top w:val="nil"/>
              <w:left w:val="nil"/>
              <w:bottom w:val="nil"/>
              <w:right w:val="nil"/>
            </w:tcBorders>
            <w:shd w:val="clear" w:color="auto" w:fill="auto"/>
            <w:noWrap/>
            <w:vAlign w:val="center"/>
            <w:hideMark/>
          </w:tcPr>
          <w:p w:rsidR="00671FB7" w:rsidRPr="00671FB7" w:rsidRDefault="00671FB7" w:rsidP="00671FB7">
            <w:pPr>
              <w:jc w:val="right"/>
              <w:rPr>
                <w:rFonts w:cs="Arial"/>
                <w:color w:val="7F7F7F"/>
                <w:szCs w:val="18"/>
                <w:lang w:eastAsia="en-AU"/>
              </w:rPr>
            </w:pPr>
            <w:r w:rsidRPr="00671FB7">
              <w:rPr>
                <w:rFonts w:cs="Arial"/>
                <w:color w:val="7F7F7F"/>
                <w:szCs w:val="18"/>
                <w:lang w:eastAsia="en-AU"/>
              </w:rPr>
              <w:t>-96%</w:t>
            </w:r>
          </w:p>
        </w:tc>
        <w:tc>
          <w:tcPr>
            <w:tcW w:w="1099" w:type="dxa"/>
            <w:tcBorders>
              <w:top w:val="nil"/>
              <w:left w:val="nil"/>
              <w:bottom w:val="nil"/>
              <w:right w:val="nil"/>
            </w:tcBorders>
            <w:shd w:val="clear" w:color="auto" w:fill="auto"/>
            <w:noWrap/>
            <w:vAlign w:val="center"/>
            <w:hideMark/>
          </w:tcPr>
          <w:p w:rsidR="00671FB7" w:rsidRPr="00671FB7" w:rsidRDefault="00671FB7" w:rsidP="00671FB7">
            <w:pPr>
              <w:jc w:val="right"/>
              <w:rPr>
                <w:rFonts w:cs="Arial"/>
                <w:color w:val="7F7F7F"/>
                <w:szCs w:val="18"/>
                <w:lang w:eastAsia="en-AU"/>
              </w:rPr>
            </w:pPr>
            <w:r w:rsidRPr="00671FB7">
              <w:rPr>
                <w:rFonts w:cs="Arial"/>
                <w:color w:val="7F7F7F"/>
                <w:szCs w:val="18"/>
                <w:lang w:eastAsia="en-AU"/>
              </w:rPr>
              <w:t>-97%</w:t>
            </w:r>
          </w:p>
        </w:tc>
        <w:tc>
          <w:tcPr>
            <w:tcW w:w="1099" w:type="dxa"/>
            <w:tcBorders>
              <w:top w:val="nil"/>
              <w:left w:val="nil"/>
              <w:bottom w:val="nil"/>
              <w:right w:val="nil"/>
            </w:tcBorders>
            <w:shd w:val="clear" w:color="auto" w:fill="auto"/>
            <w:noWrap/>
            <w:vAlign w:val="center"/>
            <w:hideMark/>
          </w:tcPr>
          <w:p w:rsidR="00671FB7" w:rsidRPr="00671FB7" w:rsidRDefault="00671FB7" w:rsidP="00671FB7">
            <w:pPr>
              <w:jc w:val="right"/>
              <w:rPr>
                <w:rFonts w:cs="Arial"/>
                <w:color w:val="7F7F7F"/>
                <w:szCs w:val="18"/>
                <w:lang w:eastAsia="en-AU"/>
              </w:rPr>
            </w:pPr>
            <w:r w:rsidRPr="00671FB7">
              <w:rPr>
                <w:rFonts w:cs="Arial"/>
                <w:color w:val="7F7F7F"/>
                <w:szCs w:val="18"/>
                <w:lang w:eastAsia="en-AU"/>
              </w:rPr>
              <w:t>-97%</w:t>
            </w:r>
          </w:p>
        </w:tc>
        <w:tc>
          <w:tcPr>
            <w:tcW w:w="1099" w:type="dxa"/>
            <w:tcBorders>
              <w:top w:val="nil"/>
              <w:left w:val="nil"/>
              <w:bottom w:val="nil"/>
              <w:right w:val="nil"/>
            </w:tcBorders>
            <w:shd w:val="clear" w:color="auto" w:fill="auto"/>
            <w:noWrap/>
            <w:vAlign w:val="center"/>
            <w:hideMark/>
          </w:tcPr>
          <w:p w:rsidR="00671FB7" w:rsidRPr="00671FB7" w:rsidRDefault="00671FB7" w:rsidP="00671FB7">
            <w:pPr>
              <w:jc w:val="right"/>
              <w:rPr>
                <w:rFonts w:cs="Arial"/>
                <w:color w:val="7F7F7F"/>
                <w:szCs w:val="18"/>
                <w:lang w:eastAsia="en-AU"/>
              </w:rPr>
            </w:pPr>
            <w:r w:rsidRPr="00671FB7">
              <w:rPr>
                <w:rFonts w:cs="Arial"/>
                <w:color w:val="7F7F7F"/>
                <w:szCs w:val="18"/>
                <w:lang w:eastAsia="en-AU"/>
              </w:rPr>
              <w:t>-94%</w:t>
            </w:r>
          </w:p>
        </w:tc>
        <w:tc>
          <w:tcPr>
            <w:tcW w:w="1099" w:type="dxa"/>
            <w:tcBorders>
              <w:top w:val="nil"/>
              <w:left w:val="nil"/>
              <w:bottom w:val="nil"/>
              <w:right w:val="nil"/>
            </w:tcBorders>
            <w:shd w:val="clear" w:color="auto" w:fill="auto"/>
            <w:noWrap/>
            <w:vAlign w:val="center"/>
            <w:hideMark/>
          </w:tcPr>
          <w:p w:rsidR="00671FB7" w:rsidRPr="00671FB7" w:rsidRDefault="00671FB7" w:rsidP="00671FB7">
            <w:pPr>
              <w:jc w:val="right"/>
              <w:rPr>
                <w:rFonts w:cs="Arial"/>
                <w:color w:val="7F7F7F"/>
                <w:szCs w:val="18"/>
                <w:lang w:eastAsia="en-AU"/>
              </w:rPr>
            </w:pPr>
            <w:r w:rsidRPr="00671FB7">
              <w:rPr>
                <w:rFonts w:cs="Arial"/>
                <w:color w:val="7F7F7F"/>
                <w:szCs w:val="18"/>
                <w:lang w:eastAsia="en-AU"/>
              </w:rPr>
              <w:t>-86%</w:t>
            </w:r>
          </w:p>
        </w:tc>
      </w:tr>
      <w:tr w:rsidR="00671FB7" w:rsidRPr="00671FB7" w:rsidTr="00671FB7">
        <w:trPr>
          <w:trHeight w:val="480"/>
        </w:trPr>
        <w:tc>
          <w:tcPr>
            <w:tcW w:w="2600" w:type="dxa"/>
            <w:tcBorders>
              <w:top w:val="nil"/>
              <w:left w:val="nil"/>
              <w:bottom w:val="nil"/>
              <w:right w:val="nil"/>
            </w:tcBorders>
            <w:shd w:val="clear" w:color="auto" w:fill="auto"/>
            <w:vAlign w:val="center"/>
            <w:hideMark/>
          </w:tcPr>
          <w:p w:rsidR="00671FB7" w:rsidRPr="00671FB7" w:rsidRDefault="00671FB7" w:rsidP="00671FB7">
            <w:pPr>
              <w:rPr>
                <w:rFonts w:cs="Arial"/>
                <w:color w:val="7F7F7F"/>
                <w:szCs w:val="18"/>
                <w:lang w:eastAsia="en-AU"/>
              </w:rPr>
            </w:pPr>
            <w:r w:rsidRPr="00671FB7">
              <w:rPr>
                <w:rFonts w:cs="Arial"/>
                <w:color w:val="7F7F7F"/>
                <w:szCs w:val="18"/>
                <w:lang w:eastAsia="en-AU"/>
              </w:rPr>
              <w:t>Agriculture, Forestry and Fishing</w:t>
            </w:r>
          </w:p>
        </w:tc>
        <w:tc>
          <w:tcPr>
            <w:tcW w:w="1099" w:type="dxa"/>
            <w:tcBorders>
              <w:top w:val="nil"/>
              <w:left w:val="nil"/>
              <w:bottom w:val="nil"/>
              <w:right w:val="nil"/>
            </w:tcBorders>
            <w:shd w:val="clear" w:color="auto" w:fill="auto"/>
            <w:noWrap/>
            <w:vAlign w:val="center"/>
            <w:hideMark/>
          </w:tcPr>
          <w:p w:rsidR="00671FB7" w:rsidRPr="00671FB7" w:rsidRDefault="00671FB7" w:rsidP="00671FB7">
            <w:pPr>
              <w:jc w:val="right"/>
              <w:rPr>
                <w:rFonts w:cs="Arial"/>
                <w:color w:val="7F7F7F"/>
                <w:szCs w:val="18"/>
                <w:lang w:eastAsia="en-AU"/>
              </w:rPr>
            </w:pPr>
            <w:r w:rsidRPr="00671FB7">
              <w:rPr>
                <w:rFonts w:cs="Arial"/>
                <w:color w:val="7F7F7F"/>
                <w:szCs w:val="18"/>
                <w:lang w:eastAsia="en-AU"/>
              </w:rPr>
              <w:t>976%</w:t>
            </w:r>
          </w:p>
        </w:tc>
        <w:tc>
          <w:tcPr>
            <w:tcW w:w="1099" w:type="dxa"/>
            <w:tcBorders>
              <w:top w:val="nil"/>
              <w:left w:val="nil"/>
              <w:bottom w:val="nil"/>
              <w:right w:val="nil"/>
            </w:tcBorders>
            <w:shd w:val="clear" w:color="auto" w:fill="auto"/>
            <w:noWrap/>
            <w:vAlign w:val="center"/>
            <w:hideMark/>
          </w:tcPr>
          <w:p w:rsidR="00671FB7" w:rsidRPr="00671FB7" w:rsidRDefault="00671FB7" w:rsidP="00671FB7">
            <w:pPr>
              <w:jc w:val="right"/>
              <w:rPr>
                <w:rFonts w:cs="Arial"/>
                <w:color w:val="7F7F7F"/>
                <w:szCs w:val="18"/>
                <w:lang w:eastAsia="en-AU"/>
              </w:rPr>
            </w:pPr>
            <w:r w:rsidRPr="00671FB7">
              <w:rPr>
                <w:rFonts w:cs="Arial"/>
                <w:color w:val="7F7F7F"/>
                <w:szCs w:val="18"/>
                <w:lang w:eastAsia="en-AU"/>
              </w:rPr>
              <w:t>715%</w:t>
            </w:r>
          </w:p>
        </w:tc>
        <w:tc>
          <w:tcPr>
            <w:tcW w:w="1099" w:type="dxa"/>
            <w:tcBorders>
              <w:top w:val="nil"/>
              <w:left w:val="nil"/>
              <w:bottom w:val="nil"/>
              <w:right w:val="nil"/>
            </w:tcBorders>
            <w:shd w:val="clear" w:color="auto" w:fill="auto"/>
            <w:noWrap/>
            <w:vAlign w:val="center"/>
            <w:hideMark/>
          </w:tcPr>
          <w:p w:rsidR="00671FB7" w:rsidRPr="00671FB7" w:rsidRDefault="00671FB7" w:rsidP="00671FB7">
            <w:pPr>
              <w:jc w:val="right"/>
              <w:rPr>
                <w:rFonts w:cs="Arial"/>
                <w:color w:val="7F7F7F"/>
                <w:szCs w:val="18"/>
                <w:lang w:eastAsia="en-AU"/>
              </w:rPr>
            </w:pPr>
            <w:r w:rsidRPr="00671FB7">
              <w:rPr>
                <w:rFonts w:cs="Arial"/>
                <w:color w:val="7F7F7F"/>
                <w:szCs w:val="18"/>
                <w:lang w:eastAsia="en-AU"/>
              </w:rPr>
              <w:t>608%</w:t>
            </w:r>
          </w:p>
        </w:tc>
        <w:tc>
          <w:tcPr>
            <w:tcW w:w="1099" w:type="dxa"/>
            <w:tcBorders>
              <w:top w:val="nil"/>
              <w:left w:val="nil"/>
              <w:bottom w:val="nil"/>
              <w:right w:val="nil"/>
            </w:tcBorders>
            <w:shd w:val="clear" w:color="auto" w:fill="auto"/>
            <w:noWrap/>
            <w:vAlign w:val="center"/>
            <w:hideMark/>
          </w:tcPr>
          <w:p w:rsidR="00671FB7" w:rsidRPr="00671FB7" w:rsidRDefault="00671FB7" w:rsidP="00671FB7">
            <w:pPr>
              <w:jc w:val="right"/>
              <w:rPr>
                <w:rFonts w:cs="Arial"/>
                <w:color w:val="7F7F7F"/>
                <w:szCs w:val="18"/>
                <w:lang w:eastAsia="en-AU"/>
              </w:rPr>
            </w:pPr>
            <w:r w:rsidRPr="00671FB7">
              <w:rPr>
                <w:rFonts w:cs="Arial"/>
                <w:color w:val="7F7F7F"/>
                <w:szCs w:val="18"/>
                <w:lang w:eastAsia="en-AU"/>
              </w:rPr>
              <w:t>290%</w:t>
            </w:r>
          </w:p>
        </w:tc>
        <w:tc>
          <w:tcPr>
            <w:tcW w:w="1099" w:type="dxa"/>
            <w:tcBorders>
              <w:top w:val="nil"/>
              <w:left w:val="nil"/>
              <w:bottom w:val="nil"/>
              <w:right w:val="nil"/>
            </w:tcBorders>
            <w:shd w:val="clear" w:color="auto" w:fill="auto"/>
            <w:noWrap/>
            <w:vAlign w:val="center"/>
            <w:hideMark/>
          </w:tcPr>
          <w:p w:rsidR="00671FB7" w:rsidRPr="00671FB7" w:rsidRDefault="00671FB7" w:rsidP="00671FB7">
            <w:pPr>
              <w:jc w:val="right"/>
              <w:rPr>
                <w:rFonts w:cs="Arial"/>
                <w:color w:val="7F7F7F"/>
                <w:szCs w:val="18"/>
                <w:lang w:eastAsia="en-AU"/>
              </w:rPr>
            </w:pPr>
            <w:r w:rsidRPr="00671FB7">
              <w:rPr>
                <w:rFonts w:cs="Arial"/>
                <w:color w:val="7F7F7F"/>
                <w:szCs w:val="18"/>
                <w:lang w:eastAsia="en-AU"/>
              </w:rPr>
              <w:t>122%</w:t>
            </w:r>
          </w:p>
        </w:tc>
      </w:tr>
      <w:tr w:rsidR="00671FB7" w:rsidRPr="00671FB7" w:rsidTr="00671FB7">
        <w:trPr>
          <w:trHeight w:val="300"/>
        </w:trPr>
        <w:tc>
          <w:tcPr>
            <w:tcW w:w="2600" w:type="dxa"/>
            <w:tcBorders>
              <w:top w:val="nil"/>
              <w:left w:val="nil"/>
              <w:bottom w:val="nil"/>
              <w:right w:val="nil"/>
            </w:tcBorders>
            <w:shd w:val="clear" w:color="auto" w:fill="auto"/>
            <w:vAlign w:val="center"/>
            <w:hideMark/>
          </w:tcPr>
          <w:p w:rsidR="00671FB7" w:rsidRPr="00671FB7" w:rsidRDefault="00671FB7" w:rsidP="00671FB7">
            <w:pPr>
              <w:rPr>
                <w:rFonts w:cs="Arial"/>
                <w:color w:val="7F7F7F"/>
                <w:szCs w:val="18"/>
                <w:lang w:eastAsia="en-AU"/>
              </w:rPr>
            </w:pPr>
            <w:r w:rsidRPr="00671FB7">
              <w:rPr>
                <w:rFonts w:cs="Arial"/>
                <w:color w:val="7F7F7F"/>
                <w:szCs w:val="18"/>
                <w:lang w:eastAsia="en-AU"/>
              </w:rPr>
              <w:t>Arts and Recreation Services</w:t>
            </w:r>
          </w:p>
        </w:tc>
        <w:tc>
          <w:tcPr>
            <w:tcW w:w="1099" w:type="dxa"/>
            <w:tcBorders>
              <w:top w:val="nil"/>
              <w:left w:val="nil"/>
              <w:bottom w:val="nil"/>
              <w:right w:val="nil"/>
            </w:tcBorders>
            <w:shd w:val="clear" w:color="auto" w:fill="auto"/>
            <w:noWrap/>
            <w:vAlign w:val="center"/>
            <w:hideMark/>
          </w:tcPr>
          <w:p w:rsidR="00671FB7" w:rsidRPr="00671FB7" w:rsidRDefault="00671FB7" w:rsidP="00671FB7">
            <w:pPr>
              <w:jc w:val="right"/>
              <w:rPr>
                <w:rFonts w:cs="Arial"/>
                <w:color w:val="7F7F7F"/>
                <w:szCs w:val="18"/>
                <w:lang w:eastAsia="en-AU"/>
              </w:rPr>
            </w:pPr>
            <w:r w:rsidRPr="00671FB7">
              <w:rPr>
                <w:rFonts w:cs="Arial"/>
                <w:color w:val="7F7F7F"/>
                <w:szCs w:val="18"/>
                <w:lang w:eastAsia="en-AU"/>
              </w:rPr>
              <w:t>12%</w:t>
            </w:r>
          </w:p>
        </w:tc>
        <w:tc>
          <w:tcPr>
            <w:tcW w:w="1099" w:type="dxa"/>
            <w:tcBorders>
              <w:top w:val="nil"/>
              <w:left w:val="nil"/>
              <w:bottom w:val="nil"/>
              <w:right w:val="nil"/>
            </w:tcBorders>
            <w:shd w:val="clear" w:color="auto" w:fill="auto"/>
            <w:noWrap/>
            <w:vAlign w:val="center"/>
            <w:hideMark/>
          </w:tcPr>
          <w:p w:rsidR="00671FB7" w:rsidRPr="00671FB7" w:rsidRDefault="00671FB7" w:rsidP="00671FB7">
            <w:pPr>
              <w:jc w:val="right"/>
              <w:rPr>
                <w:rFonts w:cs="Arial"/>
                <w:color w:val="7F7F7F"/>
                <w:szCs w:val="18"/>
                <w:lang w:eastAsia="en-AU"/>
              </w:rPr>
            </w:pPr>
            <w:r w:rsidRPr="00671FB7">
              <w:rPr>
                <w:rFonts w:cs="Arial"/>
                <w:color w:val="7F7F7F"/>
                <w:szCs w:val="18"/>
                <w:lang w:eastAsia="en-AU"/>
              </w:rPr>
              <w:t>1%</w:t>
            </w:r>
          </w:p>
        </w:tc>
        <w:tc>
          <w:tcPr>
            <w:tcW w:w="1099" w:type="dxa"/>
            <w:tcBorders>
              <w:top w:val="nil"/>
              <w:left w:val="nil"/>
              <w:bottom w:val="nil"/>
              <w:right w:val="nil"/>
            </w:tcBorders>
            <w:shd w:val="clear" w:color="auto" w:fill="auto"/>
            <w:noWrap/>
            <w:vAlign w:val="center"/>
            <w:hideMark/>
          </w:tcPr>
          <w:p w:rsidR="00671FB7" w:rsidRPr="00671FB7" w:rsidRDefault="00671FB7" w:rsidP="00671FB7">
            <w:pPr>
              <w:jc w:val="right"/>
              <w:rPr>
                <w:rFonts w:cs="Arial"/>
                <w:color w:val="7F7F7F"/>
                <w:szCs w:val="18"/>
                <w:lang w:eastAsia="en-AU"/>
              </w:rPr>
            </w:pPr>
            <w:r w:rsidRPr="00671FB7">
              <w:rPr>
                <w:rFonts w:cs="Arial"/>
                <w:color w:val="7F7F7F"/>
                <w:szCs w:val="18"/>
                <w:lang w:eastAsia="en-AU"/>
              </w:rPr>
              <w:t>-4%</w:t>
            </w:r>
          </w:p>
        </w:tc>
        <w:tc>
          <w:tcPr>
            <w:tcW w:w="1099" w:type="dxa"/>
            <w:tcBorders>
              <w:top w:val="nil"/>
              <w:left w:val="nil"/>
              <w:bottom w:val="nil"/>
              <w:right w:val="nil"/>
            </w:tcBorders>
            <w:shd w:val="clear" w:color="auto" w:fill="auto"/>
            <w:noWrap/>
            <w:vAlign w:val="center"/>
            <w:hideMark/>
          </w:tcPr>
          <w:p w:rsidR="00671FB7" w:rsidRPr="00671FB7" w:rsidRDefault="00671FB7" w:rsidP="00671FB7">
            <w:pPr>
              <w:jc w:val="right"/>
              <w:rPr>
                <w:rFonts w:cs="Arial"/>
                <w:color w:val="7F7F7F"/>
                <w:szCs w:val="18"/>
                <w:lang w:eastAsia="en-AU"/>
              </w:rPr>
            </w:pPr>
            <w:r w:rsidRPr="00671FB7">
              <w:rPr>
                <w:rFonts w:cs="Arial"/>
                <w:color w:val="7F7F7F"/>
                <w:szCs w:val="18"/>
                <w:lang w:eastAsia="en-AU"/>
              </w:rPr>
              <w:t>2%</w:t>
            </w:r>
          </w:p>
        </w:tc>
        <w:tc>
          <w:tcPr>
            <w:tcW w:w="1099" w:type="dxa"/>
            <w:tcBorders>
              <w:top w:val="nil"/>
              <w:left w:val="nil"/>
              <w:bottom w:val="nil"/>
              <w:right w:val="nil"/>
            </w:tcBorders>
            <w:shd w:val="clear" w:color="auto" w:fill="auto"/>
            <w:noWrap/>
            <w:vAlign w:val="center"/>
            <w:hideMark/>
          </w:tcPr>
          <w:p w:rsidR="00671FB7" w:rsidRPr="00671FB7" w:rsidRDefault="00671FB7" w:rsidP="00671FB7">
            <w:pPr>
              <w:jc w:val="right"/>
              <w:rPr>
                <w:rFonts w:cs="Arial"/>
                <w:color w:val="7F7F7F"/>
                <w:szCs w:val="18"/>
                <w:lang w:eastAsia="en-AU"/>
              </w:rPr>
            </w:pPr>
            <w:r w:rsidRPr="00671FB7">
              <w:rPr>
                <w:rFonts w:cs="Arial"/>
                <w:color w:val="7F7F7F"/>
                <w:szCs w:val="18"/>
                <w:lang w:eastAsia="en-AU"/>
              </w:rPr>
              <w:t>13%</w:t>
            </w:r>
          </w:p>
        </w:tc>
      </w:tr>
      <w:tr w:rsidR="00671FB7" w:rsidRPr="00671FB7" w:rsidTr="00671FB7">
        <w:trPr>
          <w:trHeight w:val="300"/>
        </w:trPr>
        <w:tc>
          <w:tcPr>
            <w:tcW w:w="2600" w:type="dxa"/>
            <w:tcBorders>
              <w:top w:val="nil"/>
              <w:left w:val="nil"/>
              <w:bottom w:val="nil"/>
              <w:right w:val="nil"/>
            </w:tcBorders>
            <w:shd w:val="clear" w:color="auto" w:fill="auto"/>
            <w:vAlign w:val="center"/>
            <w:hideMark/>
          </w:tcPr>
          <w:p w:rsidR="00671FB7" w:rsidRPr="00671FB7" w:rsidRDefault="00671FB7" w:rsidP="00671FB7">
            <w:pPr>
              <w:rPr>
                <w:rFonts w:cs="Arial"/>
                <w:color w:val="7F7F7F"/>
                <w:szCs w:val="18"/>
                <w:lang w:eastAsia="en-AU"/>
              </w:rPr>
            </w:pPr>
            <w:r w:rsidRPr="00671FB7">
              <w:rPr>
                <w:rFonts w:cs="Arial"/>
                <w:color w:val="7F7F7F"/>
                <w:szCs w:val="18"/>
                <w:lang w:eastAsia="en-AU"/>
              </w:rPr>
              <w:t>Construction</w:t>
            </w:r>
          </w:p>
        </w:tc>
        <w:tc>
          <w:tcPr>
            <w:tcW w:w="1099" w:type="dxa"/>
            <w:tcBorders>
              <w:top w:val="nil"/>
              <w:left w:val="nil"/>
              <w:bottom w:val="nil"/>
              <w:right w:val="nil"/>
            </w:tcBorders>
            <w:shd w:val="clear" w:color="auto" w:fill="auto"/>
            <w:noWrap/>
            <w:vAlign w:val="center"/>
            <w:hideMark/>
          </w:tcPr>
          <w:p w:rsidR="00671FB7" w:rsidRPr="00671FB7" w:rsidRDefault="00671FB7" w:rsidP="00671FB7">
            <w:pPr>
              <w:jc w:val="right"/>
              <w:rPr>
                <w:rFonts w:cs="Arial"/>
                <w:color w:val="7F7F7F"/>
                <w:szCs w:val="18"/>
                <w:lang w:eastAsia="en-AU"/>
              </w:rPr>
            </w:pPr>
            <w:r w:rsidRPr="00671FB7">
              <w:rPr>
                <w:rFonts w:cs="Arial"/>
                <w:color w:val="7F7F7F"/>
                <w:szCs w:val="18"/>
                <w:lang w:eastAsia="en-AU"/>
              </w:rPr>
              <w:t>2%</w:t>
            </w:r>
          </w:p>
        </w:tc>
        <w:tc>
          <w:tcPr>
            <w:tcW w:w="1099" w:type="dxa"/>
            <w:tcBorders>
              <w:top w:val="nil"/>
              <w:left w:val="nil"/>
              <w:bottom w:val="nil"/>
              <w:right w:val="nil"/>
            </w:tcBorders>
            <w:shd w:val="clear" w:color="auto" w:fill="auto"/>
            <w:noWrap/>
            <w:vAlign w:val="center"/>
            <w:hideMark/>
          </w:tcPr>
          <w:p w:rsidR="00671FB7" w:rsidRPr="00671FB7" w:rsidRDefault="00671FB7" w:rsidP="00671FB7">
            <w:pPr>
              <w:jc w:val="right"/>
              <w:rPr>
                <w:rFonts w:cs="Arial"/>
                <w:color w:val="7F7F7F"/>
                <w:szCs w:val="18"/>
                <w:lang w:eastAsia="en-AU"/>
              </w:rPr>
            </w:pPr>
            <w:r w:rsidRPr="00671FB7">
              <w:rPr>
                <w:rFonts w:cs="Arial"/>
                <w:color w:val="7F7F7F"/>
                <w:szCs w:val="18"/>
                <w:lang w:eastAsia="en-AU"/>
              </w:rPr>
              <w:t>-9%</w:t>
            </w:r>
          </w:p>
        </w:tc>
        <w:tc>
          <w:tcPr>
            <w:tcW w:w="1099" w:type="dxa"/>
            <w:tcBorders>
              <w:top w:val="nil"/>
              <w:left w:val="nil"/>
              <w:bottom w:val="nil"/>
              <w:right w:val="nil"/>
            </w:tcBorders>
            <w:shd w:val="clear" w:color="auto" w:fill="auto"/>
            <w:noWrap/>
            <w:vAlign w:val="center"/>
            <w:hideMark/>
          </w:tcPr>
          <w:p w:rsidR="00671FB7" w:rsidRPr="00671FB7" w:rsidRDefault="00671FB7" w:rsidP="00671FB7">
            <w:pPr>
              <w:jc w:val="right"/>
              <w:rPr>
                <w:rFonts w:cs="Arial"/>
                <w:color w:val="7F7F7F"/>
                <w:szCs w:val="18"/>
                <w:lang w:eastAsia="en-AU"/>
              </w:rPr>
            </w:pPr>
            <w:r w:rsidRPr="00671FB7">
              <w:rPr>
                <w:rFonts w:cs="Arial"/>
                <w:color w:val="7F7F7F"/>
                <w:szCs w:val="18"/>
                <w:lang w:eastAsia="en-AU"/>
              </w:rPr>
              <w:t>-8%</w:t>
            </w:r>
          </w:p>
        </w:tc>
        <w:tc>
          <w:tcPr>
            <w:tcW w:w="1099" w:type="dxa"/>
            <w:tcBorders>
              <w:top w:val="nil"/>
              <w:left w:val="nil"/>
              <w:bottom w:val="nil"/>
              <w:right w:val="nil"/>
            </w:tcBorders>
            <w:shd w:val="clear" w:color="auto" w:fill="auto"/>
            <w:noWrap/>
            <w:vAlign w:val="center"/>
            <w:hideMark/>
          </w:tcPr>
          <w:p w:rsidR="00671FB7" w:rsidRPr="00671FB7" w:rsidRDefault="00671FB7" w:rsidP="00671FB7">
            <w:pPr>
              <w:jc w:val="right"/>
              <w:rPr>
                <w:rFonts w:cs="Arial"/>
                <w:color w:val="7F7F7F"/>
                <w:szCs w:val="18"/>
                <w:lang w:eastAsia="en-AU"/>
              </w:rPr>
            </w:pPr>
            <w:r w:rsidRPr="00671FB7">
              <w:rPr>
                <w:rFonts w:cs="Arial"/>
                <w:color w:val="7F7F7F"/>
                <w:szCs w:val="18"/>
                <w:lang w:eastAsia="en-AU"/>
              </w:rPr>
              <w:t>2%</w:t>
            </w:r>
          </w:p>
        </w:tc>
        <w:tc>
          <w:tcPr>
            <w:tcW w:w="1099" w:type="dxa"/>
            <w:tcBorders>
              <w:top w:val="nil"/>
              <w:left w:val="nil"/>
              <w:bottom w:val="nil"/>
              <w:right w:val="nil"/>
            </w:tcBorders>
            <w:shd w:val="clear" w:color="auto" w:fill="auto"/>
            <w:noWrap/>
            <w:vAlign w:val="center"/>
            <w:hideMark/>
          </w:tcPr>
          <w:p w:rsidR="00671FB7" w:rsidRPr="00671FB7" w:rsidRDefault="00671FB7" w:rsidP="00671FB7">
            <w:pPr>
              <w:jc w:val="right"/>
              <w:rPr>
                <w:rFonts w:cs="Arial"/>
                <w:color w:val="7F7F7F"/>
                <w:szCs w:val="18"/>
                <w:lang w:eastAsia="en-AU"/>
              </w:rPr>
            </w:pPr>
            <w:r w:rsidRPr="00671FB7">
              <w:rPr>
                <w:rFonts w:cs="Arial"/>
                <w:color w:val="7F7F7F"/>
                <w:szCs w:val="18"/>
                <w:lang w:eastAsia="en-AU"/>
              </w:rPr>
              <w:t>6%</w:t>
            </w:r>
          </w:p>
        </w:tc>
      </w:tr>
      <w:tr w:rsidR="00671FB7" w:rsidRPr="00671FB7" w:rsidTr="00671FB7">
        <w:trPr>
          <w:trHeight w:val="300"/>
        </w:trPr>
        <w:tc>
          <w:tcPr>
            <w:tcW w:w="2600" w:type="dxa"/>
            <w:tcBorders>
              <w:top w:val="nil"/>
              <w:left w:val="nil"/>
              <w:bottom w:val="nil"/>
              <w:right w:val="nil"/>
            </w:tcBorders>
            <w:shd w:val="clear" w:color="auto" w:fill="auto"/>
            <w:vAlign w:val="center"/>
            <w:hideMark/>
          </w:tcPr>
          <w:p w:rsidR="00671FB7" w:rsidRPr="00671FB7" w:rsidRDefault="00671FB7" w:rsidP="00671FB7">
            <w:pPr>
              <w:rPr>
                <w:rFonts w:cs="Arial"/>
                <w:color w:val="7F7F7F"/>
                <w:szCs w:val="18"/>
                <w:lang w:eastAsia="en-AU"/>
              </w:rPr>
            </w:pPr>
            <w:r w:rsidRPr="00671FB7">
              <w:rPr>
                <w:rFonts w:cs="Arial"/>
                <w:color w:val="7F7F7F"/>
                <w:szCs w:val="18"/>
                <w:lang w:eastAsia="en-AU"/>
              </w:rPr>
              <w:t>Cross-industry</w:t>
            </w:r>
          </w:p>
        </w:tc>
        <w:tc>
          <w:tcPr>
            <w:tcW w:w="1099" w:type="dxa"/>
            <w:tcBorders>
              <w:top w:val="nil"/>
              <w:left w:val="nil"/>
              <w:bottom w:val="nil"/>
              <w:right w:val="nil"/>
            </w:tcBorders>
            <w:shd w:val="clear" w:color="auto" w:fill="auto"/>
            <w:noWrap/>
            <w:vAlign w:val="center"/>
            <w:hideMark/>
          </w:tcPr>
          <w:p w:rsidR="00671FB7" w:rsidRPr="00671FB7" w:rsidRDefault="00671FB7" w:rsidP="00671FB7">
            <w:pPr>
              <w:jc w:val="right"/>
              <w:rPr>
                <w:rFonts w:cs="Arial"/>
                <w:color w:val="7F7F7F"/>
                <w:szCs w:val="18"/>
                <w:lang w:eastAsia="en-AU"/>
              </w:rPr>
            </w:pPr>
            <w:r w:rsidRPr="00671FB7">
              <w:rPr>
                <w:rFonts w:cs="Arial"/>
                <w:color w:val="7F7F7F"/>
                <w:szCs w:val="18"/>
                <w:lang w:eastAsia="en-AU"/>
              </w:rPr>
              <w:t>-100%</w:t>
            </w:r>
          </w:p>
        </w:tc>
        <w:tc>
          <w:tcPr>
            <w:tcW w:w="1099" w:type="dxa"/>
            <w:tcBorders>
              <w:top w:val="nil"/>
              <w:left w:val="nil"/>
              <w:bottom w:val="nil"/>
              <w:right w:val="nil"/>
            </w:tcBorders>
            <w:shd w:val="clear" w:color="auto" w:fill="auto"/>
            <w:noWrap/>
            <w:vAlign w:val="center"/>
            <w:hideMark/>
          </w:tcPr>
          <w:p w:rsidR="00671FB7" w:rsidRPr="00671FB7" w:rsidRDefault="00671FB7" w:rsidP="00671FB7">
            <w:pPr>
              <w:jc w:val="right"/>
              <w:rPr>
                <w:rFonts w:cs="Arial"/>
                <w:color w:val="7F7F7F"/>
                <w:szCs w:val="18"/>
                <w:lang w:eastAsia="en-AU"/>
              </w:rPr>
            </w:pPr>
            <w:r w:rsidRPr="00671FB7">
              <w:rPr>
                <w:rFonts w:cs="Arial"/>
                <w:color w:val="7F7F7F"/>
                <w:szCs w:val="18"/>
                <w:lang w:eastAsia="en-AU"/>
              </w:rPr>
              <w:t>-100%</w:t>
            </w:r>
          </w:p>
        </w:tc>
        <w:tc>
          <w:tcPr>
            <w:tcW w:w="1099" w:type="dxa"/>
            <w:tcBorders>
              <w:top w:val="nil"/>
              <w:left w:val="nil"/>
              <w:bottom w:val="nil"/>
              <w:right w:val="nil"/>
            </w:tcBorders>
            <w:shd w:val="clear" w:color="auto" w:fill="auto"/>
            <w:noWrap/>
            <w:vAlign w:val="center"/>
            <w:hideMark/>
          </w:tcPr>
          <w:p w:rsidR="00671FB7" w:rsidRPr="00671FB7" w:rsidRDefault="00671FB7" w:rsidP="00671FB7">
            <w:pPr>
              <w:jc w:val="right"/>
              <w:rPr>
                <w:rFonts w:cs="Arial"/>
                <w:color w:val="7F7F7F"/>
                <w:szCs w:val="18"/>
                <w:lang w:eastAsia="en-AU"/>
              </w:rPr>
            </w:pPr>
            <w:r w:rsidRPr="00671FB7">
              <w:rPr>
                <w:rFonts w:cs="Arial"/>
                <w:color w:val="7F7F7F"/>
                <w:szCs w:val="18"/>
                <w:lang w:eastAsia="en-AU"/>
              </w:rPr>
              <w:t>-100%</w:t>
            </w:r>
          </w:p>
        </w:tc>
        <w:tc>
          <w:tcPr>
            <w:tcW w:w="1099" w:type="dxa"/>
            <w:tcBorders>
              <w:top w:val="nil"/>
              <w:left w:val="nil"/>
              <w:bottom w:val="nil"/>
              <w:right w:val="nil"/>
            </w:tcBorders>
            <w:shd w:val="clear" w:color="auto" w:fill="auto"/>
            <w:noWrap/>
            <w:vAlign w:val="center"/>
            <w:hideMark/>
          </w:tcPr>
          <w:p w:rsidR="00671FB7" w:rsidRPr="00671FB7" w:rsidRDefault="00671FB7" w:rsidP="00671FB7">
            <w:pPr>
              <w:jc w:val="right"/>
              <w:rPr>
                <w:rFonts w:cs="Arial"/>
                <w:color w:val="7F7F7F"/>
                <w:szCs w:val="18"/>
                <w:lang w:eastAsia="en-AU"/>
              </w:rPr>
            </w:pPr>
            <w:r w:rsidRPr="00671FB7">
              <w:rPr>
                <w:rFonts w:cs="Arial"/>
                <w:color w:val="7F7F7F"/>
                <w:szCs w:val="18"/>
                <w:lang w:eastAsia="en-AU"/>
              </w:rPr>
              <w:t>-</w:t>
            </w:r>
          </w:p>
        </w:tc>
        <w:tc>
          <w:tcPr>
            <w:tcW w:w="1099" w:type="dxa"/>
            <w:tcBorders>
              <w:top w:val="nil"/>
              <w:left w:val="nil"/>
              <w:bottom w:val="nil"/>
              <w:right w:val="nil"/>
            </w:tcBorders>
            <w:shd w:val="clear" w:color="auto" w:fill="auto"/>
            <w:noWrap/>
            <w:vAlign w:val="center"/>
            <w:hideMark/>
          </w:tcPr>
          <w:p w:rsidR="00671FB7" w:rsidRPr="00671FB7" w:rsidRDefault="00671FB7" w:rsidP="00671FB7">
            <w:pPr>
              <w:jc w:val="right"/>
              <w:rPr>
                <w:rFonts w:cs="Arial"/>
                <w:color w:val="7F7F7F"/>
                <w:szCs w:val="18"/>
                <w:lang w:eastAsia="en-AU"/>
              </w:rPr>
            </w:pPr>
            <w:r w:rsidRPr="00671FB7">
              <w:rPr>
                <w:rFonts w:cs="Arial"/>
                <w:color w:val="7F7F7F"/>
                <w:szCs w:val="18"/>
                <w:lang w:eastAsia="en-AU"/>
              </w:rPr>
              <w:t>-100%</w:t>
            </w:r>
          </w:p>
        </w:tc>
      </w:tr>
      <w:tr w:rsidR="00671FB7" w:rsidRPr="00671FB7" w:rsidTr="00671FB7">
        <w:trPr>
          <w:trHeight w:val="480"/>
        </w:trPr>
        <w:tc>
          <w:tcPr>
            <w:tcW w:w="2600" w:type="dxa"/>
            <w:tcBorders>
              <w:top w:val="nil"/>
              <w:left w:val="nil"/>
              <w:bottom w:val="nil"/>
              <w:right w:val="nil"/>
            </w:tcBorders>
            <w:shd w:val="clear" w:color="auto" w:fill="auto"/>
            <w:vAlign w:val="center"/>
            <w:hideMark/>
          </w:tcPr>
          <w:p w:rsidR="00671FB7" w:rsidRPr="00671FB7" w:rsidRDefault="00671FB7" w:rsidP="00671FB7">
            <w:pPr>
              <w:rPr>
                <w:rFonts w:cs="Arial"/>
                <w:color w:val="7F7F7F"/>
                <w:szCs w:val="18"/>
                <w:lang w:eastAsia="en-AU"/>
              </w:rPr>
            </w:pPr>
            <w:r w:rsidRPr="00671FB7">
              <w:rPr>
                <w:rFonts w:cs="Arial"/>
                <w:color w:val="7F7F7F"/>
                <w:szCs w:val="18"/>
                <w:lang w:eastAsia="en-AU"/>
              </w:rPr>
              <w:t>Electricity, Gas, Water and Waste Services</w:t>
            </w:r>
          </w:p>
        </w:tc>
        <w:tc>
          <w:tcPr>
            <w:tcW w:w="1099" w:type="dxa"/>
            <w:tcBorders>
              <w:top w:val="nil"/>
              <w:left w:val="nil"/>
              <w:bottom w:val="nil"/>
              <w:right w:val="nil"/>
            </w:tcBorders>
            <w:shd w:val="clear" w:color="auto" w:fill="auto"/>
            <w:noWrap/>
            <w:vAlign w:val="center"/>
            <w:hideMark/>
          </w:tcPr>
          <w:p w:rsidR="00671FB7" w:rsidRPr="00671FB7" w:rsidRDefault="00671FB7" w:rsidP="00671FB7">
            <w:pPr>
              <w:jc w:val="right"/>
              <w:rPr>
                <w:rFonts w:cs="Arial"/>
                <w:color w:val="7F7F7F"/>
                <w:szCs w:val="18"/>
                <w:lang w:eastAsia="en-AU"/>
              </w:rPr>
            </w:pPr>
            <w:r w:rsidRPr="00671FB7">
              <w:rPr>
                <w:rFonts w:cs="Arial"/>
                <w:color w:val="7F7F7F"/>
                <w:szCs w:val="18"/>
                <w:lang w:eastAsia="en-AU"/>
              </w:rPr>
              <w:t>84%</w:t>
            </w:r>
          </w:p>
        </w:tc>
        <w:tc>
          <w:tcPr>
            <w:tcW w:w="1099" w:type="dxa"/>
            <w:tcBorders>
              <w:top w:val="nil"/>
              <w:left w:val="nil"/>
              <w:bottom w:val="nil"/>
              <w:right w:val="nil"/>
            </w:tcBorders>
            <w:shd w:val="clear" w:color="auto" w:fill="auto"/>
            <w:noWrap/>
            <w:vAlign w:val="center"/>
            <w:hideMark/>
          </w:tcPr>
          <w:p w:rsidR="00671FB7" w:rsidRPr="00671FB7" w:rsidRDefault="00671FB7" w:rsidP="00671FB7">
            <w:pPr>
              <w:jc w:val="right"/>
              <w:rPr>
                <w:rFonts w:cs="Arial"/>
                <w:color w:val="7F7F7F"/>
                <w:szCs w:val="18"/>
                <w:lang w:eastAsia="en-AU"/>
              </w:rPr>
            </w:pPr>
            <w:r w:rsidRPr="00671FB7">
              <w:rPr>
                <w:rFonts w:cs="Arial"/>
                <w:color w:val="7F7F7F"/>
                <w:szCs w:val="18"/>
                <w:lang w:eastAsia="en-AU"/>
              </w:rPr>
              <w:t>59%</w:t>
            </w:r>
          </w:p>
        </w:tc>
        <w:tc>
          <w:tcPr>
            <w:tcW w:w="1099" w:type="dxa"/>
            <w:tcBorders>
              <w:top w:val="nil"/>
              <w:left w:val="nil"/>
              <w:bottom w:val="nil"/>
              <w:right w:val="nil"/>
            </w:tcBorders>
            <w:shd w:val="clear" w:color="auto" w:fill="auto"/>
            <w:noWrap/>
            <w:vAlign w:val="center"/>
            <w:hideMark/>
          </w:tcPr>
          <w:p w:rsidR="00671FB7" w:rsidRPr="00671FB7" w:rsidRDefault="00671FB7" w:rsidP="00671FB7">
            <w:pPr>
              <w:jc w:val="right"/>
              <w:rPr>
                <w:rFonts w:cs="Arial"/>
                <w:color w:val="7F7F7F"/>
                <w:szCs w:val="18"/>
                <w:lang w:eastAsia="en-AU"/>
              </w:rPr>
            </w:pPr>
            <w:r w:rsidRPr="00671FB7">
              <w:rPr>
                <w:rFonts w:cs="Arial"/>
                <w:color w:val="7F7F7F"/>
                <w:szCs w:val="18"/>
                <w:lang w:eastAsia="en-AU"/>
              </w:rPr>
              <w:t>69%</w:t>
            </w:r>
          </w:p>
        </w:tc>
        <w:tc>
          <w:tcPr>
            <w:tcW w:w="1099" w:type="dxa"/>
            <w:tcBorders>
              <w:top w:val="nil"/>
              <w:left w:val="nil"/>
              <w:bottom w:val="nil"/>
              <w:right w:val="nil"/>
            </w:tcBorders>
            <w:shd w:val="clear" w:color="auto" w:fill="auto"/>
            <w:noWrap/>
            <w:vAlign w:val="center"/>
            <w:hideMark/>
          </w:tcPr>
          <w:p w:rsidR="00671FB7" w:rsidRPr="00671FB7" w:rsidRDefault="00671FB7" w:rsidP="00671FB7">
            <w:pPr>
              <w:jc w:val="right"/>
              <w:rPr>
                <w:rFonts w:cs="Arial"/>
                <w:color w:val="7F7F7F"/>
                <w:szCs w:val="18"/>
                <w:lang w:eastAsia="en-AU"/>
              </w:rPr>
            </w:pPr>
            <w:r w:rsidRPr="00671FB7">
              <w:rPr>
                <w:rFonts w:cs="Arial"/>
                <w:color w:val="7F7F7F"/>
                <w:szCs w:val="18"/>
                <w:lang w:eastAsia="en-AU"/>
              </w:rPr>
              <w:t>6,000%</w:t>
            </w:r>
          </w:p>
        </w:tc>
        <w:tc>
          <w:tcPr>
            <w:tcW w:w="1099" w:type="dxa"/>
            <w:tcBorders>
              <w:top w:val="nil"/>
              <w:left w:val="nil"/>
              <w:bottom w:val="nil"/>
              <w:right w:val="nil"/>
            </w:tcBorders>
            <w:shd w:val="clear" w:color="auto" w:fill="auto"/>
            <w:noWrap/>
            <w:vAlign w:val="center"/>
            <w:hideMark/>
          </w:tcPr>
          <w:p w:rsidR="00671FB7" w:rsidRPr="00671FB7" w:rsidRDefault="00671FB7" w:rsidP="00671FB7">
            <w:pPr>
              <w:jc w:val="right"/>
              <w:rPr>
                <w:rFonts w:cs="Arial"/>
                <w:color w:val="7F7F7F"/>
                <w:szCs w:val="18"/>
                <w:lang w:eastAsia="en-AU"/>
              </w:rPr>
            </w:pPr>
            <w:r w:rsidRPr="00671FB7">
              <w:rPr>
                <w:rFonts w:cs="Arial"/>
                <w:color w:val="7F7F7F"/>
                <w:szCs w:val="18"/>
                <w:lang w:eastAsia="en-AU"/>
              </w:rPr>
              <w:t>8%</w:t>
            </w:r>
          </w:p>
        </w:tc>
      </w:tr>
      <w:tr w:rsidR="00671FB7" w:rsidRPr="00671FB7" w:rsidTr="00671FB7">
        <w:trPr>
          <w:trHeight w:val="480"/>
        </w:trPr>
        <w:tc>
          <w:tcPr>
            <w:tcW w:w="2600" w:type="dxa"/>
            <w:tcBorders>
              <w:top w:val="nil"/>
              <w:left w:val="nil"/>
              <w:bottom w:val="nil"/>
              <w:right w:val="nil"/>
            </w:tcBorders>
            <w:shd w:val="clear" w:color="auto" w:fill="auto"/>
            <w:vAlign w:val="center"/>
            <w:hideMark/>
          </w:tcPr>
          <w:p w:rsidR="00671FB7" w:rsidRPr="00671FB7" w:rsidRDefault="00671FB7" w:rsidP="00671FB7">
            <w:pPr>
              <w:rPr>
                <w:rFonts w:cs="Arial"/>
                <w:color w:val="7F7F7F"/>
                <w:szCs w:val="18"/>
                <w:lang w:eastAsia="en-AU"/>
              </w:rPr>
            </w:pPr>
            <w:r w:rsidRPr="00671FB7">
              <w:rPr>
                <w:rFonts w:cs="Arial"/>
                <w:color w:val="7F7F7F"/>
                <w:szCs w:val="18"/>
                <w:lang w:eastAsia="en-AU"/>
              </w:rPr>
              <w:t>Financial and Insurance Services</w:t>
            </w:r>
          </w:p>
        </w:tc>
        <w:tc>
          <w:tcPr>
            <w:tcW w:w="1099" w:type="dxa"/>
            <w:tcBorders>
              <w:top w:val="nil"/>
              <w:left w:val="nil"/>
              <w:bottom w:val="nil"/>
              <w:right w:val="nil"/>
            </w:tcBorders>
            <w:shd w:val="clear" w:color="auto" w:fill="auto"/>
            <w:noWrap/>
            <w:vAlign w:val="center"/>
            <w:hideMark/>
          </w:tcPr>
          <w:p w:rsidR="00671FB7" w:rsidRPr="00671FB7" w:rsidRDefault="00671FB7" w:rsidP="00671FB7">
            <w:pPr>
              <w:jc w:val="right"/>
              <w:rPr>
                <w:rFonts w:cs="Arial"/>
                <w:color w:val="7F7F7F"/>
                <w:szCs w:val="18"/>
                <w:lang w:eastAsia="en-AU"/>
              </w:rPr>
            </w:pPr>
            <w:r w:rsidRPr="00671FB7">
              <w:rPr>
                <w:rFonts w:cs="Arial"/>
                <w:color w:val="7F7F7F"/>
                <w:szCs w:val="18"/>
                <w:lang w:eastAsia="en-AU"/>
              </w:rPr>
              <w:t>-100%</w:t>
            </w:r>
          </w:p>
        </w:tc>
        <w:tc>
          <w:tcPr>
            <w:tcW w:w="1099" w:type="dxa"/>
            <w:tcBorders>
              <w:top w:val="nil"/>
              <w:left w:val="nil"/>
              <w:bottom w:val="nil"/>
              <w:right w:val="nil"/>
            </w:tcBorders>
            <w:shd w:val="clear" w:color="auto" w:fill="auto"/>
            <w:noWrap/>
            <w:vAlign w:val="center"/>
            <w:hideMark/>
          </w:tcPr>
          <w:p w:rsidR="00671FB7" w:rsidRPr="00671FB7" w:rsidRDefault="00671FB7" w:rsidP="00671FB7">
            <w:pPr>
              <w:jc w:val="right"/>
              <w:rPr>
                <w:rFonts w:cs="Arial"/>
                <w:color w:val="7F7F7F"/>
                <w:szCs w:val="18"/>
                <w:lang w:eastAsia="en-AU"/>
              </w:rPr>
            </w:pPr>
            <w:r w:rsidRPr="00671FB7">
              <w:rPr>
                <w:rFonts w:cs="Arial"/>
                <w:color w:val="7F7F7F"/>
                <w:szCs w:val="18"/>
                <w:lang w:eastAsia="en-AU"/>
              </w:rPr>
              <w:t>-</w:t>
            </w:r>
          </w:p>
        </w:tc>
        <w:tc>
          <w:tcPr>
            <w:tcW w:w="1099" w:type="dxa"/>
            <w:tcBorders>
              <w:top w:val="nil"/>
              <w:left w:val="nil"/>
              <w:bottom w:val="nil"/>
              <w:right w:val="nil"/>
            </w:tcBorders>
            <w:shd w:val="clear" w:color="auto" w:fill="auto"/>
            <w:noWrap/>
            <w:vAlign w:val="center"/>
            <w:hideMark/>
          </w:tcPr>
          <w:p w:rsidR="00671FB7" w:rsidRPr="00671FB7" w:rsidRDefault="00671FB7" w:rsidP="00671FB7">
            <w:pPr>
              <w:jc w:val="right"/>
              <w:rPr>
                <w:rFonts w:cs="Arial"/>
                <w:color w:val="7F7F7F"/>
                <w:szCs w:val="18"/>
                <w:lang w:eastAsia="en-AU"/>
              </w:rPr>
            </w:pPr>
            <w:r w:rsidRPr="00671FB7">
              <w:rPr>
                <w:rFonts w:cs="Arial"/>
                <w:color w:val="7F7F7F"/>
                <w:szCs w:val="18"/>
                <w:lang w:eastAsia="en-AU"/>
              </w:rPr>
              <w:t>-</w:t>
            </w:r>
          </w:p>
        </w:tc>
        <w:tc>
          <w:tcPr>
            <w:tcW w:w="1099" w:type="dxa"/>
            <w:tcBorders>
              <w:top w:val="nil"/>
              <w:left w:val="nil"/>
              <w:bottom w:val="nil"/>
              <w:right w:val="nil"/>
            </w:tcBorders>
            <w:shd w:val="clear" w:color="auto" w:fill="auto"/>
            <w:noWrap/>
            <w:vAlign w:val="center"/>
            <w:hideMark/>
          </w:tcPr>
          <w:p w:rsidR="00671FB7" w:rsidRPr="00671FB7" w:rsidRDefault="00671FB7" w:rsidP="00671FB7">
            <w:pPr>
              <w:jc w:val="right"/>
              <w:rPr>
                <w:rFonts w:cs="Arial"/>
                <w:color w:val="7F7F7F"/>
                <w:szCs w:val="18"/>
                <w:lang w:eastAsia="en-AU"/>
              </w:rPr>
            </w:pPr>
            <w:r w:rsidRPr="00671FB7">
              <w:rPr>
                <w:rFonts w:cs="Arial"/>
                <w:color w:val="7F7F7F"/>
                <w:szCs w:val="18"/>
                <w:lang w:eastAsia="en-AU"/>
              </w:rPr>
              <w:t>-</w:t>
            </w:r>
          </w:p>
        </w:tc>
        <w:tc>
          <w:tcPr>
            <w:tcW w:w="1099" w:type="dxa"/>
            <w:tcBorders>
              <w:top w:val="nil"/>
              <w:left w:val="nil"/>
              <w:bottom w:val="nil"/>
              <w:right w:val="nil"/>
            </w:tcBorders>
            <w:shd w:val="clear" w:color="auto" w:fill="auto"/>
            <w:noWrap/>
            <w:vAlign w:val="center"/>
            <w:hideMark/>
          </w:tcPr>
          <w:p w:rsidR="00671FB7" w:rsidRPr="00671FB7" w:rsidRDefault="00671FB7" w:rsidP="00671FB7">
            <w:pPr>
              <w:jc w:val="right"/>
              <w:rPr>
                <w:rFonts w:cs="Arial"/>
                <w:color w:val="7F7F7F"/>
                <w:szCs w:val="18"/>
                <w:lang w:eastAsia="en-AU"/>
              </w:rPr>
            </w:pPr>
            <w:r w:rsidRPr="00671FB7">
              <w:rPr>
                <w:rFonts w:cs="Arial"/>
                <w:color w:val="7F7F7F"/>
                <w:szCs w:val="18"/>
                <w:lang w:eastAsia="en-AU"/>
              </w:rPr>
              <w:t>-</w:t>
            </w:r>
          </w:p>
        </w:tc>
      </w:tr>
      <w:tr w:rsidR="00671FB7" w:rsidRPr="00671FB7" w:rsidTr="00671FB7">
        <w:trPr>
          <w:trHeight w:val="480"/>
        </w:trPr>
        <w:tc>
          <w:tcPr>
            <w:tcW w:w="2600" w:type="dxa"/>
            <w:tcBorders>
              <w:top w:val="nil"/>
              <w:left w:val="nil"/>
              <w:bottom w:val="nil"/>
              <w:right w:val="nil"/>
            </w:tcBorders>
            <w:shd w:val="clear" w:color="auto" w:fill="auto"/>
            <w:vAlign w:val="center"/>
            <w:hideMark/>
          </w:tcPr>
          <w:p w:rsidR="00671FB7" w:rsidRPr="00671FB7" w:rsidRDefault="00671FB7" w:rsidP="00671FB7">
            <w:pPr>
              <w:rPr>
                <w:rFonts w:cs="Arial"/>
                <w:color w:val="7F7F7F"/>
                <w:szCs w:val="18"/>
                <w:lang w:eastAsia="en-AU"/>
              </w:rPr>
            </w:pPr>
            <w:r w:rsidRPr="00671FB7">
              <w:rPr>
                <w:rFonts w:cs="Arial"/>
                <w:color w:val="7F7F7F"/>
                <w:szCs w:val="18"/>
                <w:lang w:eastAsia="en-AU"/>
              </w:rPr>
              <w:t>Health Care and Social Assistance</w:t>
            </w:r>
          </w:p>
        </w:tc>
        <w:tc>
          <w:tcPr>
            <w:tcW w:w="1099" w:type="dxa"/>
            <w:tcBorders>
              <w:top w:val="nil"/>
              <w:left w:val="nil"/>
              <w:bottom w:val="nil"/>
              <w:right w:val="nil"/>
            </w:tcBorders>
            <w:shd w:val="clear" w:color="auto" w:fill="auto"/>
            <w:noWrap/>
            <w:vAlign w:val="center"/>
            <w:hideMark/>
          </w:tcPr>
          <w:p w:rsidR="00671FB7" w:rsidRPr="00671FB7" w:rsidRDefault="00671FB7" w:rsidP="00671FB7">
            <w:pPr>
              <w:jc w:val="right"/>
              <w:rPr>
                <w:rFonts w:cs="Arial"/>
                <w:color w:val="7F7F7F"/>
                <w:szCs w:val="18"/>
                <w:lang w:eastAsia="en-AU"/>
              </w:rPr>
            </w:pPr>
            <w:r w:rsidRPr="00671FB7">
              <w:rPr>
                <w:rFonts w:cs="Arial"/>
                <w:color w:val="7F7F7F"/>
                <w:szCs w:val="18"/>
                <w:lang w:eastAsia="en-AU"/>
              </w:rPr>
              <w:t>-82%</w:t>
            </w:r>
          </w:p>
        </w:tc>
        <w:tc>
          <w:tcPr>
            <w:tcW w:w="1099" w:type="dxa"/>
            <w:tcBorders>
              <w:top w:val="nil"/>
              <w:left w:val="nil"/>
              <w:bottom w:val="nil"/>
              <w:right w:val="nil"/>
            </w:tcBorders>
            <w:shd w:val="clear" w:color="auto" w:fill="auto"/>
            <w:noWrap/>
            <w:vAlign w:val="center"/>
            <w:hideMark/>
          </w:tcPr>
          <w:p w:rsidR="00671FB7" w:rsidRPr="00671FB7" w:rsidRDefault="00671FB7" w:rsidP="00671FB7">
            <w:pPr>
              <w:jc w:val="right"/>
              <w:rPr>
                <w:rFonts w:cs="Arial"/>
                <w:color w:val="7F7F7F"/>
                <w:szCs w:val="18"/>
                <w:lang w:eastAsia="en-AU"/>
              </w:rPr>
            </w:pPr>
            <w:r w:rsidRPr="00671FB7">
              <w:rPr>
                <w:rFonts w:cs="Arial"/>
                <w:color w:val="7F7F7F"/>
                <w:szCs w:val="18"/>
                <w:lang w:eastAsia="en-AU"/>
              </w:rPr>
              <w:t>-82%</w:t>
            </w:r>
          </w:p>
        </w:tc>
        <w:tc>
          <w:tcPr>
            <w:tcW w:w="1099" w:type="dxa"/>
            <w:tcBorders>
              <w:top w:val="nil"/>
              <w:left w:val="nil"/>
              <w:bottom w:val="nil"/>
              <w:right w:val="nil"/>
            </w:tcBorders>
            <w:shd w:val="clear" w:color="auto" w:fill="auto"/>
            <w:noWrap/>
            <w:vAlign w:val="center"/>
            <w:hideMark/>
          </w:tcPr>
          <w:p w:rsidR="00671FB7" w:rsidRPr="00671FB7" w:rsidRDefault="00671FB7" w:rsidP="00671FB7">
            <w:pPr>
              <w:jc w:val="right"/>
              <w:rPr>
                <w:rFonts w:cs="Arial"/>
                <w:color w:val="7F7F7F"/>
                <w:szCs w:val="18"/>
                <w:lang w:eastAsia="en-AU"/>
              </w:rPr>
            </w:pPr>
            <w:r w:rsidRPr="00671FB7">
              <w:rPr>
                <w:rFonts w:cs="Arial"/>
                <w:color w:val="7F7F7F"/>
                <w:szCs w:val="18"/>
                <w:lang w:eastAsia="en-AU"/>
              </w:rPr>
              <w:t>-78%</w:t>
            </w:r>
          </w:p>
        </w:tc>
        <w:tc>
          <w:tcPr>
            <w:tcW w:w="1099" w:type="dxa"/>
            <w:tcBorders>
              <w:top w:val="nil"/>
              <w:left w:val="nil"/>
              <w:bottom w:val="nil"/>
              <w:right w:val="nil"/>
            </w:tcBorders>
            <w:shd w:val="clear" w:color="auto" w:fill="auto"/>
            <w:noWrap/>
            <w:vAlign w:val="center"/>
            <w:hideMark/>
          </w:tcPr>
          <w:p w:rsidR="00671FB7" w:rsidRPr="00671FB7" w:rsidRDefault="00671FB7" w:rsidP="00671FB7">
            <w:pPr>
              <w:jc w:val="right"/>
              <w:rPr>
                <w:rFonts w:cs="Arial"/>
                <w:color w:val="7F7F7F"/>
                <w:szCs w:val="18"/>
                <w:lang w:eastAsia="en-AU"/>
              </w:rPr>
            </w:pPr>
            <w:r w:rsidRPr="00671FB7">
              <w:rPr>
                <w:rFonts w:cs="Arial"/>
                <w:color w:val="7F7F7F"/>
                <w:szCs w:val="18"/>
                <w:lang w:eastAsia="en-AU"/>
              </w:rPr>
              <w:t>-72%</w:t>
            </w:r>
          </w:p>
        </w:tc>
        <w:tc>
          <w:tcPr>
            <w:tcW w:w="1099" w:type="dxa"/>
            <w:tcBorders>
              <w:top w:val="nil"/>
              <w:left w:val="nil"/>
              <w:bottom w:val="nil"/>
              <w:right w:val="nil"/>
            </w:tcBorders>
            <w:shd w:val="clear" w:color="auto" w:fill="auto"/>
            <w:noWrap/>
            <w:vAlign w:val="center"/>
            <w:hideMark/>
          </w:tcPr>
          <w:p w:rsidR="00671FB7" w:rsidRPr="00671FB7" w:rsidRDefault="00671FB7" w:rsidP="00671FB7">
            <w:pPr>
              <w:jc w:val="right"/>
              <w:rPr>
                <w:rFonts w:cs="Arial"/>
                <w:color w:val="7F7F7F"/>
                <w:szCs w:val="18"/>
                <w:lang w:eastAsia="en-AU"/>
              </w:rPr>
            </w:pPr>
            <w:r w:rsidRPr="00671FB7">
              <w:rPr>
                <w:rFonts w:cs="Arial"/>
                <w:color w:val="7F7F7F"/>
                <w:szCs w:val="18"/>
                <w:lang w:eastAsia="en-AU"/>
              </w:rPr>
              <w:t>-33%</w:t>
            </w:r>
          </w:p>
        </w:tc>
      </w:tr>
      <w:tr w:rsidR="00671FB7" w:rsidRPr="00671FB7" w:rsidTr="00671FB7">
        <w:trPr>
          <w:trHeight w:val="480"/>
        </w:trPr>
        <w:tc>
          <w:tcPr>
            <w:tcW w:w="2600" w:type="dxa"/>
            <w:tcBorders>
              <w:top w:val="nil"/>
              <w:left w:val="nil"/>
              <w:bottom w:val="nil"/>
              <w:right w:val="nil"/>
            </w:tcBorders>
            <w:shd w:val="clear" w:color="auto" w:fill="auto"/>
            <w:vAlign w:val="center"/>
            <w:hideMark/>
          </w:tcPr>
          <w:p w:rsidR="00671FB7" w:rsidRPr="00671FB7" w:rsidRDefault="00671FB7" w:rsidP="00671FB7">
            <w:pPr>
              <w:rPr>
                <w:rFonts w:cs="Arial"/>
                <w:color w:val="7F7F7F"/>
                <w:szCs w:val="18"/>
                <w:lang w:eastAsia="en-AU"/>
              </w:rPr>
            </w:pPr>
            <w:r w:rsidRPr="00671FB7">
              <w:rPr>
                <w:rFonts w:cs="Arial"/>
                <w:color w:val="7F7F7F"/>
                <w:szCs w:val="18"/>
                <w:lang w:eastAsia="en-AU"/>
              </w:rPr>
              <w:t>Information Media and Telecommunications</w:t>
            </w:r>
          </w:p>
        </w:tc>
        <w:tc>
          <w:tcPr>
            <w:tcW w:w="1099" w:type="dxa"/>
            <w:tcBorders>
              <w:top w:val="nil"/>
              <w:left w:val="nil"/>
              <w:bottom w:val="nil"/>
              <w:right w:val="nil"/>
            </w:tcBorders>
            <w:shd w:val="clear" w:color="auto" w:fill="auto"/>
            <w:noWrap/>
            <w:vAlign w:val="center"/>
            <w:hideMark/>
          </w:tcPr>
          <w:p w:rsidR="00671FB7" w:rsidRPr="00671FB7" w:rsidRDefault="00671FB7" w:rsidP="00671FB7">
            <w:pPr>
              <w:jc w:val="right"/>
              <w:rPr>
                <w:rFonts w:cs="Arial"/>
                <w:color w:val="7F7F7F"/>
                <w:szCs w:val="18"/>
                <w:lang w:eastAsia="en-AU"/>
              </w:rPr>
            </w:pPr>
            <w:r w:rsidRPr="00671FB7">
              <w:rPr>
                <w:rFonts w:cs="Arial"/>
                <w:color w:val="7F7F7F"/>
                <w:szCs w:val="18"/>
                <w:lang w:eastAsia="en-AU"/>
              </w:rPr>
              <w:t>585%</w:t>
            </w:r>
          </w:p>
        </w:tc>
        <w:tc>
          <w:tcPr>
            <w:tcW w:w="1099" w:type="dxa"/>
            <w:tcBorders>
              <w:top w:val="nil"/>
              <w:left w:val="nil"/>
              <w:bottom w:val="nil"/>
              <w:right w:val="nil"/>
            </w:tcBorders>
            <w:shd w:val="clear" w:color="auto" w:fill="auto"/>
            <w:noWrap/>
            <w:vAlign w:val="center"/>
            <w:hideMark/>
          </w:tcPr>
          <w:p w:rsidR="00671FB7" w:rsidRPr="00671FB7" w:rsidRDefault="00671FB7" w:rsidP="00671FB7">
            <w:pPr>
              <w:jc w:val="right"/>
              <w:rPr>
                <w:rFonts w:cs="Arial"/>
                <w:color w:val="7F7F7F"/>
                <w:szCs w:val="18"/>
                <w:lang w:eastAsia="en-AU"/>
              </w:rPr>
            </w:pPr>
            <w:r w:rsidRPr="00671FB7">
              <w:rPr>
                <w:rFonts w:cs="Arial"/>
                <w:color w:val="7F7F7F"/>
                <w:szCs w:val="18"/>
                <w:lang w:eastAsia="en-AU"/>
              </w:rPr>
              <w:t>2,867%</w:t>
            </w:r>
          </w:p>
        </w:tc>
        <w:tc>
          <w:tcPr>
            <w:tcW w:w="1099" w:type="dxa"/>
            <w:tcBorders>
              <w:top w:val="nil"/>
              <w:left w:val="nil"/>
              <w:bottom w:val="nil"/>
              <w:right w:val="nil"/>
            </w:tcBorders>
            <w:shd w:val="clear" w:color="auto" w:fill="auto"/>
            <w:noWrap/>
            <w:vAlign w:val="center"/>
            <w:hideMark/>
          </w:tcPr>
          <w:p w:rsidR="00671FB7" w:rsidRPr="00671FB7" w:rsidRDefault="00671FB7" w:rsidP="00671FB7">
            <w:pPr>
              <w:jc w:val="right"/>
              <w:rPr>
                <w:rFonts w:cs="Arial"/>
                <w:color w:val="7F7F7F"/>
                <w:szCs w:val="18"/>
                <w:lang w:eastAsia="en-AU"/>
              </w:rPr>
            </w:pPr>
            <w:r w:rsidRPr="00671FB7">
              <w:rPr>
                <w:rFonts w:cs="Arial"/>
                <w:color w:val="7F7F7F"/>
                <w:szCs w:val="18"/>
                <w:lang w:eastAsia="en-AU"/>
              </w:rPr>
              <w:t>8,800%</w:t>
            </w:r>
          </w:p>
        </w:tc>
        <w:tc>
          <w:tcPr>
            <w:tcW w:w="1099" w:type="dxa"/>
            <w:tcBorders>
              <w:top w:val="nil"/>
              <w:left w:val="nil"/>
              <w:bottom w:val="nil"/>
              <w:right w:val="nil"/>
            </w:tcBorders>
            <w:shd w:val="clear" w:color="auto" w:fill="auto"/>
            <w:noWrap/>
            <w:vAlign w:val="center"/>
            <w:hideMark/>
          </w:tcPr>
          <w:p w:rsidR="00671FB7" w:rsidRPr="00671FB7" w:rsidRDefault="00671FB7" w:rsidP="00671FB7">
            <w:pPr>
              <w:jc w:val="right"/>
              <w:rPr>
                <w:rFonts w:cs="Arial"/>
                <w:color w:val="7F7F7F"/>
                <w:szCs w:val="18"/>
                <w:lang w:eastAsia="en-AU"/>
              </w:rPr>
            </w:pPr>
            <w:r w:rsidRPr="00671FB7">
              <w:rPr>
                <w:rFonts w:cs="Arial"/>
                <w:color w:val="7F7F7F"/>
                <w:szCs w:val="18"/>
                <w:lang w:eastAsia="en-AU"/>
              </w:rPr>
              <w:t>-</w:t>
            </w:r>
          </w:p>
        </w:tc>
        <w:tc>
          <w:tcPr>
            <w:tcW w:w="1099" w:type="dxa"/>
            <w:tcBorders>
              <w:top w:val="nil"/>
              <w:left w:val="nil"/>
              <w:bottom w:val="nil"/>
              <w:right w:val="nil"/>
            </w:tcBorders>
            <w:shd w:val="clear" w:color="auto" w:fill="auto"/>
            <w:noWrap/>
            <w:vAlign w:val="center"/>
            <w:hideMark/>
          </w:tcPr>
          <w:p w:rsidR="00671FB7" w:rsidRPr="00671FB7" w:rsidRDefault="00671FB7" w:rsidP="00671FB7">
            <w:pPr>
              <w:jc w:val="right"/>
              <w:rPr>
                <w:rFonts w:cs="Arial"/>
                <w:color w:val="7F7F7F"/>
                <w:szCs w:val="18"/>
                <w:lang w:eastAsia="en-AU"/>
              </w:rPr>
            </w:pPr>
            <w:r w:rsidRPr="00671FB7">
              <w:rPr>
                <w:rFonts w:cs="Arial"/>
                <w:color w:val="7F7F7F"/>
                <w:szCs w:val="18"/>
                <w:lang w:eastAsia="en-AU"/>
              </w:rPr>
              <w:t>8,800%</w:t>
            </w:r>
          </w:p>
        </w:tc>
      </w:tr>
      <w:tr w:rsidR="00671FB7" w:rsidRPr="00671FB7" w:rsidTr="00671FB7">
        <w:trPr>
          <w:trHeight w:val="300"/>
        </w:trPr>
        <w:tc>
          <w:tcPr>
            <w:tcW w:w="2600" w:type="dxa"/>
            <w:tcBorders>
              <w:top w:val="nil"/>
              <w:left w:val="nil"/>
              <w:bottom w:val="nil"/>
              <w:right w:val="nil"/>
            </w:tcBorders>
            <w:shd w:val="clear" w:color="auto" w:fill="auto"/>
            <w:vAlign w:val="center"/>
            <w:hideMark/>
          </w:tcPr>
          <w:p w:rsidR="00671FB7" w:rsidRPr="00671FB7" w:rsidRDefault="00671FB7" w:rsidP="00671FB7">
            <w:pPr>
              <w:rPr>
                <w:rFonts w:cs="Arial"/>
                <w:color w:val="7F7F7F"/>
                <w:szCs w:val="18"/>
                <w:lang w:eastAsia="en-AU"/>
              </w:rPr>
            </w:pPr>
            <w:r w:rsidRPr="00671FB7">
              <w:rPr>
                <w:rFonts w:cs="Arial"/>
                <w:color w:val="7F7F7F"/>
                <w:szCs w:val="18"/>
                <w:lang w:eastAsia="en-AU"/>
              </w:rPr>
              <w:t>Manufacturing</w:t>
            </w:r>
          </w:p>
        </w:tc>
        <w:tc>
          <w:tcPr>
            <w:tcW w:w="1099" w:type="dxa"/>
            <w:tcBorders>
              <w:top w:val="nil"/>
              <w:left w:val="nil"/>
              <w:bottom w:val="nil"/>
              <w:right w:val="nil"/>
            </w:tcBorders>
            <w:shd w:val="clear" w:color="auto" w:fill="auto"/>
            <w:noWrap/>
            <w:vAlign w:val="center"/>
            <w:hideMark/>
          </w:tcPr>
          <w:p w:rsidR="00671FB7" w:rsidRPr="00671FB7" w:rsidRDefault="00671FB7" w:rsidP="00671FB7">
            <w:pPr>
              <w:jc w:val="right"/>
              <w:rPr>
                <w:rFonts w:cs="Arial"/>
                <w:color w:val="7F7F7F"/>
                <w:szCs w:val="18"/>
                <w:lang w:eastAsia="en-AU"/>
              </w:rPr>
            </w:pPr>
            <w:r w:rsidRPr="00671FB7">
              <w:rPr>
                <w:rFonts w:cs="Arial"/>
                <w:color w:val="7F7F7F"/>
                <w:szCs w:val="18"/>
                <w:lang w:eastAsia="en-AU"/>
              </w:rPr>
              <w:t>-9%</w:t>
            </w:r>
          </w:p>
        </w:tc>
        <w:tc>
          <w:tcPr>
            <w:tcW w:w="1099" w:type="dxa"/>
            <w:tcBorders>
              <w:top w:val="nil"/>
              <w:left w:val="nil"/>
              <w:bottom w:val="nil"/>
              <w:right w:val="nil"/>
            </w:tcBorders>
            <w:shd w:val="clear" w:color="auto" w:fill="auto"/>
            <w:noWrap/>
            <w:vAlign w:val="center"/>
            <w:hideMark/>
          </w:tcPr>
          <w:p w:rsidR="00671FB7" w:rsidRPr="00671FB7" w:rsidRDefault="00671FB7" w:rsidP="00671FB7">
            <w:pPr>
              <w:jc w:val="right"/>
              <w:rPr>
                <w:rFonts w:cs="Arial"/>
                <w:color w:val="7F7F7F"/>
                <w:szCs w:val="18"/>
                <w:lang w:eastAsia="en-AU"/>
              </w:rPr>
            </w:pPr>
            <w:r w:rsidRPr="00671FB7">
              <w:rPr>
                <w:rFonts w:cs="Arial"/>
                <w:color w:val="7F7F7F"/>
                <w:szCs w:val="18"/>
                <w:lang w:eastAsia="en-AU"/>
              </w:rPr>
              <w:t>-9%</w:t>
            </w:r>
          </w:p>
        </w:tc>
        <w:tc>
          <w:tcPr>
            <w:tcW w:w="1099" w:type="dxa"/>
            <w:tcBorders>
              <w:top w:val="nil"/>
              <w:left w:val="nil"/>
              <w:bottom w:val="nil"/>
              <w:right w:val="nil"/>
            </w:tcBorders>
            <w:shd w:val="clear" w:color="auto" w:fill="auto"/>
            <w:noWrap/>
            <w:vAlign w:val="center"/>
            <w:hideMark/>
          </w:tcPr>
          <w:p w:rsidR="00671FB7" w:rsidRPr="00671FB7" w:rsidRDefault="00671FB7" w:rsidP="00671FB7">
            <w:pPr>
              <w:jc w:val="right"/>
              <w:rPr>
                <w:rFonts w:cs="Arial"/>
                <w:color w:val="7F7F7F"/>
                <w:szCs w:val="18"/>
                <w:lang w:eastAsia="en-AU"/>
              </w:rPr>
            </w:pPr>
            <w:r w:rsidRPr="00671FB7">
              <w:rPr>
                <w:rFonts w:cs="Arial"/>
                <w:color w:val="7F7F7F"/>
                <w:szCs w:val="18"/>
                <w:lang w:eastAsia="en-AU"/>
              </w:rPr>
              <w:t>-11%</w:t>
            </w:r>
          </w:p>
        </w:tc>
        <w:tc>
          <w:tcPr>
            <w:tcW w:w="1099" w:type="dxa"/>
            <w:tcBorders>
              <w:top w:val="nil"/>
              <w:left w:val="nil"/>
              <w:bottom w:val="nil"/>
              <w:right w:val="nil"/>
            </w:tcBorders>
            <w:shd w:val="clear" w:color="auto" w:fill="auto"/>
            <w:noWrap/>
            <w:vAlign w:val="center"/>
            <w:hideMark/>
          </w:tcPr>
          <w:p w:rsidR="00671FB7" w:rsidRPr="00671FB7" w:rsidRDefault="00671FB7" w:rsidP="00671FB7">
            <w:pPr>
              <w:jc w:val="right"/>
              <w:rPr>
                <w:rFonts w:cs="Arial"/>
                <w:color w:val="7F7F7F"/>
                <w:szCs w:val="18"/>
                <w:lang w:eastAsia="en-AU"/>
              </w:rPr>
            </w:pPr>
            <w:r w:rsidRPr="00671FB7">
              <w:rPr>
                <w:rFonts w:cs="Arial"/>
                <w:color w:val="7F7F7F"/>
                <w:szCs w:val="18"/>
                <w:lang w:eastAsia="en-AU"/>
              </w:rPr>
              <w:t>-8%</w:t>
            </w:r>
          </w:p>
        </w:tc>
        <w:tc>
          <w:tcPr>
            <w:tcW w:w="1099" w:type="dxa"/>
            <w:tcBorders>
              <w:top w:val="nil"/>
              <w:left w:val="nil"/>
              <w:bottom w:val="nil"/>
              <w:right w:val="nil"/>
            </w:tcBorders>
            <w:shd w:val="clear" w:color="auto" w:fill="auto"/>
            <w:noWrap/>
            <w:vAlign w:val="center"/>
            <w:hideMark/>
          </w:tcPr>
          <w:p w:rsidR="00671FB7" w:rsidRPr="00671FB7" w:rsidRDefault="00671FB7" w:rsidP="00671FB7">
            <w:pPr>
              <w:jc w:val="right"/>
              <w:rPr>
                <w:rFonts w:cs="Arial"/>
                <w:color w:val="7F7F7F"/>
                <w:szCs w:val="18"/>
                <w:lang w:eastAsia="en-AU"/>
              </w:rPr>
            </w:pPr>
            <w:r w:rsidRPr="00671FB7">
              <w:rPr>
                <w:rFonts w:cs="Arial"/>
                <w:color w:val="7F7F7F"/>
                <w:szCs w:val="18"/>
                <w:lang w:eastAsia="en-AU"/>
              </w:rPr>
              <w:t>-10%</w:t>
            </w:r>
          </w:p>
        </w:tc>
      </w:tr>
      <w:tr w:rsidR="00671FB7" w:rsidRPr="00671FB7" w:rsidTr="00671FB7">
        <w:trPr>
          <w:trHeight w:val="300"/>
        </w:trPr>
        <w:tc>
          <w:tcPr>
            <w:tcW w:w="2600" w:type="dxa"/>
            <w:tcBorders>
              <w:top w:val="nil"/>
              <w:left w:val="nil"/>
              <w:bottom w:val="nil"/>
              <w:right w:val="nil"/>
            </w:tcBorders>
            <w:shd w:val="clear" w:color="auto" w:fill="auto"/>
            <w:vAlign w:val="center"/>
            <w:hideMark/>
          </w:tcPr>
          <w:p w:rsidR="00671FB7" w:rsidRPr="00671FB7" w:rsidRDefault="00671FB7" w:rsidP="00671FB7">
            <w:pPr>
              <w:rPr>
                <w:rFonts w:cs="Arial"/>
                <w:color w:val="7F7F7F"/>
                <w:szCs w:val="18"/>
                <w:lang w:eastAsia="en-AU"/>
              </w:rPr>
            </w:pPr>
            <w:r w:rsidRPr="00671FB7">
              <w:rPr>
                <w:rFonts w:cs="Arial"/>
                <w:color w:val="7F7F7F"/>
                <w:szCs w:val="18"/>
                <w:lang w:eastAsia="en-AU"/>
              </w:rPr>
              <w:t>Other Services</w:t>
            </w:r>
          </w:p>
        </w:tc>
        <w:tc>
          <w:tcPr>
            <w:tcW w:w="1099" w:type="dxa"/>
            <w:tcBorders>
              <w:top w:val="nil"/>
              <w:left w:val="nil"/>
              <w:bottom w:val="nil"/>
              <w:right w:val="nil"/>
            </w:tcBorders>
            <w:shd w:val="clear" w:color="auto" w:fill="auto"/>
            <w:noWrap/>
            <w:vAlign w:val="center"/>
            <w:hideMark/>
          </w:tcPr>
          <w:p w:rsidR="00671FB7" w:rsidRPr="00671FB7" w:rsidRDefault="00671FB7" w:rsidP="00671FB7">
            <w:pPr>
              <w:jc w:val="right"/>
              <w:rPr>
                <w:rFonts w:cs="Arial"/>
                <w:color w:val="7F7F7F"/>
                <w:szCs w:val="18"/>
                <w:lang w:eastAsia="en-AU"/>
              </w:rPr>
            </w:pPr>
            <w:r w:rsidRPr="00671FB7">
              <w:rPr>
                <w:rFonts w:cs="Arial"/>
                <w:color w:val="7F7F7F"/>
                <w:szCs w:val="18"/>
                <w:lang w:eastAsia="en-AU"/>
              </w:rPr>
              <w:t>-5%</w:t>
            </w:r>
          </w:p>
        </w:tc>
        <w:tc>
          <w:tcPr>
            <w:tcW w:w="1099" w:type="dxa"/>
            <w:tcBorders>
              <w:top w:val="nil"/>
              <w:left w:val="nil"/>
              <w:bottom w:val="nil"/>
              <w:right w:val="nil"/>
            </w:tcBorders>
            <w:shd w:val="clear" w:color="auto" w:fill="auto"/>
            <w:noWrap/>
            <w:vAlign w:val="center"/>
            <w:hideMark/>
          </w:tcPr>
          <w:p w:rsidR="00671FB7" w:rsidRPr="00671FB7" w:rsidRDefault="00671FB7" w:rsidP="00671FB7">
            <w:pPr>
              <w:jc w:val="right"/>
              <w:rPr>
                <w:rFonts w:cs="Arial"/>
                <w:color w:val="7F7F7F"/>
                <w:szCs w:val="18"/>
                <w:lang w:eastAsia="en-AU"/>
              </w:rPr>
            </w:pPr>
            <w:r w:rsidRPr="00671FB7">
              <w:rPr>
                <w:rFonts w:cs="Arial"/>
                <w:color w:val="7F7F7F"/>
                <w:szCs w:val="18"/>
                <w:lang w:eastAsia="en-AU"/>
              </w:rPr>
              <w:t>-2%</w:t>
            </w:r>
          </w:p>
        </w:tc>
        <w:tc>
          <w:tcPr>
            <w:tcW w:w="1099" w:type="dxa"/>
            <w:tcBorders>
              <w:top w:val="nil"/>
              <w:left w:val="nil"/>
              <w:bottom w:val="nil"/>
              <w:right w:val="nil"/>
            </w:tcBorders>
            <w:shd w:val="clear" w:color="auto" w:fill="auto"/>
            <w:noWrap/>
            <w:vAlign w:val="center"/>
            <w:hideMark/>
          </w:tcPr>
          <w:p w:rsidR="00671FB7" w:rsidRPr="00671FB7" w:rsidRDefault="00671FB7" w:rsidP="00671FB7">
            <w:pPr>
              <w:jc w:val="right"/>
              <w:rPr>
                <w:rFonts w:cs="Arial"/>
                <w:color w:val="7F7F7F"/>
                <w:szCs w:val="18"/>
                <w:lang w:eastAsia="en-AU"/>
              </w:rPr>
            </w:pPr>
            <w:r w:rsidRPr="00671FB7">
              <w:rPr>
                <w:rFonts w:cs="Arial"/>
                <w:color w:val="7F7F7F"/>
                <w:szCs w:val="18"/>
                <w:lang w:eastAsia="en-AU"/>
              </w:rPr>
              <w:t>-5%</w:t>
            </w:r>
          </w:p>
        </w:tc>
        <w:tc>
          <w:tcPr>
            <w:tcW w:w="1099" w:type="dxa"/>
            <w:tcBorders>
              <w:top w:val="nil"/>
              <w:left w:val="nil"/>
              <w:bottom w:val="nil"/>
              <w:right w:val="nil"/>
            </w:tcBorders>
            <w:shd w:val="clear" w:color="auto" w:fill="auto"/>
            <w:noWrap/>
            <w:vAlign w:val="center"/>
            <w:hideMark/>
          </w:tcPr>
          <w:p w:rsidR="00671FB7" w:rsidRPr="00671FB7" w:rsidRDefault="00671FB7" w:rsidP="00671FB7">
            <w:pPr>
              <w:jc w:val="right"/>
              <w:rPr>
                <w:rFonts w:cs="Arial"/>
                <w:color w:val="7F7F7F"/>
                <w:szCs w:val="18"/>
                <w:lang w:eastAsia="en-AU"/>
              </w:rPr>
            </w:pPr>
            <w:r w:rsidRPr="00671FB7">
              <w:rPr>
                <w:rFonts w:cs="Arial"/>
                <w:color w:val="7F7F7F"/>
                <w:szCs w:val="18"/>
                <w:lang w:eastAsia="en-AU"/>
              </w:rPr>
              <w:t>0%</w:t>
            </w:r>
          </w:p>
        </w:tc>
        <w:tc>
          <w:tcPr>
            <w:tcW w:w="1099" w:type="dxa"/>
            <w:tcBorders>
              <w:top w:val="nil"/>
              <w:left w:val="nil"/>
              <w:bottom w:val="nil"/>
              <w:right w:val="nil"/>
            </w:tcBorders>
            <w:shd w:val="clear" w:color="auto" w:fill="auto"/>
            <w:noWrap/>
            <w:vAlign w:val="center"/>
            <w:hideMark/>
          </w:tcPr>
          <w:p w:rsidR="00671FB7" w:rsidRPr="00671FB7" w:rsidRDefault="00671FB7" w:rsidP="00671FB7">
            <w:pPr>
              <w:jc w:val="right"/>
              <w:rPr>
                <w:rFonts w:cs="Arial"/>
                <w:color w:val="7F7F7F"/>
                <w:szCs w:val="18"/>
                <w:lang w:eastAsia="en-AU"/>
              </w:rPr>
            </w:pPr>
            <w:r w:rsidRPr="00671FB7">
              <w:rPr>
                <w:rFonts w:cs="Arial"/>
                <w:color w:val="7F7F7F"/>
                <w:szCs w:val="18"/>
                <w:lang w:eastAsia="en-AU"/>
              </w:rPr>
              <w:t>6%</w:t>
            </w:r>
          </w:p>
        </w:tc>
      </w:tr>
      <w:tr w:rsidR="00671FB7" w:rsidRPr="00671FB7" w:rsidTr="00671FB7">
        <w:trPr>
          <w:trHeight w:val="480"/>
        </w:trPr>
        <w:tc>
          <w:tcPr>
            <w:tcW w:w="2600" w:type="dxa"/>
            <w:tcBorders>
              <w:top w:val="nil"/>
              <w:left w:val="nil"/>
              <w:bottom w:val="nil"/>
              <w:right w:val="nil"/>
            </w:tcBorders>
            <w:shd w:val="clear" w:color="auto" w:fill="auto"/>
            <w:vAlign w:val="center"/>
            <w:hideMark/>
          </w:tcPr>
          <w:p w:rsidR="00671FB7" w:rsidRPr="00671FB7" w:rsidRDefault="00671FB7" w:rsidP="00671FB7">
            <w:pPr>
              <w:rPr>
                <w:rFonts w:cs="Arial"/>
                <w:color w:val="7F7F7F"/>
                <w:szCs w:val="18"/>
                <w:lang w:eastAsia="en-AU"/>
              </w:rPr>
            </w:pPr>
            <w:r w:rsidRPr="00671FB7">
              <w:rPr>
                <w:rFonts w:cs="Arial"/>
                <w:color w:val="7F7F7F"/>
                <w:szCs w:val="18"/>
                <w:lang w:eastAsia="en-AU"/>
              </w:rPr>
              <w:t>Professional, Scientific and Technical Services</w:t>
            </w:r>
          </w:p>
        </w:tc>
        <w:tc>
          <w:tcPr>
            <w:tcW w:w="1099" w:type="dxa"/>
            <w:tcBorders>
              <w:top w:val="nil"/>
              <w:left w:val="nil"/>
              <w:bottom w:val="nil"/>
              <w:right w:val="nil"/>
            </w:tcBorders>
            <w:shd w:val="clear" w:color="auto" w:fill="auto"/>
            <w:noWrap/>
            <w:vAlign w:val="center"/>
            <w:hideMark/>
          </w:tcPr>
          <w:p w:rsidR="00671FB7" w:rsidRPr="00671FB7" w:rsidRDefault="00671FB7" w:rsidP="00671FB7">
            <w:pPr>
              <w:jc w:val="right"/>
              <w:rPr>
                <w:rFonts w:cs="Arial"/>
                <w:color w:val="7F7F7F"/>
                <w:szCs w:val="18"/>
                <w:lang w:eastAsia="en-AU"/>
              </w:rPr>
            </w:pPr>
            <w:r w:rsidRPr="00671FB7">
              <w:rPr>
                <w:rFonts w:cs="Arial"/>
                <w:color w:val="7F7F7F"/>
                <w:szCs w:val="18"/>
                <w:lang w:eastAsia="en-AU"/>
              </w:rPr>
              <w:t>127%</w:t>
            </w:r>
          </w:p>
        </w:tc>
        <w:tc>
          <w:tcPr>
            <w:tcW w:w="1099" w:type="dxa"/>
            <w:tcBorders>
              <w:top w:val="nil"/>
              <w:left w:val="nil"/>
              <w:bottom w:val="nil"/>
              <w:right w:val="nil"/>
            </w:tcBorders>
            <w:shd w:val="clear" w:color="auto" w:fill="auto"/>
            <w:noWrap/>
            <w:vAlign w:val="center"/>
            <w:hideMark/>
          </w:tcPr>
          <w:p w:rsidR="00671FB7" w:rsidRPr="00671FB7" w:rsidRDefault="00671FB7" w:rsidP="00671FB7">
            <w:pPr>
              <w:jc w:val="right"/>
              <w:rPr>
                <w:rFonts w:cs="Arial"/>
                <w:color w:val="7F7F7F"/>
                <w:szCs w:val="18"/>
                <w:lang w:eastAsia="en-AU"/>
              </w:rPr>
            </w:pPr>
            <w:r w:rsidRPr="00671FB7">
              <w:rPr>
                <w:rFonts w:cs="Arial"/>
                <w:color w:val="7F7F7F"/>
                <w:szCs w:val="18"/>
                <w:lang w:eastAsia="en-AU"/>
              </w:rPr>
              <w:t>104%</w:t>
            </w:r>
          </w:p>
        </w:tc>
        <w:tc>
          <w:tcPr>
            <w:tcW w:w="1099" w:type="dxa"/>
            <w:tcBorders>
              <w:top w:val="nil"/>
              <w:left w:val="nil"/>
              <w:bottom w:val="nil"/>
              <w:right w:val="nil"/>
            </w:tcBorders>
            <w:shd w:val="clear" w:color="auto" w:fill="auto"/>
            <w:noWrap/>
            <w:vAlign w:val="center"/>
            <w:hideMark/>
          </w:tcPr>
          <w:p w:rsidR="00671FB7" w:rsidRPr="00671FB7" w:rsidRDefault="00671FB7" w:rsidP="00671FB7">
            <w:pPr>
              <w:jc w:val="right"/>
              <w:rPr>
                <w:rFonts w:cs="Arial"/>
                <w:color w:val="7F7F7F"/>
                <w:szCs w:val="18"/>
                <w:lang w:eastAsia="en-AU"/>
              </w:rPr>
            </w:pPr>
            <w:r w:rsidRPr="00671FB7">
              <w:rPr>
                <w:rFonts w:cs="Arial"/>
                <w:color w:val="7F7F7F"/>
                <w:szCs w:val="18"/>
                <w:lang w:eastAsia="en-AU"/>
              </w:rPr>
              <w:t>118%</w:t>
            </w:r>
          </w:p>
        </w:tc>
        <w:tc>
          <w:tcPr>
            <w:tcW w:w="1099" w:type="dxa"/>
            <w:tcBorders>
              <w:top w:val="nil"/>
              <w:left w:val="nil"/>
              <w:bottom w:val="nil"/>
              <w:right w:val="nil"/>
            </w:tcBorders>
            <w:shd w:val="clear" w:color="auto" w:fill="auto"/>
            <w:noWrap/>
            <w:vAlign w:val="center"/>
            <w:hideMark/>
          </w:tcPr>
          <w:p w:rsidR="00671FB7" w:rsidRPr="00671FB7" w:rsidRDefault="00671FB7" w:rsidP="00671FB7">
            <w:pPr>
              <w:jc w:val="right"/>
              <w:rPr>
                <w:rFonts w:cs="Arial"/>
                <w:color w:val="7F7F7F"/>
                <w:szCs w:val="18"/>
                <w:lang w:eastAsia="en-AU"/>
              </w:rPr>
            </w:pPr>
            <w:r w:rsidRPr="00671FB7">
              <w:rPr>
                <w:rFonts w:cs="Arial"/>
                <w:color w:val="7F7F7F"/>
                <w:szCs w:val="18"/>
                <w:lang w:eastAsia="en-AU"/>
              </w:rPr>
              <w:t>85%</w:t>
            </w:r>
          </w:p>
        </w:tc>
        <w:tc>
          <w:tcPr>
            <w:tcW w:w="1099" w:type="dxa"/>
            <w:tcBorders>
              <w:top w:val="nil"/>
              <w:left w:val="nil"/>
              <w:bottom w:val="nil"/>
              <w:right w:val="nil"/>
            </w:tcBorders>
            <w:shd w:val="clear" w:color="auto" w:fill="auto"/>
            <w:noWrap/>
            <w:vAlign w:val="center"/>
            <w:hideMark/>
          </w:tcPr>
          <w:p w:rsidR="00671FB7" w:rsidRPr="00671FB7" w:rsidRDefault="00671FB7" w:rsidP="00671FB7">
            <w:pPr>
              <w:jc w:val="right"/>
              <w:rPr>
                <w:rFonts w:cs="Arial"/>
                <w:color w:val="7F7F7F"/>
                <w:szCs w:val="18"/>
                <w:lang w:eastAsia="en-AU"/>
              </w:rPr>
            </w:pPr>
            <w:r w:rsidRPr="00671FB7">
              <w:rPr>
                <w:rFonts w:cs="Arial"/>
                <w:color w:val="7F7F7F"/>
                <w:szCs w:val="18"/>
                <w:lang w:eastAsia="en-AU"/>
              </w:rPr>
              <w:t>17%</w:t>
            </w:r>
          </w:p>
        </w:tc>
      </w:tr>
      <w:tr w:rsidR="00671FB7" w:rsidRPr="00671FB7" w:rsidTr="00671FB7">
        <w:trPr>
          <w:trHeight w:val="480"/>
        </w:trPr>
        <w:tc>
          <w:tcPr>
            <w:tcW w:w="2600" w:type="dxa"/>
            <w:tcBorders>
              <w:top w:val="nil"/>
              <w:left w:val="nil"/>
              <w:bottom w:val="nil"/>
              <w:right w:val="nil"/>
            </w:tcBorders>
            <w:shd w:val="clear" w:color="auto" w:fill="auto"/>
            <w:vAlign w:val="center"/>
            <w:hideMark/>
          </w:tcPr>
          <w:p w:rsidR="00671FB7" w:rsidRPr="00671FB7" w:rsidRDefault="00671FB7" w:rsidP="00671FB7">
            <w:pPr>
              <w:rPr>
                <w:rFonts w:cs="Arial"/>
                <w:color w:val="7F7F7F"/>
                <w:szCs w:val="18"/>
                <w:lang w:eastAsia="en-AU"/>
              </w:rPr>
            </w:pPr>
            <w:r w:rsidRPr="00671FB7">
              <w:rPr>
                <w:rFonts w:cs="Arial"/>
                <w:color w:val="7F7F7F"/>
                <w:szCs w:val="18"/>
                <w:lang w:eastAsia="en-AU"/>
              </w:rPr>
              <w:t>Public Administration and Safety</w:t>
            </w:r>
          </w:p>
        </w:tc>
        <w:tc>
          <w:tcPr>
            <w:tcW w:w="1099" w:type="dxa"/>
            <w:tcBorders>
              <w:top w:val="nil"/>
              <w:left w:val="nil"/>
              <w:bottom w:val="nil"/>
              <w:right w:val="nil"/>
            </w:tcBorders>
            <w:shd w:val="clear" w:color="auto" w:fill="auto"/>
            <w:noWrap/>
            <w:vAlign w:val="center"/>
            <w:hideMark/>
          </w:tcPr>
          <w:p w:rsidR="00671FB7" w:rsidRPr="00671FB7" w:rsidRDefault="00671FB7" w:rsidP="00671FB7">
            <w:pPr>
              <w:jc w:val="right"/>
              <w:rPr>
                <w:rFonts w:cs="Arial"/>
                <w:color w:val="7F7F7F"/>
                <w:szCs w:val="18"/>
                <w:lang w:eastAsia="en-AU"/>
              </w:rPr>
            </w:pPr>
            <w:r w:rsidRPr="00671FB7">
              <w:rPr>
                <w:rFonts w:cs="Arial"/>
                <w:color w:val="7F7F7F"/>
                <w:szCs w:val="18"/>
                <w:lang w:eastAsia="en-AU"/>
              </w:rPr>
              <w:t>-25%</w:t>
            </w:r>
          </w:p>
        </w:tc>
        <w:tc>
          <w:tcPr>
            <w:tcW w:w="1099" w:type="dxa"/>
            <w:tcBorders>
              <w:top w:val="nil"/>
              <w:left w:val="nil"/>
              <w:bottom w:val="nil"/>
              <w:right w:val="nil"/>
            </w:tcBorders>
            <w:shd w:val="clear" w:color="auto" w:fill="auto"/>
            <w:noWrap/>
            <w:vAlign w:val="center"/>
            <w:hideMark/>
          </w:tcPr>
          <w:p w:rsidR="00671FB7" w:rsidRPr="00671FB7" w:rsidRDefault="00671FB7" w:rsidP="00671FB7">
            <w:pPr>
              <w:jc w:val="right"/>
              <w:rPr>
                <w:rFonts w:cs="Arial"/>
                <w:color w:val="7F7F7F"/>
                <w:szCs w:val="18"/>
                <w:lang w:eastAsia="en-AU"/>
              </w:rPr>
            </w:pPr>
            <w:r w:rsidRPr="00671FB7">
              <w:rPr>
                <w:rFonts w:cs="Arial"/>
                <w:color w:val="7F7F7F"/>
                <w:szCs w:val="18"/>
                <w:lang w:eastAsia="en-AU"/>
              </w:rPr>
              <w:t>-5%</w:t>
            </w:r>
          </w:p>
        </w:tc>
        <w:tc>
          <w:tcPr>
            <w:tcW w:w="1099" w:type="dxa"/>
            <w:tcBorders>
              <w:top w:val="nil"/>
              <w:left w:val="nil"/>
              <w:bottom w:val="nil"/>
              <w:right w:val="nil"/>
            </w:tcBorders>
            <w:shd w:val="clear" w:color="auto" w:fill="auto"/>
            <w:noWrap/>
            <w:vAlign w:val="center"/>
            <w:hideMark/>
          </w:tcPr>
          <w:p w:rsidR="00671FB7" w:rsidRPr="00671FB7" w:rsidRDefault="00671FB7" w:rsidP="00671FB7">
            <w:pPr>
              <w:jc w:val="right"/>
              <w:rPr>
                <w:rFonts w:cs="Arial"/>
                <w:color w:val="7F7F7F"/>
                <w:szCs w:val="18"/>
                <w:lang w:eastAsia="en-AU"/>
              </w:rPr>
            </w:pPr>
            <w:r w:rsidRPr="00671FB7">
              <w:rPr>
                <w:rFonts w:cs="Arial"/>
                <w:color w:val="7F7F7F"/>
                <w:szCs w:val="18"/>
                <w:lang w:eastAsia="en-AU"/>
              </w:rPr>
              <w:t>-18%</w:t>
            </w:r>
          </w:p>
        </w:tc>
        <w:tc>
          <w:tcPr>
            <w:tcW w:w="1099" w:type="dxa"/>
            <w:tcBorders>
              <w:top w:val="nil"/>
              <w:left w:val="nil"/>
              <w:bottom w:val="nil"/>
              <w:right w:val="nil"/>
            </w:tcBorders>
            <w:shd w:val="clear" w:color="auto" w:fill="auto"/>
            <w:noWrap/>
            <w:vAlign w:val="center"/>
            <w:hideMark/>
          </w:tcPr>
          <w:p w:rsidR="00671FB7" w:rsidRPr="00671FB7" w:rsidRDefault="00671FB7" w:rsidP="00671FB7">
            <w:pPr>
              <w:jc w:val="right"/>
              <w:rPr>
                <w:rFonts w:cs="Arial"/>
                <w:color w:val="7F7F7F"/>
                <w:szCs w:val="18"/>
                <w:lang w:eastAsia="en-AU"/>
              </w:rPr>
            </w:pPr>
            <w:r w:rsidRPr="00671FB7">
              <w:rPr>
                <w:rFonts w:cs="Arial"/>
                <w:color w:val="7F7F7F"/>
                <w:szCs w:val="18"/>
                <w:lang w:eastAsia="en-AU"/>
              </w:rPr>
              <w:t>-20%</w:t>
            </w:r>
          </w:p>
        </w:tc>
        <w:tc>
          <w:tcPr>
            <w:tcW w:w="1099" w:type="dxa"/>
            <w:tcBorders>
              <w:top w:val="nil"/>
              <w:left w:val="nil"/>
              <w:bottom w:val="nil"/>
              <w:right w:val="nil"/>
            </w:tcBorders>
            <w:shd w:val="clear" w:color="auto" w:fill="auto"/>
            <w:noWrap/>
            <w:vAlign w:val="center"/>
            <w:hideMark/>
          </w:tcPr>
          <w:p w:rsidR="00671FB7" w:rsidRPr="00671FB7" w:rsidRDefault="00671FB7" w:rsidP="00671FB7">
            <w:pPr>
              <w:jc w:val="right"/>
              <w:rPr>
                <w:rFonts w:cs="Arial"/>
                <w:color w:val="7F7F7F"/>
                <w:szCs w:val="18"/>
                <w:lang w:eastAsia="en-AU"/>
              </w:rPr>
            </w:pPr>
            <w:r w:rsidRPr="00671FB7">
              <w:rPr>
                <w:rFonts w:cs="Arial"/>
                <w:color w:val="7F7F7F"/>
                <w:szCs w:val="18"/>
                <w:lang w:eastAsia="en-AU"/>
              </w:rPr>
              <w:t>-14%</w:t>
            </w:r>
          </w:p>
        </w:tc>
      </w:tr>
      <w:tr w:rsidR="00671FB7" w:rsidRPr="00671FB7" w:rsidTr="00671FB7">
        <w:trPr>
          <w:trHeight w:val="300"/>
        </w:trPr>
        <w:tc>
          <w:tcPr>
            <w:tcW w:w="2600" w:type="dxa"/>
            <w:tcBorders>
              <w:top w:val="nil"/>
              <w:left w:val="nil"/>
              <w:bottom w:val="nil"/>
              <w:right w:val="nil"/>
            </w:tcBorders>
            <w:shd w:val="clear" w:color="auto" w:fill="auto"/>
            <w:vAlign w:val="center"/>
            <w:hideMark/>
          </w:tcPr>
          <w:p w:rsidR="00671FB7" w:rsidRPr="00671FB7" w:rsidRDefault="00671FB7" w:rsidP="00671FB7">
            <w:pPr>
              <w:rPr>
                <w:rFonts w:cs="Arial"/>
                <w:color w:val="7F7F7F"/>
                <w:szCs w:val="18"/>
                <w:lang w:eastAsia="en-AU"/>
              </w:rPr>
            </w:pPr>
            <w:r w:rsidRPr="00671FB7">
              <w:rPr>
                <w:rFonts w:cs="Arial"/>
                <w:color w:val="7F7F7F"/>
                <w:szCs w:val="18"/>
                <w:lang w:eastAsia="en-AU"/>
              </w:rPr>
              <w:t>Retail Trade</w:t>
            </w:r>
          </w:p>
        </w:tc>
        <w:tc>
          <w:tcPr>
            <w:tcW w:w="1099" w:type="dxa"/>
            <w:tcBorders>
              <w:top w:val="nil"/>
              <w:left w:val="nil"/>
              <w:bottom w:val="nil"/>
              <w:right w:val="nil"/>
            </w:tcBorders>
            <w:shd w:val="clear" w:color="auto" w:fill="auto"/>
            <w:noWrap/>
            <w:vAlign w:val="center"/>
            <w:hideMark/>
          </w:tcPr>
          <w:p w:rsidR="00671FB7" w:rsidRPr="00671FB7" w:rsidRDefault="00671FB7" w:rsidP="00671FB7">
            <w:pPr>
              <w:jc w:val="right"/>
              <w:rPr>
                <w:rFonts w:cs="Arial"/>
                <w:color w:val="7F7F7F"/>
                <w:szCs w:val="18"/>
                <w:lang w:eastAsia="en-AU"/>
              </w:rPr>
            </w:pPr>
            <w:r w:rsidRPr="00671FB7">
              <w:rPr>
                <w:rFonts w:cs="Arial"/>
                <w:color w:val="7F7F7F"/>
                <w:szCs w:val="18"/>
                <w:lang w:eastAsia="en-AU"/>
              </w:rPr>
              <w:t>13%</w:t>
            </w:r>
          </w:p>
        </w:tc>
        <w:tc>
          <w:tcPr>
            <w:tcW w:w="1099" w:type="dxa"/>
            <w:tcBorders>
              <w:top w:val="nil"/>
              <w:left w:val="nil"/>
              <w:bottom w:val="nil"/>
              <w:right w:val="nil"/>
            </w:tcBorders>
            <w:shd w:val="clear" w:color="auto" w:fill="auto"/>
            <w:noWrap/>
            <w:vAlign w:val="center"/>
            <w:hideMark/>
          </w:tcPr>
          <w:p w:rsidR="00671FB7" w:rsidRPr="00671FB7" w:rsidRDefault="00671FB7" w:rsidP="00671FB7">
            <w:pPr>
              <w:jc w:val="right"/>
              <w:rPr>
                <w:rFonts w:cs="Arial"/>
                <w:color w:val="7F7F7F"/>
                <w:szCs w:val="18"/>
                <w:lang w:eastAsia="en-AU"/>
              </w:rPr>
            </w:pPr>
            <w:r w:rsidRPr="00671FB7">
              <w:rPr>
                <w:rFonts w:cs="Arial"/>
                <w:color w:val="7F7F7F"/>
                <w:szCs w:val="18"/>
                <w:lang w:eastAsia="en-AU"/>
              </w:rPr>
              <w:t>10%</w:t>
            </w:r>
          </w:p>
        </w:tc>
        <w:tc>
          <w:tcPr>
            <w:tcW w:w="1099" w:type="dxa"/>
            <w:tcBorders>
              <w:top w:val="nil"/>
              <w:left w:val="nil"/>
              <w:bottom w:val="nil"/>
              <w:right w:val="nil"/>
            </w:tcBorders>
            <w:shd w:val="clear" w:color="auto" w:fill="auto"/>
            <w:noWrap/>
            <w:vAlign w:val="center"/>
            <w:hideMark/>
          </w:tcPr>
          <w:p w:rsidR="00671FB7" w:rsidRPr="00671FB7" w:rsidRDefault="00671FB7" w:rsidP="00671FB7">
            <w:pPr>
              <w:jc w:val="right"/>
              <w:rPr>
                <w:rFonts w:cs="Arial"/>
                <w:color w:val="7F7F7F"/>
                <w:szCs w:val="18"/>
                <w:lang w:eastAsia="en-AU"/>
              </w:rPr>
            </w:pPr>
            <w:r w:rsidRPr="00671FB7">
              <w:rPr>
                <w:rFonts w:cs="Arial"/>
                <w:color w:val="7F7F7F"/>
                <w:szCs w:val="18"/>
                <w:lang w:eastAsia="en-AU"/>
              </w:rPr>
              <w:t>0%</w:t>
            </w:r>
          </w:p>
        </w:tc>
        <w:tc>
          <w:tcPr>
            <w:tcW w:w="1099" w:type="dxa"/>
            <w:tcBorders>
              <w:top w:val="nil"/>
              <w:left w:val="nil"/>
              <w:bottom w:val="nil"/>
              <w:right w:val="nil"/>
            </w:tcBorders>
            <w:shd w:val="clear" w:color="auto" w:fill="auto"/>
            <w:noWrap/>
            <w:vAlign w:val="center"/>
            <w:hideMark/>
          </w:tcPr>
          <w:p w:rsidR="00671FB7" w:rsidRPr="00671FB7" w:rsidRDefault="00671FB7" w:rsidP="00671FB7">
            <w:pPr>
              <w:jc w:val="right"/>
              <w:rPr>
                <w:rFonts w:cs="Arial"/>
                <w:color w:val="7F7F7F"/>
                <w:szCs w:val="18"/>
                <w:lang w:eastAsia="en-AU"/>
              </w:rPr>
            </w:pPr>
            <w:r w:rsidRPr="00671FB7">
              <w:rPr>
                <w:rFonts w:cs="Arial"/>
                <w:color w:val="7F7F7F"/>
                <w:szCs w:val="18"/>
                <w:lang w:eastAsia="en-AU"/>
              </w:rPr>
              <w:t>13%</w:t>
            </w:r>
          </w:p>
        </w:tc>
        <w:tc>
          <w:tcPr>
            <w:tcW w:w="1099" w:type="dxa"/>
            <w:tcBorders>
              <w:top w:val="nil"/>
              <w:left w:val="nil"/>
              <w:bottom w:val="nil"/>
              <w:right w:val="nil"/>
            </w:tcBorders>
            <w:shd w:val="clear" w:color="auto" w:fill="auto"/>
            <w:noWrap/>
            <w:vAlign w:val="center"/>
            <w:hideMark/>
          </w:tcPr>
          <w:p w:rsidR="00671FB7" w:rsidRPr="00671FB7" w:rsidRDefault="00671FB7" w:rsidP="00671FB7">
            <w:pPr>
              <w:jc w:val="right"/>
              <w:rPr>
                <w:rFonts w:cs="Arial"/>
                <w:color w:val="7F7F7F"/>
                <w:szCs w:val="18"/>
                <w:lang w:eastAsia="en-AU"/>
              </w:rPr>
            </w:pPr>
            <w:r w:rsidRPr="00671FB7">
              <w:rPr>
                <w:rFonts w:cs="Arial"/>
                <w:color w:val="7F7F7F"/>
                <w:szCs w:val="18"/>
                <w:lang w:eastAsia="en-AU"/>
              </w:rPr>
              <w:t>9%</w:t>
            </w:r>
          </w:p>
        </w:tc>
      </w:tr>
      <w:tr w:rsidR="00671FB7" w:rsidRPr="00671FB7" w:rsidTr="00671FB7">
        <w:trPr>
          <w:trHeight w:val="480"/>
        </w:trPr>
        <w:tc>
          <w:tcPr>
            <w:tcW w:w="2600" w:type="dxa"/>
            <w:tcBorders>
              <w:top w:val="nil"/>
              <w:left w:val="nil"/>
              <w:bottom w:val="nil"/>
              <w:right w:val="nil"/>
            </w:tcBorders>
            <w:shd w:val="clear" w:color="auto" w:fill="auto"/>
            <w:vAlign w:val="center"/>
            <w:hideMark/>
          </w:tcPr>
          <w:p w:rsidR="00671FB7" w:rsidRPr="00671FB7" w:rsidRDefault="00671FB7" w:rsidP="00671FB7">
            <w:pPr>
              <w:rPr>
                <w:rFonts w:cs="Arial"/>
                <w:color w:val="7F7F7F"/>
                <w:szCs w:val="18"/>
                <w:lang w:eastAsia="en-AU"/>
              </w:rPr>
            </w:pPr>
            <w:r w:rsidRPr="00671FB7">
              <w:rPr>
                <w:rFonts w:cs="Arial"/>
                <w:color w:val="7F7F7F"/>
                <w:szCs w:val="18"/>
                <w:lang w:eastAsia="en-AU"/>
              </w:rPr>
              <w:t>Transport, Postal and Warehousing</w:t>
            </w:r>
          </w:p>
        </w:tc>
        <w:tc>
          <w:tcPr>
            <w:tcW w:w="1099" w:type="dxa"/>
            <w:tcBorders>
              <w:top w:val="nil"/>
              <w:left w:val="nil"/>
              <w:bottom w:val="nil"/>
              <w:right w:val="nil"/>
            </w:tcBorders>
            <w:shd w:val="clear" w:color="auto" w:fill="auto"/>
            <w:noWrap/>
            <w:vAlign w:val="center"/>
            <w:hideMark/>
          </w:tcPr>
          <w:p w:rsidR="00671FB7" w:rsidRPr="00671FB7" w:rsidRDefault="00671FB7" w:rsidP="00671FB7">
            <w:pPr>
              <w:jc w:val="right"/>
              <w:rPr>
                <w:rFonts w:cs="Arial"/>
                <w:color w:val="7F7F7F"/>
                <w:szCs w:val="18"/>
                <w:lang w:eastAsia="en-AU"/>
              </w:rPr>
            </w:pPr>
            <w:r w:rsidRPr="00671FB7">
              <w:rPr>
                <w:rFonts w:cs="Arial"/>
                <w:color w:val="7F7F7F"/>
                <w:szCs w:val="18"/>
                <w:lang w:eastAsia="en-AU"/>
              </w:rPr>
              <w:t>38%</w:t>
            </w:r>
          </w:p>
        </w:tc>
        <w:tc>
          <w:tcPr>
            <w:tcW w:w="1099" w:type="dxa"/>
            <w:tcBorders>
              <w:top w:val="nil"/>
              <w:left w:val="nil"/>
              <w:bottom w:val="nil"/>
              <w:right w:val="nil"/>
            </w:tcBorders>
            <w:shd w:val="clear" w:color="auto" w:fill="auto"/>
            <w:noWrap/>
            <w:vAlign w:val="center"/>
            <w:hideMark/>
          </w:tcPr>
          <w:p w:rsidR="00671FB7" w:rsidRPr="00671FB7" w:rsidRDefault="00671FB7" w:rsidP="00671FB7">
            <w:pPr>
              <w:jc w:val="right"/>
              <w:rPr>
                <w:rFonts w:cs="Arial"/>
                <w:color w:val="7F7F7F"/>
                <w:szCs w:val="18"/>
                <w:lang w:eastAsia="en-AU"/>
              </w:rPr>
            </w:pPr>
            <w:r w:rsidRPr="00671FB7">
              <w:rPr>
                <w:rFonts w:cs="Arial"/>
                <w:color w:val="7F7F7F"/>
                <w:szCs w:val="18"/>
                <w:lang w:eastAsia="en-AU"/>
              </w:rPr>
              <w:t>-</w:t>
            </w:r>
          </w:p>
        </w:tc>
        <w:tc>
          <w:tcPr>
            <w:tcW w:w="1099" w:type="dxa"/>
            <w:tcBorders>
              <w:top w:val="nil"/>
              <w:left w:val="nil"/>
              <w:bottom w:val="nil"/>
              <w:right w:val="nil"/>
            </w:tcBorders>
            <w:shd w:val="clear" w:color="auto" w:fill="auto"/>
            <w:noWrap/>
            <w:vAlign w:val="center"/>
            <w:hideMark/>
          </w:tcPr>
          <w:p w:rsidR="00671FB7" w:rsidRPr="00671FB7" w:rsidRDefault="00671FB7" w:rsidP="00671FB7">
            <w:pPr>
              <w:jc w:val="right"/>
              <w:rPr>
                <w:rFonts w:cs="Arial"/>
                <w:color w:val="7F7F7F"/>
                <w:szCs w:val="18"/>
                <w:lang w:eastAsia="en-AU"/>
              </w:rPr>
            </w:pPr>
            <w:r w:rsidRPr="00671FB7">
              <w:rPr>
                <w:rFonts w:cs="Arial"/>
                <w:color w:val="7F7F7F"/>
                <w:szCs w:val="18"/>
                <w:lang w:eastAsia="en-AU"/>
              </w:rPr>
              <w:t>-15%</w:t>
            </w:r>
          </w:p>
        </w:tc>
        <w:tc>
          <w:tcPr>
            <w:tcW w:w="1099" w:type="dxa"/>
            <w:tcBorders>
              <w:top w:val="nil"/>
              <w:left w:val="nil"/>
              <w:bottom w:val="nil"/>
              <w:right w:val="nil"/>
            </w:tcBorders>
            <w:shd w:val="clear" w:color="auto" w:fill="auto"/>
            <w:noWrap/>
            <w:vAlign w:val="center"/>
            <w:hideMark/>
          </w:tcPr>
          <w:p w:rsidR="00671FB7" w:rsidRPr="00671FB7" w:rsidRDefault="00671FB7" w:rsidP="00671FB7">
            <w:pPr>
              <w:jc w:val="right"/>
              <w:rPr>
                <w:rFonts w:cs="Arial"/>
                <w:color w:val="7F7F7F"/>
                <w:szCs w:val="18"/>
                <w:lang w:eastAsia="en-AU"/>
              </w:rPr>
            </w:pPr>
            <w:r w:rsidRPr="00671FB7">
              <w:rPr>
                <w:rFonts w:cs="Arial"/>
                <w:color w:val="7F7F7F"/>
                <w:szCs w:val="18"/>
                <w:lang w:eastAsia="en-AU"/>
              </w:rPr>
              <w:t>1,000%</w:t>
            </w:r>
          </w:p>
        </w:tc>
        <w:tc>
          <w:tcPr>
            <w:tcW w:w="1099" w:type="dxa"/>
            <w:tcBorders>
              <w:top w:val="nil"/>
              <w:left w:val="nil"/>
              <w:bottom w:val="nil"/>
              <w:right w:val="nil"/>
            </w:tcBorders>
            <w:shd w:val="clear" w:color="auto" w:fill="auto"/>
            <w:noWrap/>
            <w:vAlign w:val="center"/>
            <w:hideMark/>
          </w:tcPr>
          <w:p w:rsidR="00671FB7" w:rsidRPr="00671FB7" w:rsidRDefault="00671FB7" w:rsidP="00671FB7">
            <w:pPr>
              <w:jc w:val="right"/>
              <w:rPr>
                <w:rFonts w:cs="Arial"/>
                <w:color w:val="7F7F7F"/>
                <w:szCs w:val="18"/>
                <w:lang w:eastAsia="en-AU"/>
              </w:rPr>
            </w:pPr>
            <w:r w:rsidRPr="00671FB7">
              <w:rPr>
                <w:rFonts w:cs="Arial"/>
                <w:color w:val="7F7F7F"/>
                <w:szCs w:val="18"/>
                <w:lang w:eastAsia="en-AU"/>
              </w:rPr>
              <w:t>38%</w:t>
            </w:r>
          </w:p>
        </w:tc>
      </w:tr>
      <w:tr w:rsidR="00671FB7" w:rsidRPr="00671FB7" w:rsidTr="00671FB7">
        <w:trPr>
          <w:trHeight w:val="300"/>
        </w:trPr>
        <w:tc>
          <w:tcPr>
            <w:tcW w:w="2600" w:type="dxa"/>
            <w:tcBorders>
              <w:top w:val="nil"/>
              <w:left w:val="nil"/>
              <w:bottom w:val="nil"/>
              <w:right w:val="nil"/>
            </w:tcBorders>
            <w:shd w:val="clear" w:color="auto" w:fill="auto"/>
            <w:vAlign w:val="center"/>
            <w:hideMark/>
          </w:tcPr>
          <w:p w:rsidR="00671FB7" w:rsidRPr="00671FB7" w:rsidRDefault="00671FB7" w:rsidP="00671FB7">
            <w:pPr>
              <w:rPr>
                <w:rFonts w:cs="Arial"/>
                <w:color w:val="7F7F7F"/>
                <w:szCs w:val="18"/>
                <w:lang w:eastAsia="en-AU"/>
              </w:rPr>
            </w:pPr>
            <w:r w:rsidRPr="00671FB7">
              <w:rPr>
                <w:rFonts w:cs="Arial"/>
                <w:color w:val="7F7F7F"/>
                <w:szCs w:val="18"/>
                <w:lang w:eastAsia="en-AU"/>
              </w:rPr>
              <w:t>Wholesale Trade</w:t>
            </w:r>
          </w:p>
        </w:tc>
        <w:tc>
          <w:tcPr>
            <w:tcW w:w="1099" w:type="dxa"/>
            <w:tcBorders>
              <w:top w:val="nil"/>
              <w:left w:val="nil"/>
              <w:bottom w:val="nil"/>
              <w:right w:val="nil"/>
            </w:tcBorders>
            <w:shd w:val="clear" w:color="auto" w:fill="auto"/>
            <w:noWrap/>
            <w:vAlign w:val="center"/>
            <w:hideMark/>
          </w:tcPr>
          <w:p w:rsidR="00671FB7" w:rsidRPr="00671FB7" w:rsidRDefault="00671FB7" w:rsidP="00671FB7">
            <w:pPr>
              <w:jc w:val="right"/>
              <w:rPr>
                <w:rFonts w:cs="Arial"/>
                <w:color w:val="7F7F7F"/>
                <w:szCs w:val="18"/>
                <w:lang w:eastAsia="en-AU"/>
              </w:rPr>
            </w:pPr>
            <w:r w:rsidRPr="00671FB7">
              <w:rPr>
                <w:rFonts w:cs="Arial"/>
                <w:color w:val="7F7F7F"/>
                <w:szCs w:val="18"/>
                <w:lang w:eastAsia="en-AU"/>
              </w:rPr>
              <w:t>-97%</w:t>
            </w:r>
          </w:p>
        </w:tc>
        <w:tc>
          <w:tcPr>
            <w:tcW w:w="1099" w:type="dxa"/>
            <w:tcBorders>
              <w:top w:val="nil"/>
              <w:left w:val="nil"/>
              <w:bottom w:val="nil"/>
              <w:right w:val="nil"/>
            </w:tcBorders>
            <w:shd w:val="clear" w:color="auto" w:fill="auto"/>
            <w:noWrap/>
            <w:vAlign w:val="center"/>
            <w:hideMark/>
          </w:tcPr>
          <w:p w:rsidR="00671FB7" w:rsidRPr="00671FB7" w:rsidRDefault="00671FB7" w:rsidP="00671FB7">
            <w:pPr>
              <w:jc w:val="right"/>
              <w:rPr>
                <w:rFonts w:cs="Arial"/>
                <w:color w:val="7F7F7F"/>
                <w:szCs w:val="18"/>
                <w:lang w:eastAsia="en-AU"/>
              </w:rPr>
            </w:pPr>
            <w:r w:rsidRPr="00671FB7">
              <w:rPr>
                <w:rFonts w:cs="Arial"/>
                <w:color w:val="7F7F7F"/>
                <w:szCs w:val="18"/>
                <w:lang w:eastAsia="en-AU"/>
              </w:rPr>
              <w:t>-97%</w:t>
            </w:r>
          </w:p>
        </w:tc>
        <w:tc>
          <w:tcPr>
            <w:tcW w:w="1099" w:type="dxa"/>
            <w:tcBorders>
              <w:top w:val="nil"/>
              <w:left w:val="nil"/>
              <w:bottom w:val="nil"/>
              <w:right w:val="nil"/>
            </w:tcBorders>
            <w:shd w:val="clear" w:color="auto" w:fill="auto"/>
            <w:noWrap/>
            <w:vAlign w:val="center"/>
            <w:hideMark/>
          </w:tcPr>
          <w:p w:rsidR="00671FB7" w:rsidRPr="00671FB7" w:rsidRDefault="00671FB7" w:rsidP="00671FB7">
            <w:pPr>
              <w:jc w:val="right"/>
              <w:rPr>
                <w:rFonts w:cs="Arial"/>
                <w:color w:val="7F7F7F"/>
                <w:szCs w:val="18"/>
                <w:lang w:eastAsia="en-AU"/>
              </w:rPr>
            </w:pPr>
            <w:r w:rsidRPr="00671FB7">
              <w:rPr>
                <w:rFonts w:cs="Arial"/>
                <w:color w:val="7F7F7F"/>
                <w:szCs w:val="18"/>
                <w:lang w:eastAsia="en-AU"/>
              </w:rPr>
              <w:t>-97%</w:t>
            </w:r>
          </w:p>
        </w:tc>
        <w:tc>
          <w:tcPr>
            <w:tcW w:w="1099" w:type="dxa"/>
            <w:tcBorders>
              <w:top w:val="nil"/>
              <w:left w:val="nil"/>
              <w:bottom w:val="nil"/>
              <w:right w:val="nil"/>
            </w:tcBorders>
            <w:shd w:val="clear" w:color="auto" w:fill="auto"/>
            <w:noWrap/>
            <w:vAlign w:val="center"/>
            <w:hideMark/>
          </w:tcPr>
          <w:p w:rsidR="00671FB7" w:rsidRPr="00671FB7" w:rsidRDefault="00671FB7" w:rsidP="00671FB7">
            <w:pPr>
              <w:jc w:val="right"/>
              <w:rPr>
                <w:rFonts w:cs="Arial"/>
                <w:color w:val="7F7F7F"/>
                <w:szCs w:val="18"/>
                <w:lang w:eastAsia="en-AU"/>
              </w:rPr>
            </w:pPr>
            <w:r w:rsidRPr="00671FB7">
              <w:rPr>
                <w:rFonts w:cs="Arial"/>
                <w:color w:val="7F7F7F"/>
                <w:szCs w:val="18"/>
                <w:lang w:eastAsia="en-AU"/>
              </w:rPr>
              <w:t>-93%</w:t>
            </w:r>
          </w:p>
        </w:tc>
        <w:tc>
          <w:tcPr>
            <w:tcW w:w="1099" w:type="dxa"/>
            <w:tcBorders>
              <w:top w:val="nil"/>
              <w:left w:val="nil"/>
              <w:bottom w:val="nil"/>
              <w:right w:val="nil"/>
            </w:tcBorders>
            <w:shd w:val="clear" w:color="auto" w:fill="auto"/>
            <w:noWrap/>
            <w:vAlign w:val="center"/>
            <w:hideMark/>
          </w:tcPr>
          <w:p w:rsidR="00671FB7" w:rsidRPr="00671FB7" w:rsidRDefault="00671FB7" w:rsidP="00671FB7">
            <w:pPr>
              <w:jc w:val="right"/>
              <w:rPr>
                <w:rFonts w:cs="Arial"/>
                <w:color w:val="7F7F7F"/>
                <w:szCs w:val="18"/>
                <w:lang w:eastAsia="en-AU"/>
              </w:rPr>
            </w:pPr>
            <w:r w:rsidRPr="00671FB7">
              <w:rPr>
                <w:rFonts w:cs="Arial"/>
                <w:color w:val="7F7F7F"/>
                <w:szCs w:val="18"/>
                <w:lang w:eastAsia="en-AU"/>
              </w:rPr>
              <w:t>-67%</w:t>
            </w:r>
          </w:p>
        </w:tc>
      </w:tr>
      <w:tr w:rsidR="00671FB7" w:rsidRPr="00671FB7" w:rsidTr="00671FB7">
        <w:trPr>
          <w:trHeight w:val="300"/>
        </w:trPr>
        <w:tc>
          <w:tcPr>
            <w:tcW w:w="2600" w:type="dxa"/>
            <w:tcBorders>
              <w:top w:val="nil"/>
              <w:left w:val="nil"/>
              <w:bottom w:val="nil"/>
              <w:right w:val="nil"/>
            </w:tcBorders>
            <w:shd w:val="clear" w:color="000000" w:fill="7F7F7F"/>
            <w:noWrap/>
            <w:vAlign w:val="center"/>
            <w:hideMark/>
          </w:tcPr>
          <w:p w:rsidR="00671FB7" w:rsidRPr="00671FB7" w:rsidRDefault="00671FB7" w:rsidP="00671FB7">
            <w:pPr>
              <w:rPr>
                <w:rFonts w:cs="Arial"/>
                <w:b/>
                <w:bCs/>
                <w:color w:val="FFFFFF"/>
                <w:szCs w:val="18"/>
                <w:lang w:eastAsia="en-AU"/>
              </w:rPr>
            </w:pPr>
            <w:r w:rsidRPr="00671FB7">
              <w:rPr>
                <w:rFonts w:cs="Arial"/>
                <w:b/>
                <w:bCs/>
                <w:color w:val="FFFFFF"/>
                <w:szCs w:val="18"/>
                <w:lang w:eastAsia="en-AU"/>
              </w:rPr>
              <w:t>Total</w:t>
            </w:r>
          </w:p>
        </w:tc>
        <w:tc>
          <w:tcPr>
            <w:tcW w:w="1099" w:type="dxa"/>
            <w:tcBorders>
              <w:top w:val="nil"/>
              <w:left w:val="nil"/>
              <w:bottom w:val="nil"/>
              <w:right w:val="nil"/>
            </w:tcBorders>
            <w:shd w:val="clear" w:color="000000" w:fill="7F7F7F"/>
            <w:noWrap/>
            <w:vAlign w:val="center"/>
            <w:hideMark/>
          </w:tcPr>
          <w:p w:rsidR="00671FB7" w:rsidRPr="00671FB7" w:rsidRDefault="00671FB7" w:rsidP="00671FB7">
            <w:pPr>
              <w:jc w:val="right"/>
              <w:rPr>
                <w:rFonts w:cs="Arial"/>
                <w:b/>
                <w:bCs/>
                <w:color w:val="FFFFFF"/>
                <w:szCs w:val="18"/>
                <w:lang w:eastAsia="en-AU"/>
              </w:rPr>
            </w:pPr>
            <w:r w:rsidRPr="00671FB7">
              <w:rPr>
                <w:rFonts w:cs="Arial"/>
                <w:b/>
                <w:bCs/>
                <w:color w:val="FFFFFF"/>
                <w:szCs w:val="18"/>
                <w:lang w:eastAsia="en-AU"/>
              </w:rPr>
              <w:t>1%</w:t>
            </w:r>
          </w:p>
        </w:tc>
        <w:tc>
          <w:tcPr>
            <w:tcW w:w="1099" w:type="dxa"/>
            <w:tcBorders>
              <w:top w:val="nil"/>
              <w:left w:val="nil"/>
              <w:bottom w:val="nil"/>
              <w:right w:val="nil"/>
            </w:tcBorders>
            <w:shd w:val="clear" w:color="000000" w:fill="7F7F7F"/>
            <w:noWrap/>
            <w:vAlign w:val="center"/>
            <w:hideMark/>
          </w:tcPr>
          <w:p w:rsidR="00671FB7" w:rsidRPr="00671FB7" w:rsidRDefault="00671FB7" w:rsidP="00671FB7">
            <w:pPr>
              <w:jc w:val="right"/>
              <w:rPr>
                <w:rFonts w:cs="Arial"/>
                <w:b/>
                <w:bCs/>
                <w:color w:val="FFFFFF"/>
                <w:szCs w:val="18"/>
                <w:lang w:eastAsia="en-AU"/>
              </w:rPr>
            </w:pPr>
            <w:r w:rsidRPr="00671FB7">
              <w:rPr>
                <w:rFonts w:cs="Arial"/>
                <w:b/>
                <w:bCs/>
                <w:color w:val="FFFFFF"/>
                <w:szCs w:val="18"/>
                <w:lang w:eastAsia="en-AU"/>
              </w:rPr>
              <w:t>-5%</w:t>
            </w:r>
          </w:p>
        </w:tc>
        <w:tc>
          <w:tcPr>
            <w:tcW w:w="1099" w:type="dxa"/>
            <w:tcBorders>
              <w:top w:val="nil"/>
              <w:left w:val="nil"/>
              <w:bottom w:val="nil"/>
              <w:right w:val="nil"/>
            </w:tcBorders>
            <w:shd w:val="clear" w:color="000000" w:fill="7F7F7F"/>
            <w:noWrap/>
            <w:vAlign w:val="center"/>
            <w:hideMark/>
          </w:tcPr>
          <w:p w:rsidR="00671FB7" w:rsidRPr="00671FB7" w:rsidRDefault="00671FB7" w:rsidP="00671FB7">
            <w:pPr>
              <w:jc w:val="right"/>
              <w:rPr>
                <w:rFonts w:cs="Arial"/>
                <w:b/>
                <w:bCs/>
                <w:color w:val="FFFFFF"/>
                <w:szCs w:val="18"/>
                <w:lang w:eastAsia="en-AU"/>
              </w:rPr>
            </w:pPr>
            <w:r w:rsidRPr="00671FB7">
              <w:rPr>
                <w:rFonts w:cs="Arial"/>
                <w:b/>
                <w:bCs/>
                <w:color w:val="FFFFFF"/>
                <w:szCs w:val="18"/>
                <w:lang w:eastAsia="en-AU"/>
              </w:rPr>
              <w:t>-6%</w:t>
            </w:r>
          </w:p>
        </w:tc>
        <w:tc>
          <w:tcPr>
            <w:tcW w:w="1099" w:type="dxa"/>
            <w:tcBorders>
              <w:top w:val="nil"/>
              <w:left w:val="nil"/>
              <w:bottom w:val="nil"/>
              <w:right w:val="nil"/>
            </w:tcBorders>
            <w:shd w:val="clear" w:color="000000" w:fill="7F7F7F"/>
            <w:noWrap/>
            <w:vAlign w:val="center"/>
            <w:hideMark/>
          </w:tcPr>
          <w:p w:rsidR="00671FB7" w:rsidRPr="00671FB7" w:rsidRDefault="00671FB7" w:rsidP="00671FB7">
            <w:pPr>
              <w:jc w:val="right"/>
              <w:rPr>
                <w:rFonts w:cs="Arial"/>
                <w:b/>
                <w:bCs/>
                <w:color w:val="FFFFFF"/>
                <w:szCs w:val="18"/>
                <w:lang w:eastAsia="en-AU"/>
              </w:rPr>
            </w:pPr>
            <w:r w:rsidRPr="00671FB7">
              <w:rPr>
                <w:rFonts w:cs="Arial"/>
                <w:b/>
                <w:bCs/>
                <w:color w:val="FFFFFF"/>
                <w:szCs w:val="18"/>
                <w:lang w:eastAsia="en-AU"/>
              </w:rPr>
              <w:t>3%</w:t>
            </w:r>
          </w:p>
        </w:tc>
        <w:tc>
          <w:tcPr>
            <w:tcW w:w="1099" w:type="dxa"/>
            <w:tcBorders>
              <w:top w:val="nil"/>
              <w:left w:val="nil"/>
              <w:bottom w:val="nil"/>
              <w:right w:val="nil"/>
            </w:tcBorders>
            <w:shd w:val="clear" w:color="000000" w:fill="7F7F7F"/>
            <w:noWrap/>
            <w:vAlign w:val="center"/>
            <w:hideMark/>
          </w:tcPr>
          <w:p w:rsidR="00671FB7" w:rsidRPr="00671FB7" w:rsidRDefault="00671FB7" w:rsidP="00671FB7">
            <w:pPr>
              <w:jc w:val="right"/>
              <w:rPr>
                <w:rFonts w:cs="Arial"/>
                <w:b/>
                <w:bCs/>
                <w:color w:val="FFFFFF"/>
                <w:szCs w:val="18"/>
                <w:lang w:eastAsia="en-AU"/>
              </w:rPr>
            </w:pPr>
            <w:r w:rsidRPr="00671FB7">
              <w:rPr>
                <w:rFonts w:cs="Arial"/>
                <w:b/>
                <w:bCs/>
                <w:color w:val="FFFFFF"/>
                <w:szCs w:val="18"/>
                <w:lang w:eastAsia="en-AU"/>
              </w:rPr>
              <w:t>4%</w:t>
            </w:r>
          </w:p>
        </w:tc>
      </w:tr>
    </w:tbl>
    <w:p w:rsidR="00671FB7" w:rsidRPr="00671FB7" w:rsidRDefault="00671FB7" w:rsidP="00AB62FC">
      <w:pPr>
        <w:pStyle w:val="Quote"/>
        <w:rPr>
          <w:b w:val="0"/>
          <w:sz w:val="18"/>
          <w:szCs w:val="18"/>
        </w:rPr>
      </w:pPr>
    </w:p>
    <w:p w:rsidR="00671FB7" w:rsidRPr="00671FB7" w:rsidRDefault="00671FB7" w:rsidP="00AB62FC">
      <w:pPr>
        <w:pStyle w:val="Quote"/>
        <w:rPr>
          <w:b w:val="0"/>
          <w:sz w:val="18"/>
          <w:szCs w:val="18"/>
        </w:rPr>
      </w:pPr>
    </w:p>
    <w:p w:rsidR="00AB62FC" w:rsidRPr="00365EB2" w:rsidRDefault="00AB62FC" w:rsidP="00AB62FC">
      <w:r w:rsidRPr="00365EB2">
        <w:br w:type="page"/>
      </w:r>
    </w:p>
    <w:p w:rsidR="00AB62FC" w:rsidRPr="00385371" w:rsidRDefault="00AB62FC" w:rsidP="00AB62FC">
      <w:pPr>
        <w:pStyle w:val="Heading2"/>
        <w:rPr>
          <w:color w:val="B41F22" w:themeColor="accent1"/>
        </w:rPr>
      </w:pPr>
      <w:bookmarkStart w:id="31" w:name="_Toc432758339"/>
      <w:r w:rsidRPr="00385371">
        <w:rPr>
          <w:color w:val="B41F22" w:themeColor="accent1"/>
        </w:rPr>
        <w:lastRenderedPageBreak/>
        <w:t>Traineeships</w:t>
      </w:r>
      <w:bookmarkEnd w:id="31"/>
    </w:p>
    <w:p w:rsidR="00671FB7" w:rsidRPr="00365EB2" w:rsidRDefault="00671FB7" w:rsidP="00AB62FC"/>
    <w:p w:rsidR="00AB62FC" w:rsidRDefault="00AB62FC" w:rsidP="00AB62FC">
      <w:pPr>
        <w:pStyle w:val="Quote"/>
        <w:rPr>
          <w:b w:val="0"/>
          <w:sz w:val="18"/>
          <w:szCs w:val="18"/>
        </w:rPr>
      </w:pPr>
    </w:p>
    <w:p w:rsidR="00674718" w:rsidRPr="00674718" w:rsidRDefault="00674718" w:rsidP="00AB62FC">
      <w:pPr>
        <w:pStyle w:val="Quote"/>
        <w:rPr>
          <w:b w:val="0"/>
          <w:sz w:val="18"/>
          <w:szCs w:val="18"/>
        </w:rPr>
      </w:pPr>
    </w:p>
    <w:p w:rsidR="001F57F4" w:rsidRDefault="001F57F4" w:rsidP="001F57F4">
      <w:pPr>
        <w:pStyle w:val="Heading3"/>
      </w:pPr>
      <w:r>
        <w:t>National trends in traineeships</w:t>
      </w:r>
    </w:p>
    <w:p w:rsidR="001F57F4" w:rsidRDefault="001F57F4" w:rsidP="00CE70F0">
      <w:pPr>
        <w:spacing w:before="120"/>
        <w:rPr>
          <w:color w:val="7F7F7F" w:themeColor="text2"/>
        </w:rPr>
      </w:pPr>
      <w:r>
        <w:rPr>
          <w:color w:val="7F7F7F" w:themeColor="text2"/>
        </w:rPr>
        <w:t>Due to national differences between states and territories on what constitutes a traineeship, it is not possible to exactly identify trends at a national level</w:t>
      </w:r>
      <w:r w:rsidR="0005261F">
        <w:rPr>
          <w:color w:val="7F7F7F" w:themeColor="text2"/>
        </w:rPr>
        <w:t xml:space="preserve">, however national data from the NCVER on Apprentices and trainees in non-trade occupations (closet to Victoria’s scope of Traineeships) shows that there </w:t>
      </w:r>
      <w:proofErr w:type="gramStart"/>
      <w:r w:rsidR="0005261F">
        <w:rPr>
          <w:color w:val="7F7F7F" w:themeColor="text2"/>
        </w:rPr>
        <w:t>has been declines</w:t>
      </w:r>
      <w:proofErr w:type="gramEnd"/>
      <w:r w:rsidR="0005261F">
        <w:rPr>
          <w:color w:val="7F7F7F" w:themeColor="text2"/>
        </w:rPr>
        <w:t xml:space="preserve"> across the larger states. The NCVER has previously noted i</w:t>
      </w:r>
      <w:r w:rsidR="0005261F" w:rsidRPr="0005261F">
        <w:rPr>
          <w:color w:val="7F7F7F" w:themeColor="text2"/>
        </w:rPr>
        <w:t xml:space="preserve">n May 2013 that </w:t>
      </w:r>
      <w:r w:rsidR="0005261F" w:rsidRPr="0005261F">
        <w:rPr>
          <w:i/>
          <w:color w:val="7F7F7F" w:themeColor="text2"/>
        </w:rPr>
        <w:t xml:space="preserve">The substantial growth in non-trade commencements up to the June quarter 2012, and the subsequent decline from the September quarter, is predominantly due to changes </w:t>
      </w:r>
      <w:r w:rsidR="0005261F" w:rsidRPr="008634A8">
        <w:rPr>
          <w:color w:val="7F7F7F" w:themeColor="text2"/>
        </w:rPr>
        <w:t>[by the Commonwealth government]</w:t>
      </w:r>
      <w:r w:rsidR="0005261F" w:rsidRPr="0005261F">
        <w:rPr>
          <w:i/>
          <w:color w:val="7F7F7F" w:themeColor="text2"/>
        </w:rPr>
        <w:t xml:space="preserve"> to incentive payments for existing workers</w:t>
      </w:r>
      <w:r w:rsidR="00173228">
        <w:rPr>
          <w:rStyle w:val="FootnoteReference"/>
          <w:i/>
          <w:color w:val="7F7F7F" w:themeColor="text2"/>
        </w:rPr>
        <w:footnoteReference w:id="6"/>
      </w:r>
      <w:r w:rsidR="0005261F" w:rsidRPr="0005261F">
        <w:rPr>
          <w:i/>
          <w:color w:val="7F7F7F" w:themeColor="text2"/>
        </w:rPr>
        <w:t>.</w:t>
      </w:r>
    </w:p>
    <w:p w:rsidR="001F57F4" w:rsidRDefault="001F57F4" w:rsidP="00CE70F0">
      <w:pPr>
        <w:spacing w:before="120"/>
        <w:rPr>
          <w:color w:val="7F7F7F" w:themeColor="text2"/>
        </w:rPr>
      </w:pP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1F57F4" w:rsidTr="00D07A42">
        <w:tc>
          <w:tcPr>
            <w:tcW w:w="1134" w:type="dxa"/>
            <w:tcMar>
              <w:left w:w="0" w:type="dxa"/>
              <w:right w:w="0" w:type="dxa"/>
            </w:tcMar>
          </w:tcPr>
          <w:p w:rsidR="001F57F4" w:rsidRDefault="001F57F4" w:rsidP="0005261F">
            <w:pPr>
              <w:pStyle w:val="Quote"/>
              <w:tabs>
                <w:tab w:val="left" w:pos="1134"/>
              </w:tabs>
              <w:rPr>
                <w:b w:val="0"/>
                <w:color w:val="B41F22" w:themeColor="accent1"/>
              </w:rPr>
            </w:pPr>
            <w:r>
              <w:rPr>
                <w:b w:val="0"/>
                <w:color w:val="B41F22" w:themeColor="accent1"/>
              </w:rPr>
              <w:t xml:space="preserve">Figure </w:t>
            </w:r>
            <w:r w:rsidR="0005261F">
              <w:rPr>
                <w:b w:val="0"/>
                <w:color w:val="B41F22" w:themeColor="accent1"/>
              </w:rPr>
              <w:t>3</w:t>
            </w:r>
            <w:r>
              <w:rPr>
                <w:b w:val="0"/>
                <w:color w:val="B41F22" w:themeColor="accent1"/>
              </w:rPr>
              <w:t>.3:</w:t>
            </w:r>
          </w:p>
        </w:tc>
        <w:tc>
          <w:tcPr>
            <w:tcW w:w="6946" w:type="dxa"/>
            <w:tcMar>
              <w:left w:w="0" w:type="dxa"/>
              <w:right w:w="0" w:type="dxa"/>
            </w:tcMar>
          </w:tcPr>
          <w:p w:rsidR="001F57F4" w:rsidRDefault="001F57F4" w:rsidP="001F57F4">
            <w:pPr>
              <w:pStyle w:val="Quote"/>
              <w:tabs>
                <w:tab w:val="left" w:pos="1134"/>
              </w:tabs>
              <w:rPr>
                <w:b w:val="0"/>
                <w:color w:val="B41F22" w:themeColor="accent1"/>
              </w:rPr>
            </w:pPr>
            <w:r>
              <w:rPr>
                <w:b w:val="0"/>
                <w:color w:val="B41F22" w:themeColor="accent1"/>
              </w:rPr>
              <w:t>Quarterly</w:t>
            </w:r>
            <w:r w:rsidRPr="001F57F4">
              <w:rPr>
                <w:b w:val="0"/>
                <w:color w:val="B41F22" w:themeColor="accent1"/>
              </w:rPr>
              <w:t xml:space="preserve"> trend in Apprentices/Tr</w:t>
            </w:r>
            <w:r>
              <w:rPr>
                <w:b w:val="0"/>
                <w:color w:val="B41F22" w:themeColor="accent1"/>
              </w:rPr>
              <w:t>ainees (Non-Trade occupations)</w:t>
            </w:r>
            <w:r>
              <w:rPr>
                <w:b w:val="0"/>
                <w:color w:val="B41F22" w:themeColor="accent1"/>
              </w:rPr>
              <w:br/>
              <w:t>i</w:t>
            </w:r>
            <w:r w:rsidRPr="001F57F4">
              <w:rPr>
                <w:b w:val="0"/>
                <w:color w:val="B41F22" w:themeColor="accent1"/>
              </w:rPr>
              <w:t xml:space="preserve">n </w:t>
            </w:r>
            <w:r>
              <w:rPr>
                <w:b w:val="0"/>
                <w:color w:val="B41F22" w:themeColor="accent1"/>
              </w:rPr>
              <w:t>t</w:t>
            </w:r>
            <w:r w:rsidRPr="001F57F4">
              <w:rPr>
                <w:b w:val="0"/>
                <w:color w:val="B41F22" w:themeColor="accent1"/>
              </w:rPr>
              <w:t>raining</w:t>
            </w:r>
            <w:r>
              <w:rPr>
                <w:b w:val="0"/>
                <w:color w:val="B41F22" w:themeColor="accent1"/>
              </w:rPr>
              <w:t>*</w:t>
            </w:r>
          </w:p>
        </w:tc>
      </w:tr>
    </w:tbl>
    <w:p w:rsidR="001F57F4" w:rsidRPr="00CE70F0" w:rsidRDefault="001F57F4" w:rsidP="00CE70F0">
      <w:pPr>
        <w:spacing w:before="120"/>
        <w:rPr>
          <w:color w:val="7F7F7F" w:themeColor="text2"/>
        </w:rPr>
      </w:pPr>
      <w:r w:rsidRPr="001F57F4">
        <w:rPr>
          <w:noProof/>
          <w:color w:val="7F7F7F" w:themeColor="text2"/>
          <w:lang w:eastAsia="en-AU"/>
        </w:rPr>
        <w:drawing>
          <wp:inline distT="0" distB="0" distL="0" distR="0" wp14:anchorId="5A4BC45F" wp14:editId="1E378D11">
            <wp:extent cx="4804012" cy="2954741"/>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05261F" w:rsidRDefault="001F57F4" w:rsidP="00AB62FC">
      <w:pPr>
        <w:rPr>
          <w:color w:val="7F7F7F" w:themeColor="text2"/>
          <w:sz w:val="16"/>
          <w:szCs w:val="16"/>
        </w:rPr>
      </w:pPr>
      <w:r w:rsidRPr="001F57F4">
        <w:rPr>
          <w:color w:val="7F7F7F" w:themeColor="text2"/>
          <w:sz w:val="16"/>
          <w:szCs w:val="16"/>
        </w:rPr>
        <w:t xml:space="preserve">* Source NCVER </w:t>
      </w:r>
      <w:proofErr w:type="spellStart"/>
      <w:r w:rsidRPr="001F57F4">
        <w:rPr>
          <w:color w:val="7F7F7F" w:themeColor="text2"/>
          <w:sz w:val="16"/>
          <w:szCs w:val="16"/>
        </w:rPr>
        <w:t>VocStats</w:t>
      </w:r>
      <w:proofErr w:type="spellEnd"/>
    </w:p>
    <w:p w:rsidR="0005261F" w:rsidRDefault="0005261F">
      <w:pPr>
        <w:rPr>
          <w:color w:val="7F7F7F" w:themeColor="text2"/>
          <w:sz w:val="16"/>
          <w:szCs w:val="16"/>
        </w:rPr>
      </w:pPr>
      <w:r>
        <w:rPr>
          <w:color w:val="7F7F7F" w:themeColor="text2"/>
          <w:sz w:val="16"/>
          <w:szCs w:val="16"/>
        </w:rPr>
        <w:br w:type="page"/>
      </w:r>
    </w:p>
    <w:p w:rsidR="001F57F4" w:rsidRDefault="001F57F4" w:rsidP="00AB62FC">
      <w:pPr>
        <w:rPr>
          <w:color w:val="7F7F7F" w:themeColor="text2"/>
          <w:sz w:val="16"/>
          <w:szCs w:val="16"/>
        </w:rPr>
      </w:pPr>
    </w:p>
    <w:p w:rsidR="001F57F4" w:rsidRPr="00365EB2" w:rsidRDefault="001F57F4" w:rsidP="001F57F4">
      <w:pPr>
        <w:pStyle w:val="Quote"/>
        <w:pBdr>
          <w:top w:val="single" w:sz="4" w:space="1" w:color="7F7F7F" w:themeColor="text2"/>
          <w:left w:val="single" w:sz="4" w:space="4" w:color="7F7F7F" w:themeColor="text2"/>
          <w:bottom w:val="single" w:sz="4" w:space="1" w:color="7F7F7F" w:themeColor="text2"/>
          <w:right w:val="single" w:sz="4" w:space="4" w:color="7F7F7F" w:themeColor="text2"/>
        </w:pBdr>
        <w:spacing w:after="120"/>
      </w:pPr>
      <w:r w:rsidRPr="00BB466D">
        <w:t>Key points</w:t>
      </w:r>
    </w:p>
    <w:p w:rsidR="001F57F4" w:rsidRPr="00AE7775" w:rsidRDefault="001F57F4" w:rsidP="001F57F4">
      <w:pPr>
        <w:pStyle w:val="ListParagraph"/>
        <w:numPr>
          <w:ilvl w:val="0"/>
          <w:numId w:val="18"/>
        </w:numPr>
        <w:pBdr>
          <w:top w:val="single" w:sz="4" w:space="1" w:color="7F7F7F" w:themeColor="text2"/>
          <w:left w:val="single" w:sz="4" w:space="4" w:color="7F7F7F" w:themeColor="text2"/>
          <w:bottom w:val="single" w:sz="4" w:space="1" w:color="7F7F7F" w:themeColor="text2"/>
          <w:right w:val="single" w:sz="4" w:space="4" w:color="7F7F7F" w:themeColor="text2"/>
        </w:pBdr>
        <w:spacing w:before="120" w:after="120"/>
        <w:ind w:left="425" w:hanging="425"/>
        <w:contextualSpacing w:val="0"/>
        <w:rPr>
          <w:color w:val="7F7F7F" w:themeColor="text2"/>
        </w:rPr>
      </w:pPr>
      <w:r w:rsidRPr="00AE7775">
        <w:rPr>
          <w:color w:val="7F7F7F" w:themeColor="text2"/>
        </w:rPr>
        <w:t>In 2015 (half year), there were 20,258 government subsidised trainee course enrolments. This was a decrease of 34 per cent from the same period in 2014.</w:t>
      </w:r>
    </w:p>
    <w:p w:rsidR="001F57F4" w:rsidRPr="00AE7775" w:rsidRDefault="001F57F4" w:rsidP="001F57F4">
      <w:pPr>
        <w:pStyle w:val="ListParagraph"/>
        <w:numPr>
          <w:ilvl w:val="0"/>
          <w:numId w:val="18"/>
        </w:numPr>
        <w:pBdr>
          <w:top w:val="single" w:sz="4" w:space="1" w:color="7F7F7F" w:themeColor="text2"/>
          <w:left w:val="single" w:sz="4" w:space="4" w:color="7F7F7F" w:themeColor="text2"/>
          <w:bottom w:val="single" w:sz="4" w:space="1" w:color="7F7F7F" w:themeColor="text2"/>
          <w:right w:val="single" w:sz="4" w:space="4" w:color="7F7F7F" w:themeColor="text2"/>
        </w:pBdr>
        <w:spacing w:before="120" w:after="120"/>
        <w:ind w:left="425" w:hanging="425"/>
        <w:contextualSpacing w:val="0"/>
        <w:rPr>
          <w:color w:val="7F7F7F" w:themeColor="text2"/>
        </w:rPr>
      </w:pPr>
      <w:r w:rsidRPr="00AE7775">
        <w:rPr>
          <w:color w:val="7F7F7F" w:themeColor="text2"/>
        </w:rPr>
        <w:t>In 2015 (half year), 31 per cent of trainee course enrolments were by students aged 15 to 19.</w:t>
      </w:r>
    </w:p>
    <w:p w:rsidR="001F57F4" w:rsidRPr="00AE7775" w:rsidRDefault="001F57F4" w:rsidP="001F57F4">
      <w:pPr>
        <w:pStyle w:val="ListParagraph"/>
        <w:numPr>
          <w:ilvl w:val="0"/>
          <w:numId w:val="18"/>
        </w:numPr>
        <w:pBdr>
          <w:top w:val="single" w:sz="4" w:space="1" w:color="7F7F7F" w:themeColor="text2"/>
          <w:left w:val="single" w:sz="4" w:space="4" w:color="7F7F7F" w:themeColor="text2"/>
          <w:bottom w:val="single" w:sz="4" w:space="1" w:color="7F7F7F" w:themeColor="text2"/>
          <w:right w:val="single" w:sz="4" w:space="4" w:color="7F7F7F" w:themeColor="text2"/>
        </w:pBdr>
        <w:spacing w:before="120"/>
        <w:ind w:left="425" w:hanging="425"/>
        <w:contextualSpacing w:val="0"/>
        <w:rPr>
          <w:color w:val="7F7F7F" w:themeColor="text2"/>
        </w:rPr>
      </w:pPr>
      <w:r w:rsidRPr="00AE7775">
        <w:rPr>
          <w:color w:val="7F7F7F" w:themeColor="text2"/>
        </w:rPr>
        <w:t>Trainee course enrolments have decreased each year from 2012 (half year) to 2015 (half year) across all age groups.</w:t>
      </w:r>
    </w:p>
    <w:p w:rsidR="001F57F4" w:rsidRPr="00EE40C8" w:rsidRDefault="001F57F4" w:rsidP="001F57F4">
      <w:pPr>
        <w:pBdr>
          <w:top w:val="single" w:sz="4" w:space="1" w:color="7F7F7F" w:themeColor="text2"/>
          <w:left w:val="single" w:sz="4" w:space="4" w:color="7F7F7F" w:themeColor="text2"/>
          <w:bottom w:val="single" w:sz="4" w:space="1" w:color="7F7F7F" w:themeColor="text2"/>
          <w:right w:val="single" w:sz="4" w:space="4" w:color="7F7F7F" w:themeColor="text2"/>
        </w:pBdr>
      </w:pPr>
    </w:p>
    <w:p w:rsidR="001F57F4" w:rsidRDefault="001F57F4" w:rsidP="001F57F4"/>
    <w:p w:rsidR="001F57F4" w:rsidRPr="00AD7BB0" w:rsidRDefault="001F57F4" w:rsidP="001F57F4"/>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1F57F4" w:rsidTr="00D07A42">
        <w:tc>
          <w:tcPr>
            <w:tcW w:w="1134" w:type="dxa"/>
            <w:tcMar>
              <w:left w:w="0" w:type="dxa"/>
              <w:right w:w="0" w:type="dxa"/>
            </w:tcMar>
          </w:tcPr>
          <w:p w:rsidR="001F57F4" w:rsidRDefault="001F57F4" w:rsidP="0005261F">
            <w:pPr>
              <w:pStyle w:val="Quote"/>
              <w:tabs>
                <w:tab w:val="left" w:pos="1134"/>
              </w:tabs>
              <w:rPr>
                <w:b w:val="0"/>
                <w:color w:val="B41F22" w:themeColor="accent1"/>
              </w:rPr>
            </w:pPr>
            <w:r>
              <w:rPr>
                <w:b w:val="0"/>
                <w:color w:val="B41F22" w:themeColor="accent1"/>
              </w:rPr>
              <w:t xml:space="preserve">Figure </w:t>
            </w:r>
            <w:r w:rsidR="0005261F">
              <w:rPr>
                <w:b w:val="0"/>
                <w:color w:val="B41F22" w:themeColor="accent1"/>
              </w:rPr>
              <w:t>3</w:t>
            </w:r>
            <w:r>
              <w:rPr>
                <w:b w:val="0"/>
                <w:color w:val="B41F22" w:themeColor="accent1"/>
              </w:rPr>
              <w:t>.</w:t>
            </w:r>
            <w:r w:rsidR="0005261F">
              <w:rPr>
                <w:b w:val="0"/>
                <w:color w:val="B41F22" w:themeColor="accent1"/>
              </w:rPr>
              <w:t>3</w:t>
            </w:r>
            <w:r>
              <w:rPr>
                <w:b w:val="0"/>
                <w:color w:val="B41F22" w:themeColor="accent1"/>
              </w:rPr>
              <w:t>:</w:t>
            </w:r>
          </w:p>
        </w:tc>
        <w:tc>
          <w:tcPr>
            <w:tcW w:w="6946" w:type="dxa"/>
            <w:tcMar>
              <w:left w:w="0" w:type="dxa"/>
              <w:right w:w="0" w:type="dxa"/>
            </w:tcMar>
          </w:tcPr>
          <w:p w:rsidR="001F57F4" w:rsidRDefault="001F57F4" w:rsidP="00D07A42">
            <w:pPr>
              <w:pStyle w:val="Quote"/>
              <w:tabs>
                <w:tab w:val="left" w:pos="1134"/>
              </w:tabs>
              <w:rPr>
                <w:b w:val="0"/>
                <w:color w:val="B41F22" w:themeColor="accent1"/>
              </w:rPr>
            </w:pPr>
            <w:r w:rsidRPr="00385371">
              <w:rPr>
                <w:b w:val="0"/>
                <w:color w:val="B41F22" w:themeColor="accent1"/>
              </w:rPr>
              <w:t>Government subsidised trainee course enrolments, 2010 to 2015 (half year)</w:t>
            </w:r>
          </w:p>
        </w:tc>
      </w:tr>
    </w:tbl>
    <w:p w:rsidR="001F57F4" w:rsidRPr="00365EB2" w:rsidRDefault="001F57F4" w:rsidP="001F57F4">
      <w:r>
        <w:rPr>
          <w:noProof/>
          <w:lang w:eastAsia="en-AU"/>
        </w:rPr>
        <w:drawing>
          <wp:inline distT="0" distB="0" distL="0" distR="0" wp14:anchorId="110A1D40" wp14:editId="4C10DAFE">
            <wp:extent cx="5220000" cy="3131269"/>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220000" cy="3131269"/>
                    </a:xfrm>
                    <a:prstGeom prst="rect">
                      <a:avLst/>
                    </a:prstGeom>
                    <a:noFill/>
                  </pic:spPr>
                </pic:pic>
              </a:graphicData>
            </a:graphic>
          </wp:inline>
        </w:drawing>
      </w:r>
    </w:p>
    <w:p w:rsidR="00AB62FC" w:rsidRPr="001F57F4" w:rsidRDefault="00AB62FC" w:rsidP="00AB62FC">
      <w:pPr>
        <w:rPr>
          <w:color w:val="7F7F7F" w:themeColor="text2"/>
          <w:sz w:val="16"/>
          <w:szCs w:val="16"/>
        </w:rPr>
      </w:pPr>
      <w:r w:rsidRPr="001F57F4">
        <w:rPr>
          <w:color w:val="7F7F7F" w:themeColor="text2"/>
          <w:sz w:val="16"/>
          <w:szCs w:val="16"/>
        </w:rPr>
        <w:br w:type="page"/>
      </w: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674718" w:rsidTr="00674718">
        <w:tc>
          <w:tcPr>
            <w:tcW w:w="1134" w:type="dxa"/>
            <w:tcMar>
              <w:left w:w="0" w:type="dxa"/>
              <w:right w:w="0" w:type="dxa"/>
            </w:tcMar>
          </w:tcPr>
          <w:p w:rsidR="00674718" w:rsidRDefault="0005261F" w:rsidP="00674718">
            <w:pPr>
              <w:pStyle w:val="Quote"/>
              <w:tabs>
                <w:tab w:val="left" w:pos="1134"/>
              </w:tabs>
              <w:rPr>
                <w:b w:val="0"/>
                <w:color w:val="B41F22" w:themeColor="accent1"/>
              </w:rPr>
            </w:pPr>
            <w:r>
              <w:rPr>
                <w:b w:val="0"/>
                <w:color w:val="B41F22" w:themeColor="accent1"/>
              </w:rPr>
              <w:lastRenderedPageBreak/>
              <w:t>Table 3</w:t>
            </w:r>
            <w:r w:rsidR="00674718">
              <w:rPr>
                <w:b w:val="0"/>
                <w:color w:val="B41F22" w:themeColor="accent1"/>
              </w:rPr>
              <w:t>.6.1:</w:t>
            </w:r>
          </w:p>
        </w:tc>
        <w:tc>
          <w:tcPr>
            <w:tcW w:w="6946" w:type="dxa"/>
            <w:tcMar>
              <w:left w:w="0" w:type="dxa"/>
              <w:right w:w="0" w:type="dxa"/>
            </w:tcMar>
          </w:tcPr>
          <w:p w:rsidR="00674718" w:rsidRDefault="00674718" w:rsidP="00674718">
            <w:pPr>
              <w:pStyle w:val="Quote"/>
              <w:tabs>
                <w:tab w:val="left" w:pos="1134"/>
              </w:tabs>
              <w:rPr>
                <w:b w:val="0"/>
                <w:color w:val="B41F22" w:themeColor="accent1"/>
              </w:rPr>
            </w:pPr>
            <w:r w:rsidRPr="00674718">
              <w:rPr>
                <w:b w:val="0"/>
                <w:color w:val="B41F22" w:themeColor="accent1"/>
              </w:rPr>
              <w:t>Number of students and enrolments in government subsidised trainee courses, 2010 to 2015 (half year)</w:t>
            </w:r>
          </w:p>
        </w:tc>
      </w:tr>
    </w:tbl>
    <w:tbl>
      <w:tblPr>
        <w:tblW w:w="8095" w:type="dxa"/>
        <w:tblInd w:w="93" w:type="dxa"/>
        <w:tblLayout w:type="fixed"/>
        <w:tblLook w:val="04A0" w:firstRow="1" w:lastRow="0" w:firstColumn="1" w:lastColumn="0" w:noHBand="0" w:noVBand="1"/>
      </w:tblPr>
      <w:tblGrid>
        <w:gridCol w:w="2425"/>
        <w:gridCol w:w="945"/>
        <w:gridCol w:w="945"/>
        <w:gridCol w:w="945"/>
        <w:gridCol w:w="945"/>
        <w:gridCol w:w="945"/>
        <w:gridCol w:w="945"/>
      </w:tblGrid>
      <w:tr w:rsidR="00674718" w:rsidRPr="00674718" w:rsidTr="00674718">
        <w:trPr>
          <w:trHeight w:val="300"/>
        </w:trPr>
        <w:tc>
          <w:tcPr>
            <w:tcW w:w="2425" w:type="dxa"/>
            <w:tcBorders>
              <w:top w:val="nil"/>
              <w:left w:val="nil"/>
              <w:bottom w:val="nil"/>
              <w:right w:val="nil"/>
            </w:tcBorders>
            <w:shd w:val="clear" w:color="000000" w:fill="7F7F7F"/>
            <w:noWrap/>
            <w:vAlign w:val="center"/>
            <w:hideMark/>
          </w:tcPr>
          <w:p w:rsidR="00674718" w:rsidRPr="00674718" w:rsidRDefault="00674718" w:rsidP="00674718">
            <w:pPr>
              <w:rPr>
                <w:rFonts w:cs="Arial"/>
                <w:color w:val="FFFFFF"/>
                <w:szCs w:val="18"/>
                <w:lang w:eastAsia="en-AU"/>
              </w:rPr>
            </w:pPr>
            <w:r w:rsidRPr="00674718">
              <w:rPr>
                <w:rFonts w:cs="Arial"/>
                <w:color w:val="FFFFFF"/>
                <w:szCs w:val="18"/>
                <w:lang w:eastAsia="en-AU"/>
              </w:rPr>
              <w:t> </w:t>
            </w:r>
          </w:p>
        </w:tc>
        <w:tc>
          <w:tcPr>
            <w:tcW w:w="945" w:type="dxa"/>
            <w:tcBorders>
              <w:top w:val="nil"/>
              <w:left w:val="nil"/>
              <w:bottom w:val="nil"/>
              <w:right w:val="nil"/>
            </w:tcBorders>
            <w:shd w:val="clear" w:color="000000" w:fill="7F7F7F"/>
            <w:noWrap/>
            <w:vAlign w:val="center"/>
            <w:hideMark/>
          </w:tcPr>
          <w:p w:rsidR="00674718" w:rsidRPr="00674718" w:rsidRDefault="00674718" w:rsidP="00674718">
            <w:pPr>
              <w:jc w:val="right"/>
              <w:rPr>
                <w:rFonts w:cs="Arial"/>
                <w:b/>
                <w:bCs/>
                <w:color w:val="FFFFFF"/>
                <w:szCs w:val="18"/>
                <w:lang w:eastAsia="en-AU"/>
              </w:rPr>
            </w:pPr>
            <w:r w:rsidRPr="00674718">
              <w:rPr>
                <w:rFonts w:cs="Arial"/>
                <w:b/>
                <w:bCs/>
                <w:color w:val="FFFFFF"/>
                <w:szCs w:val="18"/>
                <w:lang w:eastAsia="en-AU"/>
              </w:rPr>
              <w:t>2010</w:t>
            </w:r>
          </w:p>
        </w:tc>
        <w:tc>
          <w:tcPr>
            <w:tcW w:w="945" w:type="dxa"/>
            <w:tcBorders>
              <w:top w:val="nil"/>
              <w:left w:val="nil"/>
              <w:bottom w:val="nil"/>
              <w:right w:val="nil"/>
            </w:tcBorders>
            <w:shd w:val="clear" w:color="000000" w:fill="7F7F7F"/>
            <w:noWrap/>
            <w:vAlign w:val="center"/>
            <w:hideMark/>
          </w:tcPr>
          <w:p w:rsidR="00674718" w:rsidRPr="00674718" w:rsidRDefault="00674718" w:rsidP="00674718">
            <w:pPr>
              <w:jc w:val="right"/>
              <w:rPr>
                <w:rFonts w:cs="Arial"/>
                <w:b/>
                <w:bCs/>
                <w:color w:val="FFFFFF"/>
                <w:szCs w:val="18"/>
                <w:lang w:eastAsia="en-AU"/>
              </w:rPr>
            </w:pPr>
            <w:r w:rsidRPr="00674718">
              <w:rPr>
                <w:rFonts w:cs="Arial"/>
                <w:b/>
                <w:bCs/>
                <w:color w:val="FFFFFF"/>
                <w:szCs w:val="18"/>
                <w:lang w:eastAsia="en-AU"/>
              </w:rPr>
              <w:t>2011</w:t>
            </w:r>
          </w:p>
        </w:tc>
        <w:tc>
          <w:tcPr>
            <w:tcW w:w="945" w:type="dxa"/>
            <w:tcBorders>
              <w:top w:val="nil"/>
              <w:left w:val="nil"/>
              <w:bottom w:val="nil"/>
              <w:right w:val="nil"/>
            </w:tcBorders>
            <w:shd w:val="clear" w:color="000000" w:fill="7F7F7F"/>
            <w:noWrap/>
            <w:vAlign w:val="center"/>
            <w:hideMark/>
          </w:tcPr>
          <w:p w:rsidR="00674718" w:rsidRPr="00674718" w:rsidRDefault="00674718" w:rsidP="00674718">
            <w:pPr>
              <w:jc w:val="right"/>
              <w:rPr>
                <w:rFonts w:cs="Arial"/>
                <w:b/>
                <w:bCs/>
                <w:color w:val="FFFFFF"/>
                <w:szCs w:val="18"/>
                <w:lang w:eastAsia="en-AU"/>
              </w:rPr>
            </w:pPr>
            <w:r w:rsidRPr="00674718">
              <w:rPr>
                <w:rFonts w:cs="Arial"/>
                <w:b/>
                <w:bCs/>
                <w:color w:val="FFFFFF"/>
                <w:szCs w:val="18"/>
                <w:lang w:eastAsia="en-AU"/>
              </w:rPr>
              <w:t>2012</w:t>
            </w:r>
          </w:p>
        </w:tc>
        <w:tc>
          <w:tcPr>
            <w:tcW w:w="945" w:type="dxa"/>
            <w:tcBorders>
              <w:top w:val="nil"/>
              <w:left w:val="nil"/>
              <w:bottom w:val="nil"/>
              <w:right w:val="nil"/>
            </w:tcBorders>
            <w:shd w:val="clear" w:color="000000" w:fill="7F7F7F"/>
            <w:noWrap/>
            <w:vAlign w:val="center"/>
            <w:hideMark/>
          </w:tcPr>
          <w:p w:rsidR="00674718" w:rsidRPr="00674718" w:rsidRDefault="00674718" w:rsidP="00674718">
            <w:pPr>
              <w:jc w:val="right"/>
              <w:rPr>
                <w:rFonts w:cs="Arial"/>
                <w:b/>
                <w:bCs/>
                <w:color w:val="FFFFFF"/>
                <w:szCs w:val="18"/>
                <w:lang w:eastAsia="en-AU"/>
              </w:rPr>
            </w:pPr>
            <w:r w:rsidRPr="00674718">
              <w:rPr>
                <w:rFonts w:cs="Arial"/>
                <w:b/>
                <w:bCs/>
                <w:color w:val="FFFFFF"/>
                <w:szCs w:val="18"/>
                <w:lang w:eastAsia="en-AU"/>
              </w:rPr>
              <w:t>2013</w:t>
            </w:r>
          </w:p>
        </w:tc>
        <w:tc>
          <w:tcPr>
            <w:tcW w:w="945" w:type="dxa"/>
            <w:tcBorders>
              <w:top w:val="nil"/>
              <w:left w:val="nil"/>
              <w:bottom w:val="nil"/>
              <w:right w:val="nil"/>
            </w:tcBorders>
            <w:shd w:val="clear" w:color="000000" w:fill="7F7F7F"/>
            <w:noWrap/>
            <w:vAlign w:val="center"/>
            <w:hideMark/>
          </w:tcPr>
          <w:p w:rsidR="00674718" w:rsidRPr="00674718" w:rsidRDefault="00674718" w:rsidP="00674718">
            <w:pPr>
              <w:jc w:val="right"/>
              <w:rPr>
                <w:rFonts w:cs="Arial"/>
                <w:b/>
                <w:bCs/>
                <w:color w:val="FFFFFF"/>
                <w:szCs w:val="18"/>
                <w:lang w:eastAsia="en-AU"/>
              </w:rPr>
            </w:pPr>
            <w:r w:rsidRPr="00674718">
              <w:rPr>
                <w:rFonts w:cs="Arial"/>
                <w:b/>
                <w:bCs/>
                <w:color w:val="FFFFFF"/>
                <w:szCs w:val="18"/>
                <w:lang w:eastAsia="en-AU"/>
              </w:rPr>
              <w:t>2014</w:t>
            </w:r>
          </w:p>
        </w:tc>
        <w:tc>
          <w:tcPr>
            <w:tcW w:w="945" w:type="dxa"/>
            <w:tcBorders>
              <w:top w:val="nil"/>
              <w:left w:val="nil"/>
              <w:bottom w:val="nil"/>
              <w:right w:val="nil"/>
            </w:tcBorders>
            <w:shd w:val="clear" w:color="000000" w:fill="7F7F7F"/>
            <w:noWrap/>
            <w:vAlign w:val="center"/>
            <w:hideMark/>
          </w:tcPr>
          <w:p w:rsidR="00674718" w:rsidRPr="00674718" w:rsidRDefault="00674718" w:rsidP="00674718">
            <w:pPr>
              <w:jc w:val="right"/>
              <w:rPr>
                <w:rFonts w:cs="Arial"/>
                <w:b/>
                <w:bCs/>
                <w:color w:val="FFFFFF"/>
                <w:szCs w:val="18"/>
                <w:lang w:eastAsia="en-AU"/>
              </w:rPr>
            </w:pPr>
            <w:r w:rsidRPr="00674718">
              <w:rPr>
                <w:rFonts w:cs="Arial"/>
                <w:b/>
                <w:bCs/>
                <w:color w:val="FFFFFF"/>
                <w:szCs w:val="18"/>
                <w:lang w:eastAsia="en-AU"/>
              </w:rPr>
              <w:t>2015</w:t>
            </w:r>
          </w:p>
        </w:tc>
      </w:tr>
      <w:tr w:rsidR="00674718" w:rsidRPr="00674718" w:rsidTr="00674718">
        <w:trPr>
          <w:trHeight w:val="300"/>
        </w:trPr>
        <w:tc>
          <w:tcPr>
            <w:tcW w:w="2425" w:type="dxa"/>
            <w:tcBorders>
              <w:top w:val="nil"/>
              <w:left w:val="nil"/>
              <w:bottom w:val="nil"/>
              <w:right w:val="nil"/>
            </w:tcBorders>
            <w:shd w:val="clear" w:color="auto" w:fill="auto"/>
            <w:vAlign w:val="center"/>
            <w:hideMark/>
          </w:tcPr>
          <w:p w:rsidR="00674718" w:rsidRPr="00674718" w:rsidRDefault="00674718" w:rsidP="00674718">
            <w:pPr>
              <w:rPr>
                <w:rFonts w:cs="Arial"/>
                <w:color w:val="7F7F7F"/>
                <w:szCs w:val="18"/>
                <w:lang w:eastAsia="en-AU"/>
              </w:rPr>
            </w:pPr>
            <w:r w:rsidRPr="00674718">
              <w:rPr>
                <w:rFonts w:cs="Arial"/>
                <w:color w:val="7F7F7F"/>
                <w:szCs w:val="18"/>
                <w:lang w:eastAsia="en-AU"/>
              </w:rPr>
              <w:t>Students</w:t>
            </w:r>
          </w:p>
        </w:tc>
        <w:tc>
          <w:tcPr>
            <w:tcW w:w="945" w:type="dxa"/>
            <w:tcBorders>
              <w:top w:val="nil"/>
              <w:left w:val="nil"/>
              <w:bottom w:val="nil"/>
              <w:right w:val="nil"/>
            </w:tcBorders>
            <w:shd w:val="clear" w:color="auto" w:fill="auto"/>
            <w:noWrap/>
            <w:vAlign w:val="center"/>
            <w:hideMark/>
          </w:tcPr>
          <w:p w:rsidR="00674718" w:rsidRPr="00674718" w:rsidRDefault="00674718" w:rsidP="00674718">
            <w:pPr>
              <w:jc w:val="right"/>
              <w:rPr>
                <w:rFonts w:cs="Arial"/>
                <w:color w:val="7F7F7F"/>
                <w:szCs w:val="18"/>
                <w:lang w:eastAsia="en-AU"/>
              </w:rPr>
            </w:pPr>
            <w:r w:rsidRPr="00674718">
              <w:rPr>
                <w:rFonts w:cs="Arial"/>
                <w:color w:val="7F7F7F"/>
                <w:szCs w:val="18"/>
                <w:lang w:eastAsia="en-AU"/>
              </w:rPr>
              <w:t>33,728</w:t>
            </w:r>
          </w:p>
        </w:tc>
        <w:tc>
          <w:tcPr>
            <w:tcW w:w="945" w:type="dxa"/>
            <w:tcBorders>
              <w:top w:val="nil"/>
              <w:left w:val="nil"/>
              <w:bottom w:val="nil"/>
              <w:right w:val="nil"/>
            </w:tcBorders>
            <w:shd w:val="clear" w:color="auto" w:fill="auto"/>
            <w:noWrap/>
            <w:vAlign w:val="center"/>
            <w:hideMark/>
          </w:tcPr>
          <w:p w:rsidR="00674718" w:rsidRPr="00674718" w:rsidRDefault="00674718" w:rsidP="00674718">
            <w:pPr>
              <w:jc w:val="right"/>
              <w:rPr>
                <w:rFonts w:cs="Arial"/>
                <w:color w:val="7F7F7F"/>
                <w:szCs w:val="18"/>
                <w:lang w:eastAsia="en-AU"/>
              </w:rPr>
            </w:pPr>
            <w:r w:rsidRPr="00674718">
              <w:rPr>
                <w:rFonts w:cs="Arial"/>
                <w:color w:val="7F7F7F"/>
                <w:szCs w:val="18"/>
                <w:lang w:eastAsia="en-AU"/>
              </w:rPr>
              <w:t>46,419</w:t>
            </w:r>
          </w:p>
        </w:tc>
        <w:tc>
          <w:tcPr>
            <w:tcW w:w="945" w:type="dxa"/>
            <w:tcBorders>
              <w:top w:val="nil"/>
              <w:left w:val="nil"/>
              <w:bottom w:val="nil"/>
              <w:right w:val="nil"/>
            </w:tcBorders>
            <w:shd w:val="clear" w:color="auto" w:fill="auto"/>
            <w:noWrap/>
            <w:vAlign w:val="center"/>
            <w:hideMark/>
          </w:tcPr>
          <w:p w:rsidR="00674718" w:rsidRPr="00674718" w:rsidRDefault="00674718" w:rsidP="00674718">
            <w:pPr>
              <w:jc w:val="right"/>
              <w:rPr>
                <w:rFonts w:cs="Arial"/>
                <w:color w:val="7F7F7F"/>
                <w:szCs w:val="18"/>
                <w:lang w:eastAsia="en-AU"/>
              </w:rPr>
            </w:pPr>
            <w:r w:rsidRPr="00674718">
              <w:rPr>
                <w:rFonts w:cs="Arial"/>
                <w:color w:val="7F7F7F"/>
                <w:szCs w:val="18"/>
                <w:lang w:eastAsia="en-AU"/>
              </w:rPr>
              <w:t>63,221</w:t>
            </w:r>
          </w:p>
        </w:tc>
        <w:tc>
          <w:tcPr>
            <w:tcW w:w="945" w:type="dxa"/>
            <w:tcBorders>
              <w:top w:val="nil"/>
              <w:left w:val="nil"/>
              <w:bottom w:val="nil"/>
              <w:right w:val="nil"/>
            </w:tcBorders>
            <w:shd w:val="clear" w:color="auto" w:fill="auto"/>
            <w:noWrap/>
            <w:vAlign w:val="center"/>
            <w:hideMark/>
          </w:tcPr>
          <w:p w:rsidR="00674718" w:rsidRPr="00674718" w:rsidRDefault="00674718" w:rsidP="00674718">
            <w:pPr>
              <w:jc w:val="right"/>
              <w:rPr>
                <w:rFonts w:cs="Arial"/>
                <w:color w:val="7F7F7F"/>
                <w:szCs w:val="18"/>
                <w:lang w:eastAsia="en-AU"/>
              </w:rPr>
            </w:pPr>
            <w:r w:rsidRPr="00674718">
              <w:rPr>
                <w:rFonts w:cs="Arial"/>
                <w:color w:val="7F7F7F"/>
                <w:szCs w:val="18"/>
                <w:lang w:eastAsia="en-AU"/>
              </w:rPr>
              <w:t>40,977</w:t>
            </w:r>
          </w:p>
        </w:tc>
        <w:tc>
          <w:tcPr>
            <w:tcW w:w="945" w:type="dxa"/>
            <w:tcBorders>
              <w:top w:val="nil"/>
              <w:left w:val="nil"/>
              <w:bottom w:val="nil"/>
              <w:right w:val="nil"/>
            </w:tcBorders>
            <w:shd w:val="clear" w:color="auto" w:fill="auto"/>
            <w:noWrap/>
            <w:vAlign w:val="center"/>
            <w:hideMark/>
          </w:tcPr>
          <w:p w:rsidR="00674718" w:rsidRPr="00674718" w:rsidRDefault="00674718" w:rsidP="00674718">
            <w:pPr>
              <w:jc w:val="right"/>
              <w:rPr>
                <w:rFonts w:cs="Arial"/>
                <w:color w:val="7F7F7F"/>
                <w:szCs w:val="18"/>
                <w:lang w:eastAsia="en-AU"/>
              </w:rPr>
            </w:pPr>
            <w:r w:rsidRPr="00674718">
              <w:rPr>
                <w:rFonts w:cs="Arial"/>
                <w:color w:val="7F7F7F"/>
                <w:szCs w:val="18"/>
                <w:lang w:eastAsia="en-AU"/>
              </w:rPr>
              <w:t>30,533</w:t>
            </w:r>
          </w:p>
        </w:tc>
        <w:tc>
          <w:tcPr>
            <w:tcW w:w="945" w:type="dxa"/>
            <w:tcBorders>
              <w:top w:val="nil"/>
              <w:left w:val="nil"/>
              <w:bottom w:val="nil"/>
              <w:right w:val="nil"/>
            </w:tcBorders>
            <w:shd w:val="clear" w:color="auto" w:fill="auto"/>
            <w:noWrap/>
            <w:vAlign w:val="center"/>
            <w:hideMark/>
          </w:tcPr>
          <w:p w:rsidR="00674718" w:rsidRPr="00674718" w:rsidRDefault="00674718" w:rsidP="00674718">
            <w:pPr>
              <w:jc w:val="right"/>
              <w:rPr>
                <w:rFonts w:cs="Arial"/>
                <w:color w:val="7F7F7F"/>
                <w:szCs w:val="18"/>
                <w:lang w:eastAsia="en-AU"/>
              </w:rPr>
            </w:pPr>
            <w:r w:rsidRPr="00674718">
              <w:rPr>
                <w:rFonts w:cs="Arial"/>
                <w:color w:val="7F7F7F"/>
                <w:szCs w:val="18"/>
                <w:lang w:eastAsia="en-AU"/>
              </w:rPr>
              <w:t>20,109</w:t>
            </w:r>
          </w:p>
        </w:tc>
      </w:tr>
      <w:tr w:rsidR="00674718" w:rsidRPr="00674718" w:rsidTr="00674718">
        <w:trPr>
          <w:trHeight w:val="300"/>
        </w:trPr>
        <w:tc>
          <w:tcPr>
            <w:tcW w:w="2425" w:type="dxa"/>
            <w:tcBorders>
              <w:top w:val="nil"/>
              <w:left w:val="nil"/>
              <w:bottom w:val="single" w:sz="12" w:space="0" w:color="7F7F7F"/>
              <w:right w:val="nil"/>
            </w:tcBorders>
            <w:shd w:val="clear" w:color="auto" w:fill="auto"/>
            <w:noWrap/>
            <w:vAlign w:val="center"/>
            <w:hideMark/>
          </w:tcPr>
          <w:p w:rsidR="00674718" w:rsidRPr="00674718" w:rsidRDefault="00674718" w:rsidP="00674718">
            <w:pPr>
              <w:rPr>
                <w:rFonts w:cs="Arial"/>
                <w:color w:val="7F7F7F"/>
                <w:szCs w:val="18"/>
                <w:lang w:eastAsia="en-AU"/>
              </w:rPr>
            </w:pPr>
            <w:r w:rsidRPr="00674718">
              <w:rPr>
                <w:rFonts w:cs="Arial"/>
                <w:color w:val="7F7F7F"/>
                <w:szCs w:val="18"/>
                <w:lang w:eastAsia="en-AU"/>
              </w:rPr>
              <w:t>Course Enrolments</w:t>
            </w:r>
          </w:p>
        </w:tc>
        <w:tc>
          <w:tcPr>
            <w:tcW w:w="945" w:type="dxa"/>
            <w:tcBorders>
              <w:top w:val="nil"/>
              <w:left w:val="nil"/>
              <w:bottom w:val="single" w:sz="12" w:space="0" w:color="7F7F7F"/>
              <w:right w:val="nil"/>
            </w:tcBorders>
            <w:shd w:val="clear" w:color="auto" w:fill="auto"/>
            <w:noWrap/>
            <w:vAlign w:val="center"/>
            <w:hideMark/>
          </w:tcPr>
          <w:p w:rsidR="00674718" w:rsidRPr="00674718" w:rsidRDefault="00674718" w:rsidP="00674718">
            <w:pPr>
              <w:jc w:val="right"/>
              <w:rPr>
                <w:rFonts w:cs="Arial"/>
                <w:color w:val="7F7F7F"/>
                <w:szCs w:val="18"/>
                <w:lang w:eastAsia="en-AU"/>
              </w:rPr>
            </w:pPr>
            <w:r w:rsidRPr="00674718">
              <w:rPr>
                <w:rFonts w:cs="Arial"/>
                <w:color w:val="7F7F7F"/>
                <w:szCs w:val="18"/>
                <w:lang w:eastAsia="en-AU"/>
              </w:rPr>
              <w:t>34,262</w:t>
            </w:r>
          </w:p>
        </w:tc>
        <w:tc>
          <w:tcPr>
            <w:tcW w:w="945" w:type="dxa"/>
            <w:tcBorders>
              <w:top w:val="nil"/>
              <w:left w:val="nil"/>
              <w:bottom w:val="single" w:sz="12" w:space="0" w:color="7F7F7F"/>
              <w:right w:val="nil"/>
            </w:tcBorders>
            <w:shd w:val="clear" w:color="auto" w:fill="auto"/>
            <w:noWrap/>
            <w:vAlign w:val="center"/>
            <w:hideMark/>
          </w:tcPr>
          <w:p w:rsidR="00674718" w:rsidRPr="00674718" w:rsidRDefault="00674718" w:rsidP="00674718">
            <w:pPr>
              <w:jc w:val="right"/>
              <w:rPr>
                <w:rFonts w:cs="Arial"/>
                <w:color w:val="7F7F7F"/>
                <w:szCs w:val="18"/>
                <w:lang w:eastAsia="en-AU"/>
              </w:rPr>
            </w:pPr>
            <w:r w:rsidRPr="00674718">
              <w:rPr>
                <w:rFonts w:cs="Arial"/>
                <w:color w:val="7F7F7F"/>
                <w:szCs w:val="18"/>
                <w:lang w:eastAsia="en-AU"/>
              </w:rPr>
              <w:t>46,935</w:t>
            </w:r>
          </w:p>
        </w:tc>
        <w:tc>
          <w:tcPr>
            <w:tcW w:w="945" w:type="dxa"/>
            <w:tcBorders>
              <w:top w:val="nil"/>
              <w:left w:val="nil"/>
              <w:bottom w:val="single" w:sz="12" w:space="0" w:color="7F7F7F"/>
              <w:right w:val="nil"/>
            </w:tcBorders>
            <w:shd w:val="clear" w:color="auto" w:fill="auto"/>
            <w:noWrap/>
            <w:vAlign w:val="center"/>
            <w:hideMark/>
          </w:tcPr>
          <w:p w:rsidR="00674718" w:rsidRPr="00674718" w:rsidRDefault="00674718" w:rsidP="00674718">
            <w:pPr>
              <w:jc w:val="right"/>
              <w:rPr>
                <w:rFonts w:cs="Arial"/>
                <w:color w:val="7F7F7F"/>
                <w:szCs w:val="18"/>
                <w:lang w:eastAsia="en-AU"/>
              </w:rPr>
            </w:pPr>
            <w:r w:rsidRPr="00674718">
              <w:rPr>
                <w:rFonts w:cs="Arial"/>
                <w:color w:val="7F7F7F"/>
                <w:szCs w:val="18"/>
                <w:lang w:eastAsia="en-AU"/>
              </w:rPr>
              <w:t>63,609</w:t>
            </w:r>
          </w:p>
        </w:tc>
        <w:tc>
          <w:tcPr>
            <w:tcW w:w="945" w:type="dxa"/>
            <w:tcBorders>
              <w:top w:val="nil"/>
              <w:left w:val="nil"/>
              <w:bottom w:val="single" w:sz="12" w:space="0" w:color="7F7F7F"/>
              <w:right w:val="nil"/>
            </w:tcBorders>
            <w:shd w:val="clear" w:color="auto" w:fill="auto"/>
            <w:noWrap/>
            <w:vAlign w:val="center"/>
            <w:hideMark/>
          </w:tcPr>
          <w:p w:rsidR="00674718" w:rsidRPr="00674718" w:rsidRDefault="00674718" w:rsidP="00674718">
            <w:pPr>
              <w:jc w:val="right"/>
              <w:rPr>
                <w:rFonts w:cs="Arial"/>
                <w:color w:val="7F7F7F"/>
                <w:szCs w:val="18"/>
                <w:lang w:eastAsia="en-AU"/>
              </w:rPr>
            </w:pPr>
            <w:r w:rsidRPr="00674718">
              <w:rPr>
                <w:rFonts w:cs="Arial"/>
                <w:color w:val="7F7F7F"/>
                <w:szCs w:val="18"/>
                <w:lang w:eastAsia="en-AU"/>
              </w:rPr>
              <w:t>41,087</w:t>
            </w:r>
          </w:p>
        </w:tc>
        <w:tc>
          <w:tcPr>
            <w:tcW w:w="945" w:type="dxa"/>
            <w:tcBorders>
              <w:top w:val="nil"/>
              <w:left w:val="nil"/>
              <w:bottom w:val="single" w:sz="12" w:space="0" w:color="7F7F7F"/>
              <w:right w:val="nil"/>
            </w:tcBorders>
            <w:shd w:val="clear" w:color="auto" w:fill="auto"/>
            <w:noWrap/>
            <w:vAlign w:val="center"/>
            <w:hideMark/>
          </w:tcPr>
          <w:p w:rsidR="00674718" w:rsidRPr="00674718" w:rsidRDefault="00674718" w:rsidP="00674718">
            <w:pPr>
              <w:jc w:val="right"/>
              <w:rPr>
                <w:rFonts w:cs="Arial"/>
                <w:color w:val="7F7F7F"/>
                <w:szCs w:val="18"/>
                <w:lang w:eastAsia="en-AU"/>
              </w:rPr>
            </w:pPr>
            <w:r w:rsidRPr="00674718">
              <w:rPr>
                <w:rFonts w:cs="Arial"/>
                <w:color w:val="7F7F7F"/>
                <w:szCs w:val="18"/>
                <w:lang w:eastAsia="en-AU"/>
              </w:rPr>
              <w:t>30,724</w:t>
            </w:r>
          </w:p>
        </w:tc>
        <w:tc>
          <w:tcPr>
            <w:tcW w:w="945" w:type="dxa"/>
            <w:tcBorders>
              <w:top w:val="nil"/>
              <w:left w:val="nil"/>
              <w:bottom w:val="single" w:sz="12" w:space="0" w:color="7F7F7F"/>
              <w:right w:val="nil"/>
            </w:tcBorders>
            <w:shd w:val="clear" w:color="auto" w:fill="auto"/>
            <w:noWrap/>
            <w:vAlign w:val="center"/>
            <w:hideMark/>
          </w:tcPr>
          <w:p w:rsidR="00674718" w:rsidRPr="00674718" w:rsidRDefault="00674718" w:rsidP="00674718">
            <w:pPr>
              <w:jc w:val="right"/>
              <w:rPr>
                <w:rFonts w:cs="Arial"/>
                <w:color w:val="7F7F7F"/>
                <w:szCs w:val="18"/>
                <w:lang w:eastAsia="en-AU"/>
              </w:rPr>
            </w:pPr>
            <w:r w:rsidRPr="00674718">
              <w:rPr>
                <w:rFonts w:cs="Arial"/>
                <w:color w:val="7F7F7F"/>
                <w:szCs w:val="18"/>
                <w:lang w:eastAsia="en-AU"/>
              </w:rPr>
              <w:t>20,258</w:t>
            </w:r>
          </w:p>
        </w:tc>
      </w:tr>
    </w:tbl>
    <w:p w:rsidR="00674718" w:rsidRDefault="00674718" w:rsidP="00AB62FC">
      <w:pPr>
        <w:pStyle w:val="Quote"/>
        <w:rPr>
          <w:b w:val="0"/>
          <w:sz w:val="18"/>
          <w:szCs w:val="18"/>
        </w:rPr>
      </w:pPr>
    </w:p>
    <w:p w:rsidR="00674718" w:rsidRPr="00674718" w:rsidRDefault="00674718" w:rsidP="00AB62FC">
      <w:pPr>
        <w:pStyle w:val="Quote"/>
        <w:rPr>
          <w:b w:val="0"/>
          <w:sz w:val="18"/>
          <w:szCs w:val="18"/>
        </w:rPr>
      </w:pP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674718" w:rsidTr="00674718">
        <w:tc>
          <w:tcPr>
            <w:tcW w:w="1134" w:type="dxa"/>
            <w:tcMar>
              <w:left w:w="0" w:type="dxa"/>
              <w:right w:w="0" w:type="dxa"/>
            </w:tcMar>
          </w:tcPr>
          <w:p w:rsidR="00674718" w:rsidRDefault="0005261F" w:rsidP="00674718">
            <w:pPr>
              <w:pStyle w:val="Quote"/>
              <w:tabs>
                <w:tab w:val="left" w:pos="1134"/>
              </w:tabs>
              <w:rPr>
                <w:b w:val="0"/>
                <w:color w:val="B41F22" w:themeColor="accent1"/>
              </w:rPr>
            </w:pPr>
            <w:r>
              <w:rPr>
                <w:b w:val="0"/>
                <w:color w:val="B41F22" w:themeColor="accent1"/>
              </w:rPr>
              <w:t>Table 3</w:t>
            </w:r>
            <w:r w:rsidR="00674718">
              <w:rPr>
                <w:b w:val="0"/>
                <w:color w:val="B41F22" w:themeColor="accent1"/>
              </w:rPr>
              <w:t>.6.2:</w:t>
            </w:r>
          </w:p>
        </w:tc>
        <w:tc>
          <w:tcPr>
            <w:tcW w:w="6946" w:type="dxa"/>
            <w:tcMar>
              <w:left w:w="0" w:type="dxa"/>
              <w:right w:w="0" w:type="dxa"/>
            </w:tcMar>
          </w:tcPr>
          <w:p w:rsidR="00674718" w:rsidRDefault="00674718" w:rsidP="00674718">
            <w:pPr>
              <w:pStyle w:val="Quote"/>
              <w:tabs>
                <w:tab w:val="left" w:pos="1134"/>
              </w:tabs>
              <w:rPr>
                <w:b w:val="0"/>
                <w:color w:val="B41F22" w:themeColor="accent1"/>
              </w:rPr>
            </w:pPr>
            <w:r w:rsidRPr="00674718">
              <w:rPr>
                <w:b w:val="0"/>
                <w:color w:val="B41F22" w:themeColor="accent1"/>
              </w:rPr>
              <w:t>Change in number of students and enrolments in government subsidised trainee courses (half year)</w:t>
            </w:r>
          </w:p>
        </w:tc>
      </w:tr>
    </w:tbl>
    <w:tbl>
      <w:tblPr>
        <w:tblW w:w="8095" w:type="dxa"/>
        <w:tblInd w:w="93" w:type="dxa"/>
        <w:tblLayout w:type="fixed"/>
        <w:tblLook w:val="04A0" w:firstRow="1" w:lastRow="0" w:firstColumn="1" w:lastColumn="0" w:noHBand="0" w:noVBand="1"/>
      </w:tblPr>
      <w:tblGrid>
        <w:gridCol w:w="2425"/>
        <w:gridCol w:w="1134"/>
        <w:gridCol w:w="1134"/>
        <w:gridCol w:w="1134"/>
        <w:gridCol w:w="1134"/>
        <w:gridCol w:w="1134"/>
      </w:tblGrid>
      <w:tr w:rsidR="00674718" w:rsidRPr="00674718" w:rsidTr="0023236B">
        <w:trPr>
          <w:trHeight w:val="720"/>
        </w:trPr>
        <w:tc>
          <w:tcPr>
            <w:tcW w:w="2425" w:type="dxa"/>
            <w:tcBorders>
              <w:top w:val="nil"/>
              <w:left w:val="nil"/>
              <w:bottom w:val="nil"/>
              <w:right w:val="nil"/>
            </w:tcBorders>
            <w:shd w:val="clear" w:color="000000" w:fill="7F7F7F"/>
            <w:noWrap/>
            <w:vAlign w:val="center"/>
            <w:hideMark/>
          </w:tcPr>
          <w:p w:rsidR="00674718" w:rsidRPr="00674718" w:rsidRDefault="00674718" w:rsidP="00674718">
            <w:pPr>
              <w:rPr>
                <w:rFonts w:cs="Arial"/>
                <w:color w:val="FFFFFF"/>
                <w:szCs w:val="18"/>
                <w:lang w:eastAsia="en-AU"/>
              </w:rPr>
            </w:pPr>
            <w:r w:rsidRPr="00674718">
              <w:rPr>
                <w:rFonts w:cs="Arial"/>
                <w:color w:val="FFFFFF"/>
                <w:szCs w:val="18"/>
                <w:lang w:eastAsia="en-AU"/>
              </w:rPr>
              <w:t> </w:t>
            </w:r>
          </w:p>
        </w:tc>
        <w:tc>
          <w:tcPr>
            <w:tcW w:w="1134" w:type="dxa"/>
            <w:tcBorders>
              <w:top w:val="nil"/>
              <w:left w:val="nil"/>
              <w:bottom w:val="nil"/>
              <w:right w:val="nil"/>
            </w:tcBorders>
            <w:shd w:val="clear" w:color="000000" w:fill="7F7F7F"/>
            <w:vAlign w:val="center"/>
            <w:hideMark/>
          </w:tcPr>
          <w:p w:rsidR="00674718" w:rsidRPr="00674718" w:rsidRDefault="00674718" w:rsidP="00674718">
            <w:pPr>
              <w:jc w:val="right"/>
              <w:rPr>
                <w:rFonts w:cs="Arial"/>
                <w:b/>
                <w:bCs/>
                <w:color w:val="FFFFFF"/>
                <w:szCs w:val="18"/>
                <w:lang w:eastAsia="en-AU"/>
              </w:rPr>
            </w:pPr>
            <w:r w:rsidRPr="00674718">
              <w:rPr>
                <w:rFonts w:cs="Arial"/>
                <w:b/>
                <w:bCs/>
                <w:color w:val="FFFFFF"/>
                <w:szCs w:val="18"/>
                <w:lang w:eastAsia="en-AU"/>
              </w:rPr>
              <w:t>% change 2010 to 2015</w:t>
            </w:r>
          </w:p>
        </w:tc>
        <w:tc>
          <w:tcPr>
            <w:tcW w:w="1134" w:type="dxa"/>
            <w:tcBorders>
              <w:top w:val="nil"/>
              <w:left w:val="nil"/>
              <w:bottom w:val="nil"/>
              <w:right w:val="nil"/>
            </w:tcBorders>
            <w:shd w:val="clear" w:color="000000" w:fill="7F7F7F"/>
            <w:vAlign w:val="center"/>
            <w:hideMark/>
          </w:tcPr>
          <w:p w:rsidR="00674718" w:rsidRPr="00674718" w:rsidRDefault="00674718" w:rsidP="00674718">
            <w:pPr>
              <w:jc w:val="right"/>
              <w:rPr>
                <w:rFonts w:cs="Arial"/>
                <w:b/>
                <w:bCs/>
                <w:color w:val="FFFFFF"/>
                <w:szCs w:val="18"/>
                <w:lang w:eastAsia="en-AU"/>
              </w:rPr>
            </w:pPr>
            <w:r w:rsidRPr="00674718">
              <w:rPr>
                <w:rFonts w:cs="Arial"/>
                <w:b/>
                <w:bCs/>
                <w:color w:val="FFFFFF"/>
                <w:szCs w:val="18"/>
                <w:lang w:eastAsia="en-AU"/>
              </w:rPr>
              <w:t>% change 2011 to 2015</w:t>
            </w:r>
          </w:p>
        </w:tc>
        <w:tc>
          <w:tcPr>
            <w:tcW w:w="1134" w:type="dxa"/>
            <w:tcBorders>
              <w:top w:val="nil"/>
              <w:left w:val="nil"/>
              <w:bottom w:val="nil"/>
              <w:right w:val="nil"/>
            </w:tcBorders>
            <w:shd w:val="clear" w:color="000000" w:fill="7F7F7F"/>
            <w:vAlign w:val="center"/>
            <w:hideMark/>
          </w:tcPr>
          <w:p w:rsidR="00674718" w:rsidRPr="00674718" w:rsidRDefault="00674718" w:rsidP="00674718">
            <w:pPr>
              <w:jc w:val="right"/>
              <w:rPr>
                <w:rFonts w:cs="Arial"/>
                <w:b/>
                <w:bCs/>
                <w:color w:val="FFFFFF"/>
                <w:szCs w:val="18"/>
                <w:lang w:eastAsia="en-AU"/>
              </w:rPr>
            </w:pPr>
            <w:r w:rsidRPr="00674718">
              <w:rPr>
                <w:rFonts w:cs="Arial"/>
                <w:b/>
                <w:bCs/>
                <w:color w:val="FFFFFF"/>
                <w:szCs w:val="18"/>
                <w:lang w:eastAsia="en-AU"/>
              </w:rPr>
              <w:t>% change 2012 to 2015</w:t>
            </w:r>
          </w:p>
        </w:tc>
        <w:tc>
          <w:tcPr>
            <w:tcW w:w="1134" w:type="dxa"/>
            <w:tcBorders>
              <w:top w:val="nil"/>
              <w:left w:val="nil"/>
              <w:bottom w:val="nil"/>
              <w:right w:val="nil"/>
            </w:tcBorders>
            <w:shd w:val="clear" w:color="000000" w:fill="7F7F7F"/>
            <w:vAlign w:val="center"/>
            <w:hideMark/>
          </w:tcPr>
          <w:p w:rsidR="00674718" w:rsidRPr="00674718" w:rsidRDefault="00674718" w:rsidP="00674718">
            <w:pPr>
              <w:jc w:val="right"/>
              <w:rPr>
                <w:rFonts w:cs="Arial"/>
                <w:b/>
                <w:bCs/>
                <w:color w:val="FFFFFF"/>
                <w:szCs w:val="18"/>
                <w:lang w:eastAsia="en-AU"/>
              </w:rPr>
            </w:pPr>
            <w:r w:rsidRPr="00674718">
              <w:rPr>
                <w:rFonts w:cs="Arial"/>
                <w:b/>
                <w:bCs/>
                <w:color w:val="FFFFFF"/>
                <w:szCs w:val="18"/>
                <w:lang w:eastAsia="en-AU"/>
              </w:rPr>
              <w:t>% change 2013 to 2015</w:t>
            </w:r>
          </w:p>
        </w:tc>
        <w:tc>
          <w:tcPr>
            <w:tcW w:w="1134" w:type="dxa"/>
            <w:tcBorders>
              <w:top w:val="nil"/>
              <w:left w:val="nil"/>
              <w:bottom w:val="nil"/>
              <w:right w:val="nil"/>
            </w:tcBorders>
            <w:shd w:val="clear" w:color="000000" w:fill="7F7F7F"/>
            <w:vAlign w:val="center"/>
            <w:hideMark/>
          </w:tcPr>
          <w:p w:rsidR="00674718" w:rsidRPr="00674718" w:rsidRDefault="00674718" w:rsidP="00674718">
            <w:pPr>
              <w:jc w:val="right"/>
              <w:rPr>
                <w:rFonts w:cs="Arial"/>
                <w:b/>
                <w:bCs/>
                <w:color w:val="FFFFFF"/>
                <w:szCs w:val="18"/>
                <w:lang w:eastAsia="en-AU"/>
              </w:rPr>
            </w:pPr>
            <w:r w:rsidRPr="00674718">
              <w:rPr>
                <w:rFonts w:cs="Arial"/>
                <w:b/>
                <w:bCs/>
                <w:color w:val="FFFFFF"/>
                <w:szCs w:val="18"/>
                <w:lang w:eastAsia="en-AU"/>
              </w:rPr>
              <w:t>% change 2014 to 2015</w:t>
            </w:r>
          </w:p>
        </w:tc>
      </w:tr>
      <w:tr w:rsidR="00674718" w:rsidRPr="00674718" w:rsidTr="0023236B">
        <w:trPr>
          <w:trHeight w:val="300"/>
        </w:trPr>
        <w:tc>
          <w:tcPr>
            <w:tcW w:w="2425" w:type="dxa"/>
            <w:tcBorders>
              <w:top w:val="nil"/>
              <w:left w:val="nil"/>
              <w:bottom w:val="nil"/>
              <w:right w:val="nil"/>
            </w:tcBorders>
            <w:shd w:val="clear" w:color="auto" w:fill="auto"/>
            <w:vAlign w:val="center"/>
            <w:hideMark/>
          </w:tcPr>
          <w:p w:rsidR="00674718" w:rsidRPr="00674718" w:rsidRDefault="00674718" w:rsidP="00674718">
            <w:pPr>
              <w:rPr>
                <w:rFonts w:cs="Arial"/>
                <w:color w:val="7F7F7F"/>
                <w:szCs w:val="18"/>
                <w:lang w:eastAsia="en-AU"/>
              </w:rPr>
            </w:pPr>
            <w:r w:rsidRPr="00674718">
              <w:rPr>
                <w:rFonts w:cs="Arial"/>
                <w:color w:val="7F7F7F"/>
                <w:szCs w:val="18"/>
                <w:lang w:eastAsia="en-AU"/>
              </w:rPr>
              <w:t>Students</w:t>
            </w:r>
          </w:p>
        </w:tc>
        <w:tc>
          <w:tcPr>
            <w:tcW w:w="1134" w:type="dxa"/>
            <w:tcBorders>
              <w:top w:val="nil"/>
              <w:left w:val="nil"/>
              <w:bottom w:val="nil"/>
              <w:right w:val="nil"/>
            </w:tcBorders>
            <w:shd w:val="clear" w:color="auto" w:fill="auto"/>
            <w:noWrap/>
            <w:vAlign w:val="center"/>
            <w:hideMark/>
          </w:tcPr>
          <w:p w:rsidR="00674718" w:rsidRPr="00674718" w:rsidRDefault="00674718" w:rsidP="00674718">
            <w:pPr>
              <w:jc w:val="right"/>
              <w:rPr>
                <w:rFonts w:cs="Arial"/>
                <w:color w:val="7F7F7F"/>
                <w:szCs w:val="18"/>
                <w:lang w:eastAsia="en-AU"/>
              </w:rPr>
            </w:pPr>
            <w:r w:rsidRPr="00674718">
              <w:rPr>
                <w:rFonts w:cs="Arial"/>
                <w:color w:val="7F7F7F"/>
                <w:szCs w:val="18"/>
                <w:lang w:eastAsia="en-AU"/>
              </w:rPr>
              <w:t>-40%</w:t>
            </w:r>
          </w:p>
        </w:tc>
        <w:tc>
          <w:tcPr>
            <w:tcW w:w="1134" w:type="dxa"/>
            <w:tcBorders>
              <w:top w:val="nil"/>
              <w:left w:val="nil"/>
              <w:bottom w:val="nil"/>
              <w:right w:val="nil"/>
            </w:tcBorders>
            <w:shd w:val="clear" w:color="auto" w:fill="auto"/>
            <w:noWrap/>
            <w:vAlign w:val="center"/>
            <w:hideMark/>
          </w:tcPr>
          <w:p w:rsidR="00674718" w:rsidRPr="00674718" w:rsidRDefault="00674718" w:rsidP="00674718">
            <w:pPr>
              <w:jc w:val="right"/>
              <w:rPr>
                <w:rFonts w:cs="Arial"/>
                <w:color w:val="7F7F7F"/>
                <w:szCs w:val="18"/>
                <w:lang w:eastAsia="en-AU"/>
              </w:rPr>
            </w:pPr>
            <w:r w:rsidRPr="00674718">
              <w:rPr>
                <w:rFonts w:cs="Arial"/>
                <w:color w:val="7F7F7F"/>
                <w:szCs w:val="18"/>
                <w:lang w:eastAsia="en-AU"/>
              </w:rPr>
              <w:t>-57%</w:t>
            </w:r>
          </w:p>
        </w:tc>
        <w:tc>
          <w:tcPr>
            <w:tcW w:w="1134" w:type="dxa"/>
            <w:tcBorders>
              <w:top w:val="nil"/>
              <w:left w:val="nil"/>
              <w:bottom w:val="nil"/>
              <w:right w:val="nil"/>
            </w:tcBorders>
            <w:shd w:val="clear" w:color="auto" w:fill="auto"/>
            <w:noWrap/>
            <w:vAlign w:val="center"/>
            <w:hideMark/>
          </w:tcPr>
          <w:p w:rsidR="00674718" w:rsidRPr="00674718" w:rsidRDefault="00674718" w:rsidP="00674718">
            <w:pPr>
              <w:jc w:val="right"/>
              <w:rPr>
                <w:rFonts w:cs="Arial"/>
                <w:color w:val="7F7F7F"/>
                <w:szCs w:val="18"/>
                <w:lang w:eastAsia="en-AU"/>
              </w:rPr>
            </w:pPr>
            <w:r w:rsidRPr="00674718">
              <w:rPr>
                <w:rFonts w:cs="Arial"/>
                <w:color w:val="7F7F7F"/>
                <w:szCs w:val="18"/>
                <w:lang w:eastAsia="en-AU"/>
              </w:rPr>
              <w:t>-68%</w:t>
            </w:r>
          </w:p>
        </w:tc>
        <w:tc>
          <w:tcPr>
            <w:tcW w:w="1134" w:type="dxa"/>
            <w:tcBorders>
              <w:top w:val="nil"/>
              <w:left w:val="nil"/>
              <w:bottom w:val="nil"/>
              <w:right w:val="nil"/>
            </w:tcBorders>
            <w:shd w:val="clear" w:color="auto" w:fill="auto"/>
            <w:noWrap/>
            <w:vAlign w:val="center"/>
            <w:hideMark/>
          </w:tcPr>
          <w:p w:rsidR="00674718" w:rsidRPr="00674718" w:rsidRDefault="00674718" w:rsidP="00674718">
            <w:pPr>
              <w:jc w:val="right"/>
              <w:rPr>
                <w:rFonts w:cs="Arial"/>
                <w:color w:val="7F7F7F"/>
                <w:szCs w:val="18"/>
                <w:lang w:eastAsia="en-AU"/>
              </w:rPr>
            </w:pPr>
            <w:r w:rsidRPr="00674718">
              <w:rPr>
                <w:rFonts w:cs="Arial"/>
                <w:color w:val="7F7F7F"/>
                <w:szCs w:val="18"/>
                <w:lang w:eastAsia="en-AU"/>
              </w:rPr>
              <w:t>-51%</w:t>
            </w:r>
          </w:p>
        </w:tc>
        <w:tc>
          <w:tcPr>
            <w:tcW w:w="1134" w:type="dxa"/>
            <w:tcBorders>
              <w:top w:val="nil"/>
              <w:left w:val="nil"/>
              <w:bottom w:val="nil"/>
              <w:right w:val="nil"/>
            </w:tcBorders>
            <w:shd w:val="clear" w:color="auto" w:fill="auto"/>
            <w:noWrap/>
            <w:vAlign w:val="center"/>
            <w:hideMark/>
          </w:tcPr>
          <w:p w:rsidR="00674718" w:rsidRPr="00674718" w:rsidRDefault="00674718" w:rsidP="00674718">
            <w:pPr>
              <w:jc w:val="right"/>
              <w:rPr>
                <w:rFonts w:cs="Arial"/>
                <w:color w:val="7F7F7F"/>
                <w:szCs w:val="18"/>
                <w:lang w:eastAsia="en-AU"/>
              </w:rPr>
            </w:pPr>
            <w:r w:rsidRPr="00674718">
              <w:rPr>
                <w:rFonts w:cs="Arial"/>
                <w:color w:val="7F7F7F"/>
                <w:szCs w:val="18"/>
                <w:lang w:eastAsia="en-AU"/>
              </w:rPr>
              <w:t>-34%</w:t>
            </w:r>
          </w:p>
        </w:tc>
      </w:tr>
      <w:tr w:rsidR="00674718" w:rsidRPr="00674718" w:rsidTr="0023236B">
        <w:trPr>
          <w:trHeight w:val="300"/>
        </w:trPr>
        <w:tc>
          <w:tcPr>
            <w:tcW w:w="2425" w:type="dxa"/>
            <w:tcBorders>
              <w:top w:val="nil"/>
              <w:left w:val="nil"/>
              <w:bottom w:val="single" w:sz="12" w:space="0" w:color="7F7F7F"/>
              <w:right w:val="nil"/>
            </w:tcBorders>
            <w:shd w:val="clear" w:color="auto" w:fill="auto"/>
            <w:noWrap/>
            <w:vAlign w:val="center"/>
            <w:hideMark/>
          </w:tcPr>
          <w:p w:rsidR="00674718" w:rsidRPr="00674718" w:rsidRDefault="00674718" w:rsidP="00674718">
            <w:pPr>
              <w:rPr>
                <w:rFonts w:cs="Arial"/>
                <w:color w:val="7F7F7F"/>
                <w:szCs w:val="18"/>
                <w:lang w:eastAsia="en-AU"/>
              </w:rPr>
            </w:pPr>
            <w:r w:rsidRPr="00674718">
              <w:rPr>
                <w:rFonts w:cs="Arial"/>
                <w:color w:val="7F7F7F"/>
                <w:szCs w:val="18"/>
                <w:lang w:eastAsia="en-AU"/>
              </w:rPr>
              <w:t>Course Enrolments</w:t>
            </w:r>
          </w:p>
        </w:tc>
        <w:tc>
          <w:tcPr>
            <w:tcW w:w="1134" w:type="dxa"/>
            <w:tcBorders>
              <w:top w:val="nil"/>
              <w:left w:val="nil"/>
              <w:bottom w:val="single" w:sz="12" w:space="0" w:color="7F7F7F"/>
              <w:right w:val="nil"/>
            </w:tcBorders>
            <w:shd w:val="clear" w:color="auto" w:fill="auto"/>
            <w:noWrap/>
            <w:vAlign w:val="center"/>
            <w:hideMark/>
          </w:tcPr>
          <w:p w:rsidR="00674718" w:rsidRPr="00674718" w:rsidRDefault="00674718" w:rsidP="00674718">
            <w:pPr>
              <w:jc w:val="right"/>
              <w:rPr>
                <w:rFonts w:cs="Arial"/>
                <w:color w:val="7F7F7F"/>
                <w:szCs w:val="18"/>
                <w:lang w:eastAsia="en-AU"/>
              </w:rPr>
            </w:pPr>
            <w:r w:rsidRPr="00674718">
              <w:rPr>
                <w:rFonts w:cs="Arial"/>
                <w:color w:val="7F7F7F"/>
                <w:szCs w:val="18"/>
                <w:lang w:eastAsia="en-AU"/>
              </w:rPr>
              <w:t>-41%</w:t>
            </w:r>
          </w:p>
        </w:tc>
        <w:tc>
          <w:tcPr>
            <w:tcW w:w="1134" w:type="dxa"/>
            <w:tcBorders>
              <w:top w:val="nil"/>
              <w:left w:val="nil"/>
              <w:bottom w:val="single" w:sz="12" w:space="0" w:color="7F7F7F"/>
              <w:right w:val="nil"/>
            </w:tcBorders>
            <w:shd w:val="clear" w:color="auto" w:fill="auto"/>
            <w:noWrap/>
            <w:vAlign w:val="center"/>
            <w:hideMark/>
          </w:tcPr>
          <w:p w:rsidR="00674718" w:rsidRPr="00674718" w:rsidRDefault="00674718" w:rsidP="00674718">
            <w:pPr>
              <w:jc w:val="right"/>
              <w:rPr>
                <w:rFonts w:cs="Arial"/>
                <w:color w:val="7F7F7F"/>
                <w:szCs w:val="18"/>
                <w:lang w:eastAsia="en-AU"/>
              </w:rPr>
            </w:pPr>
            <w:r w:rsidRPr="00674718">
              <w:rPr>
                <w:rFonts w:cs="Arial"/>
                <w:color w:val="7F7F7F"/>
                <w:szCs w:val="18"/>
                <w:lang w:eastAsia="en-AU"/>
              </w:rPr>
              <w:t>-57%</w:t>
            </w:r>
          </w:p>
        </w:tc>
        <w:tc>
          <w:tcPr>
            <w:tcW w:w="1134" w:type="dxa"/>
            <w:tcBorders>
              <w:top w:val="nil"/>
              <w:left w:val="nil"/>
              <w:bottom w:val="single" w:sz="12" w:space="0" w:color="7F7F7F"/>
              <w:right w:val="nil"/>
            </w:tcBorders>
            <w:shd w:val="clear" w:color="auto" w:fill="auto"/>
            <w:noWrap/>
            <w:vAlign w:val="center"/>
            <w:hideMark/>
          </w:tcPr>
          <w:p w:rsidR="00674718" w:rsidRPr="00674718" w:rsidRDefault="00674718" w:rsidP="00674718">
            <w:pPr>
              <w:jc w:val="right"/>
              <w:rPr>
                <w:rFonts w:cs="Arial"/>
                <w:color w:val="7F7F7F"/>
                <w:szCs w:val="18"/>
                <w:lang w:eastAsia="en-AU"/>
              </w:rPr>
            </w:pPr>
            <w:r w:rsidRPr="00674718">
              <w:rPr>
                <w:rFonts w:cs="Arial"/>
                <w:color w:val="7F7F7F"/>
                <w:szCs w:val="18"/>
                <w:lang w:eastAsia="en-AU"/>
              </w:rPr>
              <w:t>-68%</w:t>
            </w:r>
          </w:p>
        </w:tc>
        <w:tc>
          <w:tcPr>
            <w:tcW w:w="1134" w:type="dxa"/>
            <w:tcBorders>
              <w:top w:val="nil"/>
              <w:left w:val="nil"/>
              <w:bottom w:val="single" w:sz="12" w:space="0" w:color="7F7F7F"/>
              <w:right w:val="nil"/>
            </w:tcBorders>
            <w:shd w:val="clear" w:color="auto" w:fill="auto"/>
            <w:noWrap/>
            <w:vAlign w:val="center"/>
            <w:hideMark/>
          </w:tcPr>
          <w:p w:rsidR="00674718" w:rsidRPr="00674718" w:rsidRDefault="00674718" w:rsidP="00674718">
            <w:pPr>
              <w:jc w:val="right"/>
              <w:rPr>
                <w:rFonts w:cs="Arial"/>
                <w:color w:val="7F7F7F"/>
                <w:szCs w:val="18"/>
                <w:lang w:eastAsia="en-AU"/>
              </w:rPr>
            </w:pPr>
            <w:r w:rsidRPr="00674718">
              <w:rPr>
                <w:rFonts w:cs="Arial"/>
                <w:color w:val="7F7F7F"/>
                <w:szCs w:val="18"/>
                <w:lang w:eastAsia="en-AU"/>
              </w:rPr>
              <w:t>-51%</w:t>
            </w:r>
          </w:p>
        </w:tc>
        <w:tc>
          <w:tcPr>
            <w:tcW w:w="1134" w:type="dxa"/>
            <w:tcBorders>
              <w:top w:val="nil"/>
              <w:left w:val="nil"/>
              <w:bottom w:val="single" w:sz="12" w:space="0" w:color="7F7F7F"/>
              <w:right w:val="nil"/>
            </w:tcBorders>
            <w:shd w:val="clear" w:color="auto" w:fill="auto"/>
            <w:noWrap/>
            <w:vAlign w:val="center"/>
            <w:hideMark/>
          </w:tcPr>
          <w:p w:rsidR="00674718" w:rsidRPr="00674718" w:rsidRDefault="00674718" w:rsidP="00674718">
            <w:pPr>
              <w:jc w:val="right"/>
              <w:rPr>
                <w:rFonts w:cs="Arial"/>
                <w:color w:val="7F7F7F"/>
                <w:szCs w:val="18"/>
                <w:lang w:eastAsia="en-AU"/>
              </w:rPr>
            </w:pPr>
            <w:r w:rsidRPr="00674718">
              <w:rPr>
                <w:rFonts w:cs="Arial"/>
                <w:color w:val="7F7F7F"/>
                <w:szCs w:val="18"/>
                <w:lang w:eastAsia="en-AU"/>
              </w:rPr>
              <w:t>-34%</w:t>
            </w:r>
          </w:p>
        </w:tc>
      </w:tr>
    </w:tbl>
    <w:p w:rsidR="00674718" w:rsidRDefault="00674718" w:rsidP="00AB62FC">
      <w:pPr>
        <w:pStyle w:val="Quote"/>
        <w:rPr>
          <w:b w:val="0"/>
          <w:sz w:val="18"/>
          <w:szCs w:val="18"/>
        </w:rPr>
      </w:pPr>
    </w:p>
    <w:p w:rsidR="00674718" w:rsidRDefault="00674718" w:rsidP="00AB62FC">
      <w:pPr>
        <w:pStyle w:val="Quote"/>
        <w:rPr>
          <w:b w:val="0"/>
          <w:sz w:val="18"/>
          <w:szCs w:val="18"/>
        </w:rPr>
      </w:pP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23236B" w:rsidTr="0023236B">
        <w:tc>
          <w:tcPr>
            <w:tcW w:w="1134" w:type="dxa"/>
            <w:tcMar>
              <w:left w:w="0" w:type="dxa"/>
              <w:right w:w="0" w:type="dxa"/>
            </w:tcMar>
          </w:tcPr>
          <w:p w:rsidR="0023236B" w:rsidRDefault="0005261F" w:rsidP="0023236B">
            <w:pPr>
              <w:pStyle w:val="Quote"/>
              <w:tabs>
                <w:tab w:val="left" w:pos="1134"/>
              </w:tabs>
              <w:rPr>
                <w:b w:val="0"/>
                <w:color w:val="B41F22" w:themeColor="accent1"/>
              </w:rPr>
            </w:pPr>
            <w:r>
              <w:rPr>
                <w:b w:val="0"/>
                <w:color w:val="B41F22" w:themeColor="accent1"/>
              </w:rPr>
              <w:t>Table 3</w:t>
            </w:r>
            <w:r w:rsidR="0023236B">
              <w:rPr>
                <w:b w:val="0"/>
                <w:color w:val="B41F22" w:themeColor="accent1"/>
              </w:rPr>
              <w:t>.7.1:</w:t>
            </w:r>
          </w:p>
        </w:tc>
        <w:tc>
          <w:tcPr>
            <w:tcW w:w="6946" w:type="dxa"/>
            <w:tcMar>
              <w:left w:w="0" w:type="dxa"/>
              <w:right w:w="0" w:type="dxa"/>
            </w:tcMar>
          </w:tcPr>
          <w:p w:rsidR="0023236B" w:rsidRDefault="0023236B" w:rsidP="0023236B">
            <w:pPr>
              <w:pStyle w:val="Quote"/>
              <w:tabs>
                <w:tab w:val="left" w:pos="1134"/>
              </w:tabs>
              <w:rPr>
                <w:b w:val="0"/>
                <w:color w:val="B41F22" w:themeColor="accent1"/>
              </w:rPr>
            </w:pPr>
            <w:r w:rsidRPr="0023236B">
              <w:rPr>
                <w:b w:val="0"/>
                <w:color w:val="B41F22" w:themeColor="accent1"/>
              </w:rPr>
              <w:t>Government subsidised trainee course enrolments by age group, 2010 to 2015 (half year)</w:t>
            </w:r>
          </w:p>
        </w:tc>
      </w:tr>
    </w:tbl>
    <w:tbl>
      <w:tblPr>
        <w:tblW w:w="8095" w:type="dxa"/>
        <w:tblInd w:w="93" w:type="dxa"/>
        <w:tblLayout w:type="fixed"/>
        <w:tblLook w:val="04A0" w:firstRow="1" w:lastRow="0" w:firstColumn="1" w:lastColumn="0" w:noHBand="0" w:noVBand="1"/>
      </w:tblPr>
      <w:tblGrid>
        <w:gridCol w:w="1858"/>
        <w:gridCol w:w="1039"/>
        <w:gridCol w:w="1040"/>
        <w:gridCol w:w="1039"/>
        <w:gridCol w:w="1040"/>
        <w:gridCol w:w="1039"/>
        <w:gridCol w:w="1040"/>
      </w:tblGrid>
      <w:tr w:rsidR="0023236B" w:rsidRPr="0023236B" w:rsidTr="0023236B">
        <w:trPr>
          <w:trHeight w:val="300"/>
        </w:trPr>
        <w:tc>
          <w:tcPr>
            <w:tcW w:w="1858" w:type="dxa"/>
            <w:tcBorders>
              <w:top w:val="nil"/>
              <w:left w:val="nil"/>
              <w:bottom w:val="nil"/>
              <w:right w:val="nil"/>
            </w:tcBorders>
            <w:shd w:val="clear" w:color="000000" w:fill="7F7F7F"/>
            <w:noWrap/>
            <w:vAlign w:val="center"/>
            <w:hideMark/>
          </w:tcPr>
          <w:p w:rsidR="0023236B" w:rsidRPr="0023236B" w:rsidRDefault="0023236B" w:rsidP="0023236B">
            <w:pPr>
              <w:rPr>
                <w:rFonts w:cs="Arial"/>
                <w:color w:val="FFFFFF"/>
                <w:szCs w:val="18"/>
                <w:lang w:eastAsia="en-AU"/>
              </w:rPr>
            </w:pPr>
            <w:r w:rsidRPr="0023236B">
              <w:rPr>
                <w:rFonts w:cs="Arial"/>
                <w:color w:val="FFFFFF"/>
                <w:szCs w:val="18"/>
                <w:lang w:eastAsia="en-AU"/>
              </w:rPr>
              <w:t> </w:t>
            </w:r>
          </w:p>
        </w:tc>
        <w:tc>
          <w:tcPr>
            <w:tcW w:w="1039" w:type="dxa"/>
            <w:tcBorders>
              <w:top w:val="nil"/>
              <w:left w:val="nil"/>
              <w:bottom w:val="nil"/>
              <w:right w:val="nil"/>
            </w:tcBorders>
            <w:shd w:val="clear" w:color="000000" w:fill="7F7F7F"/>
            <w:noWrap/>
            <w:vAlign w:val="center"/>
            <w:hideMark/>
          </w:tcPr>
          <w:p w:rsidR="0023236B" w:rsidRPr="0023236B" w:rsidRDefault="0023236B" w:rsidP="0023236B">
            <w:pPr>
              <w:jc w:val="right"/>
              <w:rPr>
                <w:rFonts w:cs="Arial"/>
                <w:b/>
                <w:bCs/>
                <w:color w:val="FFFFFF"/>
                <w:szCs w:val="18"/>
                <w:lang w:eastAsia="en-AU"/>
              </w:rPr>
            </w:pPr>
            <w:r w:rsidRPr="0023236B">
              <w:rPr>
                <w:rFonts w:cs="Arial"/>
                <w:b/>
                <w:bCs/>
                <w:color w:val="FFFFFF"/>
                <w:szCs w:val="18"/>
                <w:lang w:eastAsia="en-AU"/>
              </w:rPr>
              <w:t>2010</w:t>
            </w:r>
          </w:p>
        </w:tc>
        <w:tc>
          <w:tcPr>
            <w:tcW w:w="1040" w:type="dxa"/>
            <w:tcBorders>
              <w:top w:val="nil"/>
              <w:left w:val="nil"/>
              <w:bottom w:val="nil"/>
              <w:right w:val="nil"/>
            </w:tcBorders>
            <w:shd w:val="clear" w:color="000000" w:fill="7F7F7F"/>
            <w:noWrap/>
            <w:vAlign w:val="center"/>
            <w:hideMark/>
          </w:tcPr>
          <w:p w:rsidR="0023236B" w:rsidRPr="0023236B" w:rsidRDefault="0023236B" w:rsidP="0023236B">
            <w:pPr>
              <w:jc w:val="right"/>
              <w:rPr>
                <w:rFonts w:cs="Arial"/>
                <w:b/>
                <w:bCs/>
                <w:color w:val="FFFFFF"/>
                <w:szCs w:val="18"/>
                <w:lang w:eastAsia="en-AU"/>
              </w:rPr>
            </w:pPr>
            <w:r w:rsidRPr="0023236B">
              <w:rPr>
                <w:rFonts w:cs="Arial"/>
                <w:b/>
                <w:bCs/>
                <w:color w:val="FFFFFF"/>
                <w:szCs w:val="18"/>
                <w:lang w:eastAsia="en-AU"/>
              </w:rPr>
              <w:t>2011</w:t>
            </w:r>
          </w:p>
        </w:tc>
        <w:tc>
          <w:tcPr>
            <w:tcW w:w="1039" w:type="dxa"/>
            <w:tcBorders>
              <w:top w:val="nil"/>
              <w:left w:val="nil"/>
              <w:bottom w:val="nil"/>
              <w:right w:val="nil"/>
            </w:tcBorders>
            <w:shd w:val="clear" w:color="000000" w:fill="7F7F7F"/>
            <w:noWrap/>
            <w:vAlign w:val="center"/>
            <w:hideMark/>
          </w:tcPr>
          <w:p w:rsidR="0023236B" w:rsidRPr="0023236B" w:rsidRDefault="0023236B" w:rsidP="0023236B">
            <w:pPr>
              <w:jc w:val="right"/>
              <w:rPr>
                <w:rFonts w:cs="Arial"/>
                <w:b/>
                <w:bCs/>
                <w:color w:val="FFFFFF"/>
                <w:szCs w:val="18"/>
                <w:lang w:eastAsia="en-AU"/>
              </w:rPr>
            </w:pPr>
            <w:r w:rsidRPr="0023236B">
              <w:rPr>
                <w:rFonts w:cs="Arial"/>
                <w:b/>
                <w:bCs/>
                <w:color w:val="FFFFFF"/>
                <w:szCs w:val="18"/>
                <w:lang w:eastAsia="en-AU"/>
              </w:rPr>
              <w:t>2012</w:t>
            </w:r>
          </w:p>
        </w:tc>
        <w:tc>
          <w:tcPr>
            <w:tcW w:w="1040" w:type="dxa"/>
            <w:tcBorders>
              <w:top w:val="nil"/>
              <w:left w:val="nil"/>
              <w:bottom w:val="nil"/>
              <w:right w:val="nil"/>
            </w:tcBorders>
            <w:shd w:val="clear" w:color="000000" w:fill="7F7F7F"/>
            <w:noWrap/>
            <w:vAlign w:val="center"/>
            <w:hideMark/>
          </w:tcPr>
          <w:p w:rsidR="0023236B" w:rsidRPr="0023236B" w:rsidRDefault="0023236B" w:rsidP="0023236B">
            <w:pPr>
              <w:jc w:val="right"/>
              <w:rPr>
                <w:rFonts w:cs="Arial"/>
                <w:b/>
                <w:bCs/>
                <w:color w:val="FFFFFF"/>
                <w:szCs w:val="18"/>
                <w:lang w:eastAsia="en-AU"/>
              </w:rPr>
            </w:pPr>
            <w:r w:rsidRPr="0023236B">
              <w:rPr>
                <w:rFonts w:cs="Arial"/>
                <w:b/>
                <w:bCs/>
                <w:color w:val="FFFFFF"/>
                <w:szCs w:val="18"/>
                <w:lang w:eastAsia="en-AU"/>
              </w:rPr>
              <w:t>2013</w:t>
            </w:r>
          </w:p>
        </w:tc>
        <w:tc>
          <w:tcPr>
            <w:tcW w:w="1039" w:type="dxa"/>
            <w:tcBorders>
              <w:top w:val="nil"/>
              <w:left w:val="nil"/>
              <w:bottom w:val="nil"/>
              <w:right w:val="nil"/>
            </w:tcBorders>
            <w:shd w:val="clear" w:color="000000" w:fill="7F7F7F"/>
            <w:noWrap/>
            <w:vAlign w:val="center"/>
            <w:hideMark/>
          </w:tcPr>
          <w:p w:rsidR="0023236B" w:rsidRPr="0023236B" w:rsidRDefault="0023236B" w:rsidP="0023236B">
            <w:pPr>
              <w:jc w:val="right"/>
              <w:rPr>
                <w:rFonts w:cs="Arial"/>
                <w:b/>
                <w:bCs/>
                <w:color w:val="FFFFFF"/>
                <w:szCs w:val="18"/>
                <w:lang w:eastAsia="en-AU"/>
              </w:rPr>
            </w:pPr>
            <w:r w:rsidRPr="0023236B">
              <w:rPr>
                <w:rFonts w:cs="Arial"/>
                <w:b/>
                <w:bCs/>
                <w:color w:val="FFFFFF"/>
                <w:szCs w:val="18"/>
                <w:lang w:eastAsia="en-AU"/>
              </w:rPr>
              <w:t>2014</w:t>
            </w:r>
          </w:p>
        </w:tc>
        <w:tc>
          <w:tcPr>
            <w:tcW w:w="1040" w:type="dxa"/>
            <w:tcBorders>
              <w:top w:val="nil"/>
              <w:left w:val="nil"/>
              <w:bottom w:val="nil"/>
              <w:right w:val="nil"/>
            </w:tcBorders>
            <w:shd w:val="clear" w:color="000000" w:fill="7F7F7F"/>
            <w:noWrap/>
            <w:vAlign w:val="center"/>
            <w:hideMark/>
          </w:tcPr>
          <w:p w:rsidR="0023236B" w:rsidRPr="0023236B" w:rsidRDefault="0023236B" w:rsidP="0023236B">
            <w:pPr>
              <w:jc w:val="right"/>
              <w:rPr>
                <w:rFonts w:cs="Arial"/>
                <w:b/>
                <w:bCs/>
                <w:color w:val="FFFFFF"/>
                <w:szCs w:val="18"/>
                <w:lang w:eastAsia="en-AU"/>
              </w:rPr>
            </w:pPr>
            <w:r w:rsidRPr="0023236B">
              <w:rPr>
                <w:rFonts w:cs="Arial"/>
                <w:b/>
                <w:bCs/>
                <w:color w:val="FFFFFF"/>
                <w:szCs w:val="18"/>
                <w:lang w:eastAsia="en-AU"/>
              </w:rPr>
              <w:t>2015</w:t>
            </w:r>
          </w:p>
        </w:tc>
      </w:tr>
      <w:tr w:rsidR="0023236B" w:rsidRPr="0023236B" w:rsidTr="0023236B">
        <w:trPr>
          <w:trHeight w:val="300"/>
        </w:trPr>
        <w:tc>
          <w:tcPr>
            <w:tcW w:w="1858" w:type="dxa"/>
            <w:tcBorders>
              <w:top w:val="nil"/>
              <w:left w:val="nil"/>
              <w:bottom w:val="nil"/>
              <w:right w:val="nil"/>
            </w:tcBorders>
            <w:shd w:val="clear" w:color="auto" w:fill="auto"/>
            <w:vAlign w:val="center"/>
            <w:hideMark/>
          </w:tcPr>
          <w:p w:rsidR="0023236B" w:rsidRPr="0023236B" w:rsidRDefault="0023236B" w:rsidP="0023236B">
            <w:pPr>
              <w:rPr>
                <w:rFonts w:cs="Arial"/>
                <w:color w:val="7F7F7F"/>
                <w:szCs w:val="18"/>
                <w:lang w:eastAsia="en-AU"/>
              </w:rPr>
            </w:pPr>
            <w:r w:rsidRPr="0023236B">
              <w:rPr>
                <w:rFonts w:cs="Arial"/>
                <w:color w:val="7F7F7F"/>
                <w:szCs w:val="18"/>
                <w:lang w:eastAsia="en-AU"/>
              </w:rPr>
              <w:t>15 to 19</w:t>
            </w:r>
          </w:p>
        </w:tc>
        <w:tc>
          <w:tcPr>
            <w:tcW w:w="1039"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13,851</w:t>
            </w:r>
          </w:p>
        </w:tc>
        <w:tc>
          <w:tcPr>
            <w:tcW w:w="1040"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15,512</w:t>
            </w:r>
          </w:p>
        </w:tc>
        <w:tc>
          <w:tcPr>
            <w:tcW w:w="1039"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17,349</w:t>
            </w:r>
          </w:p>
        </w:tc>
        <w:tc>
          <w:tcPr>
            <w:tcW w:w="1040"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9,879</w:t>
            </w:r>
          </w:p>
        </w:tc>
        <w:tc>
          <w:tcPr>
            <w:tcW w:w="1039"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8,128</w:t>
            </w:r>
          </w:p>
        </w:tc>
        <w:tc>
          <w:tcPr>
            <w:tcW w:w="1040"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6,269</w:t>
            </w:r>
          </w:p>
        </w:tc>
      </w:tr>
      <w:tr w:rsidR="0023236B" w:rsidRPr="0023236B" w:rsidTr="0023236B">
        <w:trPr>
          <w:trHeight w:val="300"/>
        </w:trPr>
        <w:tc>
          <w:tcPr>
            <w:tcW w:w="1858" w:type="dxa"/>
            <w:tcBorders>
              <w:top w:val="nil"/>
              <w:left w:val="nil"/>
              <w:bottom w:val="nil"/>
              <w:right w:val="nil"/>
            </w:tcBorders>
            <w:shd w:val="clear" w:color="auto" w:fill="auto"/>
            <w:vAlign w:val="center"/>
            <w:hideMark/>
          </w:tcPr>
          <w:p w:rsidR="0023236B" w:rsidRPr="0023236B" w:rsidRDefault="0023236B" w:rsidP="0023236B">
            <w:pPr>
              <w:rPr>
                <w:rFonts w:cs="Arial"/>
                <w:color w:val="7F7F7F"/>
                <w:szCs w:val="18"/>
                <w:lang w:eastAsia="en-AU"/>
              </w:rPr>
            </w:pPr>
            <w:r w:rsidRPr="0023236B">
              <w:rPr>
                <w:rFonts w:cs="Arial"/>
                <w:color w:val="7F7F7F"/>
                <w:szCs w:val="18"/>
                <w:lang w:eastAsia="en-AU"/>
              </w:rPr>
              <w:t>20 to 24</w:t>
            </w:r>
          </w:p>
        </w:tc>
        <w:tc>
          <w:tcPr>
            <w:tcW w:w="1039"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8,158</w:t>
            </w:r>
          </w:p>
        </w:tc>
        <w:tc>
          <w:tcPr>
            <w:tcW w:w="1040"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10,260</w:t>
            </w:r>
          </w:p>
        </w:tc>
        <w:tc>
          <w:tcPr>
            <w:tcW w:w="1039"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11,719</w:t>
            </w:r>
          </w:p>
        </w:tc>
        <w:tc>
          <w:tcPr>
            <w:tcW w:w="1040"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7,259</w:t>
            </w:r>
          </w:p>
        </w:tc>
        <w:tc>
          <w:tcPr>
            <w:tcW w:w="1039"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5,633</w:t>
            </w:r>
          </w:p>
        </w:tc>
        <w:tc>
          <w:tcPr>
            <w:tcW w:w="1040"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4,650</w:t>
            </w:r>
          </w:p>
        </w:tc>
      </w:tr>
      <w:tr w:rsidR="0023236B" w:rsidRPr="0023236B" w:rsidTr="0023236B">
        <w:trPr>
          <w:trHeight w:val="300"/>
        </w:trPr>
        <w:tc>
          <w:tcPr>
            <w:tcW w:w="1858" w:type="dxa"/>
            <w:tcBorders>
              <w:top w:val="nil"/>
              <w:left w:val="nil"/>
              <w:bottom w:val="nil"/>
              <w:right w:val="nil"/>
            </w:tcBorders>
            <w:shd w:val="clear" w:color="auto" w:fill="auto"/>
            <w:vAlign w:val="center"/>
            <w:hideMark/>
          </w:tcPr>
          <w:p w:rsidR="0023236B" w:rsidRPr="0023236B" w:rsidRDefault="0023236B" w:rsidP="0023236B">
            <w:pPr>
              <w:rPr>
                <w:rFonts w:cs="Arial"/>
                <w:color w:val="7F7F7F"/>
                <w:szCs w:val="18"/>
                <w:lang w:eastAsia="en-AU"/>
              </w:rPr>
            </w:pPr>
            <w:r w:rsidRPr="0023236B">
              <w:rPr>
                <w:rFonts w:cs="Arial"/>
                <w:color w:val="7F7F7F"/>
                <w:szCs w:val="18"/>
                <w:lang w:eastAsia="en-AU"/>
              </w:rPr>
              <w:t>25 to 44</w:t>
            </w:r>
          </w:p>
        </w:tc>
        <w:tc>
          <w:tcPr>
            <w:tcW w:w="1039"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8,735</w:t>
            </w:r>
          </w:p>
        </w:tc>
        <w:tc>
          <w:tcPr>
            <w:tcW w:w="1040"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13,725</w:t>
            </w:r>
          </w:p>
        </w:tc>
        <w:tc>
          <w:tcPr>
            <w:tcW w:w="1039"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21,251</w:t>
            </w:r>
          </w:p>
        </w:tc>
        <w:tc>
          <w:tcPr>
            <w:tcW w:w="1040"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14,287</w:t>
            </w:r>
          </w:p>
        </w:tc>
        <w:tc>
          <w:tcPr>
            <w:tcW w:w="1039"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10,247</w:t>
            </w:r>
          </w:p>
        </w:tc>
        <w:tc>
          <w:tcPr>
            <w:tcW w:w="1040"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5,937</w:t>
            </w:r>
          </w:p>
        </w:tc>
      </w:tr>
      <w:tr w:rsidR="0023236B" w:rsidRPr="0023236B" w:rsidTr="0023236B">
        <w:trPr>
          <w:trHeight w:val="300"/>
        </w:trPr>
        <w:tc>
          <w:tcPr>
            <w:tcW w:w="1858" w:type="dxa"/>
            <w:tcBorders>
              <w:top w:val="nil"/>
              <w:left w:val="nil"/>
              <w:bottom w:val="nil"/>
              <w:right w:val="nil"/>
            </w:tcBorders>
            <w:shd w:val="clear" w:color="auto" w:fill="auto"/>
            <w:vAlign w:val="center"/>
            <w:hideMark/>
          </w:tcPr>
          <w:p w:rsidR="0023236B" w:rsidRPr="0023236B" w:rsidRDefault="0023236B" w:rsidP="0023236B">
            <w:pPr>
              <w:rPr>
                <w:rFonts w:cs="Arial"/>
                <w:color w:val="7F7F7F"/>
                <w:szCs w:val="18"/>
                <w:lang w:eastAsia="en-AU"/>
              </w:rPr>
            </w:pPr>
            <w:r w:rsidRPr="0023236B">
              <w:rPr>
                <w:rFonts w:cs="Arial"/>
                <w:color w:val="7F7F7F"/>
                <w:szCs w:val="18"/>
                <w:lang w:eastAsia="en-AU"/>
              </w:rPr>
              <w:t>45 to 64</w:t>
            </w:r>
          </w:p>
        </w:tc>
        <w:tc>
          <w:tcPr>
            <w:tcW w:w="1039"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3,421</w:t>
            </w:r>
          </w:p>
        </w:tc>
        <w:tc>
          <w:tcPr>
            <w:tcW w:w="1040"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7,250</w:t>
            </w:r>
          </w:p>
        </w:tc>
        <w:tc>
          <w:tcPr>
            <w:tcW w:w="1039"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12,926</w:t>
            </w:r>
          </w:p>
        </w:tc>
        <w:tc>
          <w:tcPr>
            <w:tcW w:w="1040"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9,350</w:t>
            </w:r>
          </w:p>
        </w:tc>
        <w:tc>
          <w:tcPr>
            <w:tcW w:w="1039"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6,510</w:t>
            </w:r>
          </w:p>
        </w:tc>
        <w:tc>
          <w:tcPr>
            <w:tcW w:w="1040"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3,304</w:t>
            </w:r>
          </w:p>
        </w:tc>
      </w:tr>
      <w:tr w:rsidR="0023236B" w:rsidRPr="0023236B" w:rsidTr="0023236B">
        <w:trPr>
          <w:trHeight w:val="300"/>
        </w:trPr>
        <w:tc>
          <w:tcPr>
            <w:tcW w:w="1858" w:type="dxa"/>
            <w:tcBorders>
              <w:top w:val="nil"/>
              <w:left w:val="nil"/>
              <w:bottom w:val="nil"/>
              <w:right w:val="nil"/>
            </w:tcBorders>
            <w:shd w:val="clear" w:color="auto" w:fill="auto"/>
            <w:noWrap/>
            <w:vAlign w:val="center"/>
            <w:hideMark/>
          </w:tcPr>
          <w:p w:rsidR="0023236B" w:rsidRPr="0023236B" w:rsidRDefault="0023236B" w:rsidP="0023236B">
            <w:pPr>
              <w:rPr>
                <w:rFonts w:cs="Arial"/>
                <w:color w:val="7F7F7F"/>
                <w:szCs w:val="18"/>
                <w:lang w:eastAsia="en-AU"/>
              </w:rPr>
            </w:pPr>
            <w:r w:rsidRPr="0023236B">
              <w:rPr>
                <w:rFonts w:cs="Arial"/>
                <w:color w:val="7F7F7F"/>
                <w:szCs w:val="18"/>
                <w:lang w:eastAsia="en-AU"/>
              </w:rPr>
              <w:t>Other*</w:t>
            </w:r>
          </w:p>
        </w:tc>
        <w:tc>
          <w:tcPr>
            <w:tcW w:w="1039"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97</w:t>
            </w:r>
          </w:p>
        </w:tc>
        <w:tc>
          <w:tcPr>
            <w:tcW w:w="1040"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188</w:t>
            </w:r>
          </w:p>
        </w:tc>
        <w:tc>
          <w:tcPr>
            <w:tcW w:w="1039"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364</w:t>
            </w:r>
          </w:p>
        </w:tc>
        <w:tc>
          <w:tcPr>
            <w:tcW w:w="1040"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312</w:t>
            </w:r>
          </w:p>
        </w:tc>
        <w:tc>
          <w:tcPr>
            <w:tcW w:w="1039"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206</w:t>
            </w:r>
          </w:p>
        </w:tc>
        <w:tc>
          <w:tcPr>
            <w:tcW w:w="1040"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98</w:t>
            </w:r>
          </w:p>
        </w:tc>
      </w:tr>
      <w:tr w:rsidR="0023236B" w:rsidRPr="0023236B" w:rsidTr="0023236B">
        <w:trPr>
          <w:trHeight w:val="300"/>
        </w:trPr>
        <w:tc>
          <w:tcPr>
            <w:tcW w:w="1858" w:type="dxa"/>
            <w:tcBorders>
              <w:top w:val="nil"/>
              <w:left w:val="nil"/>
              <w:bottom w:val="nil"/>
              <w:right w:val="nil"/>
            </w:tcBorders>
            <w:shd w:val="clear" w:color="000000" w:fill="7F7F7F"/>
            <w:noWrap/>
            <w:vAlign w:val="center"/>
            <w:hideMark/>
          </w:tcPr>
          <w:p w:rsidR="0023236B" w:rsidRPr="0023236B" w:rsidRDefault="0023236B" w:rsidP="0023236B">
            <w:pPr>
              <w:rPr>
                <w:rFonts w:cs="Arial"/>
                <w:b/>
                <w:bCs/>
                <w:color w:val="FFFFFF"/>
                <w:szCs w:val="18"/>
                <w:lang w:eastAsia="en-AU"/>
              </w:rPr>
            </w:pPr>
            <w:r w:rsidRPr="0023236B">
              <w:rPr>
                <w:rFonts w:cs="Arial"/>
                <w:b/>
                <w:bCs/>
                <w:color w:val="FFFFFF"/>
                <w:szCs w:val="18"/>
                <w:lang w:eastAsia="en-AU"/>
              </w:rPr>
              <w:t>Total</w:t>
            </w:r>
          </w:p>
        </w:tc>
        <w:tc>
          <w:tcPr>
            <w:tcW w:w="1039" w:type="dxa"/>
            <w:tcBorders>
              <w:top w:val="nil"/>
              <w:left w:val="nil"/>
              <w:bottom w:val="nil"/>
              <w:right w:val="nil"/>
            </w:tcBorders>
            <w:shd w:val="clear" w:color="000000" w:fill="7F7F7F"/>
            <w:noWrap/>
            <w:vAlign w:val="center"/>
            <w:hideMark/>
          </w:tcPr>
          <w:p w:rsidR="0023236B" w:rsidRPr="0023236B" w:rsidRDefault="0023236B" w:rsidP="0023236B">
            <w:pPr>
              <w:jc w:val="right"/>
              <w:rPr>
                <w:rFonts w:cs="Arial"/>
                <w:b/>
                <w:bCs/>
                <w:color w:val="FFFFFF"/>
                <w:szCs w:val="18"/>
                <w:lang w:eastAsia="en-AU"/>
              </w:rPr>
            </w:pPr>
            <w:r w:rsidRPr="0023236B">
              <w:rPr>
                <w:rFonts w:cs="Arial"/>
                <w:b/>
                <w:bCs/>
                <w:color w:val="FFFFFF"/>
                <w:szCs w:val="18"/>
                <w:lang w:eastAsia="en-AU"/>
              </w:rPr>
              <w:t>34,262</w:t>
            </w:r>
          </w:p>
        </w:tc>
        <w:tc>
          <w:tcPr>
            <w:tcW w:w="1040" w:type="dxa"/>
            <w:tcBorders>
              <w:top w:val="nil"/>
              <w:left w:val="nil"/>
              <w:bottom w:val="nil"/>
              <w:right w:val="nil"/>
            </w:tcBorders>
            <w:shd w:val="clear" w:color="000000" w:fill="7F7F7F"/>
            <w:noWrap/>
            <w:vAlign w:val="center"/>
            <w:hideMark/>
          </w:tcPr>
          <w:p w:rsidR="0023236B" w:rsidRPr="0023236B" w:rsidRDefault="0023236B" w:rsidP="0023236B">
            <w:pPr>
              <w:jc w:val="right"/>
              <w:rPr>
                <w:rFonts w:cs="Arial"/>
                <w:b/>
                <w:bCs/>
                <w:color w:val="FFFFFF"/>
                <w:szCs w:val="18"/>
                <w:lang w:eastAsia="en-AU"/>
              </w:rPr>
            </w:pPr>
            <w:r w:rsidRPr="0023236B">
              <w:rPr>
                <w:rFonts w:cs="Arial"/>
                <w:b/>
                <w:bCs/>
                <w:color w:val="FFFFFF"/>
                <w:szCs w:val="18"/>
                <w:lang w:eastAsia="en-AU"/>
              </w:rPr>
              <w:t>46,935</w:t>
            </w:r>
          </w:p>
        </w:tc>
        <w:tc>
          <w:tcPr>
            <w:tcW w:w="1039" w:type="dxa"/>
            <w:tcBorders>
              <w:top w:val="nil"/>
              <w:left w:val="nil"/>
              <w:bottom w:val="nil"/>
              <w:right w:val="nil"/>
            </w:tcBorders>
            <w:shd w:val="clear" w:color="000000" w:fill="7F7F7F"/>
            <w:noWrap/>
            <w:vAlign w:val="center"/>
            <w:hideMark/>
          </w:tcPr>
          <w:p w:rsidR="0023236B" w:rsidRPr="0023236B" w:rsidRDefault="0023236B" w:rsidP="0023236B">
            <w:pPr>
              <w:jc w:val="right"/>
              <w:rPr>
                <w:rFonts w:cs="Arial"/>
                <w:b/>
                <w:bCs/>
                <w:color w:val="FFFFFF"/>
                <w:szCs w:val="18"/>
                <w:lang w:eastAsia="en-AU"/>
              </w:rPr>
            </w:pPr>
            <w:r w:rsidRPr="0023236B">
              <w:rPr>
                <w:rFonts w:cs="Arial"/>
                <w:b/>
                <w:bCs/>
                <w:color w:val="FFFFFF"/>
                <w:szCs w:val="18"/>
                <w:lang w:eastAsia="en-AU"/>
              </w:rPr>
              <w:t>63,609</w:t>
            </w:r>
          </w:p>
        </w:tc>
        <w:tc>
          <w:tcPr>
            <w:tcW w:w="1040" w:type="dxa"/>
            <w:tcBorders>
              <w:top w:val="nil"/>
              <w:left w:val="nil"/>
              <w:bottom w:val="nil"/>
              <w:right w:val="nil"/>
            </w:tcBorders>
            <w:shd w:val="clear" w:color="000000" w:fill="7F7F7F"/>
            <w:noWrap/>
            <w:vAlign w:val="center"/>
            <w:hideMark/>
          </w:tcPr>
          <w:p w:rsidR="0023236B" w:rsidRPr="0023236B" w:rsidRDefault="0023236B" w:rsidP="0023236B">
            <w:pPr>
              <w:jc w:val="right"/>
              <w:rPr>
                <w:rFonts w:cs="Arial"/>
                <w:b/>
                <w:bCs/>
                <w:color w:val="FFFFFF"/>
                <w:szCs w:val="18"/>
                <w:lang w:eastAsia="en-AU"/>
              </w:rPr>
            </w:pPr>
            <w:r w:rsidRPr="0023236B">
              <w:rPr>
                <w:rFonts w:cs="Arial"/>
                <w:b/>
                <w:bCs/>
                <w:color w:val="FFFFFF"/>
                <w:szCs w:val="18"/>
                <w:lang w:eastAsia="en-AU"/>
              </w:rPr>
              <w:t>41,087</w:t>
            </w:r>
          </w:p>
        </w:tc>
        <w:tc>
          <w:tcPr>
            <w:tcW w:w="1039" w:type="dxa"/>
            <w:tcBorders>
              <w:top w:val="nil"/>
              <w:left w:val="nil"/>
              <w:bottom w:val="nil"/>
              <w:right w:val="nil"/>
            </w:tcBorders>
            <w:shd w:val="clear" w:color="000000" w:fill="7F7F7F"/>
            <w:noWrap/>
            <w:vAlign w:val="center"/>
            <w:hideMark/>
          </w:tcPr>
          <w:p w:rsidR="0023236B" w:rsidRPr="0023236B" w:rsidRDefault="0023236B" w:rsidP="0023236B">
            <w:pPr>
              <w:jc w:val="right"/>
              <w:rPr>
                <w:rFonts w:cs="Arial"/>
                <w:b/>
                <w:bCs/>
                <w:color w:val="FFFFFF"/>
                <w:szCs w:val="18"/>
                <w:lang w:eastAsia="en-AU"/>
              </w:rPr>
            </w:pPr>
            <w:r w:rsidRPr="0023236B">
              <w:rPr>
                <w:rFonts w:cs="Arial"/>
                <w:b/>
                <w:bCs/>
                <w:color w:val="FFFFFF"/>
                <w:szCs w:val="18"/>
                <w:lang w:eastAsia="en-AU"/>
              </w:rPr>
              <w:t>30,724</w:t>
            </w:r>
          </w:p>
        </w:tc>
        <w:tc>
          <w:tcPr>
            <w:tcW w:w="1040" w:type="dxa"/>
            <w:tcBorders>
              <w:top w:val="nil"/>
              <w:left w:val="nil"/>
              <w:bottom w:val="nil"/>
              <w:right w:val="nil"/>
            </w:tcBorders>
            <w:shd w:val="clear" w:color="000000" w:fill="7F7F7F"/>
            <w:noWrap/>
            <w:vAlign w:val="center"/>
            <w:hideMark/>
          </w:tcPr>
          <w:p w:rsidR="0023236B" w:rsidRPr="0023236B" w:rsidRDefault="0023236B" w:rsidP="0023236B">
            <w:pPr>
              <w:jc w:val="right"/>
              <w:rPr>
                <w:rFonts w:cs="Arial"/>
                <w:b/>
                <w:bCs/>
                <w:color w:val="FFFFFF"/>
                <w:szCs w:val="18"/>
                <w:lang w:eastAsia="en-AU"/>
              </w:rPr>
            </w:pPr>
            <w:r w:rsidRPr="0023236B">
              <w:rPr>
                <w:rFonts w:cs="Arial"/>
                <w:b/>
                <w:bCs/>
                <w:color w:val="FFFFFF"/>
                <w:szCs w:val="18"/>
                <w:lang w:eastAsia="en-AU"/>
              </w:rPr>
              <w:t>20,258</w:t>
            </w:r>
          </w:p>
        </w:tc>
      </w:tr>
    </w:tbl>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4A0" w:firstRow="1" w:lastRow="0" w:firstColumn="1" w:lastColumn="0" w:noHBand="0" w:noVBand="1"/>
      </w:tblPr>
      <w:tblGrid>
        <w:gridCol w:w="431"/>
        <w:gridCol w:w="7649"/>
      </w:tblGrid>
      <w:tr w:rsidR="0023236B" w:rsidRPr="00913551" w:rsidTr="0023236B">
        <w:tc>
          <w:tcPr>
            <w:tcW w:w="431" w:type="dxa"/>
            <w:tcMar>
              <w:left w:w="0" w:type="dxa"/>
              <w:right w:w="28" w:type="dxa"/>
            </w:tcMar>
          </w:tcPr>
          <w:p w:rsidR="0023236B" w:rsidRPr="00913551" w:rsidRDefault="0023236B" w:rsidP="0023236B">
            <w:pPr>
              <w:spacing w:after="0" w:line="240" w:lineRule="auto"/>
              <w:jc w:val="right"/>
              <w:rPr>
                <w:color w:val="7F7F7F" w:themeColor="text2"/>
                <w:sz w:val="16"/>
                <w:szCs w:val="16"/>
              </w:rPr>
            </w:pPr>
            <w:r w:rsidRPr="00913551">
              <w:rPr>
                <w:color w:val="7F7F7F" w:themeColor="text2"/>
                <w:sz w:val="16"/>
                <w:szCs w:val="16"/>
              </w:rPr>
              <w:t xml:space="preserve">* </w:t>
            </w:r>
          </w:p>
        </w:tc>
        <w:tc>
          <w:tcPr>
            <w:tcW w:w="7649" w:type="dxa"/>
            <w:tcMar>
              <w:left w:w="0" w:type="dxa"/>
              <w:right w:w="28" w:type="dxa"/>
            </w:tcMar>
          </w:tcPr>
          <w:p w:rsidR="0023236B" w:rsidRPr="00913551" w:rsidRDefault="0023236B" w:rsidP="0023236B">
            <w:pPr>
              <w:pStyle w:val="Note"/>
              <w:spacing w:after="0"/>
              <w:rPr>
                <w:i w:val="0"/>
                <w:color w:val="7F7F7F" w:themeColor="text2"/>
              </w:rPr>
            </w:pPr>
            <w:r w:rsidRPr="00913551">
              <w:t>‘Other’ includes age under 15 years old, 65 years and over or not stated.</w:t>
            </w:r>
          </w:p>
        </w:tc>
      </w:tr>
    </w:tbl>
    <w:p w:rsidR="00674718" w:rsidRDefault="00674718" w:rsidP="00AB62FC">
      <w:pPr>
        <w:pStyle w:val="Quote"/>
        <w:rPr>
          <w:b w:val="0"/>
          <w:sz w:val="18"/>
          <w:szCs w:val="18"/>
        </w:rPr>
      </w:pPr>
    </w:p>
    <w:p w:rsidR="00674718" w:rsidRDefault="00674718" w:rsidP="00AB62FC">
      <w:pPr>
        <w:pStyle w:val="Quote"/>
        <w:rPr>
          <w:b w:val="0"/>
          <w:sz w:val="18"/>
          <w:szCs w:val="18"/>
        </w:rPr>
      </w:pP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23236B" w:rsidTr="0023236B">
        <w:tc>
          <w:tcPr>
            <w:tcW w:w="1134" w:type="dxa"/>
            <w:tcMar>
              <w:left w:w="0" w:type="dxa"/>
              <w:right w:w="0" w:type="dxa"/>
            </w:tcMar>
          </w:tcPr>
          <w:p w:rsidR="0023236B" w:rsidRDefault="0005261F" w:rsidP="0023236B">
            <w:pPr>
              <w:pStyle w:val="Quote"/>
              <w:tabs>
                <w:tab w:val="left" w:pos="1134"/>
              </w:tabs>
              <w:rPr>
                <w:b w:val="0"/>
                <w:color w:val="B41F22" w:themeColor="accent1"/>
              </w:rPr>
            </w:pPr>
            <w:r>
              <w:rPr>
                <w:b w:val="0"/>
                <w:color w:val="B41F22" w:themeColor="accent1"/>
              </w:rPr>
              <w:t>Table 3</w:t>
            </w:r>
            <w:r w:rsidR="0023236B">
              <w:rPr>
                <w:b w:val="0"/>
                <w:color w:val="B41F22" w:themeColor="accent1"/>
              </w:rPr>
              <w:t>.7.2:</w:t>
            </w:r>
          </w:p>
        </w:tc>
        <w:tc>
          <w:tcPr>
            <w:tcW w:w="6946" w:type="dxa"/>
            <w:tcMar>
              <w:left w:w="0" w:type="dxa"/>
              <w:right w:w="0" w:type="dxa"/>
            </w:tcMar>
          </w:tcPr>
          <w:p w:rsidR="0023236B" w:rsidRDefault="0023236B" w:rsidP="0023236B">
            <w:pPr>
              <w:pStyle w:val="Quote"/>
              <w:tabs>
                <w:tab w:val="left" w:pos="1134"/>
              </w:tabs>
              <w:rPr>
                <w:b w:val="0"/>
                <w:color w:val="B41F22" w:themeColor="accent1"/>
              </w:rPr>
            </w:pPr>
            <w:r w:rsidRPr="0023236B">
              <w:rPr>
                <w:b w:val="0"/>
                <w:color w:val="B41F22" w:themeColor="accent1"/>
              </w:rPr>
              <w:t>Change in number of government subsidised trainee course enrolments by age group (half year)</w:t>
            </w:r>
          </w:p>
        </w:tc>
      </w:tr>
    </w:tbl>
    <w:tbl>
      <w:tblPr>
        <w:tblW w:w="8095" w:type="dxa"/>
        <w:tblInd w:w="93" w:type="dxa"/>
        <w:tblLayout w:type="fixed"/>
        <w:tblLook w:val="04A0" w:firstRow="1" w:lastRow="0" w:firstColumn="1" w:lastColumn="0" w:noHBand="0" w:noVBand="1"/>
      </w:tblPr>
      <w:tblGrid>
        <w:gridCol w:w="2425"/>
        <w:gridCol w:w="1134"/>
        <w:gridCol w:w="1134"/>
        <w:gridCol w:w="1134"/>
        <w:gridCol w:w="1134"/>
        <w:gridCol w:w="1134"/>
      </w:tblGrid>
      <w:tr w:rsidR="0023236B" w:rsidRPr="0023236B" w:rsidTr="0023236B">
        <w:trPr>
          <w:trHeight w:val="720"/>
        </w:trPr>
        <w:tc>
          <w:tcPr>
            <w:tcW w:w="2425" w:type="dxa"/>
            <w:tcBorders>
              <w:top w:val="nil"/>
              <w:left w:val="nil"/>
              <w:bottom w:val="nil"/>
              <w:right w:val="nil"/>
            </w:tcBorders>
            <w:shd w:val="clear" w:color="000000" w:fill="7F7F7F"/>
            <w:noWrap/>
            <w:vAlign w:val="center"/>
            <w:hideMark/>
          </w:tcPr>
          <w:p w:rsidR="0023236B" w:rsidRPr="0023236B" w:rsidRDefault="0023236B" w:rsidP="0023236B">
            <w:pPr>
              <w:rPr>
                <w:rFonts w:cs="Arial"/>
                <w:color w:val="FFFFFF"/>
                <w:szCs w:val="18"/>
                <w:lang w:eastAsia="en-AU"/>
              </w:rPr>
            </w:pPr>
            <w:r w:rsidRPr="0023236B">
              <w:rPr>
                <w:rFonts w:cs="Arial"/>
                <w:color w:val="FFFFFF"/>
                <w:szCs w:val="18"/>
                <w:lang w:eastAsia="en-AU"/>
              </w:rPr>
              <w:t> </w:t>
            </w:r>
          </w:p>
        </w:tc>
        <w:tc>
          <w:tcPr>
            <w:tcW w:w="1134" w:type="dxa"/>
            <w:tcBorders>
              <w:top w:val="nil"/>
              <w:left w:val="nil"/>
              <w:bottom w:val="nil"/>
              <w:right w:val="nil"/>
            </w:tcBorders>
            <w:shd w:val="clear" w:color="000000" w:fill="7F7F7F"/>
            <w:vAlign w:val="center"/>
            <w:hideMark/>
          </w:tcPr>
          <w:p w:rsidR="0023236B" w:rsidRPr="0023236B" w:rsidRDefault="0023236B" w:rsidP="0023236B">
            <w:pPr>
              <w:jc w:val="right"/>
              <w:rPr>
                <w:rFonts w:cs="Arial"/>
                <w:b/>
                <w:bCs/>
                <w:color w:val="FFFFFF"/>
                <w:szCs w:val="18"/>
                <w:lang w:eastAsia="en-AU"/>
              </w:rPr>
            </w:pPr>
            <w:r w:rsidRPr="0023236B">
              <w:rPr>
                <w:rFonts w:cs="Arial"/>
                <w:b/>
                <w:bCs/>
                <w:color w:val="FFFFFF"/>
                <w:szCs w:val="18"/>
                <w:lang w:eastAsia="en-AU"/>
              </w:rPr>
              <w:t>% change 2010 to 2015</w:t>
            </w:r>
          </w:p>
        </w:tc>
        <w:tc>
          <w:tcPr>
            <w:tcW w:w="1134" w:type="dxa"/>
            <w:tcBorders>
              <w:top w:val="nil"/>
              <w:left w:val="nil"/>
              <w:bottom w:val="nil"/>
              <w:right w:val="nil"/>
            </w:tcBorders>
            <w:shd w:val="clear" w:color="000000" w:fill="7F7F7F"/>
            <w:vAlign w:val="center"/>
            <w:hideMark/>
          </w:tcPr>
          <w:p w:rsidR="0023236B" w:rsidRPr="0023236B" w:rsidRDefault="0023236B" w:rsidP="0023236B">
            <w:pPr>
              <w:jc w:val="right"/>
              <w:rPr>
                <w:rFonts w:cs="Arial"/>
                <w:b/>
                <w:bCs/>
                <w:color w:val="FFFFFF"/>
                <w:szCs w:val="18"/>
                <w:lang w:eastAsia="en-AU"/>
              </w:rPr>
            </w:pPr>
            <w:r w:rsidRPr="0023236B">
              <w:rPr>
                <w:rFonts w:cs="Arial"/>
                <w:b/>
                <w:bCs/>
                <w:color w:val="FFFFFF"/>
                <w:szCs w:val="18"/>
                <w:lang w:eastAsia="en-AU"/>
              </w:rPr>
              <w:t>% change 2011 to 2015</w:t>
            </w:r>
          </w:p>
        </w:tc>
        <w:tc>
          <w:tcPr>
            <w:tcW w:w="1134" w:type="dxa"/>
            <w:tcBorders>
              <w:top w:val="nil"/>
              <w:left w:val="nil"/>
              <w:bottom w:val="nil"/>
              <w:right w:val="nil"/>
            </w:tcBorders>
            <w:shd w:val="clear" w:color="000000" w:fill="7F7F7F"/>
            <w:vAlign w:val="center"/>
            <w:hideMark/>
          </w:tcPr>
          <w:p w:rsidR="0023236B" w:rsidRPr="0023236B" w:rsidRDefault="0023236B" w:rsidP="0023236B">
            <w:pPr>
              <w:jc w:val="right"/>
              <w:rPr>
                <w:rFonts w:cs="Arial"/>
                <w:b/>
                <w:bCs/>
                <w:color w:val="FFFFFF"/>
                <w:szCs w:val="18"/>
                <w:lang w:eastAsia="en-AU"/>
              </w:rPr>
            </w:pPr>
            <w:r w:rsidRPr="0023236B">
              <w:rPr>
                <w:rFonts w:cs="Arial"/>
                <w:b/>
                <w:bCs/>
                <w:color w:val="FFFFFF"/>
                <w:szCs w:val="18"/>
                <w:lang w:eastAsia="en-AU"/>
              </w:rPr>
              <w:t>% change 2012 to 2015</w:t>
            </w:r>
          </w:p>
        </w:tc>
        <w:tc>
          <w:tcPr>
            <w:tcW w:w="1134" w:type="dxa"/>
            <w:tcBorders>
              <w:top w:val="nil"/>
              <w:left w:val="nil"/>
              <w:bottom w:val="nil"/>
              <w:right w:val="nil"/>
            </w:tcBorders>
            <w:shd w:val="clear" w:color="000000" w:fill="7F7F7F"/>
            <w:vAlign w:val="center"/>
            <w:hideMark/>
          </w:tcPr>
          <w:p w:rsidR="0023236B" w:rsidRPr="0023236B" w:rsidRDefault="0023236B" w:rsidP="0023236B">
            <w:pPr>
              <w:jc w:val="right"/>
              <w:rPr>
                <w:rFonts w:cs="Arial"/>
                <w:b/>
                <w:bCs/>
                <w:color w:val="FFFFFF"/>
                <w:szCs w:val="18"/>
                <w:lang w:eastAsia="en-AU"/>
              </w:rPr>
            </w:pPr>
            <w:r w:rsidRPr="0023236B">
              <w:rPr>
                <w:rFonts w:cs="Arial"/>
                <w:b/>
                <w:bCs/>
                <w:color w:val="FFFFFF"/>
                <w:szCs w:val="18"/>
                <w:lang w:eastAsia="en-AU"/>
              </w:rPr>
              <w:t>% change 2013 to 2015</w:t>
            </w:r>
          </w:p>
        </w:tc>
        <w:tc>
          <w:tcPr>
            <w:tcW w:w="1134" w:type="dxa"/>
            <w:tcBorders>
              <w:top w:val="nil"/>
              <w:left w:val="nil"/>
              <w:bottom w:val="nil"/>
              <w:right w:val="nil"/>
            </w:tcBorders>
            <w:shd w:val="clear" w:color="000000" w:fill="7F7F7F"/>
            <w:vAlign w:val="center"/>
            <w:hideMark/>
          </w:tcPr>
          <w:p w:rsidR="0023236B" w:rsidRPr="0023236B" w:rsidRDefault="0023236B" w:rsidP="0023236B">
            <w:pPr>
              <w:jc w:val="right"/>
              <w:rPr>
                <w:rFonts w:cs="Arial"/>
                <w:b/>
                <w:bCs/>
                <w:color w:val="FFFFFF"/>
                <w:szCs w:val="18"/>
                <w:lang w:eastAsia="en-AU"/>
              </w:rPr>
            </w:pPr>
            <w:r w:rsidRPr="0023236B">
              <w:rPr>
                <w:rFonts w:cs="Arial"/>
                <w:b/>
                <w:bCs/>
                <w:color w:val="FFFFFF"/>
                <w:szCs w:val="18"/>
                <w:lang w:eastAsia="en-AU"/>
              </w:rPr>
              <w:t>% change 2014 to 2015</w:t>
            </w:r>
          </w:p>
        </w:tc>
      </w:tr>
      <w:tr w:rsidR="0023236B" w:rsidRPr="0023236B" w:rsidTr="0023236B">
        <w:trPr>
          <w:trHeight w:val="300"/>
        </w:trPr>
        <w:tc>
          <w:tcPr>
            <w:tcW w:w="2425" w:type="dxa"/>
            <w:tcBorders>
              <w:top w:val="nil"/>
              <w:left w:val="nil"/>
              <w:bottom w:val="nil"/>
              <w:right w:val="nil"/>
            </w:tcBorders>
            <w:shd w:val="clear" w:color="auto" w:fill="auto"/>
            <w:vAlign w:val="center"/>
            <w:hideMark/>
          </w:tcPr>
          <w:p w:rsidR="0023236B" w:rsidRPr="0023236B" w:rsidRDefault="0023236B" w:rsidP="0023236B">
            <w:pPr>
              <w:rPr>
                <w:rFonts w:cs="Arial"/>
                <w:color w:val="7F7F7F"/>
                <w:szCs w:val="18"/>
                <w:lang w:eastAsia="en-AU"/>
              </w:rPr>
            </w:pPr>
            <w:r w:rsidRPr="0023236B">
              <w:rPr>
                <w:rFonts w:cs="Arial"/>
                <w:color w:val="7F7F7F"/>
                <w:szCs w:val="18"/>
                <w:lang w:eastAsia="en-AU"/>
              </w:rPr>
              <w:t>15 to 19</w:t>
            </w:r>
          </w:p>
        </w:tc>
        <w:tc>
          <w:tcPr>
            <w:tcW w:w="1134"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-55%</w:t>
            </w:r>
          </w:p>
        </w:tc>
        <w:tc>
          <w:tcPr>
            <w:tcW w:w="1134"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-60%</w:t>
            </w:r>
          </w:p>
        </w:tc>
        <w:tc>
          <w:tcPr>
            <w:tcW w:w="1134"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-64%</w:t>
            </w:r>
          </w:p>
        </w:tc>
        <w:tc>
          <w:tcPr>
            <w:tcW w:w="1134"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-37%</w:t>
            </w:r>
          </w:p>
        </w:tc>
        <w:tc>
          <w:tcPr>
            <w:tcW w:w="1134"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-23%</w:t>
            </w:r>
          </w:p>
        </w:tc>
      </w:tr>
      <w:tr w:rsidR="0023236B" w:rsidRPr="0023236B" w:rsidTr="0023236B">
        <w:trPr>
          <w:trHeight w:val="300"/>
        </w:trPr>
        <w:tc>
          <w:tcPr>
            <w:tcW w:w="2425" w:type="dxa"/>
            <w:tcBorders>
              <w:top w:val="nil"/>
              <w:left w:val="nil"/>
              <w:bottom w:val="nil"/>
              <w:right w:val="nil"/>
            </w:tcBorders>
            <w:shd w:val="clear" w:color="auto" w:fill="auto"/>
            <w:vAlign w:val="center"/>
            <w:hideMark/>
          </w:tcPr>
          <w:p w:rsidR="0023236B" w:rsidRPr="0023236B" w:rsidRDefault="0023236B" w:rsidP="0023236B">
            <w:pPr>
              <w:rPr>
                <w:rFonts w:cs="Arial"/>
                <w:color w:val="7F7F7F"/>
                <w:szCs w:val="18"/>
                <w:lang w:eastAsia="en-AU"/>
              </w:rPr>
            </w:pPr>
            <w:r w:rsidRPr="0023236B">
              <w:rPr>
                <w:rFonts w:cs="Arial"/>
                <w:color w:val="7F7F7F"/>
                <w:szCs w:val="18"/>
                <w:lang w:eastAsia="en-AU"/>
              </w:rPr>
              <w:t>20 to 24</w:t>
            </w:r>
          </w:p>
        </w:tc>
        <w:tc>
          <w:tcPr>
            <w:tcW w:w="1134"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-43%</w:t>
            </w:r>
          </w:p>
        </w:tc>
        <w:tc>
          <w:tcPr>
            <w:tcW w:w="1134"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-55%</w:t>
            </w:r>
          </w:p>
        </w:tc>
        <w:tc>
          <w:tcPr>
            <w:tcW w:w="1134"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-60%</w:t>
            </w:r>
          </w:p>
        </w:tc>
        <w:tc>
          <w:tcPr>
            <w:tcW w:w="1134"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-36%</w:t>
            </w:r>
          </w:p>
        </w:tc>
        <w:tc>
          <w:tcPr>
            <w:tcW w:w="1134"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-17%</w:t>
            </w:r>
          </w:p>
        </w:tc>
      </w:tr>
      <w:tr w:rsidR="0023236B" w:rsidRPr="0023236B" w:rsidTr="0023236B">
        <w:trPr>
          <w:trHeight w:val="300"/>
        </w:trPr>
        <w:tc>
          <w:tcPr>
            <w:tcW w:w="2425" w:type="dxa"/>
            <w:tcBorders>
              <w:top w:val="nil"/>
              <w:left w:val="nil"/>
              <w:bottom w:val="nil"/>
              <w:right w:val="nil"/>
            </w:tcBorders>
            <w:shd w:val="clear" w:color="auto" w:fill="auto"/>
            <w:vAlign w:val="center"/>
            <w:hideMark/>
          </w:tcPr>
          <w:p w:rsidR="0023236B" w:rsidRPr="0023236B" w:rsidRDefault="0023236B" w:rsidP="0023236B">
            <w:pPr>
              <w:rPr>
                <w:rFonts w:cs="Arial"/>
                <w:color w:val="7F7F7F"/>
                <w:szCs w:val="18"/>
                <w:lang w:eastAsia="en-AU"/>
              </w:rPr>
            </w:pPr>
            <w:r w:rsidRPr="0023236B">
              <w:rPr>
                <w:rFonts w:cs="Arial"/>
                <w:color w:val="7F7F7F"/>
                <w:szCs w:val="18"/>
                <w:lang w:eastAsia="en-AU"/>
              </w:rPr>
              <w:t>25 to 44</w:t>
            </w:r>
          </w:p>
        </w:tc>
        <w:tc>
          <w:tcPr>
            <w:tcW w:w="1134"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-32%</w:t>
            </w:r>
          </w:p>
        </w:tc>
        <w:tc>
          <w:tcPr>
            <w:tcW w:w="1134"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-57%</w:t>
            </w:r>
          </w:p>
        </w:tc>
        <w:tc>
          <w:tcPr>
            <w:tcW w:w="1134"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-72%</w:t>
            </w:r>
          </w:p>
        </w:tc>
        <w:tc>
          <w:tcPr>
            <w:tcW w:w="1134"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-58%</w:t>
            </w:r>
          </w:p>
        </w:tc>
        <w:tc>
          <w:tcPr>
            <w:tcW w:w="1134"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-42%</w:t>
            </w:r>
          </w:p>
        </w:tc>
      </w:tr>
      <w:tr w:rsidR="0023236B" w:rsidRPr="0023236B" w:rsidTr="0023236B">
        <w:trPr>
          <w:trHeight w:val="300"/>
        </w:trPr>
        <w:tc>
          <w:tcPr>
            <w:tcW w:w="2425" w:type="dxa"/>
            <w:tcBorders>
              <w:top w:val="nil"/>
              <w:left w:val="nil"/>
              <w:bottom w:val="nil"/>
              <w:right w:val="nil"/>
            </w:tcBorders>
            <w:shd w:val="clear" w:color="auto" w:fill="auto"/>
            <w:vAlign w:val="center"/>
            <w:hideMark/>
          </w:tcPr>
          <w:p w:rsidR="0023236B" w:rsidRPr="0023236B" w:rsidRDefault="0023236B" w:rsidP="0023236B">
            <w:pPr>
              <w:rPr>
                <w:rFonts w:cs="Arial"/>
                <w:color w:val="7F7F7F"/>
                <w:szCs w:val="18"/>
                <w:lang w:eastAsia="en-AU"/>
              </w:rPr>
            </w:pPr>
            <w:r w:rsidRPr="0023236B">
              <w:rPr>
                <w:rFonts w:cs="Arial"/>
                <w:color w:val="7F7F7F"/>
                <w:szCs w:val="18"/>
                <w:lang w:eastAsia="en-AU"/>
              </w:rPr>
              <w:t>45 to 64</w:t>
            </w:r>
          </w:p>
        </w:tc>
        <w:tc>
          <w:tcPr>
            <w:tcW w:w="1134"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-3%</w:t>
            </w:r>
          </w:p>
        </w:tc>
        <w:tc>
          <w:tcPr>
            <w:tcW w:w="1134"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-54%</w:t>
            </w:r>
          </w:p>
        </w:tc>
        <w:tc>
          <w:tcPr>
            <w:tcW w:w="1134"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-74%</w:t>
            </w:r>
          </w:p>
        </w:tc>
        <w:tc>
          <w:tcPr>
            <w:tcW w:w="1134"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-65%</w:t>
            </w:r>
          </w:p>
        </w:tc>
        <w:tc>
          <w:tcPr>
            <w:tcW w:w="1134"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-49%</w:t>
            </w:r>
          </w:p>
        </w:tc>
      </w:tr>
      <w:tr w:rsidR="0023236B" w:rsidRPr="0023236B" w:rsidTr="0023236B">
        <w:trPr>
          <w:trHeight w:val="300"/>
        </w:trPr>
        <w:tc>
          <w:tcPr>
            <w:tcW w:w="2425" w:type="dxa"/>
            <w:tcBorders>
              <w:top w:val="nil"/>
              <w:left w:val="nil"/>
              <w:bottom w:val="nil"/>
              <w:right w:val="nil"/>
            </w:tcBorders>
            <w:shd w:val="clear" w:color="auto" w:fill="auto"/>
            <w:noWrap/>
            <w:vAlign w:val="center"/>
            <w:hideMark/>
          </w:tcPr>
          <w:p w:rsidR="0023236B" w:rsidRPr="0023236B" w:rsidRDefault="0023236B" w:rsidP="0023236B">
            <w:pPr>
              <w:rPr>
                <w:rFonts w:cs="Arial"/>
                <w:color w:val="7F7F7F"/>
                <w:szCs w:val="18"/>
                <w:lang w:eastAsia="en-AU"/>
              </w:rPr>
            </w:pPr>
            <w:r w:rsidRPr="0023236B">
              <w:rPr>
                <w:rFonts w:cs="Arial"/>
                <w:color w:val="7F7F7F"/>
                <w:szCs w:val="18"/>
                <w:lang w:eastAsia="en-AU"/>
              </w:rPr>
              <w:t>Other*</w:t>
            </w:r>
          </w:p>
        </w:tc>
        <w:tc>
          <w:tcPr>
            <w:tcW w:w="1134"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1%</w:t>
            </w:r>
          </w:p>
        </w:tc>
        <w:tc>
          <w:tcPr>
            <w:tcW w:w="1134"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-48%</w:t>
            </w:r>
          </w:p>
        </w:tc>
        <w:tc>
          <w:tcPr>
            <w:tcW w:w="1134"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-73%</w:t>
            </w:r>
          </w:p>
        </w:tc>
        <w:tc>
          <w:tcPr>
            <w:tcW w:w="1134"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-69%</w:t>
            </w:r>
          </w:p>
        </w:tc>
        <w:tc>
          <w:tcPr>
            <w:tcW w:w="1134"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-52%</w:t>
            </w:r>
          </w:p>
        </w:tc>
      </w:tr>
      <w:tr w:rsidR="0023236B" w:rsidRPr="0023236B" w:rsidTr="0023236B">
        <w:trPr>
          <w:trHeight w:val="300"/>
        </w:trPr>
        <w:tc>
          <w:tcPr>
            <w:tcW w:w="2425" w:type="dxa"/>
            <w:tcBorders>
              <w:top w:val="nil"/>
              <w:left w:val="nil"/>
              <w:bottom w:val="nil"/>
              <w:right w:val="nil"/>
            </w:tcBorders>
            <w:shd w:val="clear" w:color="000000" w:fill="7F7F7F"/>
            <w:noWrap/>
            <w:vAlign w:val="center"/>
            <w:hideMark/>
          </w:tcPr>
          <w:p w:rsidR="0023236B" w:rsidRPr="0023236B" w:rsidRDefault="0023236B" w:rsidP="0023236B">
            <w:pPr>
              <w:rPr>
                <w:rFonts w:cs="Arial"/>
                <w:b/>
                <w:bCs/>
                <w:color w:val="FFFFFF"/>
                <w:szCs w:val="18"/>
                <w:lang w:eastAsia="en-AU"/>
              </w:rPr>
            </w:pPr>
            <w:r w:rsidRPr="0023236B">
              <w:rPr>
                <w:rFonts w:cs="Arial"/>
                <w:b/>
                <w:bCs/>
                <w:color w:val="FFFFFF"/>
                <w:szCs w:val="18"/>
                <w:lang w:eastAsia="en-AU"/>
              </w:rPr>
              <w:t>Total</w:t>
            </w:r>
          </w:p>
        </w:tc>
        <w:tc>
          <w:tcPr>
            <w:tcW w:w="1134" w:type="dxa"/>
            <w:tcBorders>
              <w:top w:val="nil"/>
              <w:left w:val="nil"/>
              <w:bottom w:val="nil"/>
              <w:right w:val="nil"/>
            </w:tcBorders>
            <w:shd w:val="clear" w:color="000000" w:fill="7F7F7F"/>
            <w:noWrap/>
            <w:vAlign w:val="center"/>
            <w:hideMark/>
          </w:tcPr>
          <w:p w:rsidR="0023236B" w:rsidRPr="0023236B" w:rsidRDefault="0023236B" w:rsidP="0023236B">
            <w:pPr>
              <w:jc w:val="right"/>
              <w:rPr>
                <w:rFonts w:cs="Arial"/>
                <w:b/>
                <w:bCs/>
                <w:color w:val="FFFFFF"/>
                <w:szCs w:val="18"/>
                <w:lang w:eastAsia="en-AU"/>
              </w:rPr>
            </w:pPr>
            <w:r w:rsidRPr="0023236B">
              <w:rPr>
                <w:rFonts w:cs="Arial"/>
                <w:b/>
                <w:bCs/>
                <w:color w:val="FFFFFF"/>
                <w:szCs w:val="18"/>
                <w:lang w:eastAsia="en-AU"/>
              </w:rPr>
              <w:t>-41%</w:t>
            </w:r>
          </w:p>
        </w:tc>
        <w:tc>
          <w:tcPr>
            <w:tcW w:w="1134" w:type="dxa"/>
            <w:tcBorders>
              <w:top w:val="nil"/>
              <w:left w:val="nil"/>
              <w:bottom w:val="nil"/>
              <w:right w:val="nil"/>
            </w:tcBorders>
            <w:shd w:val="clear" w:color="000000" w:fill="7F7F7F"/>
            <w:noWrap/>
            <w:vAlign w:val="center"/>
            <w:hideMark/>
          </w:tcPr>
          <w:p w:rsidR="0023236B" w:rsidRPr="0023236B" w:rsidRDefault="0023236B" w:rsidP="0023236B">
            <w:pPr>
              <w:jc w:val="right"/>
              <w:rPr>
                <w:rFonts w:cs="Arial"/>
                <w:b/>
                <w:bCs/>
                <w:color w:val="FFFFFF"/>
                <w:szCs w:val="18"/>
                <w:lang w:eastAsia="en-AU"/>
              </w:rPr>
            </w:pPr>
            <w:r w:rsidRPr="0023236B">
              <w:rPr>
                <w:rFonts w:cs="Arial"/>
                <w:b/>
                <w:bCs/>
                <w:color w:val="FFFFFF"/>
                <w:szCs w:val="18"/>
                <w:lang w:eastAsia="en-AU"/>
              </w:rPr>
              <w:t>-57%</w:t>
            </w:r>
          </w:p>
        </w:tc>
        <w:tc>
          <w:tcPr>
            <w:tcW w:w="1134" w:type="dxa"/>
            <w:tcBorders>
              <w:top w:val="nil"/>
              <w:left w:val="nil"/>
              <w:bottom w:val="nil"/>
              <w:right w:val="nil"/>
            </w:tcBorders>
            <w:shd w:val="clear" w:color="000000" w:fill="7F7F7F"/>
            <w:noWrap/>
            <w:vAlign w:val="center"/>
            <w:hideMark/>
          </w:tcPr>
          <w:p w:rsidR="0023236B" w:rsidRPr="0023236B" w:rsidRDefault="0023236B" w:rsidP="0023236B">
            <w:pPr>
              <w:jc w:val="right"/>
              <w:rPr>
                <w:rFonts w:cs="Arial"/>
                <w:b/>
                <w:bCs/>
                <w:color w:val="FFFFFF"/>
                <w:szCs w:val="18"/>
                <w:lang w:eastAsia="en-AU"/>
              </w:rPr>
            </w:pPr>
            <w:r w:rsidRPr="0023236B">
              <w:rPr>
                <w:rFonts w:cs="Arial"/>
                <w:b/>
                <w:bCs/>
                <w:color w:val="FFFFFF"/>
                <w:szCs w:val="18"/>
                <w:lang w:eastAsia="en-AU"/>
              </w:rPr>
              <w:t>-68%</w:t>
            </w:r>
          </w:p>
        </w:tc>
        <w:tc>
          <w:tcPr>
            <w:tcW w:w="1134" w:type="dxa"/>
            <w:tcBorders>
              <w:top w:val="nil"/>
              <w:left w:val="nil"/>
              <w:bottom w:val="nil"/>
              <w:right w:val="nil"/>
            </w:tcBorders>
            <w:shd w:val="clear" w:color="000000" w:fill="7F7F7F"/>
            <w:noWrap/>
            <w:vAlign w:val="center"/>
            <w:hideMark/>
          </w:tcPr>
          <w:p w:rsidR="0023236B" w:rsidRPr="0023236B" w:rsidRDefault="0023236B" w:rsidP="0023236B">
            <w:pPr>
              <w:jc w:val="right"/>
              <w:rPr>
                <w:rFonts w:cs="Arial"/>
                <w:b/>
                <w:bCs/>
                <w:color w:val="FFFFFF"/>
                <w:szCs w:val="18"/>
                <w:lang w:eastAsia="en-AU"/>
              </w:rPr>
            </w:pPr>
            <w:r w:rsidRPr="0023236B">
              <w:rPr>
                <w:rFonts w:cs="Arial"/>
                <w:b/>
                <w:bCs/>
                <w:color w:val="FFFFFF"/>
                <w:szCs w:val="18"/>
                <w:lang w:eastAsia="en-AU"/>
              </w:rPr>
              <w:t>-51%</w:t>
            </w:r>
          </w:p>
        </w:tc>
        <w:tc>
          <w:tcPr>
            <w:tcW w:w="1134" w:type="dxa"/>
            <w:tcBorders>
              <w:top w:val="nil"/>
              <w:left w:val="nil"/>
              <w:bottom w:val="nil"/>
              <w:right w:val="nil"/>
            </w:tcBorders>
            <w:shd w:val="clear" w:color="000000" w:fill="7F7F7F"/>
            <w:noWrap/>
            <w:vAlign w:val="center"/>
            <w:hideMark/>
          </w:tcPr>
          <w:p w:rsidR="0023236B" w:rsidRPr="0023236B" w:rsidRDefault="0023236B" w:rsidP="0023236B">
            <w:pPr>
              <w:jc w:val="right"/>
              <w:rPr>
                <w:rFonts w:cs="Arial"/>
                <w:b/>
                <w:bCs/>
                <w:color w:val="FFFFFF"/>
                <w:szCs w:val="18"/>
                <w:lang w:eastAsia="en-AU"/>
              </w:rPr>
            </w:pPr>
            <w:r w:rsidRPr="0023236B">
              <w:rPr>
                <w:rFonts w:cs="Arial"/>
                <w:b/>
                <w:bCs/>
                <w:color w:val="FFFFFF"/>
                <w:szCs w:val="18"/>
                <w:lang w:eastAsia="en-AU"/>
              </w:rPr>
              <w:t>-34%</w:t>
            </w:r>
          </w:p>
        </w:tc>
      </w:tr>
    </w:tbl>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4A0" w:firstRow="1" w:lastRow="0" w:firstColumn="1" w:lastColumn="0" w:noHBand="0" w:noVBand="1"/>
      </w:tblPr>
      <w:tblGrid>
        <w:gridCol w:w="431"/>
        <w:gridCol w:w="7649"/>
      </w:tblGrid>
      <w:tr w:rsidR="0023236B" w:rsidRPr="00913551" w:rsidTr="0023236B">
        <w:tc>
          <w:tcPr>
            <w:tcW w:w="431" w:type="dxa"/>
            <w:tcMar>
              <w:left w:w="0" w:type="dxa"/>
              <w:right w:w="28" w:type="dxa"/>
            </w:tcMar>
          </w:tcPr>
          <w:p w:rsidR="0023236B" w:rsidRPr="00913551" w:rsidRDefault="0023236B" w:rsidP="0023236B">
            <w:pPr>
              <w:spacing w:after="0" w:line="240" w:lineRule="auto"/>
              <w:jc w:val="right"/>
              <w:rPr>
                <w:color w:val="7F7F7F" w:themeColor="text2"/>
                <w:sz w:val="16"/>
                <w:szCs w:val="16"/>
              </w:rPr>
            </w:pPr>
            <w:r w:rsidRPr="00913551">
              <w:rPr>
                <w:color w:val="7F7F7F" w:themeColor="text2"/>
                <w:sz w:val="16"/>
                <w:szCs w:val="16"/>
              </w:rPr>
              <w:t xml:space="preserve">* </w:t>
            </w:r>
          </w:p>
        </w:tc>
        <w:tc>
          <w:tcPr>
            <w:tcW w:w="7649" w:type="dxa"/>
            <w:tcMar>
              <w:left w:w="0" w:type="dxa"/>
              <w:right w:w="28" w:type="dxa"/>
            </w:tcMar>
          </w:tcPr>
          <w:p w:rsidR="0023236B" w:rsidRPr="00913551" w:rsidRDefault="0023236B" w:rsidP="0023236B">
            <w:pPr>
              <w:pStyle w:val="Note"/>
              <w:spacing w:after="0"/>
              <w:rPr>
                <w:i w:val="0"/>
                <w:color w:val="7F7F7F" w:themeColor="text2"/>
              </w:rPr>
            </w:pPr>
            <w:r w:rsidRPr="00913551">
              <w:t>‘Other’ includes age under 15 years old, 65 years and over or not stated.</w:t>
            </w:r>
          </w:p>
        </w:tc>
      </w:tr>
    </w:tbl>
    <w:p w:rsidR="0023236B" w:rsidRDefault="0023236B" w:rsidP="00AB62FC">
      <w:pPr>
        <w:pStyle w:val="Quote"/>
        <w:rPr>
          <w:b w:val="0"/>
          <w:sz w:val="18"/>
          <w:szCs w:val="18"/>
        </w:rPr>
      </w:pPr>
    </w:p>
    <w:p w:rsidR="0023236B" w:rsidRDefault="0023236B" w:rsidP="00AB62FC">
      <w:pPr>
        <w:pStyle w:val="Quote"/>
        <w:rPr>
          <w:b w:val="0"/>
          <w:sz w:val="18"/>
          <w:szCs w:val="18"/>
        </w:rPr>
      </w:pPr>
    </w:p>
    <w:p w:rsidR="0023236B" w:rsidRDefault="0023236B">
      <w:pPr>
        <w:rPr>
          <w:color w:val="7F7F7F" w:themeColor="text2"/>
          <w:szCs w:val="18"/>
        </w:rPr>
      </w:pPr>
      <w:r>
        <w:rPr>
          <w:b/>
          <w:szCs w:val="18"/>
        </w:rPr>
        <w:br w:type="page"/>
      </w: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23236B" w:rsidTr="0023236B">
        <w:tc>
          <w:tcPr>
            <w:tcW w:w="1134" w:type="dxa"/>
            <w:tcMar>
              <w:left w:w="0" w:type="dxa"/>
              <w:right w:w="0" w:type="dxa"/>
            </w:tcMar>
          </w:tcPr>
          <w:p w:rsidR="0023236B" w:rsidRDefault="0005261F" w:rsidP="0023236B">
            <w:pPr>
              <w:pStyle w:val="Quote"/>
              <w:tabs>
                <w:tab w:val="left" w:pos="1134"/>
              </w:tabs>
              <w:rPr>
                <w:b w:val="0"/>
                <w:color w:val="B41F22" w:themeColor="accent1"/>
              </w:rPr>
            </w:pPr>
            <w:r>
              <w:rPr>
                <w:b w:val="0"/>
                <w:color w:val="B41F22" w:themeColor="accent1"/>
              </w:rPr>
              <w:lastRenderedPageBreak/>
              <w:t>Table 3</w:t>
            </w:r>
            <w:r w:rsidR="0023236B">
              <w:rPr>
                <w:b w:val="0"/>
                <w:color w:val="B41F22" w:themeColor="accent1"/>
              </w:rPr>
              <w:t>.8.1:</w:t>
            </w:r>
          </w:p>
        </w:tc>
        <w:tc>
          <w:tcPr>
            <w:tcW w:w="6946" w:type="dxa"/>
            <w:tcMar>
              <w:left w:w="0" w:type="dxa"/>
              <w:right w:w="0" w:type="dxa"/>
            </w:tcMar>
          </w:tcPr>
          <w:p w:rsidR="0023236B" w:rsidRDefault="0023236B" w:rsidP="0023236B">
            <w:pPr>
              <w:pStyle w:val="Quote"/>
              <w:tabs>
                <w:tab w:val="left" w:pos="1134"/>
              </w:tabs>
              <w:rPr>
                <w:b w:val="0"/>
                <w:color w:val="B41F22" w:themeColor="accent1"/>
              </w:rPr>
            </w:pPr>
            <w:r w:rsidRPr="0023236B">
              <w:rPr>
                <w:b w:val="0"/>
                <w:color w:val="B41F22" w:themeColor="accent1"/>
              </w:rPr>
              <w:t>Government subsidised trainee course enrolments by qualification level, 2010 to 2015 (half year)</w:t>
            </w:r>
          </w:p>
        </w:tc>
      </w:tr>
    </w:tbl>
    <w:tbl>
      <w:tblPr>
        <w:tblW w:w="8095" w:type="dxa"/>
        <w:tblInd w:w="93" w:type="dxa"/>
        <w:tblLayout w:type="fixed"/>
        <w:tblLook w:val="04A0" w:firstRow="1" w:lastRow="0" w:firstColumn="1" w:lastColumn="0" w:noHBand="0" w:noVBand="1"/>
      </w:tblPr>
      <w:tblGrid>
        <w:gridCol w:w="2283"/>
        <w:gridCol w:w="968"/>
        <w:gridCol w:w="969"/>
        <w:gridCol w:w="969"/>
        <w:gridCol w:w="968"/>
        <w:gridCol w:w="969"/>
        <w:gridCol w:w="969"/>
      </w:tblGrid>
      <w:tr w:rsidR="0023236B" w:rsidRPr="0023236B" w:rsidTr="0023236B">
        <w:trPr>
          <w:trHeight w:val="300"/>
        </w:trPr>
        <w:tc>
          <w:tcPr>
            <w:tcW w:w="2283" w:type="dxa"/>
            <w:tcBorders>
              <w:top w:val="nil"/>
              <w:left w:val="nil"/>
              <w:bottom w:val="nil"/>
              <w:right w:val="nil"/>
            </w:tcBorders>
            <w:shd w:val="clear" w:color="000000" w:fill="7F7F7F"/>
            <w:noWrap/>
            <w:vAlign w:val="center"/>
            <w:hideMark/>
          </w:tcPr>
          <w:p w:rsidR="0023236B" w:rsidRPr="0023236B" w:rsidRDefault="0023236B" w:rsidP="0023236B">
            <w:pPr>
              <w:rPr>
                <w:rFonts w:cs="Arial"/>
                <w:color w:val="FFFFFF"/>
                <w:szCs w:val="18"/>
                <w:lang w:eastAsia="en-AU"/>
              </w:rPr>
            </w:pPr>
            <w:r w:rsidRPr="0023236B">
              <w:rPr>
                <w:rFonts w:cs="Arial"/>
                <w:color w:val="FFFFFF"/>
                <w:szCs w:val="18"/>
                <w:lang w:eastAsia="en-AU"/>
              </w:rPr>
              <w:t> </w:t>
            </w:r>
          </w:p>
        </w:tc>
        <w:tc>
          <w:tcPr>
            <w:tcW w:w="968" w:type="dxa"/>
            <w:tcBorders>
              <w:top w:val="nil"/>
              <w:left w:val="nil"/>
              <w:bottom w:val="nil"/>
              <w:right w:val="nil"/>
            </w:tcBorders>
            <w:shd w:val="clear" w:color="000000" w:fill="7F7F7F"/>
            <w:noWrap/>
            <w:vAlign w:val="center"/>
            <w:hideMark/>
          </w:tcPr>
          <w:p w:rsidR="0023236B" w:rsidRPr="0023236B" w:rsidRDefault="0023236B" w:rsidP="0023236B">
            <w:pPr>
              <w:jc w:val="right"/>
              <w:rPr>
                <w:rFonts w:cs="Arial"/>
                <w:b/>
                <w:bCs/>
                <w:color w:val="FFFFFF"/>
                <w:szCs w:val="18"/>
                <w:lang w:eastAsia="en-AU"/>
              </w:rPr>
            </w:pPr>
            <w:r w:rsidRPr="0023236B">
              <w:rPr>
                <w:rFonts w:cs="Arial"/>
                <w:b/>
                <w:bCs/>
                <w:color w:val="FFFFFF"/>
                <w:szCs w:val="18"/>
                <w:lang w:eastAsia="en-AU"/>
              </w:rPr>
              <w:t>2010</w:t>
            </w:r>
          </w:p>
        </w:tc>
        <w:tc>
          <w:tcPr>
            <w:tcW w:w="969" w:type="dxa"/>
            <w:tcBorders>
              <w:top w:val="nil"/>
              <w:left w:val="nil"/>
              <w:bottom w:val="nil"/>
              <w:right w:val="nil"/>
            </w:tcBorders>
            <w:shd w:val="clear" w:color="000000" w:fill="7F7F7F"/>
            <w:noWrap/>
            <w:vAlign w:val="center"/>
            <w:hideMark/>
          </w:tcPr>
          <w:p w:rsidR="0023236B" w:rsidRPr="0023236B" w:rsidRDefault="0023236B" w:rsidP="0023236B">
            <w:pPr>
              <w:jc w:val="right"/>
              <w:rPr>
                <w:rFonts w:cs="Arial"/>
                <w:b/>
                <w:bCs/>
                <w:color w:val="FFFFFF"/>
                <w:szCs w:val="18"/>
                <w:lang w:eastAsia="en-AU"/>
              </w:rPr>
            </w:pPr>
            <w:r w:rsidRPr="0023236B">
              <w:rPr>
                <w:rFonts w:cs="Arial"/>
                <w:b/>
                <w:bCs/>
                <w:color w:val="FFFFFF"/>
                <w:szCs w:val="18"/>
                <w:lang w:eastAsia="en-AU"/>
              </w:rPr>
              <w:t>2011</w:t>
            </w:r>
          </w:p>
        </w:tc>
        <w:tc>
          <w:tcPr>
            <w:tcW w:w="969" w:type="dxa"/>
            <w:tcBorders>
              <w:top w:val="nil"/>
              <w:left w:val="nil"/>
              <w:bottom w:val="nil"/>
              <w:right w:val="nil"/>
            </w:tcBorders>
            <w:shd w:val="clear" w:color="000000" w:fill="7F7F7F"/>
            <w:noWrap/>
            <w:vAlign w:val="center"/>
            <w:hideMark/>
          </w:tcPr>
          <w:p w:rsidR="0023236B" w:rsidRPr="0023236B" w:rsidRDefault="0023236B" w:rsidP="0023236B">
            <w:pPr>
              <w:jc w:val="right"/>
              <w:rPr>
                <w:rFonts w:cs="Arial"/>
                <w:b/>
                <w:bCs/>
                <w:color w:val="FFFFFF"/>
                <w:szCs w:val="18"/>
                <w:lang w:eastAsia="en-AU"/>
              </w:rPr>
            </w:pPr>
            <w:r w:rsidRPr="0023236B">
              <w:rPr>
                <w:rFonts w:cs="Arial"/>
                <w:b/>
                <w:bCs/>
                <w:color w:val="FFFFFF"/>
                <w:szCs w:val="18"/>
                <w:lang w:eastAsia="en-AU"/>
              </w:rPr>
              <w:t>2012</w:t>
            </w:r>
          </w:p>
        </w:tc>
        <w:tc>
          <w:tcPr>
            <w:tcW w:w="968" w:type="dxa"/>
            <w:tcBorders>
              <w:top w:val="nil"/>
              <w:left w:val="nil"/>
              <w:bottom w:val="nil"/>
              <w:right w:val="nil"/>
            </w:tcBorders>
            <w:shd w:val="clear" w:color="000000" w:fill="7F7F7F"/>
            <w:noWrap/>
            <w:vAlign w:val="center"/>
            <w:hideMark/>
          </w:tcPr>
          <w:p w:rsidR="0023236B" w:rsidRPr="0023236B" w:rsidRDefault="0023236B" w:rsidP="0023236B">
            <w:pPr>
              <w:jc w:val="right"/>
              <w:rPr>
                <w:rFonts w:cs="Arial"/>
                <w:b/>
                <w:bCs/>
                <w:color w:val="FFFFFF"/>
                <w:szCs w:val="18"/>
                <w:lang w:eastAsia="en-AU"/>
              </w:rPr>
            </w:pPr>
            <w:r w:rsidRPr="0023236B">
              <w:rPr>
                <w:rFonts w:cs="Arial"/>
                <w:b/>
                <w:bCs/>
                <w:color w:val="FFFFFF"/>
                <w:szCs w:val="18"/>
                <w:lang w:eastAsia="en-AU"/>
              </w:rPr>
              <w:t>2013</w:t>
            </w:r>
          </w:p>
        </w:tc>
        <w:tc>
          <w:tcPr>
            <w:tcW w:w="969" w:type="dxa"/>
            <w:tcBorders>
              <w:top w:val="nil"/>
              <w:left w:val="nil"/>
              <w:bottom w:val="nil"/>
              <w:right w:val="nil"/>
            </w:tcBorders>
            <w:shd w:val="clear" w:color="000000" w:fill="7F7F7F"/>
            <w:noWrap/>
            <w:vAlign w:val="center"/>
            <w:hideMark/>
          </w:tcPr>
          <w:p w:rsidR="0023236B" w:rsidRPr="0023236B" w:rsidRDefault="0023236B" w:rsidP="0023236B">
            <w:pPr>
              <w:jc w:val="right"/>
              <w:rPr>
                <w:rFonts w:cs="Arial"/>
                <w:b/>
                <w:bCs/>
                <w:color w:val="FFFFFF"/>
                <w:szCs w:val="18"/>
                <w:lang w:eastAsia="en-AU"/>
              </w:rPr>
            </w:pPr>
            <w:r w:rsidRPr="0023236B">
              <w:rPr>
                <w:rFonts w:cs="Arial"/>
                <w:b/>
                <w:bCs/>
                <w:color w:val="FFFFFF"/>
                <w:szCs w:val="18"/>
                <w:lang w:eastAsia="en-AU"/>
              </w:rPr>
              <w:t>2014</w:t>
            </w:r>
          </w:p>
        </w:tc>
        <w:tc>
          <w:tcPr>
            <w:tcW w:w="969" w:type="dxa"/>
            <w:tcBorders>
              <w:top w:val="nil"/>
              <w:left w:val="nil"/>
              <w:bottom w:val="nil"/>
              <w:right w:val="nil"/>
            </w:tcBorders>
            <w:shd w:val="clear" w:color="000000" w:fill="7F7F7F"/>
            <w:noWrap/>
            <w:vAlign w:val="center"/>
            <w:hideMark/>
          </w:tcPr>
          <w:p w:rsidR="0023236B" w:rsidRPr="0023236B" w:rsidRDefault="0023236B" w:rsidP="0023236B">
            <w:pPr>
              <w:jc w:val="right"/>
              <w:rPr>
                <w:rFonts w:cs="Arial"/>
                <w:b/>
                <w:bCs/>
                <w:color w:val="FFFFFF"/>
                <w:szCs w:val="18"/>
                <w:lang w:eastAsia="en-AU"/>
              </w:rPr>
            </w:pPr>
            <w:r w:rsidRPr="0023236B">
              <w:rPr>
                <w:rFonts w:cs="Arial"/>
                <w:b/>
                <w:bCs/>
                <w:color w:val="FFFFFF"/>
                <w:szCs w:val="18"/>
                <w:lang w:eastAsia="en-AU"/>
              </w:rPr>
              <w:t>2015</w:t>
            </w:r>
          </w:p>
        </w:tc>
      </w:tr>
      <w:tr w:rsidR="0023236B" w:rsidRPr="0023236B" w:rsidTr="0023236B">
        <w:trPr>
          <w:trHeight w:val="300"/>
        </w:trPr>
        <w:tc>
          <w:tcPr>
            <w:tcW w:w="2283" w:type="dxa"/>
            <w:tcBorders>
              <w:top w:val="nil"/>
              <w:left w:val="nil"/>
              <w:bottom w:val="nil"/>
              <w:right w:val="nil"/>
            </w:tcBorders>
            <w:shd w:val="clear" w:color="auto" w:fill="auto"/>
            <w:vAlign w:val="center"/>
            <w:hideMark/>
          </w:tcPr>
          <w:p w:rsidR="0023236B" w:rsidRPr="0023236B" w:rsidRDefault="0023236B" w:rsidP="0023236B">
            <w:pPr>
              <w:rPr>
                <w:rFonts w:cs="Arial"/>
                <w:color w:val="7F7F7F"/>
                <w:szCs w:val="18"/>
                <w:lang w:eastAsia="en-AU"/>
              </w:rPr>
            </w:pPr>
            <w:r w:rsidRPr="0023236B">
              <w:rPr>
                <w:rFonts w:cs="Arial"/>
                <w:color w:val="7F7F7F"/>
                <w:szCs w:val="18"/>
                <w:lang w:eastAsia="en-AU"/>
              </w:rPr>
              <w:t>Cert I/II</w:t>
            </w:r>
          </w:p>
        </w:tc>
        <w:tc>
          <w:tcPr>
            <w:tcW w:w="968"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7,610</w:t>
            </w:r>
          </w:p>
        </w:tc>
        <w:tc>
          <w:tcPr>
            <w:tcW w:w="969"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6,807</w:t>
            </w:r>
          </w:p>
        </w:tc>
        <w:tc>
          <w:tcPr>
            <w:tcW w:w="969"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3,138</w:t>
            </w:r>
          </w:p>
        </w:tc>
        <w:tc>
          <w:tcPr>
            <w:tcW w:w="968"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1,553</w:t>
            </w:r>
          </w:p>
        </w:tc>
        <w:tc>
          <w:tcPr>
            <w:tcW w:w="969"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2,065</w:t>
            </w:r>
          </w:p>
        </w:tc>
        <w:tc>
          <w:tcPr>
            <w:tcW w:w="969"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1,387</w:t>
            </w:r>
          </w:p>
        </w:tc>
      </w:tr>
      <w:tr w:rsidR="0023236B" w:rsidRPr="0023236B" w:rsidTr="0023236B">
        <w:trPr>
          <w:trHeight w:val="300"/>
        </w:trPr>
        <w:tc>
          <w:tcPr>
            <w:tcW w:w="2283" w:type="dxa"/>
            <w:tcBorders>
              <w:top w:val="nil"/>
              <w:left w:val="nil"/>
              <w:bottom w:val="nil"/>
              <w:right w:val="nil"/>
            </w:tcBorders>
            <w:shd w:val="clear" w:color="auto" w:fill="auto"/>
            <w:vAlign w:val="center"/>
            <w:hideMark/>
          </w:tcPr>
          <w:p w:rsidR="0023236B" w:rsidRPr="0023236B" w:rsidRDefault="0023236B" w:rsidP="0023236B">
            <w:pPr>
              <w:rPr>
                <w:rFonts w:cs="Arial"/>
                <w:color w:val="7F7F7F"/>
                <w:szCs w:val="18"/>
                <w:lang w:eastAsia="en-AU"/>
              </w:rPr>
            </w:pPr>
            <w:r w:rsidRPr="0023236B">
              <w:rPr>
                <w:rFonts w:cs="Arial"/>
                <w:color w:val="7F7F7F"/>
                <w:szCs w:val="18"/>
                <w:lang w:eastAsia="en-AU"/>
              </w:rPr>
              <w:t>Cert III/IV</w:t>
            </w:r>
          </w:p>
        </w:tc>
        <w:tc>
          <w:tcPr>
            <w:tcW w:w="968"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25,402</w:t>
            </w:r>
          </w:p>
        </w:tc>
        <w:tc>
          <w:tcPr>
            <w:tcW w:w="969"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35,892</w:t>
            </w:r>
          </w:p>
        </w:tc>
        <w:tc>
          <w:tcPr>
            <w:tcW w:w="969"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51,049</w:t>
            </w:r>
          </w:p>
        </w:tc>
        <w:tc>
          <w:tcPr>
            <w:tcW w:w="968"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33,639</w:t>
            </w:r>
          </w:p>
        </w:tc>
        <w:tc>
          <w:tcPr>
            <w:tcW w:w="969"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26,664</w:t>
            </w:r>
          </w:p>
        </w:tc>
        <w:tc>
          <w:tcPr>
            <w:tcW w:w="969"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17,389</w:t>
            </w:r>
          </w:p>
        </w:tc>
      </w:tr>
      <w:tr w:rsidR="0023236B" w:rsidRPr="0023236B" w:rsidTr="0023236B">
        <w:trPr>
          <w:trHeight w:val="300"/>
        </w:trPr>
        <w:tc>
          <w:tcPr>
            <w:tcW w:w="2283" w:type="dxa"/>
            <w:tcBorders>
              <w:top w:val="nil"/>
              <w:left w:val="nil"/>
              <w:bottom w:val="nil"/>
              <w:right w:val="nil"/>
            </w:tcBorders>
            <w:shd w:val="clear" w:color="auto" w:fill="auto"/>
            <w:vAlign w:val="center"/>
            <w:hideMark/>
          </w:tcPr>
          <w:p w:rsidR="0023236B" w:rsidRPr="0023236B" w:rsidRDefault="0023236B" w:rsidP="0023236B">
            <w:pPr>
              <w:rPr>
                <w:rFonts w:cs="Arial"/>
                <w:color w:val="7F7F7F"/>
                <w:szCs w:val="18"/>
                <w:lang w:eastAsia="en-AU"/>
              </w:rPr>
            </w:pPr>
            <w:r w:rsidRPr="0023236B">
              <w:rPr>
                <w:rFonts w:cs="Arial"/>
                <w:color w:val="7F7F7F"/>
                <w:szCs w:val="18"/>
                <w:lang w:eastAsia="en-AU"/>
              </w:rPr>
              <w:t>Diploma &amp; above</w:t>
            </w:r>
          </w:p>
        </w:tc>
        <w:tc>
          <w:tcPr>
            <w:tcW w:w="968"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1,201</w:t>
            </w:r>
          </w:p>
        </w:tc>
        <w:tc>
          <w:tcPr>
            <w:tcW w:w="969"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4,236</w:t>
            </w:r>
          </w:p>
        </w:tc>
        <w:tc>
          <w:tcPr>
            <w:tcW w:w="969"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9,422</w:t>
            </w:r>
          </w:p>
        </w:tc>
        <w:tc>
          <w:tcPr>
            <w:tcW w:w="968"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5,895</w:t>
            </w:r>
          </w:p>
        </w:tc>
        <w:tc>
          <w:tcPr>
            <w:tcW w:w="969"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1,995</w:t>
            </w:r>
          </w:p>
        </w:tc>
        <w:tc>
          <w:tcPr>
            <w:tcW w:w="969"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1,482</w:t>
            </w:r>
          </w:p>
        </w:tc>
      </w:tr>
      <w:tr w:rsidR="0023236B" w:rsidRPr="0023236B" w:rsidTr="0023236B">
        <w:trPr>
          <w:trHeight w:val="300"/>
        </w:trPr>
        <w:tc>
          <w:tcPr>
            <w:tcW w:w="2283" w:type="dxa"/>
            <w:tcBorders>
              <w:top w:val="nil"/>
              <w:left w:val="nil"/>
              <w:bottom w:val="nil"/>
              <w:right w:val="nil"/>
            </w:tcBorders>
            <w:shd w:val="clear" w:color="000000" w:fill="7F7F7F"/>
            <w:noWrap/>
            <w:vAlign w:val="center"/>
            <w:hideMark/>
          </w:tcPr>
          <w:p w:rsidR="0023236B" w:rsidRPr="0023236B" w:rsidRDefault="0023236B" w:rsidP="0023236B">
            <w:pPr>
              <w:rPr>
                <w:rFonts w:cs="Arial"/>
                <w:b/>
                <w:bCs/>
                <w:color w:val="FFFFFF"/>
                <w:szCs w:val="18"/>
                <w:lang w:eastAsia="en-AU"/>
              </w:rPr>
            </w:pPr>
            <w:r w:rsidRPr="0023236B">
              <w:rPr>
                <w:rFonts w:cs="Arial"/>
                <w:b/>
                <w:bCs/>
                <w:color w:val="FFFFFF"/>
                <w:szCs w:val="18"/>
                <w:lang w:eastAsia="en-AU"/>
              </w:rPr>
              <w:t>Total*</w:t>
            </w:r>
          </w:p>
        </w:tc>
        <w:tc>
          <w:tcPr>
            <w:tcW w:w="968" w:type="dxa"/>
            <w:tcBorders>
              <w:top w:val="nil"/>
              <w:left w:val="nil"/>
              <w:bottom w:val="nil"/>
              <w:right w:val="nil"/>
            </w:tcBorders>
            <w:shd w:val="clear" w:color="000000" w:fill="7F7F7F"/>
            <w:noWrap/>
            <w:vAlign w:val="center"/>
            <w:hideMark/>
          </w:tcPr>
          <w:p w:rsidR="0023236B" w:rsidRPr="0023236B" w:rsidRDefault="0023236B" w:rsidP="0023236B">
            <w:pPr>
              <w:jc w:val="right"/>
              <w:rPr>
                <w:rFonts w:cs="Arial"/>
                <w:b/>
                <w:bCs/>
                <w:color w:val="FFFFFF"/>
                <w:szCs w:val="18"/>
                <w:lang w:eastAsia="en-AU"/>
              </w:rPr>
            </w:pPr>
            <w:r w:rsidRPr="0023236B">
              <w:rPr>
                <w:rFonts w:cs="Arial"/>
                <w:b/>
                <w:bCs/>
                <w:color w:val="FFFFFF"/>
                <w:szCs w:val="18"/>
                <w:lang w:eastAsia="en-AU"/>
              </w:rPr>
              <w:t>34,262</w:t>
            </w:r>
          </w:p>
        </w:tc>
        <w:tc>
          <w:tcPr>
            <w:tcW w:w="969" w:type="dxa"/>
            <w:tcBorders>
              <w:top w:val="nil"/>
              <w:left w:val="nil"/>
              <w:bottom w:val="nil"/>
              <w:right w:val="nil"/>
            </w:tcBorders>
            <w:shd w:val="clear" w:color="000000" w:fill="7F7F7F"/>
            <w:noWrap/>
            <w:vAlign w:val="center"/>
            <w:hideMark/>
          </w:tcPr>
          <w:p w:rsidR="0023236B" w:rsidRPr="0023236B" w:rsidRDefault="0023236B" w:rsidP="0023236B">
            <w:pPr>
              <w:jc w:val="right"/>
              <w:rPr>
                <w:rFonts w:cs="Arial"/>
                <w:b/>
                <w:bCs/>
                <w:color w:val="FFFFFF"/>
                <w:szCs w:val="18"/>
                <w:lang w:eastAsia="en-AU"/>
              </w:rPr>
            </w:pPr>
            <w:r w:rsidRPr="0023236B">
              <w:rPr>
                <w:rFonts w:cs="Arial"/>
                <w:b/>
                <w:bCs/>
                <w:color w:val="FFFFFF"/>
                <w:szCs w:val="18"/>
                <w:lang w:eastAsia="en-AU"/>
              </w:rPr>
              <w:t>46,935</w:t>
            </w:r>
          </w:p>
        </w:tc>
        <w:tc>
          <w:tcPr>
            <w:tcW w:w="969" w:type="dxa"/>
            <w:tcBorders>
              <w:top w:val="nil"/>
              <w:left w:val="nil"/>
              <w:bottom w:val="nil"/>
              <w:right w:val="nil"/>
            </w:tcBorders>
            <w:shd w:val="clear" w:color="000000" w:fill="7F7F7F"/>
            <w:noWrap/>
            <w:vAlign w:val="center"/>
            <w:hideMark/>
          </w:tcPr>
          <w:p w:rsidR="0023236B" w:rsidRPr="0023236B" w:rsidRDefault="0023236B" w:rsidP="0023236B">
            <w:pPr>
              <w:jc w:val="right"/>
              <w:rPr>
                <w:rFonts w:cs="Arial"/>
                <w:b/>
                <w:bCs/>
                <w:color w:val="FFFFFF"/>
                <w:szCs w:val="18"/>
                <w:lang w:eastAsia="en-AU"/>
              </w:rPr>
            </w:pPr>
            <w:r w:rsidRPr="0023236B">
              <w:rPr>
                <w:rFonts w:cs="Arial"/>
                <w:b/>
                <w:bCs/>
                <w:color w:val="FFFFFF"/>
                <w:szCs w:val="18"/>
                <w:lang w:eastAsia="en-AU"/>
              </w:rPr>
              <w:t>63,609</w:t>
            </w:r>
          </w:p>
        </w:tc>
        <w:tc>
          <w:tcPr>
            <w:tcW w:w="968" w:type="dxa"/>
            <w:tcBorders>
              <w:top w:val="nil"/>
              <w:left w:val="nil"/>
              <w:bottom w:val="nil"/>
              <w:right w:val="nil"/>
            </w:tcBorders>
            <w:shd w:val="clear" w:color="000000" w:fill="7F7F7F"/>
            <w:noWrap/>
            <w:vAlign w:val="center"/>
            <w:hideMark/>
          </w:tcPr>
          <w:p w:rsidR="0023236B" w:rsidRPr="0023236B" w:rsidRDefault="0023236B" w:rsidP="0023236B">
            <w:pPr>
              <w:jc w:val="right"/>
              <w:rPr>
                <w:rFonts w:cs="Arial"/>
                <w:b/>
                <w:bCs/>
                <w:color w:val="FFFFFF"/>
                <w:szCs w:val="18"/>
                <w:lang w:eastAsia="en-AU"/>
              </w:rPr>
            </w:pPr>
            <w:r w:rsidRPr="0023236B">
              <w:rPr>
                <w:rFonts w:cs="Arial"/>
                <w:b/>
                <w:bCs/>
                <w:color w:val="FFFFFF"/>
                <w:szCs w:val="18"/>
                <w:lang w:eastAsia="en-AU"/>
              </w:rPr>
              <w:t>41,087</w:t>
            </w:r>
          </w:p>
        </w:tc>
        <w:tc>
          <w:tcPr>
            <w:tcW w:w="969" w:type="dxa"/>
            <w:tcBorders>
              <w:top w:val="nil"/>
              <w:left w:val="nil"/>
              <w:bottom w:val="nil"/>
              <w:right w:val="nil"/>
            </w:tcBorders>
            <w:shd w:val="clear" w:color="000000" w:fill="7F7F7F"/>
            <w:noWrap/>
            <w:vAlign w:val="center"/>
            <w:hideMark/>
          </w:tcPr>
          <w:p w:rsidR="0023236B" w:rsidRPr="0023236B" w:rsidRDefault="0023236B" w:rsidP="0023236B">
            <w:pPr>
              <w:jc w:val="right"/>
              <w:rPr>
                <w:rFonts w:cs="Arial"/>
                <w:b/>
                <w:bCs/>
                <w:color w:val="FFFFFF"/>
                <w:szCs w:val="18"/>
                <w:lang w:eastAsia="en-AU"/>
              </w:rPr>
            </w:pPr>
            <w:r w:rsidRPr="0023236B">
              <w:rPr>
                <w:rFonts w:cs="Arial"/>
                <w:b/>
                <w:bCs/>
                <w:color w:val="FFFFFF"/>
                <w:szCs w:val="18"/>
                <w:lang w:eastAsia="en-AU"/>
              </w:rPr>
              <w:t>30,724</w:t>
            </w:r>
          </w:p>
        </w:tc>
        <w:tc>
          <w:tcPr>
            <w:tcW w:w="969" w:type="dxa"/>
            <w:tcBorders>
              <w:top w:val="nil"/>
              <w:left w:val="nil"/>
              <w:bottom w:val="nil"/>
              <w:right w:val="nil"/>
            </w:tcBorders>
            <w:shd w:val="clear" w:color="000000" w:fill="7F7F7F"/>
            <w:noWrap/>
            <w:vAlign w:val="center"/>
            <w:hideMark/>
          </w:tcPr>
          <w:p w:rsidR="0023236B" w:rsidRPr="0023236B" w:rsidRDefault="0023236B" w:rsidP="0023236B">
            <w:pPr>
              <w:jc w:val="right"/>
              <w:rPr>
                <w:rFonts w:cs="Arial"/>
                <w:b/>
                <w:bCs/>
                <w:color w:val="FFFFFF"/>
                <w:szCs w:val="18"/>
                <w:lang w:eastAsia="en-AU"/>
              </w:rPr>
            </w:pPr>
            <w:r w:rsidRPr="0023236B">
              <w:rPr>
                <w:rFonts w:cs="Arial"/>
                <w:b/>
                <w:bCs/>
                <w:color w:val="FFFFFF"/>
                <w:szCs w:val="18"/>
                <w:lang w:eastAsia="en-AU"/>
              </w:rPr>
              <w:t>20,258</w:t>
            </w:r>
          </w:p>
        </w:tc>
      </w:tr>
    </w:tbl>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4A0" w:firstRow="1" w:lastRow="0" w:firstColumn="1" w:lastColumn="0" w:noHBand="0" w:noVBand="1"/>
      </w:tblPr>
      <w:tblGrid>
        <w:gridCol w:w="431"/>
        <w:gridCol w:w="7649"/>
      </w:tblGrid>
      <w:tr w:rsidR="0023236B" w:rsidRPr="00913551" w:rsidTr="0023236B">
        <w:tc>
          <w:tcPr>
            <w:tcW w:w="431" w:type="dxa"/>
            <w:tcMar>
              <w:left w:w="0" w:type="dxa"/>
              <w:right w:w="28" w:type="dxa"/>
            </w:tcMar>
          </w:tcPr>
          <w:p w:rsidR="0023236B" w:rsidRPr="00913551" w:rsidRDefault="0023236B" w:rsidP="0023236B">
            <w:pPr>
              <w:spacing w:after="0" w:line="240" w:lineRule="auto"/>
              <w:jc w:val="right"/>
              <w:rPr>
                <w:color w:val="7F7F7F" w:themeColor="text2"/>
                <w:sz w:val="16"/>
                <w:szCs w:val="16"/>
              </w:rPr>
            </w:pPr>
            <w:r w:rsidRPr="00913551">
              <w:rPr>
                <w:color w:val="7F7F7F" w:themeColor="text2"/>
                <w:sz w:val="16"/>
                <w:szCs w:val="16"/>
              </w:rPr>
              <w:t xml:space="preserve">* </w:t>
            </w:r>
          </w:p>
        </w:tc>
        <w:tc>
          <w:tcPr>
            <w:tcW w:w="7649" w:type="dxa"/>
            <w:tcMar>
              <w:left w:w="0" w:type="dxa"/>
              <w:right w:w="28" w:type="dxa"/>
            </w:tcMar>
          </w:tcPr>
          <w:p w:rsidR="0023236B" w:rsidRPr="00913551" w:rsidRDefault="0023236B" w:rsidP="0023236B">
            <w:pPr>
              <w:pStyle w:val="Note"/>
              <w:spacing w:after="0"/>
              <w:rPr>
                <w:i w:val="0"/>
                <w:color w:val="7F7F7F" w:themeColor="text2"/>
              </w:rPr>
            </w:pPr>
            <w:r w:rsidRPr="00913551">
              <w:t>The total for 2010 includes 49 enrolments at non-AQF level, e.g. statement of attainment.</w:t>
            </w:r>
          </w:p>
        </w:tc>
      </w:tr>
    </w:tbl>
    <w:p w:rsidR="0023236B" w:rsidRDefault="0023236B" w:rsidP="00AB62FC">
      <w:pPr>
        <w:pStyle w:val="Quote"/>
        <w:rPr>
          <w:b w:val="0"/>
          <w:sz w:val="18"/>
          <w:szCs w:val="18"/>
        </w:rPr>
      </w:pPr>
    </w:p>
    <w:p w:rsidR="0023236B" w:rsidRDefault="0023236B" w:rsidP="00AB62FC">
      <w:pPr>
        <w:pStyle w:val="Quote"/>
        <w:rPr>
          <w:b w:val="0"/>
          <w:sz w:val="18"/>
          <w:szCs w:val="18"/>
        </w:rPr>
      </w:pP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23236B" w:rsidTr="0023236B">
        <w:tc>
          <w:tcPr>
            <w:tcW w:w="1134" w:type="dxa"/>
            <w:tcMar>
              <w:left w:w="0" w:type="dxa"/>
              <w:right w:w="0" w:type="dxa"/>
            </w:tcMar>
          </w:tcPr>
          <w:p w:rsidR="0023236B" w:rsidRDefault="0023236B" w:rsidP="0023236B">
            <w:pPr>
              <w:pStyle w:val="Quote"/>
              <w:tabs>
                <w:tab w:val="left" w:pos="1134"/>
              </w:tabs>
              <w:rPr>
                <w:b w:val="0"/>
                <w:color w:val="B41F22" w:themeColor="accent1"/>
              </w:rPr>
            </w:pPr>
            <w:r>
              <w:rPr>
                <w:b w:val="0"/>
                <w:color w:val="B41F22" w:themeColor="accent1"/>
              </w:rPr>
              <w:t>Table</w:t>
            </w:r>
            <w:r w:rsidR="0005261F">
              <w:rPr>
                <w:b w:val="0"/>
                <w:color w:val="B41F22" w:themeColor="accent1"/>
              </w:rPr>
              <w:t xml:space="preserve"> 3</w:t>
            </w:r>
            <w:r>
              <w:rPr>
                <w:b w:val="0"/>
                <w:color w:val="B41F22" w:themeColor="accent1"/>
              </w:rPr>
              <w:t>.8.2:</w:t>
            </w:r>
          </w:p>
        </w:tc>
        <w:tc>
          <w:tcPr>
            <w:tcW w:w="6946" w:type="dxa"/>
            <w:tcMar>
              <w:left w:w="0" w:type="dxa"/>
              <w:right w:w="0" w:type="dxa"/>
            </w:tcMar>
          </w:tcPr>
          <w:p w:rsidR="0023236B" w:rsidRDefault="0023236B" w:rsidP="0023236B">
            <w:pPr>
              <w:pStyle w:val="Quote"/>
              <w:tabs>
                <w:tab w:val="left" w:pos="1134"/>
              </w:tabs>
              <w:rPr>
                <w:b w:val="0"/>
                <w:color w:val="B41F22" w:themeColor="accent1"/>
              </w:rPr>
            </w:pPr>
            <w:r w:rsidRPr="0023236B">
              <w:rPr>
                <w:b w:val="0"/>
                <w:color w:val="B41F22" w:themeColor="accent1"/>
              </w:rPr>
              <w:t>Change in number of government subsidised trainee course enrolments by qualification level (half year)</w:t>
            </w:r>
          </w:p>
        </w:tc>
      </w:tr>
    </w:tbl>
    <w:tbl>
      <w:tblPr>
        <w:tblW w:w="8095" w:type="dxa"/>
        <w:tblInd w:w="93" w:type="dxa"/>
        <w:tblLayout w:type="fixed"/>
        <w:tblLook w:val="04A0" w:firstRow="1" w:lastRow="0" w:firstColumn="1" w:lastColumn="0" w:noHBand="0" w:noVBand="1"/>
      </w:tblPr>
      <w:tblGrid>
        <w:gridCol w:w="2283"/>
        <w:gridCol w:w="1162"/>
        <w:gridCol w:w="1162"/>
        <w:gridCol w:w="1163"/>
        <w:gridCol w:w="1162"/>
        <w:gridCol w:w="1163"/>
      </w:tblGrid>
      <w:tr w:rsidR="0023236B" w:rsidRPr="0023236B" w:rsidTr="0023236B">
        <w:trPr>
          <w:trHeight w:val="720"/>
        </w:trPr>
        <w:tc>
          <w:tcPr>
            <w:tcW w:w="2283" w:type="dxa"/>
            <w:tcBorders>
              <w:top w:val="nil"/>
              <w:left w:val="nil"/>
              <w:bottom w:val="nil"/>
              <w:right w:val="nil"/>
            </w:tcBorders>
            <w:shd w:val="clear" w:color="000000" w:fill="7F7F7F"/>
            <w:noWrap/>
            <w:vAlign w:val="center"/>
            <w:hideMark/>
          </w:tcPr>
          <w:p w:rsidR="0023236B" w:rsidRPr="0023236B" w:rsidRDefault="0023236B" w:rsidP="0023236B">
            <w:pPr>
              <w:rPr>
                <w:rFonts w:cs="Arial"/>
                <w:color w:val="FFFFFF"/>
                <w:szCs w:val="18"/>
                <w:lang w:eastAsia="en-AU"/>
              </w:rPr>
            </w:pPr>
            <w:r w:rsidRPr="0023236B">
              <w:rPr>
                <w:rFonts w:cs="Arial"/>
                <w:color w:val="FFFFFF"/>
                <w:szCs w:val="18"/>
                <w:lang w:eastAsia="en-AU"/>
              </w:rPr>
              <w:t> </w:t>
            </w:r>
          </w:p>
        </w:tc>
        <w:tc>
          <w:tcPr>
            <w:tcW w:w="1162" w:type="dxa"/>
            <w:tcBorders>
              <w:top w:val="nil"/>
              <w:left w:val="nil"/>
              <w:bottom w:val="nil"/>
              <w:right w:val="nil"/>
            </w:tcBorders>
            <w:shd w:val="clear" w:color="000000" w:fill="7F7F7F"/>
            <w:vAlign w:val="center"/>
            <w:hideMark/>
          </w:tcPr>
          <w:p w:rsidR="0023236B" w:rsidRPr="0023236B" w:rsidRDefault="0023236B" w:rsidP="0023236B">
            <w:pPr>
              <w:jc w:val="right"/>
              <w:rPr>
                <w:rFonts w:cs="Arial"/>
                <w:b/>
                <w:bCs/>
                <w:color w:val="FFFFFF"/>
                <w:szCs w:val="18"/>
                <w:lang w:eastAsia="en-AU"/>
              </w:rPr>
            </w:pPr>
            <w:r w:rsidRPr="0023236B">
              <w:rPr>
                <w:rFonts w:cs="Arial"/>
                <w:b/>
                <w:bCs/>
                <w:color w:val="FFFFFF"/>
                <w:szCs w:val="18"/>
                <w:lang w:eastAsia="en-AU"/>
              </w:rPr>
              <w:t>% change 2010 to 2015</w:t>
            </w:r>
          </w:p>
        </w:tc>
        <w:tc>
          <w:tcPr>
            <w:tcW w:w="1162" w:type="dxa"/>
            <w:tcBorders>
              <w:top w:val="nil"/>
              <w:left w:val="nil"/>
              <w:bottom w:val="nil"/>
              <w:right w:val="nil"/>
            </w:tcBorders>
            <w:shd w:val="clear" w:color="000000" w:fill="7F7F7F"/>
            <w:vAlign w:val="center"/>
            <w:hideMark/>
          </w:tcPr>
          <w:p w:rsidR="0023236B" w:rsidRPr="0023236B" w:rsidRDefault="0023236B" w:rsidP="0023236B">
            <w:pPr>
              <w:jc w:val="right"/>
              <w:rPr>
                <w:rFonts w:cs="Arial"/>
                <w:b/>
                <w:bCs/>
                <w:color w:val="FFFFFF"/>
                <w:szCs w:val="18"/>
                <w:lang w:eastAsia="en-AU"/>
              </w:rPr>
            </w:pPr>
            <w:r w:rsidRPr="0023236B">
              <w:rPr>
                <w:rFonts w:cs="Arial"/>
                <w:b/>
                <w:bCs/>
                <w:color w:val="FFFFFF"/>
                <w:szCs w:val="18"/>
                <w:lang w:eastAsia="en-AU"/>
              </w:rPr>
              <w:t>% change 2011 to 2015</w:t>
            </w:r>
          </w:p>
        </w:tc>
        <w:tc>
          <w:tcPr>
            <w:tcW w:w="1163" w:type="dxa"/>
            <w:tcBorders>
              <w:top w:val="nil"/>
              <w:left w:val="nil"/>
              <w:bottom w:val="nil"/>
              <w:right w:val="nil"/>
            </w:tcBorders>
            <w:shd w:val="clear" w:color="000000" w:fill="7F7F7F"/>
            <w:vAlign w:val="center"/>
            <w:hideMark/>
          </w:tcPr>
          <w:p w:rsidR="0023236B" w:rsidRPr="0023236B" w:rsidRDefault="0023236B" w:rsidP="0023236B">
            <w:pPr>
              <w:jc w:val="right"/>
              <w:rPr>
                <w:rFonts w:cs="Arial"/>
                <w:b/>
                <w:bCs/>
                <w:color w:val="FFFFFF"/>
                <w:szCs w:val="18"/>
                <w:lang w:eastAsia="en-AU"/>
              </w:rPr>
            </w:pPr>
            <w:r w:rsidRPr="0023236B">
              <w:rPr>
                <w:rFonts w:cs="Arial"/>
                <w:b/>
                <w:bCs/>
                <w:color w:val="FFFFFF"/>
                <w:szCs w:val="18"/>
                <w:lang w:eastAsia="en-AU"/>
              </w:rPr>
              <w:t>% change 2012 to 2015</w:t>
            </w:r>
          </w:p>
        </w:tc>
        <w:tc>
          <w:tcPr>
            <w:tcW w:w="1162" w:type="dxa"/>
            <w:tcBorders>
              <w:top w:val="nil"/>
              <w:left w:val="nil"/>
              <w:bottom w:val="nil"/>
              <w:right w:val="nil"/>
            </w:tcBorders>
            <w:shd w:val="clear" w:color="000000" w:fill="7F7F7F"/>
            <w:vAlign w:val="center"/>
            <w:hideMark/>
          </w:tcPr>
          <w:p w:rsidR="0023236B" w:rsidRPr="0023236B" w:rsidRDefault="0023236B" w:rsidP="0023236B">
            <w:pPr>
              <w:jc w:val="right"/>
              <w:rPr>
                <w:rFonts w:cs="Arial"/>
                <w:b/>
                <w:bCs/>
                <w:color w:val="FFFFFF"/>
                <w:szCs w:val="18"/>
                <w:lang w:eastAsia="en-AU"/>
              </w:rPr>
            </w:pPr>
            <w:r w:rsidRPr="0023236B">
              <w:rPr>
                <w:rFonts w:cs="Arial"/>
                <w:b/>
                <w:bCs/>
                <w:color w:val="FFFFFF"/>
                <w:szCs w:val="18"/>
                <w:lang w:eastAsia="en-AU"/>
              </w:rPr>
              <w:t>% change 2013 to 2015</w:t>
            </w:r>
          </w:p>
        </w:tc>
        <w:tc>
          <w:tcPr>
            <w:tcW w:w="1163" w:type="dxa"/>
            <w:tcBorders>
              <w:top w:val="nil"/>
              <w:left w:val="nil"/>
              <w:bottom w:val="nil"/>
              <w:right w:val="nil"/>
            </w:tcBorders>
            <w:shd w:val="clear" w:color="000000" w:fill="7F7F7F"/>
            <w:vAlign w:val="center"/>
            <w:hideMark/>
          </w:tcPr>
          <w:p w:rsidR="0023236B" w:rsidRPr="0023236B" w:rsidRDefault="0023236B" w:rsidP="0023236B">
            <w:pPr>
              <w:jc w:val="right"/>
              <w:rPr>
                <w:rFonts w:cs="Arial"/>
                <w:b/>
                <w:bCs/>
                <w:color w:val="FFFFFF"/>
                <w:szCs w:val="18"/>
                <w:lang w:eastAsia="en-AU"/>
              </w:rPr>
            </w:pPr>
            <w:r w:rsidRPr="0023236B">
              <w:rPr>
                <w:rFonts w:cs="Arial"/>
                <w:b/>
                <w:bCs/>
                <w:color w:val="FFFFFF"/>
                <w:szCs w:val="18"/>
                <w:lang w:eastAsia="en-AU"/>
              </w:rPr>
              <w:t>% change 2014 to 2015</w:t>
            </w:r>
          </w:p>
        </w:tc>
      </w:tr>
      <w:tr w:rsidR="0023236B" w:rsidRPr="0023236B" w:rsidTr="0023236B">
        <w:trPr>
          <w:trHeight w:val="300"/>
        </w:trPr>
        <w:tc>
          <w:tcPr>
            <w:tcW w:w="2283" w:type="dxa"/>
            <w:tcBorders>
              <w:top w:val="nil"/>
              <w:left w:val="nil"/>
              <w:bottom w:val="nil"/>
              <w:right w:val="nil"/>
            </w:tcBorders>
            <w:shd w:val="clear" w:color="auto" w:fill="auto"/>
            <w:vAlign w:val="center"/>
            <w:hideMark/>
          </w:tcPr>
          <w:p w:rsidR="0023236B" w:rsidRPr="0023236B" w:rsidRDefault="0023236B" w:rsidP="0023236B">
            <w:pPr>
              <w:rPr>
                <w:rFonts w:cs="Arial"/>
                <w:color w:val="7F7F7F"/>
                <w:szCs w:val="18"/>
                <w:lang w:eastAsia="en-AU"/>
              </w:rPr>
            </w:pPr>
            <w:r w:rsidRPr="0023236B">
              <w:rPr>
                <w:rFonts w:cs="Arial"/>
                <w:color w:val="7F7F7F"/>
                <w:szCs w:val="18"/>
                <w:lang w:eastAsia="en-AU"/>
              </w:rPr>
              <w:t>Cert I/II</w:t>
            </w:r>
          </w:p>
        </w:tc>
        <w:tc>
          <w:tcPr>
            <w:tcW w:w="1162"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-82%</w:t>
            </w:r>
          </w:p>
        </w:tc>
        <w:tc>
          <w:tcPr>
            <w:tcW w:w="1162"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-80%</w:t>
            </w:r>
          </w:p>
        </w:tc>
        <w:tc>
          <w:tcPr>
            <w:tcW w:w="1163"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-56%</w:t>
            </w:r>
          </w:p>
        </w:tc>
        <w:tc>
          <w:tcPr>
            <w:tcW w:w="1162"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-11%</w:t>
            </w:r>
          </w:p>
        </w:tc>
        <w:tc>
          <w:tcPr>
            <w:tcW w:w="1163"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-33%</w:t>
            </w:r>
          </w:p>
        </w:tc>
      </w:tr>
      <w:tr w:rsidR="0023236B" w:rsidRPr="0023236B" w:rsidTr="0023236B">
        <w:trPr>
          <w:trHeight w:val="300"/>
        </w:trPr>
        <w:tc>
          <w:tcPr>
            <w:tcW w:w="2283" w:type="dxa"/>
            <w:tcBorders>
              <w:top w:val="nil"/>
              <w:left w:val="nil"/>
              <w:bottom w:val="nil"/>
              <w:right w:val="nil"/>
            </w:tcBorders>
            <w:shd w:val="clear" w:color="auto" w:fill="auto"/>
            <w:vAlign w:val="center"/>
            <w:hideMark/>
          </w:tcPr>
          <w:p w:rsidR="0023236B" w:rsidRPr="0023236B" w:rsidRDefault="0023236B" w:rsidP="0023236B">
            <w:pPr>
              <w:rPr>
                <w:rFonts w:cs="Arial"/>
                <w:color w:val="7F7F7F"/>
                <w:szCs w:val="18"/>
                <w:lang w:eastAsia="en-AU"/>
              </w:rPr>
            </w:pPr>
            <w:r w:rsidRPr="0023236B">
              <w:rPr>
                <w:rFonts w:cs="Arial"/>
                <w:color w:val="7F7F7F"/>
                <w:szCs w:val="18"/>
                <w:lang w:eastAsia="en-AU"/>
              </w:rPr>
              <w:t>Cert III/IV</w:t>
            </w:r>
          </w:p>
        </w:tc>
        <w:tc>
          <w:tcPr>
            <w:tcW w:w="1162"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-32%</w:t>
            </w:r>
          </w:p>
        </w:tc>
        <w:tc>
          <w:tcPr>
            <w:tcW w:w="1162"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-52%</w:t>
            </w:r>
          </w:p>
        </w:tc>
        <w:tc>
          <w:tcPr>
            <w:tcW w:w="1163"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-66%</w:t>
            </w:r>
          </w:p>
        </w:tc>
        <w:tc>
          <w:tcPr>
            <w:tcW w:w="1162"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-48%</w:t>
            </w:r>
          </w:p>
        </w:tc>
        <w:tc>
          <w:tcPr>
            <w:tcW w:w="1163"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-35%</w:t>
            </w:r>
          </w:p>
        </w:tc>
      </w:tr>
      <w:tr w:rsidR="0023236B" w:rsidRPr="0023236B" w:rsidTr="0023236B">
        <w:trPr>
          <w:trHeight w:val="300"/>
        </w:trPr>
        <w:tc>
          <w:tcPr>
            <w:tcW w:w="2283" w:type="dxa"/>
            <w:tcBorders>
              <w:top w:val="nil"/>
              <w:left w:val="nil"/>
              <w:bottom w:val="nil"/>
              <w:right w:val="nil"/>
            </w:tcBorders>
            <w:shd w:val="clear" w:color="auto" w:fill="auto"/>
            <w:vAlign w:val="center"/>
            <w:hideMark/>
          </w:tcPr>
          <w:p w:rsidR="0023236B" w:rsidRPr="0023236B" w:rsidRDefault="0023236B" w:rsidP="0023236B">
            <w:pPr>
              <w:rPr>
                <w:rFonts w:cs="Arial"/>
                <w:color w:val="7F7F7F"/>
                <w:szCs w:val="18"/>
                <w:lang w:eastAsia="en-AU"/>
              </w:rPr>
            </w:pPr>
            <w:r w:rsidRPr="0023236B">
              <w:rPr>
                <w:rFonts w:cs="Arial"/>
                <w:color w:val="7F7F7F"/>
                <w:szCs w:val="18"/>
                <w:lang w:eastAsia="en-AU"/>
              </w:rPr>
              <w:t>Diploma &amp; above</w:t>
            </w:r>
          </w:p>
        </w:tc>
        <w:tc>
          <w:tcPr>
            <w:tcW w:w="1162"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23%</w:t>
            </w:r>
          </w:p>
        </w:tc>
        <w:tc>
          <w:tcPr>
            <w:tcW w:w="1162"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-65%</w:t>
            </w:r>
          </w:p>
        </w:tc>
        <w:tc>
          <w:tcPr>
            <w:tcW w:w="1163"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-84%</w:t>
            </w:r>
          </w:p>
        </w:tc>
        <w:tc>
          <w:tcPr>
            <w:tcW w:w="1162"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-75%</w:t>
            </w:r>
          </w:p>
        </w:tc>
        <w:tc>
          <w:tcPr>
            <w:tcW w:w="1163"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-26%</w:t>
            </w:r>
          </w:p>
        </w:tc>
      </w:tr>
      <w:tr w:rsidR="0023236B" w:rsidRPr="0023236B" w:rsidTr="0023236B">
        <w:trPr>
          <w:trHeight w:val="300"/>
        </w:trPr>
        <w:tc>
          <w:tcPr>
            <w:tcW w:w="2283" w:type="dxa"/>
            <w:tcBorders>
              <w:top w:val="nil"/>
              <w:left w:val="nil"/>
              <w:bottom w:val="nil"/>
              <w:right w:val="nil"/>
            </w:tcBorders>
            <w:shd w:val="clear" w:color="000000" w:fill="7F7F7F"/>
            <w:noWrap/>
            <w:vAlign w:val="center"/>
            <w:hideMark/>
          </w:tcPr>
          <w:p w:rsidR="0023236B" w:rsidRPr="0023236B" w:rsidRDefault="0023236B" w:rsidP="0023236B">
            <w:pPr>
              <w:rPr>
                <w:rFonts w:cs="Arial"/>
                <w:b/>
                <w:bCs/>
                <w:color w:val="FFFFFF"/>
                <w:szCs w:val="18"/>
                <w:lang w:eastAsia="en-AU"/>
              </w:rPr>
            </w:pPr>
            <w:r w:rsidRPr="0023236B">
              <w:rPr>
                <w:rFonts w:cs="Arial"/>
                <w:b/>
                <w:bCs/>
                <w:color w:val="FFFFFF"/>
                <w:szCs w:val="18"/>
                <w:lang w:eastAsia="en-AU"/>
              </w:rPr>
              <w:t>Total*</w:t>
            </w:r>
          </w:p>
        </w:tc>
        <w:tc>
          <w:tcPr>
            <w:tcW w:w="1162" w:type="dxa"/>
            <w:tcBorders>
              <w:top w:val="nil"/>
              <w:left w:val="nil"/>
              <w:bottom w:val="nil"/>
              <w:right w:val="nil"/>
            </w:tcBorders>
            <w:shd w:val="clear" w:color="000000" w:fill="7F7F7F"/>
            <w:noWrap/>
            <w:vAlign w:val="center"/>
            <w:hideMark/>
          </w:tcPr>
          <w:p w:rsidR="0023236B" w:rsidRPr="0023236B" w:rsidRDefault="0023236B" w:rsidP="0023236B">
            <w:pPr>
              <w:jc w:val="right"/>
              <w:rPr>
                <w:rFonts w:cs="Arial"/>
                <w:b/>
                <w:bCs/>
                <w:color w:val="FFFFFF"/>
                <w:szCs w:val="18"/>
                <w:lang w:eastAsia="en-AU"/>
              </w:rPr>
            </w:pPr>
            <w:r w:rsidRPr="0023236B">
              <w:rPr>
                <w:rFonts w:cs="Arial"/>
                <w:b/>
                <w:bCs/>
                <w:color w:val="FFFFFF"/>
                <w:szCs w:val="18"/>
                <w:lang w:eastAsia="en-AU"/>
              </w:rPr>
              <w:t>-41%</w:t>
            </w:r>
          </w:p>
        </w:tc>
        <w:tc>
          <w:tcPr>
            <w:tcW w:w="1162" w:type="dxa"/>
            <w:tcBorders>
              <w:top w:val="nil"/>
              <w:left w:val="nil"/>
              <w:bottom w:val="nil"/>
              <w:right w:val="nil"/>
            </w:tcBorders>
            <w:shd w:val="clear" w:color="000000" w:fill="7F7F7F"/>
            <w:noWrap/>
            <w:vAlign w:val="center"/>
            <w:hideMark/>
          </w:tcPr>
          <w:p w:rsidR="0023236B" w:rsidRPr="0023236B" w:rsidRDefault="0023236B" w:rsidP="0023236B">
            <w:pPr>
              <w:jc w:val="right"/>
              <w:rPr>
                <w:rFonts w:cs="Arial"/>
                <w:b/>
                <w:bCs/>
                <w:color w:val="FFFFFF"/>
                <w:szCs w:val="18"/>
                <w:lang w:eastAsia="en-AU"/>
              </w:rPr>
            </w:pPr>
            <w:r w:rsidRPr="0023236B">
              <w:rPr>
                <w:rFonts w:cs="Arial"/>
                <w:b/>
                <w:bCs/>
                <w:color w:val="FFFFFF"/>
                <w:szCs w:val="18"/>
                <w:lang w:eastAsia="en-AU"/>
              </w:rPr>
              <w:t>-57%</w:t>
            </w:r>
          </w:p>
        </w:tc>
        <w:tc>
          <w:tcPr>
            <w:tcW w:w="1163" w:type="dxa"/>
            <w:tcBorders>
              <w:top w:val="nil"/>
              <w:left w:val="nil"/>
              <w:bottom w:val="nil"/>
              <w:right w:val="nil"/>
            </w:tcBorders>
            <w:shd w:val="clear" w:color="000000" w:fill="7F7F7F"/>
            <w:noWrap/>
            <w:vAlign w:val="center"/>
            <w:hideMark/>
          </w:tcPr>
          <w:p w:rsidR="0023236B" w:rsidRPr="0023236B" w:rsidRDefault="0023236B" w:rsidP="0023236B">
            <w:pPr>
              <w:jc w:val="right"/>
              <w:rPr>
                <w:rFonts w:cs="Arial"/>
                <w:b/>
                <w:bCs/>
                <w:color w:val="FFFFFF"/>
                <w:szCs w:val="18"/>
                <w:lang w:eastAsia="en-AU"/>
              </w:rPr>
            </w:pPr>
            <w:r w:rsidRPr="0023236B">
              <w:rPr>
                <w:rFonts w:cs="Arial"/>
                <w:b/>
                <w:bCs/>
                <w:color w:val="FFFFFF"/>
                <w:szCs w:val="18"/>
                <w:lang w:eastAsia="en-AU"/>
              </w:rPr>
              <w:t>-68%</w:t>
            </w:r>
          </w:p>
        </w:tc>
        <w:tc>
          <w:tcPr>
            <w:tcW w:w="1162" w:type="dxa"/>
            <w:tcBorders>
              <w:top w:val="nil"/>
              <w:left w:val="nil"/>
              <w:bottom w:val="nil"/>
              <w:right w:val="nil"/>
            </w:tcBorders>
            <w:shd w:val="clear" w:color="000000" w:fill="7F7F7F"/>
            <w:noWrap/>
            <w:vAlign w:val="center"/>
            <w:hideMark/>
          </w:tcPr>
          <w:p w:rsidR="0023236B" w:rsidRPr="0023236B" w:rsidRDefault="0023236B" w:rsidP="0023236B">
            <w:pPr>
              <w:jc w:val="right"/>
              <w:rPr>
                <w:rFonts w:cs="Arial"/>
                <w:b/>
                <w:bCs/>
                <w:color w:val="FFFFFF"/>
                <w:szCs w:val="18"/>
                <w:lang w:eastAsia="en-AU"/>
              </w:rPr>
            </w:pPr>
            <w:r w:rsidRPr="0023236B">
              <w:rPr>
                <w:rFonts w:cs="Arial"/>
                <w:b/>
                <w:bCs/>
                <w:color w:val="FFFFFF"/>
                <w:szCs w:val="18"/>
                <w:lang w:eastAsia="en-AU"/>
              </w:rPr>
              <w:t>-51%</w:t>
            </w:r>
          </w:p>
        </w:tc>
        <w:tc>
          <w:tcPr>
            <w:tcW w:w="1163" w:type="dxa"/>
            <w:tcBorders>
              <w:top w:val="nil"/>
              <w:left w:val="nil"/>
              <w:bottom w:val="nil"/>
              <w:right w:val="nil"/>
            </w:tcBorders>
            <w:shd w:val="clear" w:color="000000" w:fill="7F7F7F"/>
            <w:noWrap/>
            <w:vAlign w:val="center"/>
            <w:hideMark/>
          </w:tcPr>
          <w:p w:rsidR="0023236B" w:rsidRPr="0023236B" w:rsidRDefault="0023236B" w:rsidP="0023236B">
            <w:pPr>
              <w:jc w:val="right"/>
              <w:rPr>
                <w:rFonts w:cs="Arial"/>
                <w:b/>
                <w:bCs/>
                <w:color w:val="FFFFFF"/>
                <w:szCs w:val="18"/>
                <w:lang w:eastAsia="en-AU"/>
              </w:rPr>
            </w:pPr>
            <w:r w:rsidRPr="0023236B">
              <w:rPr>
                <w:rFonts w:cs="Arial"/>
                <w:b/>
                <w:bCs/>
                <w:color w:val="FFFFFF"/>
                <w:szCs w:val="18"/>
                <w:lang w:eastAsia="en-AU"/>
              </w:rPr>
              <w:t>-34%</w:t>
            </w:r>
          </w:p>
        </w:tc>
      </w:tr>
    </w:tbl>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4A0" w:firstRow="1" w:lastRow="0" w:firstColumn="1" w:lastColumn="0" w:noHBand="0" w:noVBand="1"/>
      </w:tblPr>
      <w:tblGrid>
        <w:gridCol w:w="431"/>
        <w:gridCol w:w="7649"/>
      </w:tblGrid>
      <w:tr w:rsidR="0023236B" w:rsidRPr="00913551" w:rsidTr="0023236B">
        <w:tc>
          <w:tcPr>
            <w:tcW w:w="431" w:type="dxa"/>
            <w:tcMar>
              <w:left w:w="0" w:type="dxa"/>
              <w:right w:w="28" w:type="dxa"/>
            </w:tcMar>
          </w:tcPr>
          <w:p w:rsidR="0023236B" w:rsidRPr="00913551" w:rsidRDefault="0023236B" w:rsidP="0023236B">
            <w:pPr>
              <w:spacing w:after="0" w:line="240" w:lineRule="auto"/>
              <w:jc w:val="right"/>
              <w:rPr>
                <w:color w:val="7F7F7F" w:themeColor="text2"/>
                <w:sz w:val="16"/>
                <w:szCs w:val="16"/>
              </w:rPr>
            </w:pPr>
            <w:r w:rsidRPr="00913551">
              <w:rPr>
                <w:color w:val="7F7F7F" w:themeColor="text2"/>
                <w:sz w:val="16"/>
                <w:szCs w:val="16"/>
              </w:rPr>
              <w:t xml:space="preserve">* </w:t>
            </w:r>
          </w:p>
        </w:tc>
        <w:tc>
          <w:tcPr>
            <w:tcW w:w="7649" w:type="dxa"/>
            <w:tcMar>
              <w:left w:w="0" w:type="dxa"/>
              <w:right w:w="28" w:type="dxa"/>
            </w:tcMar>
          </w:tcPr>
          <w:p w:rsidR="0023236B" w:rsidRPr="00913551" w:rsidRDefault="0023236B" w:rsidP="0023236B">
            <w:pPr>
              <w:pStyle w:val="Note"/>
              <w:spacing w:after="0"/>
              <w:rPr>
                <w:i w:val="0"/>
                <w:color w:val="7F7F7F" w:themeColor="text2"/>
              </w:rPr>
            </w:pPr>
            <w:r w:rsidRPr="00913551">
              <w:t>The total for 2010 includes 49 enrolments at non-AQF level, e.g. statement of attainment.</w:t>
            </w:r>
          </w:p>
        </w:tc>
      </w:tr>
    </w:tbl>
    <w:p w:rsidR="0023236B" w:rsidRDefault="0023236B" w:rsidP="00AB62FC">
      <w:pPr>
        <w:pStyle w:val="Quote"/>
        <w:rPr>
          <w:b w:val="0"/>
          <w:sz w:val="18"/>
          <w:szCs w:val="18"/>
        </w:rPr>
      </w:pPr>
    </w:p>
    <w:p w:rsidR="00674718" w:rsidRDefault="00674718" w:rsidP="00AB62FC">
      <w:pPr>
        <w:pStyle w:val="Quote"/>
        <w:rPr>
          <w:b w:val="0"/>
          <w:sz w:val="18"/>
          <w:szCs w:val="18"/>
        </w:rPr>
      </w:pP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23236B" w:rsidTr="0023236B">
        <w:tc>
          <w:tcPr>
            <w:tcW w:w="1134" w:type="dxa"/>
            <w:tcMar>
              <w:left w:w="0" w:type="dxa"/>
              <w:right w:w="0" w:type="dxa"/>
            </w:tcMar>
          </w:tcPr>
          <w:p w:rsidR="0023236B" w:rsidRDefault="0005261F" w:rsidP="0023236B">
            <w:pPr>
              <w:pStyle w:val="Quote"/>
              <w:tabs>
                <w:tab w:val="left" w:pos="1134"/>
              </w:tabs>
              <w:rPr>
                <w:b w:val="0"/>
                <w:color w:val="B41F22" w:themeColor="accent1"/>
              </w:rPr>
            </w:pPr>
            <w:r>
              <w:rPr>
                <w:b w:val="0"/>
                <w:color w:val="B41F22" w:themeColor="accent1"/>
              </w:rPr>
              <w:t>Table 3</w:t>
            </w:r>
            <w:r w:rsidR="0023236B">
              <w:rPr>
                <w:b w:val="0"/>
                <w:color w:val="B41F22" w:themeColor="accent1"/>
              </w:rPr>
              <w:t>.9.1:</w:t>
            </w:r>
          </w:p>
        </w:tc>
        <w:tc>
          <w:tcPr>
            <w:tcW w:w="6946" w:type="dxa"/>
            <w:tcMar>
              <w:left w:w="0" w:type="dxa"/>
              <w:right w:w="0" w:type="dxa"/>
            </w:tcMar>
          </w:tcPr>
          <w:p w:rsidR="0023236B" w:rsidRDefault="0023236B" w:rsidP="0023236B">
            <w:pPr>
              <w:pStyle w:val="Quote"/>
              <w:tabs>
                <w:tab w:val="left" w:pos="1134"/>
              </w:tabs>
              <w:rPr>
                <w:b w:val="0"/>
                <w:color w:val="B41F22" w:themeColor="accent1"/>
              </w:rPr>
            </w:pPr>
            <w:r w:rsidRPr="0023236B">
              <w:rPr>
                <w:b w:val="0"/>
                <w:color w:val="B41F22" w:themeColor="accent1"/>
              </w:rPr>
              <w:t>Government subsidised trainee course enrolments by occupation, 2010 to 2015 (half year)</w:t>
            </w:r>
          </w:p>
        </w:tc>
      </w:tr>
    </w:tbl>
    <w:tbl>
      <w:tblPr>
        <w:tblW w:w="8095" w:type="dxa"/>
        <w:tblInd w:w="93" w:type="dxa"/>
        <w:tblLayout w:type="fixed"/>
        <w:tblLook w:val="04A0" w:firstRow="1" w:lastRow="0" w:firstColumn="1" w:lastColumn="0" w:noHBand="0" w:noVBand="1"/>
      </w:tblPr>
      <w:tblGrid>
        <w:gridCol w:w="2425"/>
        <w:gridCol w:w="945"/>
        <w:gridCol w:w="945"/>
        <w:gridCol w:w="945"/>
        <w:gridCol w:w="945"/>
        <w:gridCol w:w="945"/>
        <w:gridCol w:w="945"/>
      </w:tblGrid>
      <w:tr w:rsidR="0023236B" w:rsidRPr="0023236B" w:rsidTr="0023236B">
        <w:trPr>
          <w:trHeight w:val="300"/>
        </w:trPr>
        <w:tc>
          <w:tcPr>
            <w:tcW w:w="2425" w:type="dxa"/>
            <w:tcBorders>
              <w:top w:val="nil"/>
              <w:left w:val="nil"/>
              <w:bottom w:val="nil"/>
              <w:right w:val="nil"/>
            </w:tcBorders>
            <w:shd w:val="clear" w:color="000000" w:fill="7F7F7F"/>
            <w:noWrap/>
            <w:vAlign w:val="center"/>
            <w:hideMark/>
          </w:tcPr>
          <w:p w:rsidR="0023236B" w:rsidRPr="0023236B" w:rsidRDefault="0023236B" w:rsidP="0023236B">
            <w:pPr>
              <w:rPr>
                <w:rFonts w:cs="Arial"/>
                <w:color w:val="FFFFFF"/>
                <w:szCs w:val="18"/>
                <w:lang w:eastAsia="en-AU"/>
              </w:rPr>
            </w:pPr>
            <w:r w:rsidRPr="0023236B">
              <w:rPr>
                <w:rFonts w:cs="Arial"/>
                <w:color w:val="FFFFFF"/>
                <w:szCs w:val="18"/>
                <w:lang w:eastAsia="en-AU"/>
              </w:rPr>
              <w:t> </w:t>
            </w:r>
          </w:p>
        </w:tc>
        <w:tc>
          <w:tcPr>
            <w:tcW w:w="945" w:type="dxa"/>
            <w:tcBorders>
              <w:top w:val="nil"/>
              <w:left w:val="nil"/>
              <w:bottom w:val="nil"/>
              <w:right w:val="nil"/>
            </w:tcBorders>
            <w:shd w:val="clear" w:color="000000" w:fill="7F7F7F"/>
            <w:noWrap/>
            <w:vAlign w:val="center"/>
            <w:hideMark/>
          </w:tcPr>
          <w:p w:rsidR="0023236B" w:rsidRPr="0023236B" w:rsidRDefault="0023236B" w:rsidP="0023236B">
            <w:pPr>
              <w:jc w:val="right"/>
              <w:rPr>
                <w:rFonts w:cs="Arial"/>
                <w:b/>
                <w:bCs/>
                <w:color w:val="FFFFFF"/>
                <w:szCs w:val="18"/>
                <w:lang w:eastAsia="en-AU"/>
              </w:rPr>
            </w:pPr>
            <w:r w:rsidRPr="0023236B">
              <w:rPr>
                <w:rFonts w:cs="Arial"/>
                <w:b/>
                <w:bCs/>
                <w:color w:val="FFFFFF"/>
                <w:szCs w:val="18"/>
                <w:lang w:eastAsia="en-AU"/>
              </w:rPr>
              <w:t>2010</w:t>
            </w:r>
          </w:p>
        </w:tc>
        <w:tc>
          <w:tcPr>
            <w:tcW w:w="945" w:type="dxa"/>
            <w:tcBorders>
              <w:top w:val="nil"/>
              <w:left w:val="nil"/>
              <w:bottom w:val="nil"/>
              <w:right w:val="nil"/>
            </w:tcBorders>
            <w:shd w:val="clear" w:color="000000" w:fill="7F7F7F"/>
            <w:noWrap/>
            <w:vAlign w:val="center"/>
            <w:hideMark/>
          </w:tcPr>
          <w:p w:rsidR="0023236B" w:rsidRPr="0023236B" w:rsidRDefault="0023236B" w:rsidP="0023236B">
            <w:pPr>
              <w:jc w:val="right"/>
              <w:rPr>
                <w:rFonts w:cs="Arial"/>
                <w:b/>
                <w:bCs/>
                <w:color w:val="FFFFFF"/>
                <w:szCs w:val="18"/>
                <w:lang w:eastAsia="en-AU"/>
              </w:rPr>
            </w:pPr>
            <w:r w:rsidRPr="0023236B">
              <w:rPr>
                <w:rFonts w:cs="Arial"/>
                <w:b/>
                <w:bCs/>
                <w:color w:val="FFFFFF"/>
                <w:szCs w:val="18"/>
                <w:lang w:eastAsia="en-AU"/>
              </w:rPr>
              <w:t>2011</w:t>
            </w:r>
          </w:p>
        </w:tc>
        <w:tc>
          <w:tcPr>
            <w:tcW w:w="945" w:type="dxa"/>
            <w:tcBorders>
              <w:top w:val="nil"/>
              <w:left w:val="nil"/>
              <w:bottom w:val="nil"/>
              <w:right w:val="nil"/>
            </w:tcBorders>
            <w:shd w:val="clear" w:color="000000" w:fill="7F7F7F"/>
            <w:noWrap/>
            <w:vAlign w:val="center"/>
            <w:hideMark/>
          </w:tcPr>
          <w:p w:rsidR="0023236B" w:rsidRPr="0023236B" w:rsidRDefault="0023236B" w:rsidP="0023236B">
            <w:pPr>
              <w:jc w:val="right"/>
              <w:rPr>
                <w:rFonts w:cs="Arial"/>
                <w:b/>
                <w:bCs/>
                <w:color w:val="FFFFFF"/>
                <w:szCs w:val="18"/>
                <w:lang w:eastAsia="en-AU"/>
              </w:rPr>
            </w:pPr>
            <w:r w:rsidRPr="0023236B">
              <w:rPr>
                <w:rFonts w:cs="Arial"/>
                <w:b/>
                <w:bCs/>
                <w:color w:val="FFFFFF"/>
                <w:szCs w:val="18"/>
                <w:lang w:eastAsia="en-AU"/>
              </w:rPr>
              <w:t>2012</w:t>
            </w:r>
          </w:p>
        </w:tc>
        <w:tc>
          <w:tcPr>
            <w:tcW w:w="945" w:type="dxa"/>
            <w:tcBorders>
              <w:top w:val="nil"/>
              <w:left w:val="nil"/>
              <w:bottom w:val="nil"/>
              <w:right w:val="nil"/>
            </w:tcBorders>
            <w:shd w:val="clear" w:color="000000" w:fill="7F7F7F"/>
            <w:noWrap/>
            <w:vAlign w:val="center"/>
            <w:hideMark/>
          </w:tcPr>
          <w:p w:rsidR="0023236B" w:rsidRPr="0023236B" w:rsidRDefault="0023236B" w:rsidP="0023236B">
            <w:pPr>
              <w:jc w:val="right"/>
              <w:rPr>
                <w:rFonts w:cs="Arial"/>
                <w:b/>
                <w:bCs/>
                <w:color w:val="FFFFFF"/>
                <w:szCs w:val="18"/>
                <w:lang w:eastAsia="en-AU"/>
              </w:rPr>
            </w:pPr>
            <w:r w:rsidRPr="0023236B">
              <w:rPr>
                <w:rFonts w:cs="Arial"/>
                <w:b/>
                <w:bCs/>
                <w:color w:val="FFFFFF"/>
                <w:szCs w:val="18"/>
                <w:lang w:eastAsia="en-AU"/>
              </w:rPr>
              <w:t>2013</w:t>
            </w:r>
          </w:p>
        </w:tc>
        <w:tc>
          <w:tcPr>
            <w:tcW w:w="945" w:type="dxa"/>
            <w:tcBorders>
              <w:top w:val="nil"/>
              <w:left w:val="nil"/>
              <w:bottom w:val="nil"/>
              <w:right w:val="nil"/>
            </w:tcBorders>
            <w:shd w:val="clear" w:color="000000" w:fill="7F7F7F"/>
            <w:noWrap/>
            <w:vAlign w:val="center"/>
            <w:hideMark/>
          </w:tcPr>
          <w:p w:rsidR="0023236B" w:rsidRPr="0023236B" w:rsidRDefault="0023236B" w:rsidP="0023236B">
            <w:pPr>
              <w:jc w:val="right"/>
              <w:rPr>
                <w:rFonts w:cs="Arial"/>
                <w:b/>
                <w:bCs/>
                <w:color w:val="FFFFFF"/>
                <w:szCs w:val="18"/>
                <w:lang w:eastAsia="en-AU"/>
              </w:rPr>
            </w:pPr>
            <w:r w:rsidRPr="0023236B">
              <w:rPr>
                <w:rFonts w:cs="Arial"/>
                <w:b/>
                <w:bCs/>
                <w:color w:val="FFFFFF"/>
                <w:szCs w:val="18"/>
                <w:lang w:eastAsia="en-AU"/>
              </w:rPr>
              <w:t>2014</w:t>
            </w:r>
          </w:p>
        </w:tc>
        <w:tc>
          <w:tcPr>
            <w:tcW w:w="945" w:type="dxa"/>
            <w:tcBorders>
              <w:top w:val="nil"/>
              <w:left w:val="nil"/>
              <w:bottom w:val="nil"/>
              <w:right w:val="nil"/>
            </w:tcBorders>
            <w:shd w:val="clear" w:color="000000" w:fill="7F7F7F"/>
            <w:noWrap/>
            <w:vAlign w:val="center"/>
            <w:hideMark/>
          </w:tcPr>
          <w:p w:rsidR="0023236B" w:rsidRPr="0023236B" w:rsidRDefault="0023236B" w:rsidP="0023236B">
            <w:pPr>
              <w:jc w:val="right"/>
              <w:rPr>
                <w:rFonts w:cs="Arial"/>
                <w:b/>
                <w:bCs/>
                <w:color w:val="FFFFFF"/>
                <w:szCs w:val="18"/>
                <w:lang w:eastAsia="en-AU"/>
              </w:rPr>
            </w:pPr>
            <w:r w:rsidRPr="0023236B">
              <w:rPr>
                <w:rFonts w:cs="Arial"/>
                <w:b/>
                <w:bCs/>
                <w:color w:val="FFFFFF"/>
                <w:szCs w:val="18"/>
                <w:lang w:eastAsia="en-AU"/>
              </w:rPr>
              <w:t>2015</w:t>
            </w:r>
          </w:p>
        </w:tc>
      </w:tr>
      <w:tr w:rsidR="0023236B" w:rsidRPr="0023236B" w:rsidTr="0023236B">
        <w:trPr>
          <w:trHeight w:val="480"/>
        </w:trPr>
        <w:tc>
          <w:tcPr>
            <w:tcW w:w="2425" w:type="dxa"/>
            <w:tcBorders>
              <w:top w:val="nil"/>
              <w:left w:val="nil"/>
              <w:bottom w:val="nil"/>
              <w:right w:val="nil"/>
            </w:tcBorders>
            <w:shd w:val="clear" w:color="auto" w:fill="auto"/>
            <w:vAlign w:val="center"/>
            <w:hideMark/>
          </w:tcPr>
          <w:p w:rsidR="0023236B" w:rsidRPr="0023236B" w:rsidRDefault="0023236B" w:rsidP="0023236B">
            <w:pPr>
              <w:rPr>
                <w:rFonts w:cs="Arial"/>
                <w:color w:val="7F7F7F"/>
                <w:szCs w:val="18"/>
                <w:lang w:eastAsia="en-AU"/>
              </w:rPr>
            </w:pPr>
            <w:r w:rsidRPr="0023236B">
              <w:rPr>
                <w:rFonts w:cs="Arial"/>
                <w:color w:val="7F7F7F"/>
                <w:szCs w:val="18"/>
                <w:lang w:eastAsia="en-AU"/>
              </w:rPr>
              <w:t>Clerical and Administrative Workers</w:t>
            </w:r>
          </w:p>
        </w:tc>
        <w:tc>
          <w:tcPr>
            <w:tcW w:w="945"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6,243</w:t>
            </w:r>
          </w:p>
        </w:tc>
        <w:tc>
          <w:tcPr>
            <w:tcW w:w="945"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11,403</w:t>
            </w:r>
          </w:p>
        </w:tc>
        <w:tc>
          <w:tcPr>
            <w:tcW w:w="945"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17,246</w:t>
            </w:r>
          </w:p>
        </w:tc>
        <w:tc>
          <w:tcPr>
            <w:tcW w:w="945"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9,984</w:t>
            </w:r>
          </w:p>
        </w:tc>
        <w:tc>
          <w:tcPr>
            <w:tcW w:w="945"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4,863</w:t>
            </w:r>
          </w:p>
        </w:tc>
        <w:tc>
          <w:tcPr>
            <w:tcW w:w="945"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2,958</w:t>
            </w:r>
          </w:p>
        </w:tc>
      </w:tr>
      <w:tr w:rsidR="0023236B" w:rsidRPr="0023236B" w:rsidTr="0023236B">
        <w:trPr>
          <w:trHeight w:val="480"/>
        </w:trPr>
        <w:tc>
          <w:tcPr>
            <w:tcW w:w="2425" w:type="dxa"/>
            <w:tcBorders>
              <w:top w:val="nil"/>
              <w:left w:val="nil"/>
              <w:bottom w:val="nil"/>
              <w:right w:val="nil"/>
            </w:tcBorders>
            <w:shd w:val="clear" w:color="auto" w:fill="auto"/>
            <w:vAlign w:val="center"/>
            <w:hideMark/>
          </w:tcPr>
          <w:p w:rsidR="0023236B" w:rsidRPr="0023236B" w:rsidRDefault="0023236B" w:rsidP="0023236B">
            <w:pPr>
              <w:rPr>
                <w:rFonts w:cs="Arial"/>
                <w:color w:val="7F7F7F"/>
                <w:szCs w:val="18"/>
                <w:lang w:eastAsia="en-AU"/>
              </w:rPr>
            </w:pPr>
            <w:r w:rsidRPr="0023236B">
              <w:rPr>
                <w:rFonts w:cs="Arial"/>
                <w:color w:val="7F7F7F"/>
                <w:szCs w:val="18"/>
                <w:lang w:eastAsia="en-AU"/>
              </w:rPr>
              <w:t>Community and Personal Service Workers*</w:t>
            </w:r>
          </w:p>
        </w:tc>
        <w:tc>
          <w:tcPr>
            <w:tcW w:w="945"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11,072</w:t>
            </w:r>
          </w:p>
        </w:tc>
        <w:tc>
          <w:tcPr>
            <w:tcW w:w="945"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12,199</w:t>
            </w:r>
          </w:p>
        </w:tc>
        <w:tc>
          <w:tcPr>
            <w:tcW w:w="945"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14,370</w:t>
            </w:r>
          </w:p>
        </w:tc>
        <w:tc>
          <w:tcPr>
            <w:tcW w:w="945"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8,752</w:t>
            </w:r>
          </w:p>
        </w:tc>
        <w:tc>
          <w:tcPr>
            <w:tcW w:w="945"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7,330</w:t>
            </w:r>
          </w:p>
        </w:tc>
        <w:tc>
          <w:tcPr>
            <w:tcW w:w="945"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5,996</w:t>
            </w:r>
          </w:p>
        </w:tc>
      </w:tr>
      <w:tr w:rsidR="0023236B" w:rsidRPr="0023236B" w:rsidTr="0023236B">
        <w:trPr>
          <w:trHeight w:val="300"/>
        </w:trPr>
        <w:tc>
          <w:tcPr>
            <w:tcW w:w="2425" w:type="dxa"/>
            <w:tcBorders>
              <w:top w:val="nil"/>
              <w:left w:val="nil"/>
              <w:bottom w:val="nil"/>
              <w:right w:val="nil"/>
            </w:tcBorders>
            <w:shd w:val="clear" w:color="auto" w:fill="auto"/>
            <w:vAlign w:val="center"/>
            <w:hideMark/>
          </w:tcPr>
          <w:p w:rsidR="0023236B" w:rsidRPr="0023236B" w:rsidRDefault="0023236B" w:rsidP="0023236B">
            <w:pPr>
              <w:rPr>
                <w:rFonts w:cs="Arial"/>
                <w:color w:val="7F7F7F"/>
                <w:szCs w:val="18"/>
                <w:lang w:eastAsia="en-AU"/>
              </w:rPr>
            </w:pPr>
            <w:r w:rsidRPr="0023236B">
              <w:rPr>
                <w:rFonts w:cs="Arial"/>
                <w:color w:val="7F7F7F"/>
                <w:szCs w:val="18"/>
                <w:lang w:eastAsia="en-AU"/>
              </w:rPr>
              <w:t>Labourers**</w:t>
            </w:r>
          </w:p>
        </w:tc>
        <w:tc>
          <w:tcPr>
            <w:tcW w:w="945"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4,030</w:t>
            </w:r>
          </w:p>
        </w:tc>
        <w:tc>
          <w:tcPr>
            <w:tcW w:w="945"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6,338</w:t>
            </w:r>
          </w:p>
        </w:tc>
        <w:tc>
          <w:tcPr>
            <w:tcW w:w="945"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9,956</w:t>
            </w:r>
          </w:p>
        </w:tc>
        <w:tc>
          <w:tcPr>
            <w:tcW w:w="945"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6,567</w:t>
            </w:r>
          </w:p>
        </w:tc>
        <w:tc>
          <w:tcPr>
            <w:tcW w:w="945"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6,298</w:t>
            </w:r>
          </w:p>
        </w:tc>
        <w:tc>
          <w:tcPr>
            <w:tcW w:w="945"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4,235</w:t>
            </w:r>
          </w:p>
        </w:tc>
      </w:tr>
      <w:tr w:rsidR="0023236B" w:rsidRPr="0023236B" w:rsidTr="0023236B">
        <w:trPr>
          <w:trHeight w:val="480"/>
        </w:trPr>
        <w:tc>
          <w:tcPr>
            <w:tcW w:w="2425" w:type="dxa"/>
            <w:tcBorders>
              <w:top w:val="nil"/>
              <w:left w:val="nil"/>
              <w:bottom w:val="nil"/>
              <w:right w:val="nil"/>
            </w:tcBorders>
            <w:shd w:val="clear" w:color="auto" w:fill="auto"/>
            <w:vAlign w:val="center"/>
            <w:hideMark/>
          </w:tcPr>
          <w:p w:rsidR="0023236B" w:rsidRPr="0023236B" w:rsidRDefault="0023236B" w:rsidP="0023236B">
            <w:pPr>
              <w:rPr>
                <w:rFonts w:cs="Arial"/>
                <w:color w:val="7F7F7F"/>
                <w:szCs w:val="18"/>
                <w:lang w:eastAsia="en-AU"/>
              </w:rPr>
            </w:pPr>
            <w:r w:rsidRPr="0023236B">
              <w:rPr>
                <w:rFonts w:cs="Arial"/>
                <w:color w:val="7F7F7F"/>
                <w:szCs w:val="18"/>
                <w:lang w:eastAsia="en-AU"/>
              </w:rPr>
              <w:t>Machinery Operators And Drivers</w:t>
            </w:r>
          </w:p>
        </w:tc>
        <w:tc>
          <w:tcPr>
            <w:tcW w:w="945"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1,998</w:t>
            </w:r>
          </w:p>
        </w:tc>
        <w:tc>
          <w:tcPr>
            <w:tcW w:w="945"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3,596</w:t>
            </w:r>
          </w:p>
        </w:tc>
        <w:tc>
          <w:tcPr>
            <w:tcW w:w="945"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5,418</w:t>
            </w:r>
          </w:p>
        </w:tc>
        <w:tc>
          <w:tcPr>
            <w:tcW w:w="945"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5,927</w:t>
            </w:r>
          </w:p>
        </w:tc>
        <w:tc>
          <w:tcPr>
            <w:tcW w:w="945"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6,215</w:t>
            </w:r>
          </w:p>
        </w:tc>
        <w:tc>
          <w:tcPr>
            <w:tcW w:w="945"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2,547</w:t>
            </w:r>
          </w:p>
        </w:tc>
      </w:tr>
      <w:tr w:rsidR="0023236B" w:rsidRPr="0023236B" w:rsidTr="0023236B">
        <w:trPr>
          <w:trHeight w:val="300"/>
        </w:trPr>
        <w:tc>
          <w:tcPr>
            <w:tcW w:w="2425" w:type="dxa"/>
            <w:tcBorders>
              <w:top w:val="nil"/>
              <w:left w:val="nil"/>
              <w:bottom w:val="nil"/>
              <w:right w:val="nil"/>
            </w:tcBorders>
            <w:shd w:val="clear" w:color="auto" w:fill="auto"/>
            <w:vAlign w:val="center"/>
            <w:hideMark/>
          </w:tcPr>
          <w:p w:rsidR="0023236B" w:rsidRPr="0023236B" w:rsidRDefault="0023236B" w:rsidP="0023236B">
            <w:pPr>
              <w:rPr>
                <w:rFonts w:cs="Arial"/>
                <w:color w:val="7F7F7F"/>
                <w:szCs w:val="18"/>
                <w:lang w:eastAsia="en-AU"/>
              </w:rPr>
            </w:pPr>
            <w:r w:rsidRPr="0023236B">
              <w:rPr>
                <w:rFonts w:cs="Arial"/>
                <w:color w:val="7F7F7F"/>
                <w:szCs w:val="18"/>
                <w:lang w:eastAsia="en-AU"/>
              </w:rPr>
              <w:t>Managers</w:t>
            </w:r>
          </w:p>
        </w:tc>
        <w:tc>
          <w:tcPr>
            <w:tcW w:w="945"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254</w:t>
            </w:r>
          </w:p>
        </w:tc>
        <w:tc>
          <w:tcPr>
            <w:tcW w:w="945"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507</w:t>
            </w:r>
          </w:p>
        </w:tc>
        <w:tc>
          <w:tcPr>
            <w:tcW w:w="945"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965</w:t>
            </w:r>
          </w:p>
        </w:tc>
        <w:tc>
          <w:tcPr>
            <w:tcW w:w="945"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839</w:t>
            </w:r>
          </w:p>
        </w:tc>
        <w:tc>
          <w:tcPr>
            <w:tcW w:w="945"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585</w:t>
            </w:r>
          </w:p>
        </w:tc>
        <w:tc>
          <w:tcPr>
            <w:tcW w:w="945"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525</w:t>
            </w:r>
          </w:p>
        </w:tc>
      </w:tr>
      <w:tr w:rsidR="0023236B" w:rsidRPr="0023236B" w:rsidTr="0023236B">
        <w:trPr>
          <w:trHeight w:val="300"/>
        </w:trPr>
        <w:tc>
          <w:tcPr>
            <w:tcW w:w="2425" w:type="dxa"/>
            <w:tcBorders>
              <w:top w:val="nil"/>
              <w:left w:val="nil"/>
              <w:bottom w:val="nil"/>
              <w:right w:val="nil"/>
            </w:tcBorders>
            <w:shd w:val="clear" w:color="auto" w:fill="auto"/>
            <w:vAlign w:val="center"/>
            <w:hideMark/>
          </w:tcPr>
          <w:p w:rsidR="0023236B" w:rsidRPr="0023236B" w:rsidRDefault="0023236B" w:rsidP="0023236B">
            <w:pPr>
              <w:rPr>
                <w:rFonts w:cs="Arial"/>
                <w:color w:val="7F7F7F"/>
                <w:szCs w:val="18"/>
                <w:lang w:eastAsia="en-AU"/>
              </w:rPr>
            </w:pPr>
            <w:r w:rsidRPr="0023236B">
              <w:rPr>
                <w:rFonts w:cs="Arial"/>
                <w:color w:val="7F7F7F"/>
                <w:szCs w:val="18"/>
                <w:lang w:eastAsia="en-AU"/>
              </w:rPr>
              <w:t>Professionals</w:t>
            </w:r>
          </w:p>
        </w:tc>
        <w:tc>
          <w:tcPr>
            <w:tcW w:w="945"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39</w:t>
            </w:r>
          </w:p>
        </w:tc>
        <w:tc>
          <w:tcPr>
            <w:tcW w:w="945"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408</w:t>
            </w:r>
          </w:p>
        </w:tc>
        <w:tc>
          <w:tcPr>
            <w:tcW w:w="945"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963</w:t>
            </w:r>
          </w:p>
        </w:tc>
        <w:tc>
          <w:tcPr>
            <w:tcW w:w="945"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749</w:t>
            </w:r>
          </w:p>
        </w:tc>
        <w:tc>
          <w:tcPr>
            <w:tcW w:w="945"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165</w:t>
            </w:r>
          </w:p>
        </w:tc>
        <w:tc>
          <w:tcPr>
            <w:tcW w:w="945"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86</w:t>
            </w:r>
          </w:p>
        </w:tc>
      </w:tr>
      <w:tr w:rsidR="0023236B" w:rsidRPr="0023236B" w:rsidTr="0023236B">
        <w:trPr>
          <w:trHeight w:val="300"/>
        </w:trPr>
        <w:tc>
          <w:tcPr>
            <w:tcW w:w="2425" w:type="dxa"/>
            <w:tcBorders>
              <w:top w:val="nil"/>
              <w:left w:val="nil"/>
              <w:bottom w:val="nil"/>
              <w:right w:val="nil"/>
            </w:tcBorders>
            <w:shd w:val="clear" w:color="auto" w:fill="auto"/>
            <w:vAlign w:val="center"/>
            <w:hideMark/>
          </w:tcPr>
          <w:p w:rsidR="0023236B" w:rsidRPr="0023236B" w:rsidRDefault="0023236B" w:rsidP="0023236B">
            <w:pPr>
              <w:rPr>
                <w:rFonts w:cs="Arial"/>
                <w:color w:val="7F7F7F"/>
                <w:szCs w:val="18"/>
                <w:lang w:eastAsia="en-AU"/>
              </w:rPr>
            </w:pPr>
            <w:r w:rsidRPr="0023236B">
              <w:rPr>
                <w:rFonts w:cs="Arial"/>
                <w:color w:val="7F7F7F"/>
                <w:szCs w:val="18"/>
                <w:lang w:eastAsia="en-AU"/>
              </w:rPr>
              <w:t>Sales Workers</w:t>
            </w:r>
          </w:p>
        </w:tc>
        <w:tc>
          <w:tcPr>
            <w:tcW w:w="945"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9,140</w:t>
            </w:r>
          </w:p>
        </w:tc>
        <w:tc>
          <w:tcPr>
            <w:tcW w:w="945"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10,898</w:t>
            </w:r>
          </w:p>
        </w:tc>
        <w:tc>
          <w:tcPr>
            <w:tcW w:w="945"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12,663</w:t>
            </w:r>
          </w:p>
        </w:tc>
        <w:tc>
          <w:tcPr>
            <w:tcW w:w="945"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5,711</w:t>
            </w:r>
          </w:p>
        </w:tc>
        <w:tc>
          <w:tcPr>
            <w:tcW w:w="945"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2,606</w:t>
            </w:r>
          </w:p>
        </w:tc>
        <w:tc>
          <w:tcPr>
            <w:tcW w:w="945"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1,292</w:t>
            </w:r>
          </w:p>
        </w:tc>
      </w:tr>
      <w:tr w:rsidR="0023236B" w:rsidRPr="0023236B" w:rsidTr="0023236B">
        <w:trPr>
          <w:trHeight w:val="480"/>
        </w:trPr>
        <w:tc>
          <w:tcPr>
            <w:tcW w:w="2425" w:type="dxa"/>
            <w:tcBorders>
              <w:top w:val="nil"/>
              <w:left w:val="nil"/>
              <w:bottom w:val="nil"/>
              <w:right w:val="nil"/>
            </w:tcBorders>
            <w:shd w:val="clear" w:color="auto" w:fill="auto"/>
            <w:vAlign w:val="center"/>
            <w:hideMark/>
          </w:tcPr>
          <w:p w:rsidR="0023236B" w:rsidRPr="0023236B" w:rsidRDefault="0023236B" w:rsidP="0023236B">
            <w:pPr>
              <w:rPr>
                <w:rFonts w:cs="Arial"/>
                <w:color w:val="7F7F7F"/>
                <w:szCs w:val="18"/>
                <w:lang w:eastAsia="en-AU"/>
              </w:rPr>
            </w:pPr>
            <w:r w:rsidRPr="0023236B">
              <w:rPr>
                <w:rFonts w:cs="Arial"/>
                <w:color w:val="7F7F7F"/>
                <w:szCs w:val="18"/>
                <w:lang w:eastAsia="en-AU"/>
              </w:rPr>
              <w:t>Technicians And Trades Workers</w:t>
            </w:r>
          </w:p>
        </w:tc>
        <w:tc>
          <w:tcPr>
            <w:tcW w:w="945"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1,436</w:t>
            </w:r>
          </w:p>
        </w:tc>
        <w:tc>
          <w:tcPr>
            <w:tcW w:w="945"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1,586</w:t>
            </w:r>
          </w:p>
        </w:tc>
        <w:tc>
          <w:tcPr>
            <w:tcW w:w="945"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2,028</w:t>
            </w:r>
          </w:p>
        </w:tc>
        <w:tc>
          <w:tcPr>
            <w:tcW w:w="945"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2,558</w:t>
            </w:r>
          </w:p>
        </w:tc>
        <w:tc>
          <w:tcPr>
            <w:tcW w:w="945"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2,657</w:t>
            </w:r>
          </w:p>
        </w:tc>
        <w:tc>
          <w:tcPr>
            <w:tcW w:w="945" w:type="dxa"/>
            <w:tcBorders>
              <w:top w:val="nil"/>
              <w:left w:val="nil"/>
              <w:bottom w:val="nil"/>
              <w:right w:val="nil"/>
            </w:tcBorders>
            <w:shd w:val="clear" w:color="auto" w:fill="auto"/>
            <w:noWrap/>
            <w:vAlign w:val="center"/>
            <w:hideMark/>
          </w:tcPr>
          <w:p w:rsidR="0023236B" w:rsidRPr="0023236B" w:rsidRDefault="0023236B" w:rsidP="0023236B">
            <w:pPr>
              <w:jc w:val="right"/>
              <w:rPr>
                <w:rFonts w:cs="Arial"/>
                <w:color w:val="7F7F7F"/>
                <w:szCs w:val="18"/>
                <w:lang w:eastAsia="en-AU"/>
              </w:rPr>
            </w:pPr>
            <w:r w:rsidRPr="0023236B">
              <w:rPr>
                <w:rFonts w:cs="Arial"/>
                <w:color w:val="7F7F7F"/>
                <w:szCs w:val="18"/>
                <w:lang w:eastAsia="en-AU"/>
              </w:rPr>
              <w:t>2,619</w:t>
            </w:r>
          </w:p>
        </w:tc>
      </w:tr>
      <w:tr w:rsidR="0023236B" w:rsidRPr="0023236B" w:rsidTr="0023236B">
        <w:trPr>
          <w:trHeight w:val="300"/>
        </w:trPr>
        <w:tc>
          <w:tcPr>
            <w:tcW w:w="2425" w:type="dxa"/>
            <w:tcBorders>
              <w:top w:val="nil"/>
              <w:left w:val="nil"/>
              <w:bottom w:val="nil"/>
              <w:right w:val="nil"/>
            </w:tcBorders>
            <w:shd w:val="clear" w:color="000000" w:fill="7F7F7F"/>
            <w:noWrap/>
            <w:vAlign w:val="center"/>
            <w:hideMark/>
          </w:tcPr>
          <w:p w:rsidR="0023236B" w:rsidRPr="0023236B" w:rsidRDefault="0023236B" w:rsidP="0023236B">
            <w:pPr>
              <w:rPr>
                <w:rFonts w:cs="Arial"/>
                <w:b/>
                <w:bCs/>
                <w:color w:val="FFFFFF"/>
                <w:szCs w:val="18"/>
                <w:lang w:eastAsia="en-AU"/>
              </w:rPr>
            </w:pPr>
            <w:r w:rsidRPr="0023236B">
              <w:rPr>
                <w:rFonts w:cs="Arial"/>
                <w:b/>
                <w:bCs/>
                <w:color w:val="FFFFFF"/>
                <w:szCs w:val="18"/>
                <w:lang w:eastAsia="en-AU"/>
              </w:rPr>
              <w:t>Total***</w:t>
            </w:r>
          </w:p>
        </w:tc>
        <w:tc>
          <w:tcPr>
            <w:tcW w:w="945" w:type="dxa"/>
            <w:tcBorders>
              <w:top w:val="nil"/>
              <w:left w:val="nil"/>
              <w:bottom w:val="nil"/>
              <w:right w:val="nil"/>
            </w:tcBorders>
            <w:shd w:val="clear" w:color="000000" w:fill="7F7F7F"/>
            <w:noWrap/>
            <w:vAlign w:val="center"/>
            <w:hideMark/>
          </w:tcPr>
          <w:p w:rsidR="0023236B" w:rsidRPr="0023236B" w:rsidRDefault="0023236B" w:rsidP="0023236B">
            <w:pPr>
              <w:jc w:val="right"/>
              <w:rPr>
                <w:rFonts w:cs="Arial"/>
                <w:b/>
                <w:bCs/>
                <w:color w:val="FFFFFF"/>
                <w:szCs w:val="18"/>
                <w:lang w:eastAsia="en-AU"/>
              </w:rPr>
            </w:pPr>
            <w:r w:rsidRPr="0023236B">
              <w:rPr>
                <w:rFonts w:cs="Arial"/>
                <w:b/>
                <w:bCs/>
                <w:color w:val="FFFFFF"/>
                <w:szCs w:val="18"/>
                <w:lang w:eastAsia="en-AU"/>
              </w:rPr>
              <w:t>34,262</w:t>
            </w:r>
          </w:p>
        </w:tc>
        <w:tc>
          <w:tcPr>
            <w:tcW w:w="945" w:type="dxa"/>
            <w:tcBorders>
              <w:top w:val="nil"/>
              <w:left w:val="nil"/>
              <w:bottom w:val="nil"/>
              <w:right w:val="nil"/>
            </w:tcBorders>
            <w:shd w:val="clear" w:color="000000" w:fill="7F7F7F"/>
            <w:noWrap/>
            <w:vAlign w:val="center"/>
            <w:hideMark/>
          </w:tcPr>
          <w:p w:rsidR="0023236B" w:rsidRPr="0023236B" w:rsidRDefault="0023236B" w:rsidP="0023236B">
            <w:pPr>
              <w:jc w:val="right"/>
              <w:rPr>
                <w:rFonts w:cs="Arial"/>
                <w:b/>
                <w:bCs/>
                <w:color w:val="FFFFFF"/>
                <w:szCs w:val="18"/>
                <w:lang w:eastAsia="en-AU"/>
              </w:rPr>
            </w:pPr>
            <w:r w:rsidRPr="0023236B">
              <w:rPr>
                <w:rFonts w:cs="Arial"/>
                <w:b/>
                <w:bCs/>
                <w:color w:val="FFFFFF"/>
                <w:szCs w:val="18"/>
                <w:lang w:eastAsia="en-AU"/>
              </w:rPr>
              <w:t>46,935</w:t>
            </w:r>
          </w:p>
        </w:tc>
        <w:tc>
          <w:tcPr>
            <w:tcW w:w="945" w:type="dxa"/>
            <w:tcBorders>
              <w:top w:val="nil"/>
              <w:left w:val="nil"/>
              <w:bottom w:val="nil"/>
              <w:right w:val="nil"/>
            </w:tcBorders>
            <w:shd w:val="clear" w:color="000000" w:fill="7F7F7F"/>
            <w:noWrap/>
            <w:vAlign w:val="center"/>
            <w:hideMark/>
          </w:tcPr>
          <w:p w:rsidR="0023236B" w:rsidRPr="0023236B" w:rsidRDefault="0023236B" w:rsidP="0023236B">
            <w:pPr>
              <w:jc w:val="right"/>
              <w:rPr>
                <w:rFonts w:cs="Arial"/>
                <w:b/>
                <w:bCs/>
                <w:color w:val="FFFFFF"/>
                <w:szCs w:val="18"/>
                <w:lang w:eastAsia="en-AU"/>
              </w:rPr>
            </w:pPr>
            <w:r w:rsidRPr="0023236B">
              <w:rPr>
                <w:rFonts w:cs="Arial"/>
                <w:b/>
                <w:bCs/>
                <w:color w:val="FFFFFF"/>
                <w:szCs w:val="18"/>
                <w:lang w:eastAsia="en-AU"/>
              </w:rPr>
              <w:t>63,609</w:t>
            </w:r>
          </w:p>
        </w:tc>
        <w:tc>
          <w:tcPr>
            <w:tcW w:w="945" w:type="dxa"/>
            <w:tcBorders>
              <w:top w:val="nil"/>
              <w:left w:val="nil"/>
              <w:bottom w:val="nil"/>
              <w:right w:val="nil"/>
            </w:tcBorders>
            <w:shd w:val="clear" w:color="000000" w:fill="7F7F7F"/>
            <w:noWrap/>
            <w:vAlign w:val="center"/>
            <w:hideMark/>
          </w:tcPr>
          <w:p w:rsidR="0023236B" w:rsidRPr="0023236B" w:rsidRDefault="0023236B" w:rsidP="0023236B">
            <w:pPr>
              <w:jc w:val="right"/>
              <w:rPr>
                <w:rFonts w:cs="Arial"/>
                <w:b/>
                <w:bCs/>
                <w:color w:val="FFFFFF"/>
                <w:szCs w:val="18"/>
                <w:lang w:eastAsia="en-AU"/>
              </w:rPr>
            </w:pPr>
            <w:r w:rsidRPr="0023236B">
              <w:rPr>
                <w:rFonts w:cs="Arial"/>
                <w:b/>
                <w:bCs/>
                <w:color w:val="FFFFFF"/>
                <w:szCs w:val="18"/>
                <w:lang w:eastAsia="en-AU"/>
              </w:rPr>
              <w:t>41,087</w:t>
            </w:r>
          </w:p>
        </w:tc>
        <w:tc>
          <w:tcPr>
            <w:tcW w:w="945" w:type="dxa"/>
            <w:tcBorders>
              <w:top w:val="nil"/>
              <w:left w:val="nil"/>
              <w:bottom w:val="nil"/>
              <w:right w:val="nil"/>
            </w:tcBorders>
            <w:shd w:val="clear" w:color="000000" w:fill="7F7F7F"/>
            <w:noWrap/>
            <w:vAlign w:val="center"/>
            <w:hideMark/>
          </w:tcPr>
          <w:p w:rsidR="0023236B" w:rsidRPr="0023236B" w:rsidRDefault="0023236B" w:rsidP="0023236B">
            <w:pPr>
              <w:jc w:val="right"/>
              <w:rPr>
                <w:rFonts w:cs="Arial"/>
                <w:b/>
                <w:bCs/>
                <w:color w:val="FFFFFF"/>
                <w:szCs w:val="18"/>
                <w:lang w:eastAsia="en-AU"/>
              </w:rPr>
            </w:pPr>
            <w:r w:rsidRPr="0023236B">
              <w:rPr>
                <w:rFonts w:cs="Arial"/>
                <w:b/>
                <w:bCs/>
                <w:color w:val="FFFFFF"/>
                <w:szCs w:val="18"/>
                <w:lang w:eastAsia="en-AU"/>
              </w:rPr>
              <w:t>30,724</w:t>
            </w:r>
          </w:p>
        </w:tc>
        <w:tc>
          <w:tcPr>
            <w:tcW w:w="945" w:type="dxa"/>
            <w:tcBorders>
              <w:top w:val="nil"/>
              <w:left w:val="nil"/>
              <w:bottom w:val="nil"/>
              <w:right w:val="nil"/>
            </w:tcBorders>
            <w:shd w:val="clear" w:color="000000" w:fill="7F7F7F"/>
            <w:noWrap/>
            <w:vAlign w:val="center"/>
            <w:hideMark/>
          </w:tcPr>
          <w:p w:rsidR="0023236B" w:rsidRPr="0023236B" w:rsidRDefault="0023236B" w:rsidP="0023236B">
            <w:pPr>
              <w:jc w:val="right"/>
              <w:rPr>
                <w:rFonts w:cs="Arial"/>
                <w:b/>
                <w:bCs/>
                <w:color w:val="FFFFFF"/>
                <w:szCs w:val="18"/>
                <w:lang w:eastAsia="en-AU"/>
              </w:rPr>
            </w:pPr>
            <w:r w:rsidRPr="0023236B">
              <w:rPr>
                <w:rFonts w:cs="Arial"/>
                <w:b/>
                <w:bCs/>
                <w:color w:val="FFFFFF"/>
                <w:szCs w:val="18"/>
                <w:lang w:eastAsia="en-AU"/>
              </w:rPr>
              <w:t>20,258</w:t>
            </w:r>
          </w:p>
        </w:tc>
      </w:tr>
    </w:tbl>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4A0" w:firstRow="1" w:lastRow="0" w:firstColumn="1" w:lastColumn="0" w:noHBand="0" w:noVBand="1"/>
      </w:tblPr>
      <w:tblGrid>
        <w:gridCol w:w="431"/>
        <w:gridCol w:w="7649"/>
      </w:tblGrid>
      <w:tr w:rsidR="0023236B" w:rsidRPr="00913551" w:rsidTr="0023236B">
        <w:tc>
          <w:tcPr>
            <w:tcW w:w="431" w:type="dxa"/>
            <w:tcMar>
              <w:left w:w="0" w:type="dxa"/>
              <w:right w:w="28" w:type="dxa"/>
            </w:tcMar>
          </w:tcPr>
          <w:p w:rsidR="0023236B" w:rsidRPr="00913551" w:rsidRDefault="0023236B" w:rsidP="0023236B">
            <w:pPr>
              <w:spacing w:after="0" w:line="240" w:lineRule="auto"/>
              <w:jc w:val="right"/>
              <w:rPr>
                <w:color w:val="7F7F7F" w:themeColor="text2"/>
                <w:sz w:val="16"/>
                <w:szCs w:val="16"/>
              </w:rPr>
            </w:pPr>
            <w:r w:rsidRPr="00913551">
              <w:rPr>
                <w:color w:val="7F7F7F" w:themeColor="text2"/>
                <w:sz w:val="16"/>
                <w:szCs w:val="16"/>
              </w:rPr>
              <w:t xml:space="preserve">* </w:t>
            </w:r>
          </w:p>
        </w:tc>
        <w:tc>
          <w:tcPr>
            <w:tcW w:w="7649" w:type="dxa"/>
            <w:tcMar>
              <w:left w:w="0" w:type="dxa"/>
              <w:right w:w="28" w:type="dxa"/>
            </w:tcMar>
          </w:tcPr>
          <w:p w:rsidR="0023236B" w:rsidRPr="00913551" w:rsidRDefault="0023236B" w:rsidP="0023236B">
            <w:pPr>
              <w:spacing w:after="0" w:line="240" w:lineRule="auto"/>
              <w:rPr>
                <w:i/>
                <w:color w:val="7F7F7F" w:themeColor="text2"/>
                <w:sz w:val="16"/>
                <w:szCs w:val="16"/>
              </w:rPr>
            </w:pPr>
            <w:r w:rsidRPr="00913551">
              <w:rPr>
                <w:i/>
                <w:sz w:val="16"/>
                <w:szCs w:val="16"/>
              </w:rPr>
              <w:t>'Community and Personal Services' occupational category included courses such as Diploma of Early Childhood Education and Certificate III in Hospitality</w:t>
            </w:r>
            <w:r w:rsidR="00D16FB4" w:rsidRPr="00913551">
              <w:rPr>
                <w:i/>
                <w:sz w:val="16"/>
                <w:szCs w:val="16"/>
              </w:rPr>
              <w:t>.</w:t>
            </w:r>
          </w:p>
        </w:tc>
      </w:tr>
      <w:tr w:rsidR="0023236B" w:rsidRPr="00913551" w:rsidTr="0023236B">
        <w:tc>
          <w:tcPr>
            <w:tcW w:w="431" w:type="dxa"/>
            <w:tcMar>
              <w:left w:w="0" w:type="dxa"/>
              <w:right w:w="28" w:type="dxa"/>
            </w:tcMar>
          </w:tcPr>
          <w:p w:rsidR="0023236B" w:rsidRPr="00913551" w:rsidRDefault="0023236B" w:rsidP="0023236B">
            <w:pPr>
              <w:spacing w:after="0" w:line="240" w:lineRule="auto"/>
              <w:jc w:val="right"/>
              <w:rPr>
                <w:color w:val="7F7F7F" w:themeColor="text2"/>
                <w:sz w:val="16"/>
                <w:szCs w:val="16"/>
              </w:rPr>
            </w:pPr>
            <w:r w:rsidRPr="00913551">
              <w:rPr>
                <w:color w:val="7F7F7F" w:themeColor="text2"/>
                <w:sz w:val="16"/>
                <w:szCs w:val="16"/>
              </w:rPr>
              <w:t>**</w:t>
            </w:r>
          </w:p>
        </w:tc>
        <w:tc>
          <w:tcPr>
            <w:tcW w:w="7649" w:type="dxa"/>
            <w:tcMar>
              <w:left w:w="0" w:type="dxa"/>
              <w:right w:w="28" w:type="dxa"/>
            </w:tcMar>
          </w:tcPr>
          <w:p w:rsidR="0023236B" w:rsidRPr="00913551" w:rsidRDefault="0023236B" w:rsidP="0023236B">
            <w:pPr>
              <w:spacing w:after="0" w:line="240" w:lineRule="auto"/>
              <w:rPr>
                <w:i/>
                <w:sz w:val="16"/>
                <w:szCs w:val="16"/>
              </w:rPr>
            </w:pPr>
            <w:r w:rsidRPr="00913551">
              <w:rPr>
                <w:i/>
                <w:sz w:val="16"/>
                <w:szCs w:val="16"/>
              </w:rPr>
              <w:t>'Labourers' occupational category included courses such as Certificate III in Food Processing and Certificate III in Agriculture</w:t>
            </w:r>
            <w:r w:rsidR="00D16FB4" w:rsidRPr="00913551">
              <w:rPr>
                <w:i/>
                <w:sz w:val="16"/>
                <w:szCs w:val="16"/>
              </w:rPr>
              <w:t>.</w:t>
            </w:r>
          </w:p>
        </w:tc>
      </w:tr>
      <w:tr w:rsidR="0023236B" w:rsidRPr="00913551" w:rsidTr="0023236B">
        <w:tc>
          <w:tcPr>
            <w:tcW w:w="431" w:type="dxa"/>
            <w:tcMar>
              <w:left w:w="0" w:type="dxa"/>
              <w:right w:w="28" w:type="dxa"/>
            </w:tcMar>
          </w:tcPr>
          <w:p w:rsidR="0023236B" w:rsidRPr="00913551" w:rsidRDefault="0023236B" w:rsidP="0023236B">
            <w:pPr>
              <w:spacing w:after="0" w:line="240" w:lineRule="auto"/>
              <w:jc w:val="right"/>
              <w:rPr>
                <w:color w:val="7F7F7F" w:themeColor="text2"/>
                <w:sz w:val="16"/>
                <w:szCs w:val="16"/>
              </w:rPr>
            </w:pPr>
            <w:r w:rsidRPr="00913551">
              <w:rPr>
                <w:color w:val="7F7F7F" w:themeColor="text2"/>
                <w:sz w:val="16"/>
                <w:szCs w:val="16"/>
              </w:rPr>
              <w:t>***</w:t>
            </w:r>
          </w:p>
        </w:tc>
        <w:tc>
          <w:tcPr>
            <w:tcW w:w="7649" w:type="dxa"/>
            <w:tcMar>
              <w:left w:w="0" w:type="dxa"/>
              <w:right w:w="28" w:type="dxa"/>
            </w:tcMar>
          </w:tcPr>
          <w:p w:rsidR="0023236B" w:rsidRPr="00913551" w:rsidRDefault="00D16FB4" w:rsidP="0023236B">
            <w:pPr>
              <w:spacing w:after="0" w:line="240" w:lineRule="auto"/>
              <w:rPr>
                <w:i/>
                <w:sz w:val="16"/>
                <w:szCs w:val="16"/>
              </w:rPr>
            </w:pPr>
            <w:r w:rsidRPr="00913551">
              <w:rPr>
                <w:i/>
                <w:sz w:val="16"/>
                <w:szCs w:val="16"/>
              </w:rPr>
              <w:t xml:space="preserve">Totals for 2010 and 2014 include a small number of enrolments that </w:t>
            </w:r>
            <w:proofErr w:type="gramStart"/>
            <w:r w:rsidRPr="00913551">
              <w:rPr>
                <w:i/>
                <w:sz w:val="16"/>
                <w:szCs w:val="16"/>
              </w:rPr>
              <w:t>were not able to</w:t>
            </w:r>
            <w:proofErr w:type="gramEnd"/>
            <w:r w:rsidRPr="00913551">
              <w:rPr>
                <w:i/>
                <w:sz w:val="16"/>
                <w:szCs w:val="16"/>
              </w:rPr>
              <w:t xml:space="preserve"> be coded directly into ANZSCO (50 and 5 respectively).</w:t>
            </w:r>
          </w:p>
        </w:tc>
      </w:tr>
    </w:tbl>
    <w:p w:rsidR="00674718" w:rsidRDefault="00674718" w:rsidP="00AB62FC">
      <w:pPr>
        <w:pStyle w:val="Quote"/>
        <w:rPr>
          <w:b w:val="0"/>
          <w:sz w:val="18"/>
          <w:szCs w:val="18"/>
        </w:rPr>
      </w:pPr>
    </w:p>
    <w:p w:rsidR="0023236B" w:rsidRDefault="0023236B" w:rsidP="00AB62FC">
      <w:pPr>
        <w:pStyle w:val="Quote"/>
        <w:rPr>
          <w:b w:val="0"/>
          <w:sz w:val="18"/>
          <w:szCs w:val="18"/>
        </w:rPr>
      </w:pPr>
    </w:p>
    <w:p w:rsidR="00D16FB4" w:rsidRDefault="00D16FB4">
      <w:pPr>
        <w:rPr>
          <w:color w:val="7F7F7F" w:themeColor="text2"/>
          <w:szCs w:val="18"/>
        </w:rPr>
      </w:pPr>
      <w:r>
        <w:rPr>
          <w:b/>
          <w:szCs w:val="18"/>
        </w:rPr>
        <w:br w:type="page"/>
      </w: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D16FB4" w:rsidTr="00BB0C32">
        <w:tc>
          <w:tcPr>
            <w:tcW w:w="1134" w:type="dxa"/>
            <w:tcMar>
              <w:left w:w="0" w:type="dxa"/>
              <w:right w:w="0" w:type="dxa"/>
            </w:tcMar>
          </w:tcPr>
          <w:p w:rsidR="00D16FB4" w:rsidRDefault="0005261F" w:rsidP="00D16FB4">
            <w:pPr>
              <w:pStyle w:val="Quote"/>
              <w:tabs>
                <w:tab w:val="left" w:pos="1134"/>
              </w:tabs>
              <w:rPr>
                <w:b w:val="0"/>
                <w:color w:val="B41F22" w:themeColor="accent1"/>
              </w:rPr>
            </w:pPr>
            <w:r>
              <w:rPr>
                <w:b w:val="0"/>
                <w:color w:val="B41F22" w:themeColor="accent1"/>
              </w:rPr>
              <w:lastRenderedPageBreak/>
              <w:t>Table 3</w:t>
            </w:r>
            <w:r w:rsidR="00D16FB4">
              <w:rPr>
                <w:b w:val="0"/>
                <w:color w:val="B41F22" w:themeColor="accent1"/>
              </w:rPr>
              <w:t>.9.2:</w:t>
            </w:r>
          </w:p>
        </w:tc>
        <w:tc>
          <w:tcPr>
            <w:tcW w:w="6946" w:type="dxa"/>
            <w:tcMar>
              <w:left w:w="0" w:type="dxa"/>
              <w:right w:w="0" w:type="dxa"/>
            </w:tcMar>
          </w:tcPr>
          <w:p w:rsidR="00D16FB4" w:rsidRDefault="00D16FB4" w:rsidP="00BB0C32">
            <w:pPr>
              <w:pStyle w:val="Quote"/>
              <w:tabs>
                <w:tab w:val="left" w:pos="1134"/>
              </w:tabs>
              <w:rPr>
                <w:b w:val="0"/>
                <w:color w:val="B41F22" w:themeColor="accent1"/>
              </w:rPr>
            </w:pPr>
            <w:r w:rsidRPr="00D16FB4">
              <w:rPr>
                <w:b w:val="0"/>
                <w:color w:val="B41F22" w:themeColor="accent1"/>
              </w:rPr>
              <w:t>Change in number of government subsidised trainee course enrolments by occupation (half year)</w:t>
            </w:r>
          </w:p>
        </w:tc>
      </w:tr>
    </w:tbl>
    <w:tbl>
      <w:tblPr>
        <w:tblW w:w="8095" w:type="dxa"/>
        <w:tblInd w:w="93" w:type="dxa"/>
        <w:tblLayout w:type="fixed"/>
        <w:tblLook w:val="04A0" w:firstRow="1" w:lastRow="0" w:firstColumn="1" w:lastColumn="0" w:noHBand="0" w:noVBand="1"/>
      </w:tblPr>
      <w:tblGrid>
        <w:gridCol w:w="2600"/>
        <w:gridCol w:w="1099"/>
        <w:gridCol w:w="1099"/>
        <w:gridCol w:w="1099"/>
        <w:gridCol w:w="1099"/>
        <w:gridCol w:w="1099"/>
      </w:tblGrid>
      <w:tr w:rsidR="00D16FB4" w:rsidRPr="00D16FB4" w:rsidTr="00D16FB4">
        <w:trPr>
          <w:trHeight w:val="720"/>
        </w:trPr>
        <w:tc>
          <w:tcPr>
            <w:tcW w:w="2600" w:type="dxa"/>
            <w:tcBorders>
              <w:top w:val="nil"/>
              <w:left w:val="nil"/>
              <w:bottom w:val="nil"/>
              <w:right w:val="nil"/>
            </w:tcBorders>
            <w:shd w:val="clear" w:color="000000" w:fill="7F7F7F"/>
            <w:noWrap/>
            <w:vAlign w:val="center"/>
            <w:hideMark/>
          </w:tcPr>
          <w:p w:rsidR="00D16FB4" w:rsidRPr="00D16FB4" w:rsidRDefault="00D16FB4" w:rsidP="00D16FB4">
            <w:pPr>
              <w:rPr>
                <w:rFonts w:cs="Arial"/>
                <w:color w:val="FFFFFF"/>
                <w:szCs w:val="18"/>
                <w:lang w:eastAsia="en-AU"/>
              </w:rPr>
            </w:pPr>
            <w:r w:rsidRPr="00D16FB4">
              <w:rPr>
                <w:rFonts w:cs="Arial"/>
                <w:color w:val="FFFFFF"/>
                <w:szCs w:val="18"/>
                <w:lang w:eastAsia="en-AU"/>
              </w:rPr>
              <w:t> </w:t>
            </w:r>
          </w:p>
        </w:tc>
        <w:tc>
          <w:tcPr>
            <w:tcW w:w="1099" w:type="dxa"/>
            <w:tcBorders>
              <w:top w:val="nil"/>
              <w:left w:val="nil"/>
              <w:bottom w:val="nil"/>
              <w:right w:val="nil"/>
            </w:tcBorders>
            <w:shd w:val="clear" w:color="000000" w:fill="7F7F7F"/>
            <w:vAlign w:val="center"/>
            <w:hideMark/>
          </w:tcPr>
          <w:p w:rsidR="00D16FB4" w:rsidRPr="00D16FB4" w:rsidRDefault="00D16FB4" w:rsidP="00D16FB4">
            <w:pPr>
              <w:jc w:val="right"/>
              <w:rPr>
                <w:rFonts w:cs="Arial"/>
                <w:b/>
                <w:bCs/>
                <w:color w:val="FFFFFF"/>
                <w:szCs w:val="18"/>
                <w:lang w:eastAsia="en-AU"/>
              </w:rPr>
            </w:pPr>
            <w:r w:rsidRPr="00D16FB4">
              <w:rPr>
                <w:rFonts w:cs="Arial"/>
                <w:b/>
                <w:bCs/>
                <w:color w:val="FFFFFF"/>
                <w:szCs w:val="18"/>
                <w:lang w:eastAsia="en-AU"/>
              </w:rPr>
              <w:t>% change 2010 to 2015</w:t>
            </w:r>
          </w:p>
        </w:tc>
        <w:tc>
          <w:tcPr>
            <w:tcW w:w="1099" w:type="dxa"/>
            <w:tcBorders>
              <w:top w:val="nil"/>
              <w:left w:val="nil"/>
              <w:bottom w:val="nil"/>
              <w:right w:val="nil"/>
            </w:tcBorders>
            <w:shd w:val="clear" w:color="000000" w:fill="7F7F7F"/>
            <w:vAlign w:val="center"/>
            <w:hideMark/>
          </w:tcPr>
          <w:p w:rsidR="00D16FB4" w:rsidRPr="00D16FB4" w:rsidRDefault="00D16FB4" w:rsidP="00D16FB4">
            <w:pPr>
              <w:jc w:val="right"/>
              <w:rPr>
                <w:rFonts w:cs="Arial"/>
                <w:b/>
                <w:bCs/>
                <w:color w:val="FFFFFF"/>
                <w:szCs w:val="18"/>
                <w:lang w:eastAsia="en-AU"/>
              </w:rPr>
            </w:pPr>
            <w:r w:rsidRPr="00D16FB4">
              <w:rPr>
                <w:rFonts w:cs="Arial"/>
                <w:b/>
                <w:bCs/>
                <w:color w:val="FFFFFF"/>
                <w:szCs w:val="18"/>
                <w:lang w:eastAsia="en-AU"/>
              </w:rPr>
              <w:t>% change 2011 to 2015</w:t>
            </w:r>
          </w:p>
        </w:tc>
        <w:tc>
          <w:tcPr>
            <w:tcW w:w="1099" w:type="dxa"/>
            <w:tcBorders>
              <w:top w:val="nil"/>
              <w:left w:val="nil"/>
              <w:bottom w:val="nil"/>
              <w:right w:val="nil"/>
            </w:tcBorders>
            <w:shd w:val="clear" w:color="000000" w:fill="7F7F7F"/>
            <w:vAlign w:val="center"/>
            <w:hideMark/>
          </w:tcPr>
          <w:p w:rsidR="00D16FB4" w:rsidRPr="00D16FB4" w:rsidRDefault="00D16FB4" w:rsidP="00D16FB4">
            <w:pPr>
              <w:jc w:val="right"/>
              <w:rPr>
                <w:rFonts w:cs="Arial"/>
                <w:b/>
                <w:bCs/>
                <w:color w:val="FFFFFF"/>
                <w:szCs w:val="18"/>
                <w:lang w:eastAsia="en-AU"/>
              </w:rPr>
            </w:pPr>
            <w:r w:rsidRPr="00D16FB4">
              <w:rPr>
                <w:rFonts w:cs="Arial"/>
                <w:b/>
                <w:bCs/>
                <w:color w:val="FFFFFF"/>
                <w:szCs w:val="18"/>
                <w:lang w:eastAsia="en-AU"/>
              </w:rPr>
              <w:t>% change 2012 to 2015</w:t>
            </w:r>
          </w:p>
        </w:tc>
        <w:tc>
          <w:tcPr>
            <w:tcW w:w="1099" w:type="dxa"/>
            <w:tcBorders>
              <w:top w:val="nil"/>
              <w:left w:val="nil"/>
              <w:bottom w:val="nil"/>
              <w:right w:val="nil"/>
            </w:tcBorders>
            <w:shd w:val="clear" w:color="000000" w:fill="7F7F7F"/>
            <w:vAlign w:val="center"/>
            <w:hideMark/>
          </w:tcPr>
          <w:p w:rsidR="00D16FB4" w:rsidRPr="00D16FB4" w:rsidRDefault="00D16FB4" w:rsidP="00D16FB4">
            <w:pPr>
              <w:jc w:val="right"/>
              <w:rPr>
                <w:rFonts w:cs="Arial"/>
                <w:b/>
                <w:bCs/>
                <w:color w:val="FFFFFF"/>
                <w:szCs w:val="18"/>
                <w:lang w:eastAsia="en-AU"/>
              </w:rPr>
            </w:pPr>
            <w:r w:rsidRPr="00D16FB4">
              <w:rPr>
                <w:rFonts w:cs="Arial"/>
                <w:b/>
                <w:bCs/>
                <w:color w:val="FFFFFF"/>
                <w:szCs w:val="18"/>
                <w:lang w:eastAsia="en-AU"/>
              </w:rPr>
              <w:t>% change 2013 to 2015</w:t>
            </w:r>
          </w:p>
        </w:tc>
        <w:tc>
          <w:tcPr>
            <w:tcW w:w="1099" w:type="dxa"/>
            <w:tcBorders>
              <w:top w:val="nil"/>
              <w:left w:val="nil"/>
              <w:bottom w:val="nil"/>
              <w:right w:val="nil"/>
            </w:tcBorders>
            <w:shd w:val="clear" w:color="000000" w:fill="7F7F7F"/>
            <w:vAlign w:val="center"/>
            <w:hideMark/>
          </w:tcPr>
          <w:p w:rsidR="00D16FB4" w:rsidRPr="00D16FB4" w:rsidRDefault="00D16FB4" w:rsidP="00D16FB4">
            <w:pPr>
              <w:jc w:val="right"/>
              <w:rPr>
                <w:rFonts w:cs="Arial"/>
                <w:b/>
                <w:bCs/>
                <w:color w:val="FFFFFF"/>
                <w:szCs w:val="18"/>
                <w:lang w:eastAsia="en-AU"/>
              </w:rPr>
            </w:pPr>
            <w:r w:rsidRPr="00D16FB4">
              <w:rPr>
                <w:rFonts w:cs="Arial"/>
                <w:b/>
                <w:bCs/>
                <w:color w:val="FFFFFF"/>
                <w:szCs w:val="18"/>
                <w:lang w:eastAsia="en-AU"/>
              </w:rPr>
              <w:t>% change 2014 to 2015</w:t>
            </w:r>
          </w:p>
        </w:tc>
      </w:tr>
      <w:tr w:rsidR="00D16FB4" w:rsidRPr="00D16FB4" w:rsidTr="00D16FB4">
        <w:trPr>
          <w:trHeight w:val="480"/>
        </w:trPr>
        <w:tc>
          <w:tcPr>
            <w:tcW w:w="2600" w:type="dxa"/>
            <w:tcBorders>
              <w:top w:val="nil"/>
              <w:left w:val="nil"/>
              <w:bottom w:val="nil"/>
              <w:right w:val="nil"/>
            </w:tcBorders>
            <w:shd w:val="clear" w:color="auto" w:fill="auto"/>
            <w:vAlign w:val="center"/>
            <w:hideMark/>
          </w:tcPr>
          <w:p w:rsidR="00D16FB4" w:rsidRPr="00D16FB4" w:rsidRDefault="00D16FB4" w:rsidP="00D16FB4">
            <w:pPr>
              <w:rPr>
                <w:rFonts w:cs="Arial"/>
                <w:color w:val="7F7F7F"/>
                <w:szCs w:val="18"/>
                <w:lang w:eastAsia="en-AU"/>
              </w:rPr>
            </w:pPr>
            <w:r w:rsidRPr="00D16FB4">
              <w:rPr>
                <w:rFonts w:cs="Arial"/>
                <w:color w:val="7F7F7F"/>
                <w:szCs w:val="18"/>
                <w:lang w:eastAsia="en-AU"/>
              </w:rPr>
              <w:t>Clerical and Administrative Workers</w:t>
            </w:r>
          </w:p>
        </w:tc>
        <w:tc>
          <w:tcPr>
            <w:tcW w:w="1099" w:type="dxa"/>
            <w:tcBorders>
              <w:top w:val="nil"/>
              <w:left w:val="nil"/>
              <w:bottom w:val="nil"/>
              <w:right w:val="nil"/>
            </w:tcBorders>
            <w:shd w:val="clear" w:color="auto" w:fill="auto"/>
            <w:noWrap/>
            <w:vAlign w:val="center"/>
            <w:hideMark/>
          </w:tcPr>
          <w:p w:rsidR="00D16FB4" w:rsidRPr="00D16FB4" w:rsidRDefault="00D16FB4" w:rsidP="00D16FB4">
            <w:pPr>
              <w:jc w:val="right"/>
              <w:rPr>
                <w:rFonts w:cs="Arial"/>
                <w:color w:val="7F7F7F"/>
                <w:szCs w:val="18"/>
                <w:lang w:eastAsia="en-AU"/>
              </w:rPr>
            </w:pPr>
            <w:r w:rsidRPr="00D16FB4">
              <w:rPr>
                <w:rFonts w:cs="Arial"/>
                <w:color w:val="7F7F7F"/>
                <w:szCs w:val="18"/>
                <w:lang w:eastAsia="en-AU"/>
              </w:rPr>
              <w:t>-53%</w:t>
            </w:r>
          </w:p>
        </w:tc>
        <w:tc>
          <w:tcPr>
            <w:tcW w:w="1099" w:type="dxa"/>
            <w:tcBorders>
              <w:top w:val="nil"/>
              <w:left w:val="nil"/>
              <w:bottom w:val="nil"/>
              <w:right w:val="nil"/>
            </w:tcBorders>
            <w:shd w:val="clear" w:color="auto" w:fill="auto"/>
            <w:noWrap/>
            <w:vAlign w:val="center"/>
            <w:hideMark/>
          </w:tcPr>
          <w:p w:rsidR="00D16FB4" w:rsidRPr="00D16FB4" w:rsidRDefault="00D16FB4" w:rsidP="00D16FB4">
            <w:pPr>
              <w:jc w:val="right"/>
              <w:rPr>
                <w:rFonts w:cs="Arial"/>
                <w:color w:val="7F7F7F"/>
                <w:szCs w:val="18"/>
                <w:lang w:eastAsia="en-AU"/>
              </w:rPr>
            </w:pPr>
            <w:r w:rsidRPr="00D16FB4">
              <w:rPr>
                <w:rFonts w:cs="Arial"/>
                <w:color w:val="7F7F7F"/>
                <w:szCs w:val="18"/>
                <w:lang w:eastAsia="en-AU"/>
              </w:rPr>
              <w:t>-74%</w:t>
            </w:r>
          </w:p>
        </w:tc>
        <w:tc>
          <w:tcPr>
            <w:tcW w:w="1099" w:type="dxa"/>
            <w:tcBorders>
              <w:top w:val="nil"/>
              <w:left w:val="nil"/>
              <w:bottom w:val="nil"/>
              <w:right w:val="nil"/>
            </w:tcBorders>
            <w:shd w:val="clear" w:color="auto" w:fill="auto"/>
            <w:noWrap/>
            <w:vAlign w:val="center"/>
            <w:hideMark/>
          </w:tcPr>
          <w:p w:rsidR="00D16FB4" w:rsidRPr="00D16FB4" w:rsidRDefault="00D16FB4" w:rsidP="00D16FB4">
            <w:pPr>
              <w:jc w:val="right"/>
              <w:rPr>
                <w:rFonts w:cs="Arial"/>
                <w:color w:val="7F7F7F"/>
                <w:szCs w:val="18"/>
                <w:lang w:eastAsia="en-AU"/>
              </w:rPr>
            </w:pPr>
            <w:r w:rsidRPr="00D16FB4">
              <w:rPr>
                <w:rFonts w:cs="Arial"/>
                <w:color w:val="7F7F7F"/>
                <w:szCs w:val="18"/>
                <w:lang w:eastAsia="en-AU"/>
              </w:rPr>
              <w:t>-83%</w:t>
            </w:r>
          </w:p>
        </w:tc>
        <w:tc>
          <w:tcPr>
            <w:tcW w:w="1099" w:type="dxa"/>
            <w:tcBorders>
              <w:top w:val="nil"/>
              <w:left w:val="nil"/>
              <w:bottom w:val="nil"/>
              <w:right w:val="nil"/>
            </w:tcBorders>
            <w:shd w:val="clear" w:color="auto" w:fill="auto"/>
            <w:noWrap/>
            <w:vAlign w:val="center"/>
            <w:hideMark/>
          </w:tcPr>
          <w:p w:rsidR="00D16FB4" w:rsidRPr="00D16FB4" w:rsidRDefault="00D16FB4" w:rsidP="00D16FB4">
            <w:pPr>
              <w:jc w:val="right"/>
              <w:rPr>
                <w:rFonts w:cs="Arial"/>
                <w:color w:val="7F7F7F"/>
                <w:szCs w:val="18"/>
                <w:lang w:eastAsia="en-AU"/>
              </w:rPr>
            </w:pPr>
            <w:r w:rsidRPr="00D16FB4">
              <w:rPr>
                <w:rFonts w:cs="Arial"/>
                <w:color w:val="7F7F7F"/>
                <w:szCs w:val="18"/>
                <w:lang w:eastAsia="en-AU"/>
              </w:rPr>
              <w:t>-70%</w:t>
            </w:r>
          </w:p>
        </w:tc>
        <w:tc>
          <w:tcPr>
            <w:tcW w:w="1099" w:type="dxa"/>
            <w:tcBorders>
              <w:top w:val="nil"/>
              <w:left w:val="nil"/>
              <w:bottom w:val="nil"/>
              <w:right w:val="nil"/>
            </w:tcBorders>
            <w:shd w:val="clear" w:color="auto" w:fill="auto"/>
            <w:noWrap/>
            <w:vAlign w:val="center"/>
            <w:hideMark/>
          </w:tcPr>
          <w:p w:rsidR="00D16FB4" w:rsidRPr="00D16FB4" w:rsidRDefault="00D16FB4" w:rsidP="00D16FB4">
            <w:pPr>
              <w:jc w:val="right"/>
              <w:rPr>
                <w:rFonts w:cs="Arial"/>
                <w:color w:val="7F7F7F"/>
                <w:szCs w:val="18"/>
                <w:lang w:eastAsia="en-AU"/>
              </w:rPr>
            </w:pPr>
            <w:r w:rsidRPr="00D16FB4">
              <w:rPr>
                <w:rFonts w:cs="Arial"/>
                <w:color w:val="7F7F7F"/>
                <w:szCs w:val="18"/>
                <w:lang w:eastAsia="en-AU"/>
              </w:rPr>
              <w:t>-39%</w:t>
            </w:r>
          </w:p>
        </w:tc>
      </w:tr>
      <w:tr w:rsidR="00D16FB4" w:rsidRPr="00D16FB4" w:rsidTr="00D16FB4">
        <w:trPr>
          <w:trHeight w:val="480"/>
        </w:trPr>
        <w:tc>
          <w:tcPr>
            <w:tcW w:w="2600" w:type="dxa"/>
            <w:tcBorders>
              <w:top w:val="nil"/>
              <w:left w:val="nil"/>
              <w:bottom w:val="nil"/>
              <w:right w:val="nil"/>
            </w:tcBorders>
            <w:shd w:val="clear" w:color="auto" w:fill="auto"/>
            <w:vAlign w:val="center"/>
            <w:hideMark/>
          </w:tcPr>
          <w:p w:rsidR="00D16FB4" w:rsidRPr="00D16FB4" w:rsidRDefault="00D16FB4" w:rsidP="00D16FB4">
            <w:pPr>
              <w:rPr>
                <w:rFonts w:cs="Arial"/>
                <w:color w:val="7F7F7F"/>
                <w:szCs w:val="18"/>
                <w:lang w:eastAsia="en-AU"/>
              </w:rPr>
            </w:pPr>
            <w:r w:rsidRPr="00D16FB4">
              <w:rPr>
                <w:rFonts w:cs="Arial"/>
                <w:color w:val="7F7F7F"/>
                <w:szCs w:val="18"/>
                <w:lang w:eastAsia="en-AU"/>
              </w:rPr>
              <w:t>Community and Personal Service Workers</w:t>
            </w:r>
          </w:p>
        </w:tc>
        <w:tc>
          <w:tcPr>
            <w:tcW w:w="1099" w:type="dxa"/>
            <w:tcBorders>
              <w:top w:val="nil"/>
              <w:left w:val="nil"/>
              <w:bottom w:val="nil"/>
              <w:right w:val="nil"/>
            </w:tcBorders>
            <w:shd w:val="clear" w:color="auto" w:fill="auto"/>
            <w:noWrap/>
            <w:vAlign w:val="center"/>
            <w:hideMark/>
          </w:tcPr>
          <w:p w:rsidR="00D16FB4" w:rsidRPr="00D16FB4" w:rsidRDefault="00D16FB4" w:rsidP="00D16FB4">
            <w:pPr>
              <w:jc w:val="right"/>
              <w:rPr>
                <w:rFonts w:cs="Arial"/>
                <w:color w:val="7F7F7F"/>
                <w:szCs w:val="18"/>
                <w:lang w:eastAsia="en-AU"/>
              </w:rPr>
            </w:pPr>
            <w:r w:rsidRPr="00D16FB4">
              <w:rPr>
                <w:rFonts w:cs="Arial"/>
                <w:color w:val="7F7F7F"/>
                <w:szCs w:val="18"/>
                <w:lang w:eastAsia="en-AU"/>
              </w:rPr>
              <w:t>-46%</w:t>
            </w:r>
          </w:p>
        </w:tc>
        <w:tc>
          <w:tcPr>
            <w:tcW w:w="1099" w:type="dxa"/>
            <w:tcBorders>
              <w:top w:val="nil"/>
              <w:left w:val="nil"/>
              <w:bottom w:val="nil"/>
              <w:right w:val="nil"/>
            </w:tcBorders>
            <w:shd w:val="clear" w:color="auto" w:fill="auto"/>
            <w:noWrap/>
            <w:vAlign w:val="center"/>
            <w:hideMark/>
          </w:tcPr>
          <w:p w:rsidR="00D16FB4" w:rsidRPr="00D16FB4" w:rsidRDefault="00D16FB4" w:rsidP="00D16FB4">
            <w:pPr>
              <w:jc w:val="right"/>
              <w:rPr>
                <w:rFonts w:cs="Arial"/>
                <w:color w:val="7F7F7F"/>
                <w:szCs w:val="18"/>
                <w:lang w:eastAsia="en-AU"/>
              </w:rPr>
            </w:pPr>
            <w:r w:rsidRPr="00D16FB4">
              <w:rPr>
                <w:rFonts w:cs="Arial"/>
                <w:color w:val="7F7F7F"/>
                <w:szCs w:val="18"/>
                <w:lang w:eastAsia="en-AU"/>
              </w:rPr>
              <w:t>-51%</w:t>
            </w:r>
          </w:p>
        </w:tc>
        <w:tc>
          <w:tcPr>
            <w:tcW w:w="1099" w:type="dxa"/>
            <w:tcBorders>
              <w:top w:val="nil"/>
              <w:left w:val="nil"/>
              <w:bottom w:val="nil"/>
              <w:right w:val="nil"/>
            </w:tcBorders>
            <w:shd w:val="clear" w:color="auto" w:fill="auto"/>
            <w:noWrap/>
            <w:vAlign w:val="center"/>
            <w:hideMark/>
          </w:tcPr>
          <w:p w:rsidR="00D16FB4" w:rsidRPr="00D16FB4" w:rsidRDefault="00D16FB4" w:rsidP="00D16FB4">
            <w:pPr>
              <w:jc w:val="right"/>
              <w:rPr>
                <w:rFonts w:cs="Arial"/>
                <w:color w:val="7F7F7F"/>
                <w:szCs w:val="18"/>
                <w:lang w:eastAsia="en-AU"/>
              </w:rPr>
            </w:pPr>
            <w:r w:rsidRPr="00D16FB4">
              <w:rPr>
                <w:rFonts w:cs="Arial"/>
                <w:color w:val="7F7F7F"/>
                <w:szCs w:val="18"/>
                <w:lang w:eastAsia="en-AU"/>
              </w:rPr>
              <w:t>-58%</w:t>
            </w:r>
          </w:p>
        </w:tc>
        <w:tc>
          <w:tcPr>
            <w:tcW w:w="1099" w:type="dxa"/>
            <w:tcBorders>
              <w:top w:val="nil"/>
              <w:left w:val="nil"/>
              <w:bottom w:val="nil"/>
              <w:right w:val="nil"/>
            </w:tcBorders>
            <w:shd w:val="clear" w:color="auto" w:fill="auto"/>
            <w:noWrap/>
            <w:vAlign w:val="center"/>
            <w:hideMark/>
          </w:tcPr>
          <w:p w:rsidR="00D16FB4" w:rsidRPr="00D16FB4" w:rsidRDefault="00D16FB4" w:rsidP="00D16FB4">
            <w:pPr>
              <w:jc w:val="right"/>
              <w:rPr>
                <w:rFonts w:cs="Arial"/>
                <w:color w:val="7F7F7F"/>
                <w:szCs w:val="18"/>
                <w:lang w:eastAsia="en-AU"/>
              </w:rPr>
            </w:pPr>
            <w:r w:rsidRPr="00D16FB4">
              <w:rPr>
                <w:rFonts w:cs="Arial"/>
                <w:color w:val="7F7F7F"/>
                <w:szCs w:val="18"/>
                <w:lang w:eastAsia="en-AU"/>
              </w:rPr>
              <w:t>-31%</w:t>
            </w:r>
          </w:p>
        </w:tc>
        <w:tc>
          <w:tcPr>
            <w:tcW w:w="1099" w:type="dxa"/>
            <w:tcBorders>
              <w:top w:val="nil"/>
              <w:left w:val="nil"/>
              <w:bottom w:val="nil"/>
              <w:right w:val="nil"/>
            </w:tcBorders>
            <w:shd w:val="clear" w:color="auto" w:fill="auto"/>
            <w:noWrap/>
            <w:vAlign w:val="center"/>
            <w:hideMark/>
          </w:tcPr>
          <w:p w:rsidR="00D16FB4" w:rsidRPr="00D16FB4" w:rsidRDefault="00D16FB4" w:rsidP="00D16FB4">
            <w:pPr>
              <w:jc w:val="right"/>
              <w:rPr>
                <w:rFonts w:cs="Arial"/>
                <w:color w:val="7F7F7F"/>
                <w:szCs w:val="18"/>
                <w:lang w:eastAsia="en-AU"/>
              </w:rPr>
            </w:pPr>
            <w:r w:rsidRPr="00D16FB4">
              <w:rPr>
                <w:rFonts w:cs="Arial"/>
                <w:color w:val="7F7F7F"/>
                <w:szCs w:val="18"/>
                <w:lang w:eastAsia="en-AU"/>
              </w:rPr>
              <w:t>-18%</w:t>
            </w:r>
          </w:p>
        </w:tc>
      </w:tr>
      <w:tr w:rsidR="00D16FB4" w:rsidRPr="00D16FB4" w:rsidTr="00D16FB4">
        <w:trPr>
          <w:trHeight w:val="300"/>
        </w:trPr>
        <w:tc>
          <w:tcPr>
            <w:tcW w:w="2600" w:type="dxa"/>
            <w:tcBorders>
              <w:top w:val="nil"/>
              <w:left w:val="nil"/>
              <w:bottom w:val="nil"/>
              <w:right w:val="nil"/>
            </w:tcBorders>
            <w:shd w:val="clear" w:color="auto" w:fill="auto"/>
            <w:vAlign w:val="center"/>
            <w:hideMark/>
          </w:tcPr>
          <w:p w:rsidR="00D16FB4" w:rsidRPr="00D16FB4" w:rsidRDefault="00D16FB4" w:rsidP="00D16FB4">
            <w:pPr>
              <w:rPr>
                <w:rFonts w:cs="Arial"/>
                <w:color w:val="7F7F7F"/>
                <w:szCs w:val="18"/>
                <w:lang w:eastAsia="en-AU"/>
              </w:rPr>
            </w:pPr>
            <w:r w:rsidRPr="00D16FB4">
              <w:rPr>
                <w:rFonts w:cs="Arial"/>
                <w:color w:val="7F7F7F"/>
                <w:szCs w:val="18"/>
                <w:lang w:eastAsia="en-AU"/>
              </w:rPr>
              <w:t>Labourers</w:t>
            </w:r>
          </w:p>
        </w:tc>
        <w:tc>
          <w:tcPr>
            <w:tcW w:w="1099" w:type="dxa"/>
            <w:tcBorders>
              <w:top w:val="nil"/>
              <w:left w:val="nil"/>
              <w:bottom w:val="nil"/>
              <w:right w:val="nil"/>
            </w:tcBorders>
            <w:shd w:val="clear" w:color="auto" w:fill="auto"/>
            <w:noWrap/>
            <w:vAlign w:val="center"/>
            <w:hideMark/>
          </w:tcPr>
          <w:p w:rsidR="00D16FB4" w:rsidRPr="00D16FB4" w:rsidRDefault="00D16FB4" w:rsidP="00D16FB4">
            <w:pPr>
              <w:jc w:val="right"/>
              <w:rPr>
                <w:rFonts w:cs="Arial"/>
                <w:color w:val="7F7F7F"/>
                <w:szCs w:val="18"/>
                <w:lang w:eastAsia="en-AU"/>
              </w:rPr>
            </w:pPr>
            <w:r w:rsidRPr="00D16FB4">
              <w:rPr>
                <w:rFonts w:cs="Arial"/>
                <w:color w:val="7F7F7F"/>
                <w:szCs w:val="18"/>
                <w:lang w:eastAsia="en-AU"/>
              </w:rPr>
              <w:t>5%</w:t>
            </w:r>
          </w:p>
        </w:tc>
        <w:tc>
          <w:tcPr>
            <w:tcW w:w="1099" w:type="dxa"/>
            <w:tcBorders>
              <w:top w:val="nil"/>
              <w:left w:val="nil"/>
              <w:bottom w:val="nil"/>
              <w:right w:val="nil"/>
            </w:tcBorders>
            <w:shd w:val="clear" w:color="auto" w:fill="auto"/>
            <w:noWrap/>
            <w:vAlign w:val="center"/>
            <w:hideMark/>
          </w:tcPr>
          <w:p w:rsidR="00D16FB4" w:rsidRPr="00D16FB4" w:rsidRDefault="00D16FB4" w:rsidP="00D16FB4">
            <w:pPr>
              <w:jc w:val="right"/>
              <w:rPr>
                <w:rFonts w:cs="Arial"/>
                <w:color w:val="7F7F7F"/>
                <w:szCs w:val="18"/>
                <w:lang w:eastAsia="en-AU"/>
              </w:rPr>
            </w:pPr>
            <w:r w:rsidRPr="00D16FB4">
              <w:rPr>
                <w:rFonts w:cs="Arial"/>
                <w:color w:val="7F7F7F"/>
                <w:szCs w:val="18"/>
                <w:lang w:eastAsia="en-AU"/>
              </w:rPr>
              <w:t>-33%</w:t>
            </w:r>
          </w:p>
        </w:tc>
        <w:tc>
          <w:tcPr>
            <w:tcW w:w="1099" w:type="dxa"/>
            <w:tcBorders>
              <w:top w:val="nil"/>
              <w:left w:val="nil"/>
              <w:bottom w:val="nil"/>
              <w:right w:val="nil"/>
            </w:tcBorders>
            <w:shd w:val="clear" w:color="auto" w:fill="auto"/>
            <w:noWrap/>
            <w:vAlign w:val="center"/>
            <w:hideMark/>
          </w:tcPr>
          <w:p w:rsidR="00D16FB4" w:rsidRPr="00D16FB4" w:rsidRDefault="00D16FB4" w:rsidP="00D16FB4">
            <w:pPr>
              <w:jc w:val="right"/>
              <w:rPr>
                <w:rFonts w:cs="Arial"/>
                <w:color w:val="7F7F7F"/>
                <w:szCs w:val="18"/>
                <w:lang w:eastAsia="en-AU"/>
              </w:rPr>
            </w:pPr>
            <w:r w:rsidRPr="00D16FB4">
              <w:rPr>
                <w:rFonts w:cs="Arial"/>
                <w:color w:val="7F7F7F"/>
                <w:szCs w:val="18"/>
                <w:lang w:eastAsia="en-AU"/>
              </w:rPr>
              <w:t>-57%</w:t>
            </w:r>
          </w:p>
        </w:tc>
        <w:tc>
          <w:tcPr>
            <w:tcW w:w="1099" w:type="dxa"/>
            <w:tcBorders>
              <w:top w:val="nil"/>
              <w:left w:val="nil"/>
              <w:bottom w:val="nil"/>
              <w:right w:val="nil"/>
            </w:tcBorders>
            <w:shd w:val="clear" w:color="auto" w:fill="auto"/>
            <w:noWrap/>
            <w:vAlign w:val="center"/>
            <w:hideMark/>
          </w:tcPr>
          <w:p w:rsidR="00D16FB4" w:rsidRPr="00D16FB4" w:rsidRDefault="00D16FB4" w:rsidP="00D16FB4">
            <w:pPr>
              <w:jc w:val="right"/>
              <w:rPr>
                <w:rFonts w:cs="Arial"/>
                <w:color w:val="7F7F7F"/>
                <w:szCs w:val="18"/>
                <w:lang w:eastAsia="en-AU"/>
              </w:rPr>
            </w:pPr>
            <w:r w:rsidRPr="00D16FB4">
              <w:rPr>
                <w:rFonts w:cs="Arial"/>
                <w:color w:val="7F7F7F"/>
                <w:szCs w:val="18"/>
                <w:lang w:eastAsia="en-AU"/>
              </w:rPr>
              <w:t>-36%</w:t>
            </w:r>
          </w:p>
        </w:tc>
        <w:tc>
          <w:tcPr>
            <w:tcW w:w="1099" w:type="dxa"/>
            <w:tcBorders>
              <w:top w:val="nil"/>
              <w:left w:val="nil"/>
              <w:bottom w:val="nil"/>
              <w:right w:val="nil"/>
            </w:tcBorders>
            <w:shd w:val="clear" w:color="auto" w:fill="auto"/>
            <w:noWrap/>
            <w:vAlign w:val="center"/>
            <w:hideMark/>
          </w:tcPr>
          <w:p w:rsidR="00D16FB4" w:rsidRPr="00D16FB4" w:rsidRDefault="00D16FB4" w:rsidP="00D16FB4">
            <w:pPr>
              <w:jc w:val="right"/>
              <w:rPr>
                <w:rFonts w:cs="Arial"/>
                <w:color w:val="7F7F7F"/>
                <w:szCs w:val="18"/>
                <w:lang w:eastAsia="en-AU"/>
              </w:rPr>
            </w:pPr>
            <w:r w:rsidRPr="00D16FB4">
              <w:rPr>
                <w:rFonts w:cs="Arial"/>
                <w:color w:val="7F7F7F"/>
                <w:szCs w:val="18"/>
                <w:lang w:eastAsia="en-AU"/>
              </w:rPr>
              <w:t>-33%</w:t>
            </w:r>
          </w:p>
        </w:tc>
      </w:tr>
      <w:tr w:rsidR="00D16FB4" w:rsidRPr="00D16FB4" w:rsidTr="00D16FB4">
        <w:trPr>
          <w:trHeight w:val="480"/>
        </w:trPr>
        <w:tc>
          <w:tcPr>
            <w:tcW w:w="2600" w:type="dxa"/>
            <w:tcBorders>
              <w:top w:val="nil"/>
              <w:left w:val="nil"/>
              <w:bottom w:val="nil"/>
              <w:right w:val="nil"/>
            </w:tcBorders>
            <w:shd w:val="clear" w:color="auto" w:fill="auto"/>
            <w:vAlign w:val="center"/>
            <w:hideMark/>
          </w:tcPr>
          <w:p w:rsidR="00D16FB4" w:rsidRPr="00D16FB4" w:rsidRDefault="00D16FB4" w:rsidP="00D16FB4">
            <w:pPr>
              <w:rPr>
                <w:rFonts w:cs="Arial"/>
                <w:color w:val="7F7F7F"/>
                <w:szCs w:val="18"/>
                <w:lang w:eastAsia="en-AU"/>
              </w:rPr>
            </w:pPr>
            <w:r w:rsidRPr="00D16FB4">
              <w:rPr>
                <w:rFonts w:cs="Arial"/>
                <w:color w:val="7F7F7F"/>
                <w:szCs w:val="18"/>
                <w:lang w:eastAsia="en-AU"/>
              </w:rPr>
              <w:t>Machinery Operators And Drivers</w:t>
            </w:r>
          </w:p>
        </w:tc>
        <w:tc>
          <w:tcPr>
            <w:tcW w:w="1099" w:type="dxa"/>
            <w:tcBorders>
              <w:top w:val="nil"/>
              <w:left w:val="nil"/>
              <w:bottom w:val="nil"/>
              <w:right w:val="nil"/>
            </w:tcBorders>
            <w:shd w:val="clear" w:color="auto" w:fill="auto"/>
            <w:noWrap/>
            <w:vAlign w:val="center"/>
            <w:hideMark/>
          </w:tcPr>
          <w:p w:rsidR="00D16FB4" w:rsidRPr="00D16FB4" w:rsidRDefault="00D16FB4" w:rsidP="00D16FB4">
            <w:pPr>
              <w:jc w:val="right"/>
              <w:rPr>
                <w:rFonts w:cs="Arial"/>
                <w:color w:val="7F7F7F"/>
                <w:szCs w:val="18"/>
                <w:lang w:eastAsia="en-AU"/>
              </w:rPr>
            </w:pPr>
            <w:r w:rsidRPr="00D16FB4">
              <w:rPr>
                <w:rFonts w:cs="Arial"/>
                <w:color w:val="7F7F7F"/>
                <w:szCs w:val="18"/>
                <w:lang w:eastAsia="en-AU"/>
              </w:rPr>
              <w:t>27%</w:t>
            </w:r>
          </w:p>
        </w:tc>
        <w:tc>
          <w:tcPr>
            <w:tcW w:w="1099" w:type="dxa"/>
            <w:tcBorders>
              <w:top w:val="nil"/>
              <w:left w:val="nil"/>
              <w:bottom w:val="nil"/>
              <w:right w:val="nil"/>
            </w:tcBorders>
            <w:shd w:val="clear" w:color="auto" w:fill="auto"/>
            <w:noWrap/>
            <w:vAlign w:val="center"/>
            <w:hideMark/>
          </w:tcPr>
          <w:p w:rsidR="00D16FB4" w:rsidRPr="00D16FB4" w:rsidRDefault="00D16FB4" w:rsidP="00D16FB4">
            <w:pPr>
              <w:jc w:val="right"/>
              <w:rPr>
                <w:rFonts w:cs="Arial"/>
                <w:color w:val="7F7F7F"/>
                <w:szCs w:val="18"/>
                <w:lang w:eastAsia="en-AU"/>
              </w:rPr>
            </w:pPr>
            <w:r w:rsidRPr="00D16FB4">
              <w:rPr>
                <w:rFonts w:cs="Arial"/>
                <w:color w:val="7F7F7F"/>
                <w:szCs w:val="18"/>
                <w:lang w:eastAsia="en-AU"/>
              </w:rPr>
              <w:t>-29%</w:t>
            </w:r>
          </w:p>
        </w:tc>
        <w:tc>
          <w:tcPr>
            <w:tcW w:w="1099" w:type="dxa"/>
            <w:tcBorders>
              <w:top w:val="nil"/>
              <w:left w:val="nil"/>
              <w:bottom w:val="nil"/>
              <w:right w:val="nil"/>
            </w:tcBorders>
            <w:shd w:val="clear" w:color="auto" w:fill="auto"/>
            <w:noWrap/>
            <w:vAlign w:val="center"/>
            <w:hideMark/>
          </w:tcPr>
          <w:p w:rsidR="00D16FB4" w:rsidRPr="00D16FB4" w:rsidRDefault="00D16FB4" w:rsidP="00D16FB4">
            <w:pPr>
              <w:jc w:val="right"/>
              <w:rPr>
                <w:rFonts w:cs="Arial"/>
                <w:color w:val="7F7F7F"/>
                <w:szCs w:val="18"/>
                <w:lang w:eastAsia="en-AU"/>
              </w:rPr>
            </w:pPr>
            <w:r w:rsidRPr="00D16FB4">
              <w:rPr>
                <w:rFonts w:cs="Arial"/>
                <w:color w:val="7F7F7F"/>
                <w:szCs w:val="18"/>
                <w:lang w:eastAsia="en-AU"/>
              </w:rPr>
              <w:t>-53%</w:t>
            </w:r>
          </w:p>
        </w:tc>
        <w:tc>
          <w:tcPr>
            <w:tcW w:w="1099" w:type="dxa"/>
            <w:tcBorders>
              <w:top w:val="nil"/>
              <w:left w:val="nil"/>
              <w:bottom w:val="nil"/>
              <w:right w:val="nil"/>
            </w:tcBorders>
            <w:shd w:val="clear" w:color="auto" w:fill="auto"/>
            <w:noWrap/>
            <w:vAlign w:val="center"/>
            <w:hideMark/>
          </w:tcPr>
          <w:p w:rsidR="00D16FB4" w:rsidRPr="00D16FB4" w:rsidRDefault="00D16FB4" w:rsidP="00D16FB4">
            <w:pPr>
              <w:jc w:val="right"/>
              <w:rPr>
                <w:rFonts w:cs="Arial"/>
                <w:color w:val="7F7F7F"/>
                <w:szCs w:val="18"/>
                <w:lang w:eastAsia="en-AU"/>
              </w:rPr>
            </w:pPr>
            <w:r w:rsidRPr="00D16FB4">
              <w:rPr>
                <w:rFonts w:cs="Arial"/>
                <w:color w:val="7F7F7F"/>
                <w:szCs w:val="18"/>
                <w:lang w:eastAsia="en-AU"/>
              </w:rPr>
              <w:t>-57%</w:t>
            </w:r>
          </w:p>
        </w:tc>
        <w:tc>
          <w:tcPr>
            <w:tcW w:w="1099" w:type="dxa"/>
            <w:tcBorders>
              <w:top w:val="nil"/>
              <w:left w:val="nil"/>
              <w:bottom w:val="nil"/>
              <w:right w:val="nil"/>
            </w:tcBorders>
            <w:shd w:val="clear" w:color="auto" w:fill="auto"/>
            <w:noWrap/>
            <w:vAlign w:val="center"/>
            <w:hideMark/>
          </w:tcPr>
          <w:p w:rsidR="00D16FB4" w:rsidRPr="00D16FB4" w:rsidRDefault="00D16FB4" w:rsidP="00D16FB4">
            <w:pPr>
              <w:jc w:val="right"/>
              <w:rPr>
                <w:rFonts w:cs="Arial"/>
                <w:color w:val="7F7F7F"/>
                <w:szCs w:val="18"/>
                <w:lang w:eastAsia="en-AU"/>
              </w:rPr>
            </w:pPr>
            <w:r w:rsidRPr="00D16FB4">
              <w:rPr>
                <w:rFonts w:cs="Arial"/>
                <w:color w:val="7F7F7F"/>
                <w:szCs w:val="18"/>
                <w:lang w:eastAsia="en-AU"/>
              </w:rPr>
              <w:t>-59%</w:t>
            </w:r>
          </w:p>
        </w:tc>
      </w:tr>
      <w:tr w:rsidR="00D16FB4" w:rsidRPr="00D16FB4" w:rsidTr="00D16FB4">
        <w:trPr>
          <w:trHeight w:val="300"/>
        </w:trPr>
        <w:tc>
          <w:tcPr>
            <w:tcW w:w="2600" w:type="dxa"/>
            <w:tcBorders>
              <w:top w:val="nil"/>
              <w:left w:val="nil"/>
              <w:bottom w:val="nil"/>
              <w:right w:val="nil"/>
            </w:tcBorders>
            <w:shd w:val="clear" w:color="auto" w:fill="auto"/>
            <w:vAlign w:val="center"/>
            <w:hideMark/>
          </w:tcPr>
          <w:p w:rsidR="00D16FB4" w:rsidRPr="00D16FB4" w:rsidRDefault="00D16FB4" w:rsidP="00D16FB4">
            <w:pPr>
              <w:rPr>
                <w:rFonts w:cs="Arial"/>
                <w:color w:val="7F7F7F"/>
                <w:szCs w:val="18"/>
                <w:lang w:eastAsia="en-AU"/>
              </w:rPr>
            </w:pPr>
            <w:r w:rsidRPr="00D16FB4">
              <w:rPr>
                <w:rFonts w:cs="Arial"/>
                <w:color w:val="7F7F7F"/>
                <w:szCs w:val="18"/>
                <w:lang w:eastAsia="en-AU"/>
              </w:rPr>
              <w:t>Managers</w:t>
            </w:r>
          </w:p>
        </w:tc>
        <w:tc>
          <w:tcPr>
            <w:tcW w:w="1099" w:type="dxa"/>
            <w:tcBorders>
              <w:top w:val="nil"/>
              <w:left w:val="nil"/>
              <w:bottom w:val="nil"/>
              <w:right w:val="nil"/>
            </w:tcBorders>
            <w:shd w:val="clear" w:color="auto" w:fill="auto"/>
            <w:noWrap/>
            <w:vAlign w:val="center"/>
            <w:hideMark/>
          </w:tcPr>
          <w:p w:rsidR="00D16FB4" w:rsidRPr="00D16FB4" w:rsidRDefault="00D16FB4" w:rsidP="00D16FB4">
            <w:pPr>
              <w:jc w:val="right"/>
              <w:rPr>
                <w:rFonts w:cs="Arial"/>
                <w:color w:val="7F7F7F"/>
                <w:szCs w:val="18"/>
                <w:lang w:eastAsia="en-AU"/>
              </w:rPr>
            </w:pPr>
            <w:r w:rsidRPr="00D16FB4">
              <w:rPr>
                <w:rFonts w:cs="Arial"/>
                <w:color w:val="7F7F7F"/>
                <w:szCs w:val="18"/>
                <w:lang w:eastAsia="en-AU"/>
              </w:rPr>
              <w:t>107%</w:t>
            </w:r>
          </w:p>
        </w:tc>
        <w:tc>
          <w:tcPr>
            <w:tcW w:w="1099" w:type="dxa"/>
            <w:tcBorders>
              <w:top w:val="nil"/>
              <w:left w:val="nil"/>
              <w:bottom w:val="nil"/>
              <w:right w:val="nil"/>
            </w:tcBorders>
            <w:shd w:val="clear" w:color="auto" w:fill="auto"/>
            <w:noWrap/>
            <w:vAlign w:val="center"/>
            <w:hideMark/>
          </w:tcPr>
          <w:p w:rsidR="00D16FB4" w:rsidRPr="00D16FB4" w:rsidRDefault="00D16FB4" w:rsidP="00D16FB4">
            <w:pPr>
              <w:jc w:val="right"/>
              <w:rPr>
                <w:rFonts w:cs="Arial"/>
                <w:color w:val="7F7F7F"/>
                <w:szCs w:val="18"/>
                <w:lang w:eastAsia="en-AU"/>
              </w:rPr>
            </w:pPr>
            <w:r w:rsidRPr="00D16FB4">
              <w:rPr>
                <w:rFonts w:cs="Arial"/>
                <w:color w:val="7F7F7F"/>
                <w:szCs w:val="18"/>
                <w:lang w:eastAsia="en-AU"/>
              </w:rPr>
              <w:t>4%</w:t>
            </w:r>
          </w:p>
        </w:tc>
        <w:tc>
          <w:tcPr>
            <w:tcW w:w="1099" w:type="dxa"/>
            <w:tcBorders>
              <w:top w:val="nil"/>
              <w:left w:val="nil"/>
              <w:bottom w:val="nil"/>
              <w:right w:val="nil"/>
            </w:tcBorders>
            <w:shd w:val="clear" w:color="auto" w:fill="auto"/>
            <w:noWrap/>
            <w:vAlign w:val="center"/>
            <w:hideMark/>
          </w:tcPr>
          <w:p w:rsidR="00D16FB4" w:rsidRPr="00D16FB4" w:rsidRDefault="00D16FB4" w:rsidP="00D16FB4">
            <w:pPr>
              <w:jc w:val="right"/>
              <w:rPr>
                <w:rFonts w:cs="Arial"/>
                <w:color w:val="7F7F7F"/>
                <w:szCs w:val="18"/>
                <w:lang w:eastAsia="en-AU"/>
              </w:rPr>
            </w:pPr>
            <w:r w:rsidRPr="00D16FB4">
              <w:rPr>
                <w:rFonts w:cs="Arial"/>
                <w:color w:val="7F7F7F"/>
                <w:szCs w:val="18"/>
                <w:lang w:eastAsia="en-AU"/>
              </w:rPr>
              <w:t>-46%</w:t>
            </w:r>
          </w:p>
        </w:tc>
        <w:tc>
          <w:tcPr>
            <w:tcW w:w="1099" w:type="dxa"/>
            <w:tcBorders>
              <w:top w:val="nil"/>
              <w:left w:val="nil"/>
              <w:bottom w:val="nil"/>
              <w:right w:val="nil"/>
            </w:tcBorders>
            <w:shd w:val="clear" w:color="auto" w:fill="auto"/>
            <w:noWrap/>
            <w:vAlign w:val="center"/>
            <w:hideMark/>
          </w:tcPr>
          <w:p w:rsidR="00D16FB4" w:rsidRPr="00D16FB4" w:rsidRDefault="00D16FB4" w:rsidP="00D16FB4">
            <w:pPr>
              <w:jc w:val="right"/>
              <w:rPr>
                <w:rFonts w:cs="Arial"/>
                <w:color w:val="7F7F7F"/>
                <w:szCs w:val="18"/>
                <w:lang w:eastAsia="en-AU"/>
              </w:rPr>
            </w:pPr>
            <w:r w:rsidRPr="00D16FB4">
              <w:rPr>
                <w:rFonts w:cs="Arial"/>
                <w:color w:val="7F7F7F"/>
                <w:szCs w:val="18"/>
                <w:lang w:eastAsia="en-AU"/>
              </w:rPr>
              <w:t>-37%</w:t>
            </w:r>
          </w:p>
        </w:tc>
        <w:tc>
          <w:tcPr>
            <w:tcW w:w="1099" w:type="dxa"/>
            <w:tcBorders>
              <w:top w:val="nil"/>
              <w:left w:val="nil"/>
              <w:bottom w:val="nil"/>
              <w:right w:val="nil"/>
            </w:tcBorders>
            <w:shd w:val="clear" w:color="auto" w:fill="auto"/>
            <w:noWrap/>
            <w:vAlign w:val="center"/>
            <w:hideMark/>
          </w:tcPr>
          <w:p w:rsidR="00D16FB4" w:rsidRPr="00D16FB4" w:rsidRDefault="00D16FB4" w:rsidP="00D16FB4">
            <w:pPr>
              <w:jc w:val="right"/>
              <w:rPr>
                <w:rFonts w:cs="Arial"/>
                <w:color w:val="7F7F7F"/>
                <w:szCs w:val="18"/>
                <w:lang w:eastAsia="en-AU"/>
              </w:rPr>
            </w:pPr>
            <w:r w:rsidRPr="00D16FB4">
              <w:rPr>
                <w:rFonts w:cs="Arial"/>
                <w:color w:val="7F7F7F"/>
                <w:szCs w:val="18"/>
                <w:lang w:eastAsia="en-AU"/>
              </w:rPr>
              <w:t>-10%</w:t>
            </w:r>
          </w:p>
        </w:tc>
      </w:tr>
      <w:tr w:rsidR="00D16FB4" w:rsidRPr="00D16FB4" w:rsidTr="00D16FB4">
        <w:trPr>
          <w:trHeight w:val="300"/>
        </w:trPr>
        <w:tc>
          <w:tcPr>
            <w:tcW w:w="2600" w:type="dxa"/>
            <w:tcBorders>
              <w:top w:val="nil"/>
              <w:left w:val="nil"/>
              <w:bottom w:val="nil"/>
              <w:right w:val="nil"/>
            </w:tcBorders>
            <w:shd w:val="clear" w:color="auto" w:fill="auto"/>
            <w:vAlign w:val="center"/>
            <w:hideMark/>
          </w:tcPr>
          <w:p w:rsidR="00D16FB4" w:rsidRPr="00D16FB4" w:rsidRDefault="00D16FB4" w:rsidP="00D16FB4">
            <w:pPr>
              <w:rPr>
                <w:rFonts w:cs="Arial"/>
                <w:color w:val="7F7F7F"/>
                <w:szCs w:val="18"/>
                <w:lang w:eastAsia="en-AU"/>
              </w:rPr>
            </w:pPr>
            <w:r w:rsidRPr="00D16FB4">
              <w:rPr>
                <w:rFonts w:cs="Arial"/>
                <w:color w:val="7F7F7F"/>
                <w:szCs w:val="18"/>
                <w:lang w:eastAsia="en-AU"/>
              </w:rPr>
              <w:t>Professionals</w:t>
            </w:r>
          </w:p>
        </w:tc>
        <w:tc>
          <w:tcPr>
            <w:tcW w:w="1099" w:type="dxa"/>
            <w:tcBorders>
              <w:top w:val="nil"/>
              <w:left w:val="nil"/>
              <w:bottom w:val="nil"/>
              <w:right w:val="nil"/>
            </w:tcBorders>
            <w:shd w:val="clear" w:color="auto" w:fill="auto"/>
            <w:noWrap/>
            <w:vAlign w:val="center"/>
            <w:hideMark/>
          </w:tcPr>
          <w:p w:rsidR="00D16FB4" w:rsidRPr="00D16FB4" w:rsidRDefault="00D16FB4" w:rsidP="00D16FB4">
            <w:pPr>
              <w:jc w:val="right"/>
              <w:rPr>
                <w:rFonts w:cs="Arial"/>
                <w:color w:val="7F7F7F"/>
                <w:szCs w:val="18"/>
                <w:lang w:eastAsia="en-AU"/>
              </w:rPr>
            </w:pPr>
            <w:r w:rsidRPr="00D16FB4">
              <w:rPr>
                <w:rFonts w:cs="Arial"/>
                <w:color w:val="7F7F7F"/>
                <w:szCs w:val="18"/>
                <w:lang w:eastAsia="en-AU"/>
              </w:rPr>
              <w:t>121%</w:t>
            </w:r>
          </w:p>
        </w:tc>
        <w:tc>
          <w:tcPr>
            <w:tcW w:w="1099" w:type="dxa"/>
            <w:tcBorders>
              <w:top w:val="nil"/>
              <w:left w:val="nil"/>
              <w:bottom w:val="nil"/>
              <w:right w:val="nil"/>
            </w:tcBorders>
            <w:shd w:val="clear" w:color="auto" w:fill="auto"/>
            <w:noWrap/>
            <w:vAlign w:val="center"/>
            <w:hideMark/>
          </w:tcPr>
          <w:p w:rsidR="00D16FB4" w:rsidRPr="00D16FB4" w:rsidRDefault="00D16FB4" w:rsidP="00D16FB4">
            <w:pPr>
              <w:jc w:val="right"/>
              <w:rPr>
                <w:rFonts w:cs="Arial"/>
                <w:color w:val="7F7F7F"/>
                <w:szCs w:val="18"/>
                <w:lang w:eastAsia="en-AU"/>
              </w:rPr>
            </w:pPr>
            <w:r w:rsidRPr="00D16FB4">
              <w:rPr>
                <w:rFonts w:cs="Arial"/>
                <w:color w:val="7F7F7F"/>
                <w:szCs w:val="18"/>
                <w:lang w:eastAsia="en-AU"/>
              </w:rPr>
              <w:t>-79%</w:t>
            </w:r>
          </w:p>
        </w:tc>
        <w:tc>
          <w:tcPr>
            <w:tcW w:w="1099" w:type="dxa"/>
            <w:tcBorders>
              <w:top w:val="nil"/>
              <w:left w:val="nil"/>
              <w:bottom w:val="nil"/>
              <w:right w:val="nil"/>
            </w:tcBorders>
            <w:shd w:val="clear" w:color="auto" w:fill="auto"/>
            <w:noWrap/>
            <w:vAlign w:val="center"/>
            <w:hideMark/>
          </w:tcPr>
          <w:p w:rsidR="00D16FB4" w:rsidRPr="00D16FB4" w:rsidRDefault="00D16FB4" w:rsidP="00D16FB4">
            <w:pPr>
              <w:jc w:val="right"/>
              <w:rPr>
                <w:rFonts w:cs="Arial"/>
                <w:color w:val="7F7F7F"/>
                <w:szCs w:val="18"/>
                <w:lang w:eastAsia="en-AU"/>
              </w:rPr>
            </w:pPr>
            <w:r w:rsidRPr="00D16FB4">
              <w:rPr>
                <w:rFonts w:cs="Arial"/>
                <w:color w:val="7F7F7F"/>
                <w:szCs w:val="18"/>
                <w:lang w:eastAsia="en-AU"/>
              </w:rPr>
              <w:t>-91%</w:t>
            </w:r>
          </w:p>
        </w:tc>
        <w:tc>
          <w:tcPr>
            <w:tcW w:w="1099" w:type="dxa"/>
            <w:tcBorders>
              <w:top w:val="nil"/>
              <w:left w:val="nil"/>
              <w:bottom w:val="nil"/>
              <w:right w:val="nil"/>
            </w:tcBorders>
            <w:shd w:val="clear" w:color="auto" w:fill="auto"/>
            <w:noWrap/>
            <w:vAlign w:val="center"/>
            <w:hideMark/>
          </w:tcPr>
          <w:p w:rsidR="00D16FB4" w:rsidRPr="00D16FB4" w:rsidRDefault="00D16FB4" w:rsidP="00D16FB4">
            <w:pPr>
              <w:jc w:val="right"/>
              <w:rPr>
                <w:rFonts w:cs="Arial"/>
                <w:color w:val="7F7F7F"/>
                <w:szCs w:val="18"/>
                <w:lang w:eastAsia="en-AU"/>
              </w:rPr>
            </w:pPr>
            <w:r w:rsidRPr="00D16FB4">
              <w:rPr>
                <w:rFonts w:cs="Arial"/>
                <w:color w:val="7F7F7F"/>
                <w:szCs w:val="18"/>
                <w:lang w:eastAsia="en-AU"/>
              </w:rPr>
              <w:t>-89%</w:t>
            </w:r>
          </w:p>
        </w:tc>
        <w:tc>
          <w:tcPr>
            <w:tcW w:w="1099" w:type="dxa"/>
            <w:tcBorders>
              <w:top w:val="nil"/>
              <w:left w:val="nil"/>
              <w:bottom w:val="nil"/>
              <w:right w:val="nil"/>
            </w:tcBorders>
            <w:shd w:val="clear" w:color="auto" w:fill="auto"/>
            <w:noWrap/>
            <w:vAlign w:val="center"/>
            <w:hideMark/>
          </w:tcPr>
          <w:p w:rsidR="00D16FB4" w:rsidRPr="00D16FB4" w:rsidRDefault="00D16FB4" w:rsidP="00D16FB4">
            <w:pPr>
              <w:jc w:val="right"/>
              <w:rPr>
                <w:rFonts w:cs="Arial"/>
                <w:color w:val="7F7F7F"/>
                <w:szCs w:val="18"/>
                <w:lang w:eastAsia="en-AU"/>
              </w:rPr>
            </w:pPr>
            <w:r w:rsidRPr="00D16FB4">
              <w:rPr>
                <w:rFonts w:cs="Arial"/>
                <w:color w:val="7F7F7F"/>
                <w:szCs w:val="18"/>
                <w:lang w:eastAsia="en-AU"/>
              </w:rPr>
              <w:t>-48%</w:t>
            </w:r>
          </w:p>
        </w:tc>
      </w:tr>
      <w:tr w:rsidR="00D16FB4" w:rsidRPr="00D16FB4" w:rsidTr="00D16FB4">
        <w:trPr>
          <w:trHeight w:val="300"/>
        </w:trPr>
        <w:tc>
          <w:tcPr>
            <w:tcW w:w="2600" w:type="dxa"/>
            <w:tcBorders>
              <w:top w:val="nil"/>
              <w:left w:val="nil"/>
              <w:bottom w:val="nil"/>
              <w:right w:val="nil"/>
            </w:tcBorders>
            <w:shd w:val="clear" w:color="auto" w:fill="auto"/>
            <w:vAlign w:val="center"/>
            <w:hideMark/>
          </w:tcPr>
          <w:p w:rsidR="00D16FB4" w:rsidRPr="00D16FB4" w:rsidRDefault="00D16FB4" w:rsidP="00D16FB4">
            <w:pPr>
              <w:rPr>
                <w:rFonts w:cs="Arial"/>
                <w:color w:val="7F7F7F"/>
                <w:szCs w:val="18"/>
                <w:lang w:eastAsia="en-AU"/>
              </w:rPr>
            </w:pPr>
            <w:r w:rsidRPr="00D16FB4">
              <w:rPr>
                <w:rFonts w:cs="Arial"/>
                <w:color w:val="7F7F7F"/>
                <w:szCs w:val="18"/>
                <w:lang w:eastAsia="en-AU"/>
              </w:rPr>
              <w:t>Sales Workers</w:t>
            </w:r>
          </w:p>
        </w:tc>
        <w:tc>
          <w:tcPr>
            <w:tcW w:w="1099" w:type="dxa"/>
            <w:tcBorders>
              <w:top w:val="nil"/>
              <w:left w:val="nil"/>
              <w:bottom w:val="nil"/>
              <w:right w:val="nil"/>
            </w:tcBorders>
            <w:shd w:val="clear" w:color="auto" w:fill="auto"/>
            <w:noWrap/>
            <w:vAlign w:val="center"/>
            <w:hideMark/>
          </w:tcPr>
          <w:p w:rsidR="00D16FB4" w:rsidRPr="00D16FB4" w:rsidRDefault="00D16FB4" w:rsidP="00D16FB4">
            <w:pPr>
              <w:jc w:val="right"/>
              <w:rPr>
                <w:rFonts w:cs="Arial"/>
                <w:color w:val="7F7F7F"/>
                <w:szCs w:val="18"/>
                <w:lang w:eastAsia="en-AU"/>
              </w:rPr>
            </w:pPr>
            <w:r w:rsidRPr="00D16FB4">
              <w:rPr>
                <w:rFonts w:cs="Arial"/>
                <w:color w:val="7F7F7F"/>
                <w:szCs w:val="18"/>
                <w:lang w:eastAsia="en-AU"/>
              </w:rPr>
              <w:t>-86%</w:t>
            </w:r>
          </w:p>
        </w:tc>
        <w:tc>
          <w:tcPr>
            <w:tcW w:w="1099" w:type="dxa"/>
            <w:tcBorders>
              <w:top w:val="nil"/>
              <w:left w:val="nil"/>
              <w:bottom w:val="nil"/>
              <w:right w:val="nil"/>
            </w:tcBorders>
            <w:shd w:val="clear" w:color="auto" w:fill="auto"/>
            <w:noWrap/>
            <w:vAlign w:val="center"/>
            <w:hideMark/>
          </w:tcPr>
          <w:p w:rsidR="00D16FB4" w:rsidRPr="00D16FB4" w:rsidRDefault="00D16FB4" w:rsidP="00D16FB4">
            <w:pPr>
              <w:jc w:val="right"/>
              <w:rPr>
                <w:rFonts w:cs="Arial"/>
                <w:color w:val="7F7F7F"/>
                <w:szCs w:val="18"/>
                <w:lang w:eastAsia="en-AU"/>
              </w:rPr>
            </w:pPr>
            <w:r w:rsidRPr="00D16FB4">
              <w:rPr>
                <w:rFonts w:cs="Arial"/>
                <w:color w:val="7F7F7F"/>
                <w:szCs w:val="18"/>
                <w:lang w:eastAsia="en-AU"/>
              </w:rPr>
              <w:t>-88%</w:t>
            </w:r>
          </w:p>
        </w:tc>
        <w:tc>
          <w:tcPr>
            <w:tcW w:w="1099" w:type="dxa"/>
            <w:tcBorders>
              <w:top w:val="nil"/>
              <w:left w:val="nil"/>
              <w:bottom w:val="nil"/>
              <w:right w:val="nil"/>
            </w:tcBorders>
            <w:shd w:val="clear" w:color="auto" w:fill="auto"/>
            <w:noWrap/>
            <w:vAlign w:val="center"/>
            <w:hideMark/>
          </w:tcPr>
          <w:p w:rsidR="00D16FB4" w:rsidRPr="00D16FB4" w:rsidRDefault="00D16FB4" w:rsidP="00D16FB4">
            <w:pPr>
              <w:jc w:val="right"/>
              <w:rPr>
                <w:rFonts w:cs="Arial"/>
                <w:color w:val="7F7F7F"/>
                <w:szCs w:val="18"/>
                <w:lang w:eastAsia="en-AU"/>
              </w:rPr>
            </w:pPr>
            <w:r w:rsidRPr="00D16FB4">
              <w:rPr>
                <w:rFonts w:cs="Arial"/>
                <w:color w:val="7F7F7F"/>
                <w:szCs w:val="18"/>
                <w:lang w:eastAsia="en-AU"/>
              </w:rPr>
              <w:t>-90%</w:t>
            </w:r>
          </w:p>
        </w:tc>
        <w:tc>
          <w:tcPr>
            <w:tcW w:w="1099" w:type="dxa"/>
            <w:tcBorders>
              <w:top w:val="nil"/>
              <w:left w:val="nil"/>
              <w:bottom w:val="nil"/>
              <w:right w:val="nil"/>
            </w:tcBorders>
            <w:shd w:val="clear" w:color="auto" w:fill="auto"/>
            <w:noWrap/>
            <w:vAlign w:val="center"/>
            <w:hideMark/>
          </w:tcPr>
          <w:p w:rsidR="00D16FB4" w:rsidRPr="00D16FB4" w:rsidRDefault="00D16FB4" w:rsidP="00D16FB4">
            <w:pPr>
              <w:jc w:val="right"/>
              <w:rPr>
                <w:rFonts w:cs="Arial"/>
                <w:color w:val="7F7F7F"/>
                <w:szCs w:val="18"/>
                <w:lang w:eastAsia="en-AU"/>
              </w:rPr>
            </w:pPr>
            <w:r w:rsidRPr="00D16FB4">
              <w:rPr>
                <w:rFonts w:cs="Arial"/>
                <w:color w:val="7F7F7F"/>
                <w:szCs w:val="18"/>
                <w:lang w:eastAsia="en-AU"/>
              </w:rPr>
              <w:t>-77%</w:t>
            </w:r>
          </w:p>
        </w:tc>
        <w:tc>
          <w:tcPr>
            <w:tcW w:w="1099" w:type="dxa"/>
            <w:tcBorders>
              <w:top w:val="nil"/>
              <w:left w:val="nil"/>
              <w:bottom w:val="nil"/>
              <w:right w:val="nil"/>
            </w:tcBorders>
            <w:shd w:val="clear" w:color="auto" w:fill="auto"/>
            <w:noWrap/>
            <w:vAlign w:val="center"/>
            <w:hideMark/>
          </w:tcPr>
          <w:p w:rsidR="00D16FB4" w:rsidRPr="00D16FB4" w:rsidRDefault="00D16FB4" w:rsidP="00D16FB4">
            <w:pPr>
              <w:jc w:val="right"/>
              <w:rPr>
                <w:rFonts w:cs="Arial"/>
                <w:color w:val="7F7F7F"/>
                <w:szCs w:val="18"/>
                <w:lang w:eastAsia="en-AU"/>
              </w:rPr>
            </w:pPr>
            <w:r w:rsidRPr="00D16FB4">
              <w:rPr>
                <w:rFonts w:cs="Arial"/>
                <w:color w:val="7F7F7F"/>
                <w:szCs w:val="18"/>
                <w:lang w:eastAsia="en-AU"/>
              </w:rPr>
              <w:t>-50%</w:t>
            </w:r>
          </w:p>
        </w:tc>
      </w:tr>
      <w:tr w:rsidR="00D16FB4" w:rsidRPr="00D16FB4" w:rsidTr="00D16FB4">
        <w:trPr>
          <w:trHeight w:val="480"/>
        </w:trPr>
        <w:tc>
          <w:tcPr>
            <w:tcW w:w="2600" w:type="dxa"/>
            <w:tcBorders>
              <w:top w:val="nil"/>
              <w:left w:val="nil"/>
              <w:bottom w:val="nil"/>
              <w:right w:val="nil"/>
            </w:tcBorders>
            <w:shd w:val="clear" w:color="auto" w:fill="auto"/>
            <w:vAlign w:val="center"/>
            <w:hideMark/>
          </w:tcPr>
          <w:p w:rsidR="00D16FB4" w:rsidRPr="00D16FB4" w:rsidRDefault="00D16FB4" w:rsidP="00D16FB4">
            <w:pPr>
              <w:rPr>
                <w:rFonts w:cs="Arial"/>
                <w:color w:val="7F7F7F"/>
                <w:szCs w:val="18"/>
                <w:lang w:eastAsia="en-AU"/>
              </w:rPr>
            </w:pPr>
            <w:r w:rsidRPr="00D16FB4">
              <w:rPr>
                <w:rFonts w:cs="Arial"/>
                <w:color w:val="7F7F7F"/>
                <w:szCs w:val="18"/>
                <w:lang w:eastAsia="en-AU"/>
              </w:rPr>
              <w:t>Technicians And Trades Workers</w:t>
            </w:r>
          </w:p>
        </w:tc>
        <w:tc>
          <w:tcPr>
            <w:tcW w:w="1099" w:type="dxa"/>
            <w:tcBorders>
              <w:top w:val="nil"/>
              <w:left w:val="nil"/>
              <w:bottom w:val="nil"/>
              <w:right w:val="nil"/>
            </w:tcBorders>
            <w:shd w:val="clear" w:color="auto" w:fill="auto"/>
            <w:noWrap/>
            <w:vAlign w:val="center"/>
            <w:hideMark/>
          </w:tcPr>
          <w:p w:rsidR="00D16FB4" w:rsidRPr="00D16FB4" w:rsidRDefault="00D16FB4" w:rsidP="00D16FB4">
            <w:pPr>
              <w:jc w:val="right"/>
              <w:rPr>
                <w:rFonts w:cs="Arial"/>
                <w:color w:val="7F7F7F"/>
                <w:szCs w:val="18"/>
                <w:lang w:eastAsia="en-AU"/>
              </w:rPr>
            </w:pPr>
            <w:r w:rsidRPr="00D16FB4">
              <w:rPr>
                <w:rFonts w:cs="Arial"/>
                <w:color w:val="7F7F7F"/>
                <w:szCs w:val="18"/>
                <w:lang w:eastAsia="en-AU"/>
              </w:rPr>
              <w:t>82%</w:t>
            </w:r>
          </w:p>
        </w:tc>
        <w:tc>
          <w:tcPr>
            <w:tcW w:w="1099" w:type="dxa"/>
            <w:tcBorders>
              <w:top w:val="nil"/>
              <w:left w:val="nil"/>
              <w:bottom w:val="nil"/>
              <w:right w:val="nil"/>
            </w:tcBorders>
            <w:shd w:val="clear" w:color="auto" w:fill="auto"/>
            <w:noWrap/>
            <w:vAlign w:val="center"/>
            <w:hideMark/>
          </w:tcPr>
          <w:p w:rsidR="00D16FB4" w:rsidRPr="00D16FB4" w:rsidRDefault="00D16FB4" w:rsidP="00D16FB4">
            <w:pPr>
              <w:jc w:val="right"/>
              <w:rPr>
                <w:rFonts w:cs="Arial"/>
                <w:color w:val="7F7F7F"/>
                <w:szCs w:val="18"/>
                <w:lang w:eastAsia="en-AU"/>
              </w:rPr>
            </w:pPr>
            <w:r w:rsidRPr="00D16FB4">
              <w:rPr>
                <w:rFonts w:cs="Arial"/>
                <w:color w:val="7F7F7F"/>
                <w:szCs w:val="18"/>
                <w:lang w:eastAsia="en-AU"/>
              </w:rPr>
              <w:t>65%</w:t>
            </w:r>
          </w:p>
        </w:tc>
        <w:tc>
          <w:tcPr>
            <w:tcW w:w="1099" w:type="dxa"/>
            <w:tcBorders>
              <w:top w:val="nil"/>
              <w:left w:val="nil"/>
              <w:bottom w:val="nil"/>
              <w:right w:val="nil"/>
            </w:tcBorders>
            <w:shd w:val="clear" w:color="auto" w:fill="auto"/>
            <w:noWrap/>
            <w:vAlign w:val="center"/>
            <w:hideMark/>
          </w:tcPr>
          <w:p w:rsidR="00D16FB4" w:rsidRPr="00D16FB4" w:rsidRDefault="00D16FB4" w:rsidP="00D16FB4">
            <w:pPr>
              <w:jc w:val="right"/>
              <w:rPr>
                <w:rFonts w:cs="Arial"/>
                <w:color w:val="7F7F7F"/>
                <w:szCs w:val="18"/>
                <w:lang w:eastAsia="en-AU"/>
              </w:rPr>
            </w:pPr>
            <w:r w:rsidRPr="00D16FB4">
              <w:rPr>
                <w:rFonts w:cs="Arial"/>
                <w:color w:val="7F7F7F"/>
                <w:szCs w:val="18"/>
                <w:lang w:eastAsia="en-AU"/>
              </w:rPr>
              <w:t>29%</w:t>
            </w:r>
          </w:p>
        </w:tc>
        <w:tc>
          <w:tcPr>
            <w:tcW w:w="1099" w:type="dxa"/>
            <w:tcBorders>
              <w:top w:val="nil"/>
              <w:left w:val="nil"/>
              <w:bottom w:val="nil"/>
              <w:right w:val="nil"/>
            </w:tcBorders>
            <w:shd w:val="clear" w:color="auto" w:fill="auto"/>
            <w:noWrap/>
            <w:vAlign w:val="center"/>
            <w:hideMark/>
          </w:tcPr>
          <w:p w:rsidR="00D16FB4" w:rsidRPr="00D16FB4" w:rsidRDefault="00D16FB4" w:rsidP="00D16FB4">
            <w:pPr>
              <w:jc w:val="right"/>
              <w:rPr>
                <w:rFonts w:cs="Arial"/>
                <w:color w:val="7F7F7F"/>
                <w:szCs w:val="18"/>
                <w:lang w:eastAsia="en-AU"/>
              </w:rPr>
            </w:pPr>
            <w:r w:rsidRPr="00D16FB4">
              <w:rPr>
                <w:rFonts w:cs="Arial"/>
                <w:color w:val="7F7F7F"/>
                <w:szCs w:val="18"/>
                <w:lang w:eastAsia="en-AU"/>
              </w:rPr>
              <w:t>2%</w:t>
            </w:r>
          </w:p>
        </w:tc>
        <w:tc>
          <w:tcPr>
            <w:tcW w:w="1099" w:type="dxa"/>
            <w:tcBorders>
              <w:top w:val="nil"/>
              <w:left w:val="nil"/>
              <w:bottom w:val="nil"/>
              <w:right w:val="nil"/>
            </w:tcBorders>
            <w:shd w:val="clear" w:color="auto" w:fill="auto"/>
            <w:noWrap/>
            <w:vAlign w:val="center"/>
            <w:hideMark/>
          </w:tcPr>
          <w:p w:rsidR="00D16FB4" w:rsidRPr="00D16FB4" w:rsidRDefault="00D16FB4" w:rsidP="00D16FB4">
            <w:pPr>
              <w:jc w:val="right"/>
              <w:rPr>
                <w:rFonts w:cs="Arial"/>
                <w:color w:val="7F7F7F"/>
                <w:szCs w:val="18"/>
                <w:lang w:eastAsia="en-AU"/>
              </w:rPr>
            </w:pPr>
            <w:r w:rsidRPr="00D16FB4">
              <w:rPr>
                <w:rFonts w:cs="Arial"/>
                <w:color w:val="7F7F7F"/>
                <w:szCs w:val="18"/>
                <w:lang w:eastAsia="en-AU"/>
              </w:rPr>
              <w:t>-1%</w:t>
            </w:r>
          </w:p>
        </w:tc>
      </w:tr>
      <w:tr w:rsidR="00D16FB4" w:rsidRPr="00D16FB4" w:rsidTr="00D16FB4">
        <w:trPr>
          <w:trHeight w:val="300"/>
        </w:trPr>
        <w:tc>
          <w:tcPr>
            <w:tcW w:w="2600" w:type="dxa"/>
            <w:tcBorders>
              <w:top w:val="nil"/>
              <w:left w:val="nil"/>
              <w:bottom w:val="nil"/>
              <w:right w:val="nil"/>
            </w:tcBorders>
            <w:shd w:val="clear" w:color="000000" w:fill="7F7F7F"/>
            <w:noWrap/>
            <w:vAlign w:val="center"/>
            <w:hideMark/>
          </w:tcPr>
          <w:p w:rsidR="00D16FB4" w:rsidRPr="00D16FB4" w:rsidRDefault="00D16FB4" w:rsidP="00D16FB4">
            <w:pPr>
              <w:rPr>
                <w:rFonts w:cs="Arial"/>
                <w:b/>
                <w:bCs/>
                <w:color w:val="FFFFFF"/>
                <w:szCs w:val="18"/>
                <w:lang w:eastAsia="en-AU"/>
              </w:rPr>
            </w:pPr>
            <w:r w:rsidRPr="00D16FB4">
              <w:rPr>
                <w:rFonts w:cs="Arial"/>
                <w:b/>
                <w:bCs/>
                <w:color w:val="FFFFFF"/>
                <w:szCs w:val="18"/>
                <w:lang w:eastAsia="en-AU"/>
              </w:rPr>
              <w:t>Total*</w:t>
            </w:r>
          </w:p>
        </w:tc>
        <w:tc>
          <w:tcPr>
            <w:tcW w:w="1099" w:type="dxa"/>
            <w:tcBorders>
              <w:top w:val="nil"/>
              <w:left w:val="nil"/>
              <w:bottom w:val="nil"/>
              <w:right w:val="nil"/>
            </w:tcBorders>
            <w:shd w:val="clear" w:color="000000" w:fill="7F7F7F"/>
            <w:noWrap/>
            <w:vAlign w:val="center"/>
            <w:hideMark/>
          </w:tcPr>
          <w:p w:rsidR="00D16FB4" w:rsidRPr="00D16FB4" w:rsidRDefault="00D16FB4" w:rsidP="00D16FB4">
            <w:pPr>
              <w:jc w:val="right"/>
              <w:rPr>
                <w:rFonts w:cs="Arial"/>
                <w:b/>
                <w:bCs/>
                <w:color w:val="FFFFFF"/>
                <w:szCs w:val="18"/>
                <w:lang w:eastAsia="en-AU"/>
              </w:rPr>
            </w:pPr>
            <w:r w:rsidRPr="00D16FB4">
              <w:rPr>
                <w:rFonts w:cs="Arial"/>
                <w:b/>
                <w:bCs/>
                <w:color w:val="FFFFFF"/>
                <w:szCs w:val="18"/>
                <w:lang w:eastAsia="en-AU"/>
              </w:rPr>
              <w:t>-41%</w:t>
            </w:r>
          </w:p>
        </w:tc>
        <w:tc>
          <w:tcPr>
            <w:tcW w:w="1099" w:type="dxa"/>
            <w:tcBorders>
              <w:top w:val="nil"/>
              <w:left w:val="nil"/>
              <w:bottom w:val="nil"/>
              <w:right w:val="nil"/>
            </w:tcBorders>
            <w:shd w:val="clear" w:color="000000" w:fill="7F7F7F"/>
            <w:noWrap/>
            <w:vAlign w:val="center"/>
            <w:hideMark/>
          </w:tcPr>
          <w:p w:rsidR="00D16FB4" w:rsidRPr="00D16FB4" w:rsidRDefault="00D16FB4" w:rsidP="00D16FB4">
            <w:pPr>
              <w:jc w:val="right"/>
              <w:rPr>
                <w:rFonts w:cs="Arial"/>
                <w:b/>
                <w:bCs/>
                <w:color w:val="FFFFFF"/>
                <w:szCs w:val="18"/>
                <w:lang w:eastAsia="en-AU"/>
              </w:rPr>
            </w:pPr>
            <w:r w:rsidRPr="00D16FB4">
              <w:rPr>
                <w:rFonts w:cs="Arial"/>
                <w:b/>
                <w:bCs/>
                <w:color w:val="FFFFFF"/>
                <w:szCs w:val="18"/>
                <w:lang w:eastAsia="en-AU"/>
              </w:rPr>
              <w:t>-57%</w:t>
            </w:r>
          </w:p>
        </w:tc>
        <w:tc>
          <w:tcPr>
            <w:tcW w:w="1099" w:type="dxa"/>
            <w:tcBorders>
              <w:top w:val="nil"/>
              <w:left w:val="nil"/>
              <w:bottom w:val="nil"/>
              <w:right w:val="nil"/>
            </w:tcBorders>
            <w:shd w:val="clear" w:color="000000" w:fill="7F7F7F"/>
            <w:noWrap/>
            <w:vAlign w:val="center"/>
            <w:hideMark/>
          </w:tcPr>
          <w:p w:rsidR="00D16FB4" w:rsidRPr="00D16FB4" w:rsidRDefault="00D16FB4" w:rsidP="00D16FB4">
            <w:pPr>
              <w:jc w:val="right"/>
              <w:rPr>
                <w:rFonts w:cs="Arial"/>
                <w:b/>
                <w:bCs/>
                <w:color w:val="FFFFFF"/>
                <w:szCs w:val="18"/>
                <w:lang w:eastAsia="en-AU"/>
              </w:rPr>
            </w:pPr>
            <w:r w:rsidRPr="00D16FB4">
              <w:rPr>
                <w:rFonts w:cs="Arial"/>
                <w:b/>
                <w:bCs/>
                <w:color w:val="FFFFFF"/>
                <w:szCs w:val="18"/>
                <w:lang w:eastAsia="en-AU"/>
              </w:rPr>
              <w:t>-68%</w:t>
            </w:r>
          </w:p>
        </w:tc>
        <w:tc>
          <w:tcPr>
            <w:tcW w:w="1099" w:type="dxa"/>
            <w:tcBorders>
              <w:top w:val="nil"/>
              <w:left w:val="nil"/>
              <w:bottom w:val="nil"/>
              <w:right w:val="nil"/>
            </w:tcBorders>
            <w:shd w:val="clear" w:color="000000" w:fill="7F7F7F"/>
            <w:noWrap/>
            <w:vAlign w:val="center"/>
            <w:hideMark/>
          </w:tcPr>
          <w:p w:rsidR="00D16FB4" w:rsidRPr="00D16FB4" w:rsidRDefault="00D16FB4" w:rsidP="00D16FB4">
            <w:pPr>
              <w:jc w:val="right"/>
              <w:rPr>
                <w:rFonts w:cs="Arial"/>
                <w:b/>
                <w:bCs/>
                <w:color w:val="FFFFFF"/>
                <w:szCs w:val="18"/>
                <w:lang w:eastAsia="en-AU"/>
              </w:rPr>
            </w:pPr>
            <w:r w:rsidRPr="00D16FB4">
              <w:rPr>
                <w:rFonts w:cs="Arial"/>
                <w:b/>
                <w:bCs/>
                <w:color w:val="FFFFFF"/>
                <w:szCs w:val="18"/>
                <w:lang w:eastAsia="en-AU"/>
              </w:rPr>
              <w:t>-51%</w:t>
            </w:r>
          </w:p>
        </w:tc>
        <w:tc>
          <w:tcPr>
            <w:tcW w:w="1099" w:type="dxa"/>
            <w:tcBorders>
              <w:top w:val="nil"/>
              <w:left w:val="nil"/>
              <w:bottom w:val="nil"/>
              <w:right w:val="nil"/>
            </w:tcBorders>
            <w:shd w:val="clear" w:color="000000" w:fill="7F7F7F"/>
            <w:noWrap/>
            <w:vAlign w:val="center"/>
            <w:hideMark/>
          </w:tcPr>
          <w:p w:rsidR="00D16FB4" w:rsidRPr="00D16FB4" w:rsidRDefault="00D16FB4" w:rsidP="00D16FB4">
            <w:pPr>
              <w:jc w:val="right"/>
              <w:rPr>
                <w:rFonts w:cs="Arial"/>
                <w:b/>
                <w:bCs/>
                <w:color w:val="FFFFFF"/>
                <w:szCs w:val="18"/>
                <w:lang w:eastAsia="en-AU"/>
              </w:rPr>
            </w:pPr>
            <w:r w:rsidRPr="00D16FB4">
              <w:rPr>
                <w:rFonts w:cs="Arial"/>
                <w:b/>
                <w:bCs/>
                <w:color w:val="FFFFFF"/>
                <w:szCs w:val="18"/>
                <w:lang w:eastAsia="en-AU"/>
              </w:rPr>
              <w:t>-34%</w:t>
            </w:r>
          </w:p>
        </w:tc>
      </w:tr>
    </w:tbl>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4A0" w:firstRow="1" w:lastRow="0" w:firstColumn="1" w:lastColumn="0" w:noHBand="0" w:noVBand="1"/>
      </w:tblPr>
      <w:tblGrid>
        <w:gridCol w:w="431"/>
        <w:gridCol w:w="7649"/>
      </w:tblGrid>
      <w:tr w:rsidR="00D16FB4" w:rsidRPr="00913551" w:rsidTr="00BB0C32">
        <w:tc>
          <w:tcPr>
            <w:tcW w:w="431" w:type="dxa"/>
            <w:tcMar>
              <w:left w:w="0" w:type="dxa"/>
              <w:right w:w="28" w:type="dxa"/>
            </w:tcMar>
          </w:tcPr>
          <w:p w:rsidR="00D16FB4" w:rsidRPr="00913551" w:rsidRDefault="00D16FB4" w:rsidP="00BB0C32">
            <w:pPr>
              <w:spacing w:after="0" w:line="240" w:lineRule="auto"/>
              <w:jc w:val="right"/>
              <w:rPr>
                <w:color w:val="7F7F7F" w:themeColor="text2"/>
                <w:sz w:val="16"/>
                <w:szCs w:val="16"/>
              </w:rPr>
            </w:pPr>
            <w:r w:rsidRPr="00913551">
              <w:rPr>
                <w:color w:val="7F7F7F" w:themeColor="text2"/>
                <w:sz w:val="16"/>
                <w:szCs w:val="16"/>
              </w:rPr>
              <w:t xml:space="preserve">* </w:t>
            </w:r>
          </w:p>
        </w:tc>
        <w:tc>
          <w:tcPr>
            <w:tcW w:w="7649" w:type="dxa"/>
            <w:tcMar>
              <w:left w:w="0" w:type="dxa"/>
              <w:right w:w="28" w:type="dxa"/>
            </w:tcMar>
          </w:tcPr>
          <w:p w:rsidR="00D16FB4" w:rsidRPr="00913551" w:rsidRDefault="00D16FB4" w:rsidP="00BB0C32">
            <w:pPr>
              <w:spacing w:after="0" w:line="240" w:lineRule="auto"/>
              <w:rPr>
                <w:i/>
                <w:color w:val="7F7F7F" w:themeColor="text2"/>
                <w:sz w:val="16"/>
                <w:szCs w:val="16"/>
              </w:rPr>
            </w:pPr>
            <w:r w:rsidRPr="00913551">
              <w:rPr>
                <w:i/>
                <w:sz w:val="16"/>
                <w:szCs w:val="16"/>
              </w:rPr>
              <w:t xml:space="preserve">Totals for 2010 and 2014 include a small number of enrolments that </w:t>
            </w:r>
            <w:proofErr w:type="gramStart"/>
            <w:r w:rsidRPr="00913551">
              <w:rPr>
                <w:i/>
                <w:sz w:val="16"/>
                <w:szCs w:val="16"/>
              </w:rPr>
              <w:t>were not able to</w:t>
            </w:r>
            <w:proofErr w:type="gramEnd"/>
            <w:r w:rsidRPr="00913551">
              <w:rPr>
                <w:i/>
                <w:sz w:val="16"/>
                <w:szCs w:val="16"/>
              </w:rPr>
              <w:t xml:space="preserve"> be coded directly into ANZSCO (50 and 5 respectively).</w:t>
            </w:r>
          </w:p>
        </w:tc>
      </w:tr>
    </w:tbl>
    <w:p w:rsidR="0023236B" w:rsidRDefault="0023236B" w:rsidP="00AB62FC">
      <w:pPr>
        <w:pStyle w:val="Quote"/>
        <w:rPr>
          <w:b w:val="0"/>
          <w:sz w:val="18"/>
          <w:szCs w:val="18"/>
        </w:rPr>
      </w:pPr>
    </w:p>
    <w:p w:rsidR="0023236B" w:rsidRDefault="0023236B" w:rsidP="00AB62FC">
      <w:pPr>
        <w:pStyle w:val="Quote"/>
        <w:rPr>
          <w:b w:val="0"/>
          <w:sz w:val="18"/>
          <w:szCs w:val="18"/>
        </w:rPr>
      </w:pPr>
    </w:p>
    <w:p w:rsidR="00086FAC" w:rsidRDefault="00086FAC">
      <w:r>
        <w:rPr>
          <w:b/>
        </w:rPr>
        <w:br w:type="page"/>
      </w: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086FAC" w:rsidTr="00BB0C32">
        <w:tc>
          <w:tcPr>
            <w:tcW w:w="1134" w:type="dxa"/>
            <w:tcMar>
              <w:left w:w="0" w:type="dxa"/>
              <w:right w:w="0" w:type="dxa"/>
            </w:tcMar>
          </w:tcPr>
          <w:p w:rsidR="00086FAC" w:rsidRDefault="0005261F" w:rsidP="00086FAC">
            <w:pPr>
              <w:pStyle w:val="Quote"/>
              <w:tabs>
                <w:tab w:val="left" w:pos="1134"/>
              </w:tabs>
              <w:rPr>
                <w:b w:val="0"/>
                <w:color w:val="B41F22" w:themeColor="accent1"/>
              </w:rPr>
            </w:pPr>
            <w:r>
              <w:rPr>
                <w:b w:val="0"/>
                <w:color w:val="B41F22" w:themeColor="accent1"/>
              </w:rPr>
              <w:lastRenderedPageBreak/>
              <w:t>Table 3</w:t>
            </w:r>
            <w:r w:rsidR="00086FAC">
              <w:rPr>
                <w:b w:val="0"/>
                <w:color w:val="B41F22" w:themeColor="accent1"/>
              </w:rPr>
              <w:t>.10.1:</w:t>
            </w:r>
          </w:p>
        </w:tc>
        <w:tc>
          <w:tcPr>
            <w:tcW w:w="6946" w:type="dxa"/>
            <w:tcMar>
              <w:left w:w="0" w:type="dxa"/>
              <w:right w:w="0" w:type="dxa"/>
            </w:tcMar>
          </w:tcPr>
          <w:p w:rsidR="00086FAC" w:rsidRDefault="00086FAC" w:rsidP="00BB0C32">
            <w:pPr>
              <w:pStyle w:val="Quote"/>
              <w:tabs>
                <w:tab w:val="left" w:pos="1134"/>
              </w:tabs>
              <w:rPr>
                <w:b w:val="0"/>
                <w:color w:val="B41F22" w:themeColor="accent1"/>
              </w:rPr>
            </w:pPr>
            <w:r w:rsidRPr="00086FAC">
              <w:rPr>
                <w:b w:val="0"/>
                <w:color w:val="B41F22" w:themeColor="accent1"/>
              </w:rPr>
              <w:t>Government subsidised trainee course enrolments by industry, 2010 to 2015 (half year)</w:t>
            </w:r>
          </w:p>
        </w:tc>
      </w:tr>
    </w:tbl>
    <w:tbl>
      <w:tblPr>
        <w:tblW w:w="8095" w:type="dxa"/>
        <w:tblInd w:w="93" w:type="dxa"/>
        <w:tblLayout w:type="fixed"/>
        <w:tblLook w:val="04A0" w:firstRow="1" w:lastRow="0" w:firstColumn="1" w:lastColumn="0" w:noHBand="0" w:noVBand="1"/>
      </w:tblPr>
      <w:tblGrid>
        <w:gridCol w:w="2425"/>
        <w:gridCol w:w="945"/>
        <w:gridCol w:w="945"/>
        <w:gridCol w:w="945"/>
        <w:gridCol w:w="945"/>
        <w:gridCol w:w="945"/>
        <w:gridCol w:w="945"/>
      </w:tblGrid>
      <w:tr w:rsidR="00086FAC" w:rsidRPr="00086FAC" w:rsidTr="00086FAC">
        <w:trPr>
          <w:trHeight w:val="300"/>
        </w:trPr>
        <w:tc>
          <w:tcPr>
            <w:tcW w:w="2425" w:type="dxa"/>
            <w:tcBorders>
              <w:top w:val="nil"/>
              <w:left w:val="nil"/>
              <w:bottom w:val="nil"/>
              <w:right w:val="nil"/>
            </w:tcBorders>
            <w:shd w:val="clear" w:color="000000" w:fill="7F7F7F"/>
            <w:noWrap/>
            <w:vAlign w:val="center"/>
            <w:hideMark/>
          </w:tcPr>
          <w:p w:rsidR="00086FAC" w:rsidRPr="00086FAC" w:rsidRDefault="00086FAC" w:rsidP="00086FAC">
            <w:pPr>
              <w:rPr>
                <w:rFonts w:cs="Arial"/>
                <w:color w:val="FFFFFF"/>
                <w:szCs w:val="18"/>
                <w:lang w:eastAsia="en-AU"/>
              </w:rPr>
            </w:pPr>
            <w:r w:rsidRPr="00086FAC">
              <w:rPr>
                <w:rFonts w:cs="Arial"/>
                <w:color w:val="FFFFFF"/>
                <w:szCs w:val="18"/>
                <w:lang w:eastAsia="en-AU"/>
              </w:rPr>
              <w:t> </w:t>
            </w:r>
          </w:p>
        </w:tc>
        <w:tc>
          <w:tcPr>
            <w:tcW w:w="945" w:type="dxa"/>
            <w:tcBorders>
              <w:top w:val="nil"/>
              <w:left w:val="nil"/>
              <w:bottom w:val="nil"/>
              <w:right w:val="nil"/>
            </w:tcBorders>
            <w:shd w:val="clear" w:color="000000" w:fill="7F7F7F"/>
            <w:noWrap/>
            <w:vAlign w:val="center"/>
            <w:hideMark/>
          </w:tcPr>
          <w:p w:rsidR="00086FAC" w:rsidRPr="00086FAC" w:rsidRDefault="00086FAC" w:rsidP="00086FAC">
            <w:pPr>
              <w:jc w:val="right"/>
              <w:rPr>
                <w:rFonts w:cs="Arial"/>
                <w:b/>
                <w:bCs/>
                <w:color w:val="FFFFFF"/>
                <w:szCs w:val="18"/>
                <w:lang w:eastAsia="en-AU"/>
              </w:rPr>
            </w:pPr>
            <w:r w:rsidRPr="00086FAC">
              <w:rPr>
                <w:rFonts w:cs="Arial"/>
                <w:b/>
                <w:bCs/>
                <w:color w:val="FFFFFF"/>
                <w:szCs w:val="18"/>
                <w:lang w:eastAsia="en-AU"/>
              </w:rPr>
              <w:t>2010</w:t>
            </w:r>
          </w:p>
        </w:tc>
        <w:tc>
          <w:tcPr>
            <w:tcW w:w="945" w:type="dxa"/>
            <w:tcBorders>
              <w:top w:val="nil"/>
              <w:left w:val="nil"/>
              <w:bottom w:val="nil"/>
              <w:right w:val="nil"/>
            </w:tcBorders>
            <w:shd w:val="clear" w:color="000000" w:fill="7F7F7F"/>
            <w:noWrap/>
            <w:vAlign w:val="center"/>
            <w:hideMark/>
          </w:tcPr>
          <w:p w:rsidR="00086FAC" w:rsidRPr="00086FAC" w:rsidRDefault="00086FAC" w:rsidP="00086FAC">
            <w:pPr>
              <w:jc w:val="right"/>
              <w:rPr>
                <w:rFonts w:cs="Arial"/>
                <w:b/>
                <w:bCs/>
                <w:color w:val="FFFFFF"/>
                <w:szCs w:val="18"/>
                <w:lang w:eastAsia="en-AU"/>
              </w:rPr>
            </w:pPr>
            <w:r w:rsidRPr="00086FAC">
              <w:rPr>
                <w:rFonts w:cs="Arial"/>
                <w:b/>
                <w:bCs/>
                <w:color w:val="FFFFFF"/>
                <w:szCs w:val="18"/>
                <w:lang w:eastAsia="en-AU"/>
              </w:rPr>
              <w:t>2011</w:t>
            </w:r>
          </w:p>
        </w:tc>
        <w:tc>
          <w:tcPr>
            <w:tcW w:w="945" w:type="dxa"/>
            <w:tcBorders>
              <w:top w:val="nil"/>
              <w:left w:val="nil"/>
              <w:bottom w:val="nil"/>
              <w:right w:val="nil"/>
            </w:tcBorders>
            <w:shd w:val="clear" w:color="000000" w:fill="7F7F7F"/>
            <w:noWrap/>
            <w:vAlign w:val="center"/>
            <w:hideMark/>
          </w:tcPr>
          <w:p w:rsidR="00086FAC" w:rsidRPr="00086FAC" w:rsidRDefault="00086FAC" w:rsidP="00086FAC">
            <w:pPr>
              <w:jc w:val="right"/>
              <w:rPr>
                <w:rFonts w:cs="Arial"/>
                <w:b/>
                <w:bCs/>
                <w:color w:val="FFFFFF"/>
                <w:szCs w:val="18"/>
                <w:lang w:eastAsia="en-AU"/>
              </w:rPr>
            </w:pPr>
            <w:r w:rsidRPr="00086FAC">
              <w:rPr>
                <w:rFonts w:cs="Arial"/>
                <w:b/>
                <w:bCs/>
                <w:color w:val="FFFFFF"/>
                <w:szCs w:val="18"/>
                <w:lang w:eastAsia="en-AU"/>
              </w:rPr>
              <w:t>2012</w:t>
            </w:r>
          </w:p>
        </w:tc>
        <w:tc>
          <w:tcPr>
            <w:tcW w:w="945" w:type="dxa"/>
            <w:tcBorders>
              <w:top w:val="nil"/>
              <w:left w:val="nil"/>
              <w:bottom w:val="nil"/>
              <w:right w:val="nil"/>
            </w:tcBorders>
            <w:shd w:val="clear" w:color="000000" w:fill="7F7F7F"/>
            <w:noWrap/>
            <w:vAlign w:val="center"/>
            <w:hideMark/>
          </w:tcPr>
          <w:p w:rsidR="00086FAC" w:rsidRPr="00086FAC" w:rsidRDefault="00086FAC" w:rsidP="00086FAC">
            <w:pPr>
              <w:jc w:val="right"/>
              <w:rPr>
                <w:rFonts w:cs="Arial"/>
                <w:b/>
                <w:bCs/>
                <w:color w:val="FFFFFF"/>
                <w:szCs w:val="18"/>
                <w:lang w:eastAsia="en-AU"/>
              </w:rPr>
            </w:pPr>
            <w:r w:rsidRPr="00086FAC">
              <w:rPr>
                <w:rFonts w:cs="Arial"/>
                <w:b/>
                <w:bCs/>
                <w:color w:val="FFFFFF"/>
                <w:szCs w:val="18"/>
                <w:lang w:eastAsia="en-AU"/>
              </w:rPr>
              <w:t>2013</w:t>
            </w:r>
          </w:p>
        </w:tc>
        <w:tc>
          <w:tcPr>
            <w:tcW w:w="945" w:type="dxa"/>
            <w:tcBorders>
              <w:top w:val="nil"/>
              <w:left w:val="nil"/>
              <w:bottom w:val="nil"/>
              <w:right w:val="nil"/>
            </w:tcBorders>
            <w:shd w:val="clear" w:color="000000" w:fill="7F7F7F"/>
            <w:noWrap/>
            <w:vAlign w:val="center"/>
            <w:hideMark/>
          </w:tcPr>
          <w:p w:rsidR="00086FAC" w:rsidRPr="00086FAC" w:rsidRDefault="00086FAC" w:rsidP="00086FAC">
            <w:pPr>
              <w:jc w:val="right"/>
              <w:rPr>
                <w:rFonts w:cs="Arial"/>
                <w:b/>
                <w:bCs/>
                <w:color w:val="FFFFFF"/>
                <w:szCs w:val="18"/>
                <w:lang w:eastAsia="en-AU"/>
              </w:rPr>
            </w:pPr>
            <w:r w:rsidRPr="00086FAC">
              <w:rPr>
                <w:rFonts w:cs="Arial"/>
                <w:b/>
                <w:bCs/>
                <w:color w:val="FFFFFF"/>
                <w:szCs w:val="18"/>
                <w:lang w:eastAsia="en-AU"/>
              </w:rPr>
              <w:t>2014</w:t>
            </w:r>
          </w:p>
        </w:tc>
        <w:tc>
          <w:tcPr>
            <w:tcW w:w="945" w:type="dxa"/>
            <w:tcBorders>
              <w:top w:val="nil"/>
              <w:left w:val="nil"/>
              <w:bottom w:val="nil"/>
              <w:right w:val="nil"/>
            </w:tcBorders>
            <w:shd w:val="clear" w:color="000000" w:fill="7F7F7F"/>
            <w:noWrap/>
            <w:vAlign w:val="center"/>
            <w:hideMark/>
          </w:tcPr>
          <w:p w:rsidR="00086FAC" w:rsidRPr="00086FAC" w:rsidRDefault="00086FAC" w:rsidP="00086FAC">
            <w:pPr>
              <w:jc w:val="right"/>
              <w:rPr>
                <w:rFonts w:cs="Arial"/>
                <w:b/>
                <w:bCs/>
                <w:color w:val="FFFFFF"/>
                <w:szCs w:val="18"/>
                <w:lang w:eastAsia="en-AU"/>
              </w:rPr>
            </w:pPr>
            <w:r w:rsidRPr="00086FAC">
              <w:rPr>
                <w:rFonts w:cs="Arial"/>
                <w:b/>
                <w:bCs/>
                <w:color w:val="FFFFFF"/>
                <w:szCs w:val="18"/>
                <w:lang w:eastAsia="en-AU"/>
              </w:rPr>
              <w:t>2015</w:t>
            </w:r>
          </w:p>
        </w:tc>
      </w:tr>
      <w:tr w:rsidR="00086FAC" w:rsidRPr="00086FAC" w:rsidTr="00086FAC">
        <w:trPr>
          <w:trHeight w:val="480"/>
        </w:trPr>
        <w:tc>
          <w:tcPr>
            <w:tcW w:w="2425" w:type="dxa"/>
            <w:tcBorders>
              <w:top w:val="nil"/>
              <w:left w:val="nil"/>
              <w:bottom w:val="nil"/>
              <w:right w:val="nil"/>
            </w:tcBorders>
            <w:shd w:val="clear" w:color="auto" w:fill="auto"/>
            <w:vAlign w:val="center"/>
            <w:hideMark/>
          </w:tcPr>
          <w:p w:rsidR="00086FAC" w:rsidRPr="00086FAC" w:rsidRDefault="00086FAC" w:rsidP="00086FAC">
            <w:pPr>
              <w:rPr>
                <w:rFonts w:cs="Arial"/>
                <w:color w:val="7F7F7F"/>
                <w:szCs w:val="18"/>
                <w:lang w:eastAsia="en-AU"/>
              </w:rPr>
            </w:pPr>
            <w:r w:rsidRPr="00086FAC">
              <w:rPr>
                <w:rFonts w:cs="Arial"/>
                <w:color w:val="7F7F7F"/>
                <w:szCs w:val="18"/>
                <w:lang w:eastAsia="en-AU"/>
              </w:rPr>
              <w:t>Accommodation and Food Services</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5,456</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6,033</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7,649</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3,627</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2,915</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1,931</w:t>
            </w:r>
          </w:p>
        </w:tc>
      </w:tr>
      <w:tr w:rsidR="00086FAC" w:rsidRPr="00086FAC" w:rsidTr="00086FAC">
        <w:trPr>
          <w:trHeight w:val="480"/>
        </w:trPr>
        <w:tc>
          <w:tcPr>
            <w:tcW w:w="2425" w:type="dxa"/>
            <w:tcBorders>
              <w:top w:val="nil"/>
              <w:left w:val="nil"/>
              <w:bottom w:val="nil"/>
              <w:right w:val="nil"/>
            </w:tcBorders>
            <w:shd w:val="clear" w:color="auto" w:fill="auto"/>
            <w:vAlign w:val="center"/>
            <w:hideMark/>
          </w:tcPr>
          <w:p w:rsidR="00086FAC" w:rsidRPr="00086FAC" w:rsidRDefault="00086FAC" w:rsidP="00086FAC">
            <w:pPr>
              <w:rPr>
                <w:rFonts w:cs="Arial"/>
                <w:color w:val="7F7F7F"/>
                <w:szCs w:val="18"/>
                <w:lang w:eastAsia="en-AU"/>
              </w:rPr>
            </w:pPr>
            <w:r w:rsidRPr="00086FAC">
              <w:rPr>
                <w:rFonts w:cs="Arial"/>
                <w:color w:val="7F7F7F"/>
                <w:szCs w:val="18"/>
                <w:lang w:eastAsia="en-AU"/>
              </w:rPr>
              <w:t>Administrative and Support Services</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3,178</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4,393</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4,857</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2,789</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1,932</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1,177</w:t>
            </w:r>
          </w:p>
        </w:tc>
      </w:tr>
      <w:tr w:rsidR="00086FAC" w:rsidRPr="00086FAC" w:rsidTr="00086FAC">
        <w:trPr>
          <w:trHeight w:val="480"/>
        </w:trPr>
        <w:tc>
          <w:tcPr>
            <w:tcW w:w="2425" w:type="dxa"/>
            <w:tcBorders>
              <w:top w:val="nil"/>
              <w:left w:val="nil"/>
              <w:bottom w:val="nil"/>
              <w:right w:val="nil"/>
            </w:tcBorders>
            <w:shd w:val="clear" w:color="auto" w:fill="auto"/>
            <w:vAlign w:val="center"/>
            <w:hideMark/>
          </w:tcPr>
          <w:p w:rsidR="00086FAC" w:rsidRPr="00086FAC" w:rsidRDefault="00086FAC" w:rsidP="00086FAC">
            <w:pPr>
              <w:rPr>
                <w:rFonts w:cs="Arial"/>
                <w:color w:val="7F7F7F"/>
                <w:szCs w:val="18"/>
                <w:lang w:eastAsia="en-AU"/>
              </w:rPr>
            </w:pPr>
            <w:r w:rsidRPr="00086FAC">
              <w:rPr>
                <w:rFonts w:cs="Arial"/>
                <w:color w:val="7F7F7F"/>
                <w:szCs w:val="18"/>
                <w:lang w:eastAsia="en-AU"/>
              </w:rPr>
              <w:t>Agriculture, Forestry and Fishing</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776</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991</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1,455</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1,491</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1,946</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1,156</w:t>
            </w:r>
          </w:p>
        </w:tc>
      </w:tr>
      <w:tr w:rsidR="00086FAC" w:rsidRPr="00086FAC" w:rsidTr="00086FAC">
        <w:trPr>
          <w:trHeight w:val="300"/>
        </w:trPr>
        <w:tc>
          <w:tcPr>
            <w:tcW w:w="2425" w:type="dxa"/>
            <w:tcBorders>
              <w:top w:val="nil"/>
              <w:left w:val="nil"/>
              <w:bottom w:val="nil"/>
              <w:right w:val="nil"/>
            </w:tcBorders>
            <w:shd w:val="clear" w:color="auto" w:fill="auto"/>
            <w:vAlign w:val="center"/>
            <w:hideMark/>
          </w:tcPr>
          <w:p w:rsidR="00086FAC" w:rsidRPr="00086FAC" w:rsidRDefault="00086FAC" w:rsidP="00086FAC">
            <w:pPr>
              <w:rPr>
                <w:rFonts w:cs="Arial"/>
                <w:color w:val="7F7F7F"/>
                <w:szCs w:val="18"/>
                <w:lang w:eastAsia="en-AU"/>
              </w:rPr>
            </w:pPr>
            <w:r w:rsidRPr="00086FAC">
              <w:rPr>
                <w:rFonts w:cs="Arial"/>
                <w:color w:val="7F7F7F"/>
                <w:szCs w:val="18"/>
                <w:lang w:eastAsia="en-AU"/>
              </w:rPr>
              <w:t>Arts and Recreation Services</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1,612</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1,917</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2,213</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826</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1,391</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1,349</w:t>
            </w:r>
          </w:p>
        </w:tc>
      </w:tr>
      <w:tr w:rsidR="00086FAC" w:rsidRPr="00086FAC" w:rsidTr="00086FAC">
        <w:trPr>
          <w:trHeight w:val="300"/>
        </w:trPr>
        <w:tc>
          <w:tcPr>
            <w:tcW w:w="2425" w:type="dxa"/>
            <w:tcBorders>
              <w:top w:val="nil"/>
              <w:left w:val="nil"/>
              <w:bottom w:val="nil"/>
              <w:right w:val="nil"/>
            </w:tcBorders>
            <w:shd w:val="clear" w:color="auto" w:fill="auto"/>
            <w:vAlign w:val="center"/>
            <w:hideMark/>
          </w:tcPr>
          <w:p w:rsidR="00086FAC" w:rsidRPr="00086FAC" w:rsidRDefault="00086FAC" w:rsidP="00086FAC">
            <w:pPr>
              <w:rPr>
                <w:rFonts w:cs="Arial"/>
                <w:color w:val="7F7F7F"/>
                <w:szCs w:val="18"/>
                <w:lang w:eastAsia="en-AU"/>
              </w:rPr>
            </w:pPr>
            <w:r w:rsidRPr="00086FAC">
              <w:rPr>
                <w:rFonts w:cs="Arial"/>
                <w:color w:val="7F7F7F"/>
                <w:szCs w:val="18"/>
                <w:lang w:eastAsia="en-AU"/>
              </w:rPr>
              <w:t>Construction</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269</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334</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695</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804</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488</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361</w:t>
            </w:r>
          </w:p>
        </w:tc>
      </w:tr>
      <w:tr w:rsidR="00086FAC" w:rsidRPr="00086FAC" w:rsidTr="00086FAC">
        <w:trPr>
          <w:trHeight w:val="300"/>
        </w:trPr>
        <w:tc>
          <w:tcPr>
            <w:tcW w:w="2425" w:type="dxa"/>
            <w:tcBorders>
              <w:top w:val="nil"/>
              <w:left w:val="nil"/>
              <w:bottom w:val="nil"/>
              <w:right w:val="nil"/>
            </w:tcBorders>
            <w:shd w:val="clear" w:color="auto" w:fill="auto"/>
            <w:vAlign w:val="center"/>
            <w:hideMark/>
          </w:tcPr>
          <w:p w:rsidR="00086FAC" w:rsidRPr="00086FAC" w:rsidRDefault="00086FAC" w:rsidP="00086FAC">
            <w:pPr>
              <w:rPr>
                <w:rFonts w:cs="Arial"/>
                <w:color w:val="7F7F7F"/>
                <w:szCs w:val="18"/>
                <w:lang w:eastAsia="en-AU"/>
              </w:rPr>
            </w:pPr>
            <w:r w:rsidRPr="00086FAC">
              <w:rPr>
                <w:rFonts w:cs="Arial"/>
                <w:color w:val="7F7F7F"/>
                <w:szCs w:val="18"/>
                <w:lang w:eastAsia="en-AU"/>
              </w:rPr>
              <w:t>Cross-industry</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3,625</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7,289</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12,045</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6,710</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2,832</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2,225</w:t>
            </w:r>
          </w:p>
        </w:tc>
      </w:tr>
      <w:tr w:rsidR="00086FAC" w:rsidRPr="00086FAC" w:rsidTr="00086FAC">
        <w:trPr>
          <w:trHeight w:val="300"/>
        </w:trPr>
        <w:tc>
          <w:tcPr>
            <w:tcW w:w="2425" w:type="dxa"/>
            <w:tcBorders>
              <w:top w:val="nil"/>
              <w:left w:val="nil"/>
              <w:bottom w:val="nil"/>
              <w:right w:val="nil"/>
            </w:tcBorders>
            <w:shd w:val="clear" w:color="auto" w:fill="auto"/>
            <w:vAlign w:val="center"/>
            <w:hideMark/>
          </w:tcPr>
          <w:p w:rsidR="00086FAC" w:rsidRPr="00086FAC" w:rsidRDefault="00086FAC" w:rsidP="00086FAC">
            <w:pPr>
              <w:rPr>
                <w:rFonts w:cs="Arial"/>
                <w:color w:val="7F7F7F"/>
                <w:szCs w:val="18"/>
                <w:lang w:eastAsia="en-AU"/>
              </w:rPr>
            </w:pPr>
            <w:r w:rsidRPr="00086FAC">
              <w:rPr>
                <w:rFonts w:cs="Arial"/>
                <w:color w:val="7F7F7F"/>
                <w:szCs w:val="18"/>
                <w:lang w:eastAsia="en-AU"/>
              </w:rPr>
              <w:t>Education and Training</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252</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342</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356</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959</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414</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374</w:t>
            </w:r>
          </w:p>
        </w:tc>
      </w:tr>
      <w:tr w:rsidR="00086FAC" w:rsidRPr="00086FAC" w:rsidTr="00086FAC">
        <w:trPr>
          <w:trHeight w:val="480"/>
        </w:trPr>
        <w:tc>
          <w:tcPr>
            <w:tcW w:w="2425" w:type="dxa"/>
            <w:tcBorders>
              <w:top w:val="nil"/>
              <w:left w:val="nil"/>
              <w:bottom w:val="nil"/>
              <w:right w:val="nil"/>
            </w:tcBorders>
            <w:shd w:val="clear" w:color="auto" w:fill="auto"/>
            <w:vAlign w:val="center"/>
            <w:hideMark/>
          </w:tcPr>
          <w:p w:rsidR="00086FAC" w:rsidRPr="00086FAC" w:rsidRDefault="00086FAC" w:rsidP="00086FAC">
            <w:pPr>
              <w:rPr>
                <w:rFonts w:cs="Arial"/>
                <w:color w:val="7F7F7F"/>
                <w:szCs w:val="18"/>
                <w:lang w:eastAsia="en-AU"/>
              </w:rPr>
            </w:pPr>
            <w:r w:rsidRPr="00086FAC">
              <w:rPr>
                <w:rFonts w:cs="Arial"/>
                <w:color w:val="7F7F7F"/>
                <w:szCs w:val="18"/>
                <w:lang w:eastAsia="en-AU"/>
              </w:rPr>
              <w:t>Electricity, Gas, Water and Waste Services</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94</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106</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226</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134</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72</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29</w:t>
            </w:r>
          </w:p>
        </w:tc>
      </w:tr>
      <w:tr w:rsidR="00086FAC" w:rsidRPr="00086FAC" w:rsidTr="00086FAC">
        <w:trPr>
          <w:trHeight w:val="480"/>
        </w:trPr>
        <w:tc>
          <w:tcPr>
            <w:tcW w:w="2425" w:type="dxa"/>
            <w:tcBorders>
              <w:top w:val="nil"/>
              <w:left w:val="nil"/>
              <w:bottom w:val="nil"/>
              <w:right w:val="nil"/>
            </w:tcBorders>
            <w:shd w:val="clear" w:color="auto" w:fill="auto"/>
            <w:vAlign w:val="center"/>
            <w:hideMark/>
          </w:tcPr>
          <w:p w:rsidR="00086FAC" w:rsidRPr="00086FAC" w:rsidRDefault="00086FAC" w:rsidP="00086FAC">
            <w:pPr>
              <w:rPr>
                <w:rFonts w:cs="Arial"/>
                <w:color w:val="7F7F7F"/>
                <w:szCs w:val="18"/>
                <w:lang w:eastAsia="en-AU"/>
              </w:rPr>
            </w:pPr>
            <w:r w:rsidRPr="00086FAC">
              <w:rPr>
                <w:rFonts w:cs="Arial"/>
                <w:color w:val="7F7F7F"/>
                <w:szCs w:val="18"/>
                <w:lang w:eastAsia="en-AU"/>
              </w:rPr>
              <w:t>Financial and Insurance Services</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243</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335</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414</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325</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451</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106</w:t>
            </w:r>
          </w:p>
        </w:tc>
      </w:tr>
      <w:tr w:rsidR="00086FAC" w:rsidRPr="00086FAC" w:rsidTr="00086FAC">
        <w:trPr>
          <w:trHeight w:val="480"/>
        </w:trPr>
        <w:tc>
          <w:tcPr>
            <w:tcW w:w="2425" w:type="dxa"/>
            <w:tcBorders>
              <w:top w:val="nil"/>
              <w:left w:val="nil"/>
              <w:bottom w:val="nil"/>
              <w:right w:val="nil"/>
            </w:tcBorders>
            <w:shd w:val="clear" w:color="auto" w:fill="auto"/>
            <w:vAlign w:val="center"/>
            <w:hideMark/>
          </w:tcPr>
          <w:p w:rsidR="00086FAC" w:rsidRPr="00086FAC" w:rsidRDefault="00086FAC" w:rsidP="00086FAC">
            <w:pPr>
              <w:rPr>
                <w:rFonts w:cs="Arial"/>
                <w:color w:val="7F7F7F"/>
                <w:szCs w:val="18"/>
                <w:lang w:eastAsia="en-AU"/>
              </w:rPr>
            </w:pPr>
            <w:r w:rsidRPr="00086FAC">
              <w:rPr>
                <w:rFonts w:cs="Arial"/>
                <w:color w:val="7F7F7F"/>
                <w:szCs w:val="18"/>
                <w:lang w:eastAsia="en-AU"/>
              </w:rPr>
              <w:t>Health Care and Social Assistance</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4,677</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5,136</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5,766</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4,990</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4,042</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3,354</w:t>
            </w:r>
          </w:p>
        </w:tc>
      </w:tr>
      <w:tr w:rsidR="00086FAC" w:rsidRPr="00086FAC" w:rsidTr="00086FAC">
        <w:trPr>
          <w:trHeight w:val="480"/>
        </w:trPr>
        <w:tc>
          <w:tcPr>
            <w:tcW w:w="2425" w:type="dxa"/>
            <w:tcBorders>
              <w:top w:val="nil"/>
              <w:left w:val="nil"/>
              <w:bottom w:val="nil"/>
              <w:right w:val="nil"/>
            </w:tcBorders>
            <w:shd w:val="clear" w:color="auto" w:fill="auto"/>
            <w:vAlign w:val="center"/>
            <w:hideMark/>
          </w:tcPr>
          <w:p w:rsidR="00086FAC" w:rsidRPr="00086FAC" w:rsidRDefault="00086FAC" w:rsidP="00086FAC">
            <w:pPr>
              <w:rPr>
                <w:rFonts w:cs="Arial"/>
                <w:color w:val="7F7F7F"/>
                <w:szCs w:val="18"/>
                <w:lang w:eastAsia="en-AU"/>
              </w:rPr>
            </w:pPr>
            <w:r w:rsidRPr="00086FAC">
              <w:rPr>
                <w:rFonts w:cs="Arial"/>
                <w:color w:val="7F7F7F"/>
                <w:szCs w:val="18"/>
                <w:lang w:eastAsia="en-AU"/>
              </w:rPr>
              <w:t>Information Media and Telecommunications</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122</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109</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92</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122</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200</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229</w:t>
            </w:r>
          </w:p>
        </w:tc>
      </w:tr>
      <w:tr w:rsidR="00086FAC" w:rsidRPr="00086FAC" w:rsidTr="00086FAC">
        <w:trPr>
          <w:trHeight w:val="300"/>
        </w:trPr>
        <w:tc>
          <w:tcPr>
            <w:tcW w:w="2425" w:type="dxa"/>
            <w:tcBorders>
              <w:top w:val="nil"/>
              <w:left w:val="nil"/>
              <w:bottom w:val="nil"/>
              <w:right w:val="nil"/>
            </w:tcBorders>
            <w:shd w:val="clear" w:color="auto" w:fill="auto"/>
            <w:vAlign w:val="center"/>
            <w:hideMark/>
          </w:tcPr>
          <w:p w:rsidR="00086FAC" w:rsidRPr="00086FAC" w:rsidRDefault="00086FAC" w:rsidP="00086FAC">
            <w:pPr>
              <w:rPr>
                <w:rFonts w:cs="Arial"/>
                <w:color w:val="7F7F7F"/>
                <w:szCs w:val="18"/>
                <w:lang w:eastAsia="en-AU"/>
              </w:rPr>
            </w:pPr>
            <w:r w:rsidRPr="00086FAC">
              <w:rPr>
                <w:rFonts w:cs="Arial"/>
                <w:color w:val="7F7F7F"/>
                <w:szCs w:val="18"/>
                <w:lang w:eastAsia="en-AU"/>
              </w:rPr>
              <w:t>Manufacturing</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2,270</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5,327</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10,072</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7,759</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7,225</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4,675</w:t>
            </w:r>
          </w:p>
        </w:tc>
      </w:tr>
      <w:tr w:rsidR="00086FAC" w:rsidRPr="00086FAC" w:rsidTr="00086FAC">
        <w:trPr>
          <w:trHeight w:val="300"/>
        </w:trPr>
        <w:tc>
          <w:tcPr>
            <w:tcW w:w="2425" w:type="dxa"/>
            <w:tcBorders>
              <w:top w:val="nil"/>
              <w:left w:val="nil"/>
              <w:bottom w:val="nil"/>
              <w:right w:val="nil"/>
            </w:tcBorders>
            <w:shd w:val="clear" w:color="auto" w:fill="auto"/>
            <w:vAlign w:val="center"/>
            <w:hideMark/>
          </w:tcPr>
          <w:p w:rsidR="00086FAC" w:rsidRPr="00086FAC" w:rsidRDefault="00086FAC" w:rsidP="00086FAC">
            <w:pPr>
              <w:rPr>
                <w:rFonts w:cs="Arial"/>
                <w:color w:val="7F7F7F"/>
                <w:szCs w:val="18"/>
                <w:lang w:eastAsia="en-AU"/>
              </w:rPr>
            </w:pPr>
            <w:r w:rsidRPr="00086FAC">
              <w:rPr>
                <w:rFonts w:cs="Arial"/>
                <w:color w:val="7F7F7F"/>
                <w:szCs w:val="18"/>
                <w:lang w:eastAsia="en-AU"/>
              </w:rPr>
              <w:t>Mining</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15</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6</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10</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54</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44</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9</w:t>
            </w:r>
          </w:p>
        </w:tc>
      </w:tr>
      <w:tr w:rsidR="00086FAC" w:rsidRPr="00086FAC" w:rsidTr="00086FAC">
        <w:trPr>
          <w:trHeight w:val="300"/>
        </w:trPr>
        <w:tc>
          <w:tcPr>
            <w:tcW w:w="2425" w:type="dxa"/>
            <w:tcBorders>
              <w:top w:val="nil"/>
              <w:left w:val="nil"/>
              <w:bottom w:val="nil"/>
              <w:right w:val="nil"/>
            </w:tcBorders>
            <w:shd w:val="clear" w:color="auto" w:fill="auto"/>
            <w:vAlign w:val="center"/>
            <w:hideMark/>
          </w:tcPr>
          <w:p w:rsidR="00086FAC" w:rsidRPr="00086FAC" w:rsidRDefault="00086FAC" w:rsidP="00086FAC">
            <w:pPr>
              <w:rPr>
                <w:rFonts w:cs="Arial"/>
                <w:color w:val="7F7F7F"/>
                <w:szCs w:val="18"/>
                <w:lang w:eastAsia="en-AU"/>
              </w:rPr>
            </w:pPr>
            <w:r w:rsidRPr="00086FAC">
              <w:rPr>
                <w:rFonts w:cs="Arial"/>
                <w:color w:val="7F7F7F"/>
                <w:szCs w:val="18"/>
                <w:lang w:eastAsia="en-AU"/>
              </w:rPr>
              <w:t>Other Services</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421</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399</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357</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220</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258</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252</w:t>
            </w:r>
          </w:p>
        </w:tc>
      </w:tr>
      <w:tr w:rsidR="00086FAC" w:rsidRPr="00086FAC" w:rsidTr="00086FAC">
        <w:trPr>
          <w:trHeight w:val="480"/>
        </w:trPr>
        <w:tc>
          <w:tcPr>
            <w:tcW w:w="2425" w:type="dxa"/>
            <w:tcBorders>
              <w:top w:val="nil"/>
              <w:left w:val="nil"/>
              <w:bottom w:val="nil"/>
              <w:right w:val="nil"/>
            </w:tcBorders>
            <w:shd w:val="clear" w:color="auto" w:fill="auto"/>
            <w:vAlign w:val="center"/>
            <w:hideMark/>
          </w:tcPr>
          <w:p w:rsidR="00086FAC" w:rsidRPr="00086FAC" w:rsidRDefault="00086FAC" w:rsidP="00086FAC">
            <w:pPr>
              <w:rPr>
                <w:rFonts w:cs="Arial"/>
                <w:color w:val="7F7F7F"/>
                <w:szCs w:val="18"/>
                <w:lang w:eastAsia="en-AU"/>
              </w:rPr>
            </w:pPr>
            <w:r w:rsidRPr="00086FAC">
              <w:rPr>
                <w:rFonts w:cs="Arial"/>
                <w:color w:val="7F7F7F"/>
                <w:szCs w:val="18"/>
                <w:lang w:eastAsia="en-AU"/>
              </w:rPr>
              <w:t>Professional, Scientific and Technical Services</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180</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209</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259</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198</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165</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141</w:t>
            </w:r>
          </w:p>
        </w:tc>
      </w:tr>
      <w:tr w:rsidR="00086FAC" w:rsidRPr="00086FAC" w:rsidTr="00086FAC">
        <w:trPr>
          <w:trHeight w:val="480"/>
        </w:trPr>
        <w:tc>
          <w:tcPr>
            <w:tcW w:w="2425" w:type="dxa"/>
            <w:tcBorders>
              <w:top w:val="nil"/>
              <w:left w:val="nil"/>
              <w:bottom w:val="nil"/>
              <w:right w:val="nil"/>
            </w:tcBorders>
            <w:shd w:val="clear" w:color="auto" w:fill="auto"/>
            <w:vAlign w:val="center"/>
            <w:hideMark/>
          </w:tcPr>
          <w:p w:rsidR="00086FAC" w:rsidRPr="00086FAC" w:rsidRDefault="00086FAC" w:rsidP="00086FAC">
            <w:pPr>
              <w:rPr>
                <w:rFonts w:cs="Arial"/>
                <w:color w:val="7F7F7F"/>
                <w:szCs w:val="18"/>
                <w:lang w:eastAsia="en-AU"/>
              </w:rPr>
            </w:pPr>
            <w:r w:rsidRPr="00086FAC">
              <w:rPr>
                <w:rFonts w:cs="Arial"/>
                <w:color w:val="7F7F7F"/>
                <w:szCs w:val="18"/>
                <w:lang w:eastAsia="en-AU"/>
              </w:rPr>
              <w:t>Public Administration and Safety</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43</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30</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68</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87</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175</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82</w:t>
            </w:r>
          </w:p>
        </w:tc>
      </w:tr>
      <w:tr w:rsidR="00086FAC" w:rsidRPr="00086FAC" w:rsidTr="00086FAC">
        <w:trPr>
          <w:trHeight w:val="480"/>
        </w:trPr>
        <w:tc>
          <w:tcPr>
            <w:tcW w:w="2425" w:type="dxa"/>
            <w:tcBorders>
              <w:top w:val="nil"/>
              <w:left w:val="nil"/>
              <w:bottom w:val="nil"/>
              <w:right w:val="nil"/>
            </w:tcBorders>
            <w:shd w:val="clear" w:color="auto" w:fill="auto"/>
            <w:vAlign w:val="center"/>
            <w:hideMark/>
          </w:tcPr>
          <w:p w:rsidR="00086FAC" w:rsidRPr="00086FAC" w:rsidRDefault="00086FAC" w:rsidP="00086FAC">
            <w:pPr>
              <w:rPr>
                <w:rFonts w:cs="Arial"/>
                <w:color w:val="7F7F7F"/>
                <w:szCs w:val="18"/>
                <w:lang w:eastAsia="en-AU"/>
              </w:rPr>
            </w:pPr>
            <w:r w:rsidRPr="00086FAC">
              <w:rPr>
                <w:rFonts w:cs="Arial"/>
                <w:color w:val="7F7F7F"/>
                <w:szCs w:val="18"/>
                <w:lang w:eastAsia="en-AU"/>
              </w:rPr>
              <w:t>Rental, Hiring and Real Estate Services</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178</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205</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363</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206</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154</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120</w:t>
            </w:r>
          </w:p>
        </w:tc>
      </w:tr>
      <w:tr w:rsidR="00086FAC" w:rsidRPr="00086FAC" w:rsidTr="00086FAC">
        <w:trPr>
          <w:trHeight w:val="300"/>
        </w:trPr>
        <w:tc>
          <w:tcPr>
            <w:tcW w:w="2425" w:type="dxa"/>
            <w:tcBorders>
              <w:top w:val="nil"/>
              <w:left w:val="nil"/>
              <w:bottom w:val="nil"/>
              <w:right w:val="nil"/>
            </w:tcBorders>
            <w:shd w:val="clear" w:color="auto" w:fill="auto"/>
            <w:vAlign w:val="center"/>
            <w:hideMark/>
          </w:tcPr>
          <w:p w:rsidR="00086FAC" w:rsidRPr="00086FAC" w:rsidRDefault="00086FAC" w:rsidP="00086FAC">
            <w:pPr>
              <w:rPr>
                <w:rFonts w:cs="Arial"/>
                <w:color w:val="7F7F7F"/>
                <w:szCs w:val="18"/>
                <w:lang w:eastAsia="en-AU"/>
              </w:rPr>
            </w:pPr>
            <w:r w:rsidRPr="00086FAC">
              <w:rPr>
                <w:rFonts w:cs="Arial"/>
                <w:color w:val="7F7F7F"/>
                <w:szCs w:val="18"/>
                <w:lang w:eastAsia="en-AU"/>
              </w:rPr>
              <w:t>Retail Trade</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8,929</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10,689</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12,286</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5,472</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2,267</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1,158</w:t>
            </w:r>
          </w:p>
        </w:tc>
      </w:tr>
      <w:tr w:rsidR="00086FAC" w:rsidRPr="00086FAC" w:rsidTr="00086FAC">
        <w:trPr>
          <w:trHeight w:val="480"/>
        </w:trPr>
        <w:tc>
          <w:tcPr>
            <w:tcW w:w="2425" w:type="dxa"/>
            <w:tcBorders>
              <w:top w:val="nil"/>
              <w:left w:val="nil"/>
              <w:bottom w:val="nil"/>
              <w:right w:val="nil"/>
            </w:tcBorders>
            <w:shd w:val="clear" w:color="auto" w:fill="auto"/>
            <w:vAlign w:val="center"/>
            <w:hideMark/>
          </w:tcPr>
          <w:p w:rsidR="00086FAC" w:rsidRPr="00086FAC" w:rsidRDefault="00086FAC" w:rsidP="00086FAC">
            <w:pPr>
              <w:rPr>
                <w:rFonts w:cs="Arial"/>
                <w:color w:val="7F7F7F"/>
                <w:szCs w:val="18"/>
                <w:lang w:eastAsia="en-AU"/>
              </w:rPr>
            </w:pPr>
            <w:r w:rsidRPr="00086FAC">
              <w:rPr>
                <w:rFonts w:cs="Arial"/>
                <w:color w:val="7F7F7F"/>
                <w:szCs w:val="18"/>
                <w:lang w:eastAsia="en-AU"/>
              </w:rPr>
              <w:t>Transport, Postal and Warehousing</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1,788</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2,863</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4,007</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4,042</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3,685</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1,518</w:t>
            </w:r>
          </w:p>
        </w:tc>
      </w:tr>
      <w:tr w:rsidR="00086FAC" w:rsidRPr="00086FAC" w:rsidTr="00086FAC">
        <w:trPr>
          <w:trHeight w:val="300"/>
        </w:trPr>
        <w:tc>
          <w:tcPr>
            <w:tcW w:w="2425" w:type="dxa"/>
            <w:tcBorders>
              <w:top w:val="nil"/>
              <w:left w:val="nil"/>
              <w:bottom w:val="nil"/>
              <w:right w:val="nil"/>
            </w:tcBorders>
            <w:shd w:val="clear" w:color="auto" w:fill="auto"/>
            <w:vAlign w:val="center"/>
            <w:hideMark/>
          </w:tcPr>
          <w:p w:rsidR="00086FAC" w:rsidRPr="00086FAC" w:rsidRDefault="00086FAC" w:rsidP="00086FAC">
            <w:pPr>
              <w:rPr>
                <w:rFonts w:cs="Arial"/>
                <w:color w:val="7F7F7F"/>
                <w:szCs w:val="18"/>
                <w:lang w:eastAsia="en-AU"/>
              </w:rPr>
            </w:pPr>
            <w:r w:rsidRPr="00086FAC">
              <w:rPr>
                <w:rFonts w:cs="Arial"/>
                <w:color w:val="7F7F7F"/>
                <w:szCs w:val="18"/>
                <w:lang w:eastAsia="en-AU"/>
              </w:rPr>
              <w:t>Wholesale Trade</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84</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222</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418</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271</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64</w:t>
            </w:r>
          </w:p>
        </w:tc>
        <w:tc>
          <w:tcPr>
            <w:tcW w:w="945" w:type="dxa"/>
            <w:tcBorders>
              <w:top w:val="nil"/>
              <w:left w:val="nil"/>
              <w:bottom w:val="nil"/>
              <w:right w:val="nil"/>
            </w:tcBorders>
            <w:shd w:val="clear" w:color="auto" w:fill="auto"/>
            <w:noWrap/>
            <w:vAlign w:val="center"/>
            <w:hideMark/>
          </w:tcPr>
          <w:p w:rsidR="00086FAC" w:rsidRPr="00086FAC" w:rsidRDefault="00086FAC" w:rsidP="00086FAC">
            <w:pPr>
              <w:jc w:val="right"/>
              <w:rPr>
                <w:rFonts w:cs="Arial"/>
                <w:color w:val="7F7F7F"/>
                <w:szCs w:val="18"/>
                <w:lang w:eastAsia="en-AU"/>
              </w:rPr>
            </w:pPr>
            <w:r w:rsidRPr="00086FAC">
              <w:rPr>
                <w:rFonts w:cs="Arial"/>
                <w:color w:val="7F7F7F"/>
                <w:szCs w:val="18"/>
                <w:lang w:eastAsia="en-AU"/>
              </w:rPr>
              <w:t>12</w:t>
            </w:r>
          </w:p>
        </w:tc>
      </w:tr>
      <w:tr w:rsidR="00086FAC" w:rsidRPr="00086FAC" w:rsidTr="00086FAC">
        <w:trPr>
          <w:trHeight w:val="300"/>
        </w:trPr>
        <w:tc>
          <w:tcPr>
            <w:tcW w:w="2425" w:type="dxa"/>
            <w:tcBorders>
              <w:top w:val="nil"/>
              <w:left w:val="nil"/>
              <w:bottom w:val="nil"/>
              <w:right w:val="nil"/>
            </w:tcBorders>
            <w:shd w:val="clear" w:color="000000" w:fill="7F7F7F"/>
            <w:noWrap/>
            <w:vAlign w:val="center"/>
            <w:hideMark/>
          </w:tcPr>
          <w:p w:rsidR="00086FAC" w:rsidRPr="00086FAC" w:rsidRDefault="00086FAC" w:rsidP="00086FAC">
            <w:pPr>
              <w:rPr>
                <w:rFonts w:cs="Arial"/>
                <w:b/>
                <w:bCs/>
                <w:color w:val="FFFFFF"/>
                <w:szCs w:val="18"/>
                <w:lang w:eastAsia="en-AU"/>
              </w:rPr>
            </w:pPr>
            <w:r w:rsidRPr="00086FAC">
              <w:rPr>
                <w:rFonts w:cs="Arial"/>
                <w:b/>
                <w:bCs/>
                <w:color w:val="FFFFFF"/>
                <w:szCs w:val="18"/>
                <w:lang w:eastAsia="en-AU"/>
              </w:rPr>
              <w:t>Total*</w:t>
            </w:r>
          </w:p>
        </w:tc>
        <w:tc>
          <w:tcPr>
            <w:tcW w:w="945" w:type="dxa"/>
            <w:tcBorders>
              <w:top w:val="nil"/>
              <w:left w:val="nil"/>
              <w:bottom w:val="nil"/>
              <w:right w:val="nil"/>
            </w:tcBorders>
            <w:shd w:val="clear" w:color="000000" w:fill="7F7F7F"/>
            <w:noWrap/>
            <w:vAlign w:val="center"/>
            <w:hideMark/>
          </w:tcPr>
          <w:p w:rsidR="00086FAC" w:rsidRPr="00086FAC" w:rsidRDefault="00086FAC" w:rsidP="00086FAC">
            <w:pPr>
              <w:jc w:val="right"/>
              <w:rPr>
                <w:rFonts w:cs="Arial"/>
                <w:b/>
                <w:bCs/>
                <w:color w:val="FFFFFF"/>
                <w:szCs w:val="18"/>
                <w:lang w:eastAsia="en-AU"/>
              </w:rPr>
            </w:pPr>
            <w:r w:rsidRPr="00086FAC">
              <w:rPr>
                <w:rFonts w:cs="Arial"/>
                <w:b/>
                <w:bCs/>
                <w:color w:val="FFFFFF"/>
                <w:szCs w:val="18"/>
                <w:lang w:eastAsia="en-AU"/>
              </w:rPr>
              <w:t>34,262</w:t>
            </w:r>
          </w:p>
        </w:tc>
        <w:tc>
          <w:tcPr>
            <w:tcW w:w="945" w:type="dxa"/>
            <w:tcBorders>
              <w:top w:val="nil"/>
              <w:left w:val="nil"/>
              <w:bottom w:val="nil"/>
              <w:right w:val="nil"/>
            </w:tcBorders>
            <w:shd w:val="clear" w:color="000000" w:fill="7F7F7F"/>
            <w:noWrap/>
            <w:vAlign w:val="center"/>
            <w:hideMark/>
          </w:tcPr>
          <w:p w:rsidR="00086FAC" w:rsidRPr="00086FAC" w:rsidRDefault="00086FAC" w:rsidP="00086FAC">
            <w:pPr>
              <w:jc w:val="right"/>
              <w:rPr>
                <w:rFonts w:cs="Arial"/>
                <w:b/>
                <w:bCs/>
                <w:color w:val="FFFFFF"/>
                <w:szCs w:val="18"/>
                <w:lang w:eastAsia="en-AU"/>
              </w:rPr>
            </w:pPr>
            <w:r w:rsidRPr="00086FAC">
              <w:rPr>
                <w:rFonts w:cs="Arial"/>
                <w:b/>
                <w:bCs/>
                <w:color w:val="FFFFFF"/>
                <w:szCs w:val="18"/>
                <w:lang w:eastAsia="en-AU"/>
              </w:rPr>
              <w:t>46,935</w:t>
            </w:r>
          </w:p>
        </w:tc>
        <w:tc>
          <w:tcPr>
            <w:tcW w:w="945" w:type="dxa"/>
            <w:tcBorders>
              <w:top w:val="nil"/>
              <w:left w:val="nil"/>
              <w:bottom w:val="nil"/>
              <w:right w:val="nil"/>
            </w:tcBorders>
            <w:shd w:val="clear" w:color="000000" w:fill="7F7F7F"/>
            <w:noWrap/>
            <w:vAlign w:val="center"/>
            <w:hideMark/>
          </w:tcPr>
          <w:p w:rsidR="00086FAC" w:rsidRPr="00086FAC" w:rsidRDefault="00086FAC" w:rsidP="00086FAC">
            <w:pPr>
              <w:jc w:val="right"/>
              <w:rPr>
                <w:rFonts w:cs="Arial"/>
                <w:b/>
                <w:bCs/>
                <w:color w:val="FFFFFF"/>
                <w:szCs w:val="18"/>
                <w:lang w:eastAsia="en-AU"/>
              </w:rPr>
            </w:pPr>
            <w:r w:rsidRPr="00086FAC">
              <w:rPr>
                <w:rFonts w:cs="Arial"/>
                <w:b/>
                <w:bCs/>
                <w:color w:val="FFFFFF"/>
                <w:szCs w:val="18"/>
                <w:lang w:eastAsia="en-AU"/>
              </w:rPr>
              <w:t>63,609</w:t>
            </w:r>
          </w:p>
        </w:tc>
        <w:tc>
          <w:tcPr>
            <w:tcW w:w="945" w:type="dxa"/>
            <w:tcBorders>
              <w:top w:val="nil"/>
              <w:left w:val="nil"/>
              <w:bottom w:val="nil"/>
              <w:right w:val="nil"/>
            </w:tcBorders>
            <w:shd w:val="clear" w:color="000000" w:fill="7F7F7F"/>
            <w:noWrap/>
            <w:vAlign w:val="center"/>
            <w:hideMark/>
          </w:tcPr>
          <w:p w:rsidR="00086FAC" w:rsidRPr="00086FAC" w:rsidRDefault="00086FAC" w:rsidP="00086FAC">
            <w:pPr>
              <w:jc w:val="right"/>
              <w:rPr>
                <w:rFonts w:cs="Arial"/>
                <w:b/>
                <w:bCs/>
                <w:color w:val="FFFFFF"/>
                <w:szCs w:val="18"/>
                <w:lang w:eastAsia="en-AU"/>
              </w:rPr>
            </w:pPr>
            <w:r w:rsidRPr="00086FAC">
              <w:rPr>
                <w:rFonts w:cs="Arial"/>
                <w:b/>
                <w:bCs/>
                <w:color w:val="FFFFFF"/>
                <w:szCs w:val="18"/>
                <w:lang w:eastAsia="en-AU"/>
              </w:rPr>
              <w:t>41,087</w:t>
            </w:r>
          </w:p>
        </w:tc>
        <w:tc>
          <w:tcPr>
            <w:tcW w:w="945" w:type="dxa"/>
            <w:tcBorders>
              <w:top w:val="nil"/>
              <w:left w:val="nil"/>
              <w:bottom w:val="nil"/>
              <w:right w:val="nil"/>
            </w:tcBorders>
            <w:shd w:val="clear" w:color="000000" w:fill="7F7F7F"/>
            <w:noWrap/>
            <w:vAlign w:val="center"/>
            <w:hideMark/>
          </w:tcPr>
          <w:p w:rsidR="00086FAC" w:rsidRPr="00086FAC" w:rsidRDefault="00086FAC" w:rsidP="00086FAC">
            <w:pPr>
              <w:jc w:val="right"/>
              <w:rPr>
                <w:rFonts w:cs="Arial"/>
                <w:b/>
                <w:bCs/>
                <w:color w:val="FFFFFF"/>
                <w:szCs w:val="18"/>
                <w:lang w:eastAsia="en-AU"/>
              </w:rPr>
            </w:pPr>
            <w:r w:rsidRPr="00086FAC">
              <w:rPr>
                <w:rFonts w:cs="Arial"/>
                <w:b/>
                <w:bCs/>
                <w:color w:val="FFFFFF"/>
                <w:szCs w:val="18"/>
                <w:lang w:eastAsia="en-AU"/>
              </w:rPr>
              <w:t>30,724</w:t>
            </w:r>
          </w:p>
        </w:tc>
        <w:tc>
          <w:tcPr>
            <w:tcW w:w="945" w:type="dxa"/>
            <w:tcBorders>
              <w:top w:val="nil"/>
              <w:left w:val="nil"/>
              <w:bottom w:val="nil"/>
              <w:right w:val="nil"/>
            </w:tcBorders>
            <w:shd w:val="clear" w:color="000000" w:fill="7F7F7F"/>
            <w:noWrap/>
            <w:vAlign w:val="center"/>
            <w:hideMark/>
          </w:tcPr>
          <w:p w:rsidR="00086FAC" w:rsidRPr="00086FAC" w:rsidRDefault="00086FAC" w:rsidP="00086FAC">
            <w:pPr>
              <w:jc w:val="right"/>
              <w:rPr>
                <w:rFonts w:cs="Arial"/>
                <w:b/>
                <w:bCs/>
                <w:color w:val="FFFFFF"/>
                <w:szCs w:val="18"/>
                <w:lang w:eastAsia="en-AU"/>
              </w:rPr>
            </w:pPr>
            <w:r w:rsidRPr="00086FAC">
              <w:rPr>
                <w:rFonts w:cs="Arial"/>
                <w:b/>
                <w:bCs/>
                <w:color w:val="FFFFFF"/>
                <w:szCs w:val="18"/>
                <w:lang w:eastAsia="en-AU"/>
              </w:rPr>
              <w:t>20,258</w:t>
            </w:r>
          </w:p>
        </w:tc>
      </w:tr>
    </w:tbl>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4A0" w:firstRow="1" w:lastRow="0" w:firstColumn="1" w:lastColumn="0" w:noHBand="0" w:noVBand="1"/>
      </w:tblPr>
      <w:tblGrid>
        <w:gridCol w:w="431"/>
        <w:gridCol w:w="7649"/>
      </w:tblGrid>
      <w:tr w:rsidR="00086FAC" w:rsidRPr="00913551" w:rsidTr="00BB0C32">
        <w:tc>
          <w:tcPr>
            <w:tcW w:w="431" w:type="dxa"/>
            <w:tcMar>
              <w:left w:w="0" w:type="dxa"/>
              <w:right w:w="28" w:type="dxa"/>
            </w:tcMar>
          </w:tcPr>
          <w:p w:rsidR="00086FAC" w:rsidRPr="00913551" w:rsidRDefault="00086FAC" w:rsidP="00BB0C32">
            <w:pPr>
              <w:spacing w:after="0" w:line="240" w:lineRule="auto"/>
              <w:jc w:val="right"/>
              <w:rPr>
                <w:color w:val="7F7F7F" w:themeColor="text2"/>
                <w:sz w:val="16"/>
                <w:szCs w:val="16"/>
              </w:rPr>
            </w:pPr>
            <w:r w:rsidRPr="00913551">
              <w:rPr>
                <w:color w:val="7F7F7F" w:themeColor="text2"/>
                <w:sz w:val="16"/>
                <w:szCs w:val="16"/>
              </w:rPr>
              <w:t xml:space="preserve">* </w:t>
            </w:r>
          </w:p>
        </w:tc>
        <w:tc>
          <w:tcPr>
            <w:tcW w:w="7649" w:type="dxa"/>
            <w:tcMar>
              <w:left w:w="0" w:type="dxa"/>
              <w:right w:w="28" w:type="dxa"/>
            </w:tcMar>
          </w:tcPr>
          <w:p w:rsidR="00086FAC" w:rsidRPr="00913551" w:rsidRDefault="00086FAC" w:rsidP="00BB0C32">
            <w:pPr>
              <w:spacing w:after="0" w:line="240" w:lineRule="auto"/>
              <w:rPr>
                <w:i/>
                <w:color w:val="7F7F7F" w:themeColor="text2"/>
                <w:sz w:val="16"/>
                <w:szCs w:val="16"/>
              </w:rPr>
            </w:pPr>
            <w:r w:rsidRPr="00913551">
              <w:rPr>
                <w:i/>
                <w:sz w:val="16"/>
                <w:szCs w:val="16"/>
              </w:rPr>
              <w:t xml:space="preserve">Totals for 2010 and 2014 include a small number of enrolments that </w:t>
            </w:r>
            <w:proofErr w:type="gramStart"/>
            <w:r w:rsidRPr="00913551">
              <w:rPr>
                <w:i/>
                <w:sz w:val="16"/>
                <w:szCs w:val="16"/>
              </w:rPr>
              <w:t>were not able to</w:t>
            </w:r>
            <w:proofErr w:type="gramEnd"/>
            <w:r w:rsidRPr="00913551">
              <w:rPr>
                <w:i/>
                <w:sz w:val="16"/>
                <w:szCs w:val="16"/>
              </w:rPr>
              <w:t xml:space="preserve"> be coded directly into ANZSIC (50 and 5 respectively).</w:t>
            </w:r>
          </w:p>
        </w:tc>
      </w:tr>
    </w:tbl>
    <w:p w:rsidR="00674718" w:rsidRDefault="00674718" w:rsidP="00AB62FC">
      <w:pPr>
        <w:pStyle w:val="Quote"/>
        <w:rPr>
          <w:b w:val="0"/>
          <w:sz w:val="18"/>
          <w:szCs w:val="18"/>
        </w:rPr>
      </w:pPr>
    </w:p>
    <w:p w:rsidR="00086FAC" w:rsidRDefault="00086FAC" w:rsidP="00AB62FC">
      <w:pPr>
        <w:pStyle w:val="Quote"/>
        <w:rPr>
          <w:b w:val="0"/>
          <w:sz w:val="18"/>
          <w:szCs w:val="18"/>
        </w:rPr>
      </w:pPr>
    </w:p>
    <w:p w:rsidR="00086FAC" w:rsidRDefault="00086FAC">
      <w:pPr>
        <w:rPr>
          <w:color w:val="7F7F7F" w:themeColor="text2"/>
          <w:szCs w:val="18"/>
        </w:rPr>
      </w:pPr>
      <w:r>
        <w:rPr>
          <w:b/>
          <w:szCs w:val="18"/>
        </w:rPr>
        <w:br w:type="page"/>
      </w: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550FCE" w:rsidTr="00BB0C32">
        <w:tc>
          <w:tcPr>
            <w:tcW w:w="1134" w:type="dxa"/>
            <w:tcMar>
              <w:left w:w="0" w:type="dxa"/>
              <w:right w:w="0" w:type="dxa"/>
            </w:tcMar>
          </w:tcPr>
          <w:p w:rsidR="00550FCE" w:rsidRDefault="0005261F" w:rsidP="00550FCE">
            <w:pPr>
              <w:pStyle w:val="Quote"/>
              <w:tabs>
                <w:tab w:val="left" w:pos="1134"/>
              </w:tabs>
              <w:rPr>
                <w:b w:val="0"/>
                <w:color w:val="B41F22" w:themeColor="accent1"/>
              </w:rPr>
            </w:pPr>
            <w:r>
              <w:rPr>
                <w:b w:val="0"/>
                <w:color w:val="B41F22" w:themeColor="accent1"/>
              </w:rPr>
              <w:lastRenderedPageBreak/>
              <w:t>Table 3</w:t>
            </w:r>
            <w:r w:rsidR="00550FCE">
              <w:rPr>
                <w:b w:val="0"/>
                <w:color w:val="B41F22" w:themeColor="accent1"/>
              </w:rPr>
              <w:t>.10.2:</w:t>
            </w:r>
          </w:p>
        </w:tc>
        <w:tc>
          <w:tcPr>
            <w:tcW w:w="6946" w:type="dxa"/>
            <w:tcMar>
              <w:left w:w="0" w:type="dxa"/>
              <w:right w:w="0" w:type="dxa"/>
            </w:tcMar>
          </w:tcPr>
          <w:p w:rsidR="00550FCE" w:rsidRDefault="00550FCE" w:rsidP="00BB0C32">
            <w:pPr>
              <w:pStyle w:val="Quote"/>
              <w:tabs>
                <w:tab w:val="left" w:pos="1134"/>
              </w:tabs>
              <w:rPr>
                <w:b w:val="0"/>
                <w:color w:val="B41F22" w:themeColor="accent1"/>
              </w:rPr>
            </w:pPr>
            <w:r w:rsidRPr="00550FCE">
              <w:rPr>
                <w:b w:val="0"/>
                <w:color w:val="B41F22" w:themeColor="accent1"/>
              </w:rPr>
              <w:t>Change in number of government subsidised trainee course enrolments by industry (half year)</w:t>
            </w:r>
          </w:p>
        </w:tc>
      </w:tr>
    </w:tbl>
    <w:tbl>
      <w:tblPr>
        <w:tblW w:w="8095" w:type="dxa"/>
        <w:tblInd w:w="93" w:type="dxa"/>
        <w:tblLayout w:type="fixed"/>
        <w:tblLook w:val="04A0" w:firstRow="1" w:lastRow="0" w:firstColumn="1" w:lastColumn="0" w:noHBand="0" w:noVBand="1"/>
      </w:tblPr>
      <w:tblGrid>
        <w:gridCol w:w="2425"/>
        <w:gridCol w:w="1134"/>
        <w:gridCol w:w="1134"/>
        <w:gridCol w:w="1134"/>
        <w:gridCol w:w="1134"/>
        <w:gridCol w:w="1134"/>
      </w:tblGrid>
      <w:tr w:rsidR="00550FCE" w:rsidRPr="00550FCE" w:rsidTr="00550FCE">
        <w:trPr>
          <w:trHeight w:val="720"/>
        </w:trPr>
        <w:tc>
          <w:tcPr>
            <w:tcW w:w="2425" w:type="dxa"/>
            <w:tcBorders>
              <w:top w:val="nil"/>
              <w:left w:val="nil"/>
              <w:bottom w:val="nil"/>
              <w:right w:val="nil"/>
            </w:tcBorders>
            <w:shd w:val="clear" w:color="000000" w:fill="7F7F7F"/>
            <w:noWrap/>
            <w:vAlign w:val="center"/>
            <w:hideMark/>
          </w:tcPr>
          <w:p w:rsidR="00550FCE" w:rsidRPr="00550FCE" w:rsidRDefault="00550FCE" w:rsidP="00550FCE">
            <w:pPr>
              <w:rPr>
                <w:rFonts w:cs="Arial"/>
                <w:color w:val="FFFFFF"/>
                <w:szCs w:val="18"/>
                <w:lang w:eastAsia="en-AU"/>
              </w:rPr>
            </w:pPr>
            <w:r w:rsidRPr="00550FCE">
              <w:rPr>
                <w:rFonts w:cs="Arial"/>
                <w:color w:val="FFFFFF"/>
                <w:szCs w:val="18"/>
                <w:lang w:eastAsia="en-AU"/>
              </w:rPr>
              <w:t> </w:t>
            </w:r>
          </w:p>
        </w:tc>
        <w:tc>
          <w:tcPr>
            <w:tcW w:w="1134" w:type="dxa"/>
            <w:tcBorders>
              <w:top w:val="nil"/>
              <w:left w:val="nil"/>
              <w:bottom w:val="nil"/>
              <w:right w:val="nil"/>
            </w:tcBorders>
            <w:shd w:val="clear" w:color="000000" w:fill="7F7F7F"/>
            <w:vAlign w:val="center"/>
            <w:hideMark/>
          </w:tcPr>
          <w:p w:rsidR="00550FCE" w:rsidRPr="00550FCE" w:rsidRDefault="00550FCE" w:rsidP="00550FCE">
            <w:pPr>
              <w:jc w:val="right"/>
              <w:rPr>
                <w:rFonts w:cs="Arial"/>
                <w:b/>
                <w:bCs/>
                <w:color w:val="FFFFFF"/>
                <w:szCs w:val="18"/>
                <w:lang w:eastAsia="en-AU"/>
              </w:rPr>
            </w:pPr>
            <w:r w:rsidRPr="00550FCE">
              <w:rPr>
                <w:rFonts w:cs="Arial"/>
                <w:b/>
                <w:bCs/>
                <w:color w:val="FFFFFF"/>
                <w:szCs w:val="18"/>
                <w:lang w:eastAsia="en-AU"/>
              </w:rPr>
              <w:t>% change 2010 to 2015</w:t>
            </w:r>
          </w:p>
        </w:tc>
        <w:tc>
          <w:tcPr>
            <w:tcW w:w="1134" w:type="dxa"/>
            <w:tcBorders>
              <w:top w:val="nil"/>
              <w:left w:val="nil"/>
              <w:bottom w:val="nil"/>
              <w:right w:val="nil"/>
            </w:tcBorders>
            <w:shd w:val="clear" w:color="000000" w:fill="7F7F7F"/>
            <w:vAlign w:val="center"/>
            <w:hideMark/>
          </w:tcPr>
          <w:p w:rsidR="00550FCE" w:rsidRPr="00550FCE" w:rsidRDefault="00550FCE" w:rsidP="00550FCE">
            <w:pPr>
              <w:jc w:val="right"/>
              <w:rPr>
                <w:rFonts w:cs="Arial"/>
                <w:b/>
                <w:bCs/>
                <w:color w:val="FFFFFF"/>
                <w:szCs w:val="18"/>
                <w:lang w:eastAsia="en-AU"/>
              </w:rPr>
            </w:pPr>
            <w:r w:rsidRPr="00550FCE">
              <w:rPr>
                <w:rFonts w:cs="Arial"/>
                <w:b/>
                <w:bCs/>
                <w:color w:val="FFFFFF"/>
                <w:szCs w:val="18"/>
                <w:lang w:eastAsia="en-AU"/>
              </w:rPr>
              <w:t>% change 2011 to 2015</w:t>
            </w:r>
          </w:p>
        </w:tc>
        <w:tc>
          <w:tcPr>
            <w:tcW w:w="1134" w:type="dxa"/>
            <w:tcBorders>
              <w:top w:val="nil"/>
              <w:left w:val="nil"/>
              <w:bottom w:val="nil"/>
              <w:right w:val="nil"/>
            </w:tcBorders>
            <w:shd w:val="clear" w:color="000000" w:fill="7F7F7F"/>
            <w:vAlign w:val="center"/>
            <w:hideMark/>
          </w:tcPr>
          <w:p w:rsidR="00550FCE" w:rsidRPr="00550FCE" w:rsidRDefault="00550FCE" w:rsidP="00550FCE">
            <w:pPr>
              <w:jc w:val="right"/>
              <w:rPr>
                <w:rFonts w:cs="Arial"/>
                <w:b/>
                <w:bCs/>
                <w:color w:val="FFFFFF"/>
                <w:szCs w:val="18"/>
                <w:lang w:eastAsia="en-AU"/>
              </w:rPr>
            </w:pPr>
            <w:r w:rsidRPr="00550FCE">
              <w:rPr>
                <w:rFonts w:cs="Arial"/>
                <w:b/>
                <w:bCs/>
                <w:color w:val="FFFFFF"/>
                <w:szCs w:val="18"/>
                <w:lang w:eastAsia="en-AU"/>
              </w:rPr>
              <w:t>% change 2012 to 2015</w:t>
            </w:r>
          </w:p>
        </w:tc>
        <w:tc>
          <w:tcPr>
            <w:tcW w:w="1134" w:type="dxa"/>
            <w:tcBorders>
              <w:top w:val="nil"/>
              <w:left w:val="nil"/>
              <w:bottom w:val="nil"/>
              <w:right w:val="nil"/>
            </w:tcBorders>
            <w:shd w:val="clear" w:color="000000" w:fill="7F7F7F"/>
            <w:vAlign w:val="center"/>
            <w:hideMark/>
          </w:tcPr>
          <w:p w:rsidR="00550FCE" w:rsidRPr="00550FCE" w:rsidRDefault="00550FCE" w:rsidP="00550FCE">
            <w:pPr>
              <w:jc w:val="right"/>
              <w:rPr>
                <w:rFonts w:cs="Arial"/>
                <w:b/>
                <w:bCs/>
                <w:color w:val="FFFFFF"/>
                <w:szCs w:val="18"/>
                <w:lang w:eastAsia="en-AU"/>
              </w:rPr>
            </w:pPr>
            <w:r w:rsidRPr="00550FCE">
              <w:rPr>
                <w:rFonts w:cs="Arial"/>
                <w:b/>
                <w:bCs/>
                <w:color w:val="FFFFFF"/>
                <w:szCs w:val="18"/>
                <w:lang w:eastAsia="en-AU"/>
              </w:rPr>
              <w:t>% change 2013 to 2015</w:t>
            </w:r>
          </w:p>
        </w:tc>
        <w:tc>
          <w:tcPr>
            <w:tcW w:w="1134" w:type="dxa"/>
            <w:tcBorders>
              <w:top w:val="nil"/>
              <w:left w:val="nil"/>
              <w:bottom w:val="nil"/>
              <w:right w:val="nil"/>
            </w:tcBorders>
            <w:shd w:val="clear" w:color="000000" w:fill="7F7F7F"/>
            <w:vAlign w:val="center"/>
            <w:hideMark/>
          </w:tcPr>
          <w:p w:rsidR="00550FCE" w:rsidRPr="00550FCE" w:rsidRDefault="00550FCE" w:rsidP="00550FCE">
            <w:pPr>
              <w:jc w:val="right"/>
              <w:rPr>
                <w:rFonts w:cs="Arial"/>
                <w:b/>
                <w:bCs/>
                <w:color w:val="FFFFFF"/>
                <w:szCs w:val="18"/>
                <w:lang w:eastAsia="en-AU"/>
              </w:rPr>
            </w:pPr>
            <w:r w:rsidRPr="00550FCE">
              <w:rPr>
                <w:rFonts w:cs="Arial"/>
                <w:b/>
                <w:bCs/>
                <w:color w:val="FFFFFF"/>
                <w:szCs w:val="18"/>
                <w:lang w:eastAsia="en-AU"/>
              </w:rPr>
              <w:t>% change 2014 to 2015</w:t>
            </w:r>
          </w:p>
        </w:tc>
      </w:tr>
      <w:tr w:rsidR="00550FCE" w:rsidRPr="00550FCE" w:rsidTr="00550FCE">
        <w:trPr>
          <w:trHeight w:val="480"/>
        </w:trPr>
        <w:tc>
          <w:tcPr>
            <w:tcW w:w="2425" w:type="dxa"/>
            <w:tcBorders>
              <w:top w:val="nil"/>
              <w:left w:val="nil"/>
              <w:bottom w:val="nil"/>
              <w:right w:val="nil"/>
            </w:tcBorders>
            <w:shd w:val="clear" w:color="auto" w:fill="auto"/>
            <w:vAlign w:val="center"/>
            <w:hideMark/>
          </w:tcPr>
          <w:p w:rsidR="00550FCE" w:rsidRPr="00550FCE" w:rsidRDefault="00550FCE" w:rsidP="00550FCE">
            <w:pPr>
              <w:rPr>
                <w:rFonts w:cs="Arial"/>
                <w:color w:val="7F7F7F"/>
                <w:szCs w:val="18"/>
                <w:lang w:eastAsia="en-AU"/>
              </w:rPr>
            </w:pPr>
            <w:r w:rsidRPr="00550FCE">
              <w:rPr>
                <w:rFonts w:cs="Arial"/>
                <w:color w:val="7F7F7F"/>
                <w:szCs w:val="18"/>
                <w:lang w:eastAsia="en-AU"/>
              </w:rPr>
              <w:t>Accommodation and Food Services</w:t>
            </w:r>
          </w:p>
        </w:tc>
        <w:tc>
          <w:tcPr>
            <w:tcW w:w="1134" w:type="dxa"/>
            <w:tcBorders>
              <w:top w:val="nil"/>
              <w:left w:val="nil"/>
              <w:bottom w:val="nil"/>
              <w:right w:val="nil"/>
            </w:tcBorders>
            <w:shd w:val="clear" w:color="auto" w:fill="auto"/>
            <w:noWrap/>
            <w:vAlign w:val="center"/>
            <w:hideMark/>
          </w:tcPr>
          <w:p w:rsidR="00550FCE" w:rsidRPr="00550FCE" w:rsidRDefault="00550FCE" w:rsidP="00550FCE">
            <w:pPr>
              <w:jc w:val="right"/>
              <w:rPr>
                <w:rFonts w:cs="Arial"/>
                <w:color w:val="7F7F7F"/>
                <w:szCs w:val="18"/>
                <w:lang w:eastAsia="en-AU"/>
              </w:rPr>
            </w:pPr>
            <w:r w:rsidRPr="00550FCE">
              <w:rPr>
                <w:rFonts w:cs="Arial"/>
                <w:color w:val="7F7F7F"/>
                <w:szCs w:val="18"/>
                <w:lang w:eastAsia="en-AU"/>
              </w:rPr>
              <w:t>-65%</w:t>
            </w:r>
          </w:p>
        </w:tc>
        <w:tc>
          <w:tcPr>
            <w:tcW w:w="1134" w:type="dxa"/>
            <w:tcBorders>
              <w:top w:val="nil"/>
              <w:left w:val="nil"/>
              <w:bottom w:val="nil"/>
              <w:right w:val="nil"/>
            </w:tcBorders>
            <w:shd w:val="clear" w:color="auto" w:fill="auto"/>
            <w:noWrap/>
            <w:vAlign w:val="center"/>
            <w:hideMark/>
          </w:tcPr>
          <w:p w:rsidR="00550FCE" w:rsidRPr="00550FCE" w:rsidRDefault="00550FCE" w:rsidP="00550FCE">
            <w:pPr>
              <w:jc w:val="right"/>
              <w:rPr>
                <w:rFonts w:cs="Arial"/>
                <w:color w:val="7F7F7F"/>
                <w:szCs w:val="18"/>
                <w:lang w:eastAsia="en-AU"/>
              </w:rPr>
            </w:pPr>
            <w:r w:rsidRPr="00550FCE">
              <w:rPr>
                <w:rFonts w:cs="Arial"/>
                <w:color w:val="7F7F7F"/>
                <w:szCs w:val="18"/>
                <w:lang w:eastAsia="en-AU"/>
              </w:rPr>
              <w:t>-68%</w:t>
            </w:r>
          </w:p>
        </w:tc>
        <w:tc>
          <w:tcPr>
            <w:tcW w:w="1134" w:type="dxa"/>
            <w:tcBorders>
              <w:top w:val="nil"/>
              <w:left w:val="nil"/>
              <w:bottom w:val="nil"/>
              <w:right w:val="nil"/>
            </w:tcBorders>
            <w:shd w:val="clear" w:color="auto" w:fill="auto"/>
            <w:noWrap/>
            <w:vAlign w:val="center"/>
            <w:hideMark/>
          </w:tcPr>
          <w:p w:rsidR="00550FCE" w:rsidRPr="00550FCE" w:rsidRDefault="00550FCE" w:rsidP="00550FCE">
            <w:pPr>
              <w:jc w:val="right"/>
              <w:rPr>
                <w:rFonts w:cs="Arial"/>
                <w:color w:val="7F7F7F"/>
                <w:szCs w:val="18"/>
                <w:lang w:eastAsia="en-AU"/>
              </w:rPr>
            </w:pPr>
            <w:r w:rsidRPr="00550FCE">
              <w:rPr>
                <w:rFonts w:cs="Arial"/>
                <w:color w:val="7F7F7F"/>
                <w:szCs w:val="18"/>
                <w:lang w:eastAsia="en-AU"/>
              </w:rPr>
              <w:t>-75%</w:t>
            </w:r>
          </w:p>
        </w:tc>
        <w:tc>
          <w:tcPr>
            <w:tcW w:w="1134" w:type="dxa"/>
            <w:tcBorders>
              <w:top w:val="nil"/>
              <w:left w:val="nil"/>
              <w:bottom w:val="nil"/>
              <w:right w:val="nil"/>
            </w:tcBorders>
            <w:shd w:val="clear" w:color="auto" w:fill="auto"/>
            <w:noWrap/>
            <w:vAlign w:val="center"/>
            <w:hideMark/>
          </w:tcPr>
          <w:p w:rsidR="00550FCE" w:rsidRPr="00550FCE" w:rsidRDefault="00550FCE" w:rsidP="00550FCE">
            <w:pPr>
              <w:jc w:val="right"/>
              <w:rPr>
                <w:rFonts w:cs="Arial"/>
                <w:color w:val="7F7F7F"/>
                <w:szCs w:val="18"/>
                <w:lang w:eastAsia="en-AU"/>
              </w:rPr>
            </w:pPr>
            <w:r w:rsidRPr="00550FCE">
              <w:rPr>
                <w:rFonts w:cs="Arial"/>
                <w:color w:val="7F7F7F"/>
                <w:szCs w:val="18"/>
                <w:lang w:eastAsia="en-AU"/>
              </w:rPr>
              <w:t>-47%</w:t>
            </w:r>
          </w:p>
        </w:tc>
        <w:tc>
          <w:tcPr>
            <w:tcW w:w="1134" w:type="dxa"/>
            <w:tcBorders>
              <w:top w:val="nil"/>
              <w:left w:val="nil"/>
              <w:bottom w:val="nil"/>
              <w:right w:val="nil"/>
            </w:tcBorders>
            <w:shd w:val="clear" w:color="auto" w:fill="auto"/>
            <w:noWrap/>
            <w:vAlign w:val="center"/>
            <w:hideMark/>
          </w:tcPr>
          <w:p w:rsidR="00550FCE" w:rsidRPr="00550FCE" w:rsidRDefault="00550FCE" w:rsidP="00550FCE">
            <w:pPr>
              <w:jc w:val="right"/>
              <w:rPr>
                <w:rFonts w:cs="Arial"/>
                <w:color w:val="7F7F7F"/>
                <w:szCs w:val="18"/>
                <w:lang w:eastAsia="en-AU"/>
              </w:rPr>
            </w:pPr>
            <w:r w:rsidRPr="00550FCE">
              <w:rPr>
                <w:rFonts w:cs="Arial"/>
                <w:color w:val="7F7F7F"/>
                <w:szCs w:val="18"/>
                <w:lang w:eastAsia="en-AU"/>
              </w:rPr>
              <w:t>-34%</w:t>
            </w:r>
          </w:p>
        </w:tc>
      </w:tr>
      <w:tr w:rsidR="00550FCE" w:rsidRPr="00550FCE" w:rsidTr="00550FCE">
        <w:trPr>
          <w:trHeight w:val="480"/>
        </w:trPr>
        <w:tc>
          <w:tcPr>
            <w:tcW w:w="2425" w:type="dxa"/>
            <w:tcBorders>
              <w:top w:val="nil"/>
              <w:left w:val="nil"/>
              <w:bottom w:val="nil"/>
              <w:right w:val="nil"/>
            </w:tcBorders>
            <w:shd w:val="clear" w:color="auto" w:fill="auto"/>
            <w:vAlign w:val="center"/>
            <w:hideMark/>
          </w:tcPr>
          <w:p w:rsidR="00550FCE" w:rsidRPr="00550FCE" w:rsidRDefault="00550FCE" w:rsidP="00550FCE">
            <w:pPr>
              <w:rPr>
                <w:rFonts w:cs="Arial"/>
                <w:color w:val="7F7F7F"/>
                <w:szCs w:val="18"/>
                <w:lang w:eastAsia="en-AU"/>
              </w:rPr>
            </w:pPr>
            <w:r w:rsidRPr="00550FCE">
              <w:rPr>
                <w:rFonts w:cs="Arial"/>
                <w:color w:val="7F7F7F"/>
                <w:szCs w:val="18"/>
                <w:lang w:eastAsia="en-AU"/>
              </w:rPr>
              <w:t>Administrative and Support Services</w:t>
            </w:r>
          </w:p>
        </w:tc>
        <w:tc>
          <w:tcPr>
            <w:tcW w:w="1134" w:type="dxa"/>
            <w:tcBorders>
              <w:top w:val="nil"/>
              <w:left w:val="nil"/>
              <w:bottom w:val="nil"/>
              <w:right w:val="nil"/>
            </w:tcBorders>
            <w:shd w:val="clear" w:color="auto" w:fill="auto"/>
            <w:noWrap/>
            <w:vAlign w:val="center"/>
            <w:hideMark/>
          </w:tcPr>
          <w:p w:rsidR="00550FCE" w:rsidRPr="00550FCE" w:rsidRDefault="00550FCE" w:rsidP="00550FCE">
            <w:pPr>
              <w:jc w:val="right"/>
              <w:rPr>
                <w:rFonts w:cs="Arial"/>
                <w:color w:val="7F7F7F"/>
                <w:szCs w:val="18"/>
                <w:lang w:eastAsia="en-AU"/>
              </w:rPr>
            </w:pPr>
            <w:r w:rsidRPr="00550FCE">
              <w:rPr>
                <w:rFonts w:cs="Arial"/>
                <w:color w:val="7F7F7F"/>
                <w:szCs w:val="18"/>
                <w:lang w:eastAsia="en-AU"/>
              </w:rPr>
              <w:t>-63%</w:t>
            </w:r>
          </w:p>
        </w:tc>
        <w:tc>
          <w:tcPr>
            <w:tcW w:w="1134" w:type="dxa"/>
            <w:tcBorders>
              <w:top w:val="nil"/>
              <w:left w:val="nil"/>
              <w:bottom w:val="nil"/>
              <w:right w:val="nil"/>
            </w:tcBorders>
            <w:shd w:val="clear" w:color="auto" w:fill="auto"/>
            <w:noWrap/>
            <w:vAlign w:val="center"/>
            <w:hideMark/>
          </w:tcPr>
          <w:p w:rsidR="00550FCE" w:rsidRPr="00550FCE" w:rsidRDefault="00550FCE" w:rsidP="00550FCE">
            <w:pPr>
              <w:jc w:val="right"/>
              <w:rPr>
                <w:rFonts w:cs="Arial"/>
                <w:color w:val="7F7F7F"/>
                <w:szCs w:val="18"/>
                <w:lang w:eastAsia="en-AU"/>
              </w:rPr>
            </w:pPr>
            <w:r w:rsidRPr="00550FCE">
              <w:rPr>
                <w:rFonts w:cs="Arial"/>
                <w:color w:val="7F7F7F"/>
                <w:szCs w:val="18"/>
                <w:lang w:eastAsia="en-AU"/>
              </w:rPr>
              <w:t>-73%</w:t>
            </w:r>
          </w:p>
        </w:tc>
        <w:tc>
          <w:tcPr>
            <w:tcW w:w="1134" w:type="dxa"/>
            <w:tcBorders>
              <w:top w:val="nil"/>
              <w:left w:val="nil"/>
              <w:bottom w:val="nil"/>
              <w:right w:val="nil"/>
            </w:tcBorders>
            <w:shd w:val="clear" w:color="auto" w:fill="auto"/>
            <w:noWrap/>
            <w:vAlign w:val="center"/>
            <w:hideMark/>
          </w:tcPr>
          <w:p w:rsidR="00550FCE" w:rsidRPr="00550FCE" w:rsidRDefault="00550FCE" w:rsidP="00550FCE">
            <w:pPr>
              <w:jc w:val="right"/>
              <w:rPr>
                <w:rFonts w:cs="Arial"/>
                <w:color w:val="7F7F7F"/>
                <w:szCs w:val="18"/>
                <w:lang w:eastAsia="en-AU"/>
              </w:rPr>
            </w:pPr>
            <w:r w:rsidRPr="00550FCE">
              <w:rPr>
                <w:rFonts w:cs="Arial"/>
                <w:color w:val="7F7F7F"/>
                <w:szCs w:val="18"/>
                <w:lang w:eastAsia="en-AU"/>
              </w:rPr>
              <w:t>-76%</w:t>
            </w:r>
          </w:p>
        </w:tc>
        <w:tc>
          <w:tcPr>
            <w:tcW w:w="1134" w:type="dxa"/>
            <w:tcBorders>
              <w:top w:val="nil"/>
              <w:left w:val="nil"/>
              <w:bottom w:val="nil"/>
              <w:right w:val="nil"/>
            </w:tcBorders>
            <w:shd w:val="clear" w:color="auto" w:fill="auto"/>
            <w:noWrap/>
            <w:vAlign w:val="center"/>
            <w:hideMark/>
          </w:tcPr>
          <w:p w:rsidR="00550FCE" w:rsidRPr="00550FCE" w:rsidRDefault="00550FCE" w:rsidP="00550FCE">
            <w:pPr>
              <w:jc w:val="right"/>
              <w:rPr>
                <w:rFonts w:cs="Arial"/>
                <w:color w:val="7F7F7F"/>
                <w:szCs w:val="18"/>
                <w:lang w:eastAsia="en-AU"/>
              </w:rPr>
            </w:pPr>
            <w:r w:rsidRPr="00550FCE">
              <w:rPr>
                <w:rFonts w:cs="Arial"/>
                <w:color w:val="7F7F7F"/>
                <w:szCs w:val="18"/>
                <w:lang w:eastAsia="en-AU"/>
              </w:rPr>
              <w:t>-58%</w:t>
            </w:r>
          </w:p>
        </w:tc>
        <w:tc>
          <w:tcPr>
            <w:tcW w:w="1134" w:type="dxa"/>
            <w:tcBorders>
              <w:top w:val="nil"/>
              <w:left w:val="nil"/>
              <w:bottom w:val="nil"/>
              <w:right w:val="nil"/>
            </w:tcBorders>
            <w:shd w:val="clear" w:color="auto" w:fill="auto"/>
            <w:noWrap/>
            <w:vAlign w:val="center"/>
            <w:hideMark/>
          </w:tcPr>
          <w:p w:rsidR="00550FCE" w:rsidRPr="00550FCE" w:rsidRDefault="00550FCE" w:rsidP="00550FCE">
            <w:pPr>
              <w:jc w:val="right"/>
              <w:rPr>
                <w:rFonts w:cs="Arial"/>
                <w:color w:val="7F7F7F"/>
                <w:szCs w:val="18"/>
                <w:lang w:eastAsia="en-AU"/>
              </w:rPr>
            </w:pPr>
            <w:r w:rsidRPr="00550FCE">
              <w:rPr>
                <w:rFonts w:cs="Arial"/>
                <w:color w:val="7F7F7F"/>
                <w:szCs w:val="18"/>
                <w:lang w:eastAsia="en-AU"/>
              </w:rPr>
              <w:t>-39%</w:t>
            </w:r>
          </w:p>
        </w:tc>
      </w:tr>
      <w:tr w:rsidR="00550FCE" w:rsidRPr="00550FCE" w:rsidTr="00550FCE">
        <w:trPr>
          <w:trHeight w:val="480"/>
        </w:trPr>
        <w:tc>
          <w:tcPr>
            <w:tcW w:w="2425" w:type="dxa"/>
            <w:tcBorders>
              <w:top w:val="nil"/>
              <w:left w:val="nil"/>
              <w:bottom w:val="nil"/>
              <w:right w:val="nil"/>
            </w:tcBorders>
            <w:shd w:val="clear" w:color="auto" w:fill="auto"/>
            <w:vAlign w:val="center"/>
            <w:hideMark/>
          </w:tcPr>
          <w:p w:rsidR="00550FCE" w:rsidRPr="00550FCE" w:rsidRDefault="00550FCE" w:rsidP="00550FCE">
            <w:pPr>
              <w:rPr>
                <w:rFonts w:cs="Arial"/>
                <w:color w:val="7F7F7F"/>
                <w:szCs w:val="18"/>
                <w:lang w:eastAsia="en-AU"/>
              </w:rPr>
            </w:pPr>
            <w:r w:rsidRPr="00550FCE">
              <w:rPr>
                <w:rFonts w:cs="Arial"/>
                <w:color w:val="7F7F7F"/>
                <w:szCs w:val="18"/>
                <w:lang w:eastAsia="en-AU"/>
              </w:rPr>
              <w:t>Agriculture, Forestry and Fishing</w:t>
            </w:r>
          </w:p>
        </w:tc>
        <w:tc>
          <w:tcPr>
            <w:tcW w:w="1134" w:type="dxa"/>
            <w:tcBorders>
              <w:top w:val="nil"/>
              <w:left w:val="nil"/>
              <w:bottom w:val="nil"/>
              <w:right w:val="nil"/>
            </w:tcBorders>
            <w:shd w:val="clear" w:color="auto" w:fill="auto"/>
            <w:noWrap/>
            <w:vAlign w:val="center"/>
            <w:hideMark/>
          </w:tcPr>
          <w:p w:rsidR="00550FCE" w:rsidRPr="00550FCE" w:rsidRDefault="00550FCE" w:rsidP="00550FCE">
            <w:pPr>
              <w:jc w:val="right"/>
              <w:rPr>
                <w:rFonts w:cs="Arial"/>
                <w:color w:val="7F7F7F"/>
                <w:szCs w:val="18"/>
                <w:lang w:eastAsia="en-AU"/>
              </w:rPr>
            </w:pPr>
            <w:r w:rsidRPr="00550FCE">
              <w:rPr>
                <w:rFonts w:cs="Arial"/>
                <w:color w:val="7F7F7F"/>
                <w:szCs w:val="18"/>
                <w:lang w:eastAsia="en-AU"/>
              </w:rPr>
              <w:t>49%</w:t>
            </w:r>
          </w:p>
        </w:tc>
        <w:tc>
          <w:tcPr>
            <w:tcW w:w="1134" w:type="dxa"/>
            <w:tcBorders>
              <w:top w:val="nil"/>
              <w:left w:val="nil"/>
              <w:bottom w:val="nil"/>
              <w:right w:val="nil"/>
            </w:tcBorders>
            <w:shd w:val="clear" w:color="auto" w:fill="auto"/>
            <w:noWrap/>
            <w:vAlign w:val="center"/>
            <w:hideMark/>
          </w:tcPr>
          <w:p w:rsidR="00550FCE" w:rsidRPr="00550FCE" w:rsidRDefault="00550FCE" w:rsidP="00550FCE">
            <w:pPr>
              <w:jc w:val="right"/>
              <w:rPr>
                <w:rFonts w:cs="Arial"/>
                <w:color w:val="7F7F7F"/>
                <w:szCs w:val="18"/>
                <w:lang w:eastAsia="en-AU"/>
              </w:rPr>
            </w:pPr>
            <w:r w:rsidRPr="00550FCE">
              <w:rPr>
                <w:rFonts w:cs="Arial"/>
                <w:color w:val="7F7F7F"/>
                <w:szCs w:val="18"/>
                <w:lang w:eastAsia="en-AU"/>
              </w:rPr>
              <w:t>17%</w:t>
            </w:r>
          </w:p>
        </w:tc>
        <w:tc>
          <w:tcPr>
            <w:tcW w:w="1134" w:type="dxa"/>
            <w:tcBorders>
              <w:top w:val="nil"/>
              <w:left w:val="nil"/>
              <w:bottom w:val="nil"/>
              <w:right w:val="nil"/>
            </w:tcBorders>
            <w:shd w:val="clear" w:color="auto" w:fill="auto"/>
            <w:noWrap/>
            <w:vAlign w:val="center"/>
            <w:hideMark/>
          </w:tcPr>
          <w:p w:rsidR="00550FCE" w:rsidRPr="00550FCE" w:rsidRDefault="00550FCE" w:rsidP="00550FCE">
            <w:pPr>
              <w:jc w:val="right"/>
              <w:rPr>
                <w:rFonts w:cs="Arial"/>
                <w:color w:val="7F7F7F"/>
                <w:szCs w:val="18"/>
                <w:lang w:eastAsia="en-AU"/>
              </w:rPr>
            </w:pPr>
            <w:r w:rsidRPr="00550FCE">
              <w:rPr>
                <w:rFonts w:cs="Arial"/>
                <w:color w:val="7F7F7F"/>
                <w:szCs w:val="18"/>
                <w:lang w:eastAsia="en-AU"/>
              </w:rPr>
              <w:t>-21%</w:t>
            </w:r>
          </w:p>
        </w:tc>
        <w:tc>
          <w:tcPr>
            <w:tcW w:w="1134" w:type="dxa"/>
            <w:tcBorders>
              <w:top w:val="nil"/>
              <w:left w:val="nil"/>
              <w:bottom w:val="nil"/>
              <w:right w:val="nil"/>
            </w:tcBorders>
            <w:shd w:val="clear" w:color="auto" w:fill="auto"/>
            <w:noWrap/>
            <w:vAlign w:val="center"/>
            <w:hideMark/>
          </w:tcPr>
          <w:p w:rsidR="00550FCE" w:rsidRPr="00550FCE" w:rsidRDefault="00550FCE" w:rsidP="00550FCE">
            <w:pPr>
              <w:jc w:val="right"/>
              <w:rPr>
                <w:rFonts w:cs="Arial"/>
                <w:color w:val="7F7F7F"/>
                <w:szCs w:val="18"/>
                <w:lang w:eastAsia="en-AU"/>
              </w:rPr>
            </w:pPr>
            <w:r w:rsidRPr="00550FCE">
              <w:rPr>
                <w:rFonts w:cs="Arial"/>
                <w:color w:val="7F7F7F"/>
                <w:szCs w:val="18"/>
                <w:lang w:eastAsia="en-AU"/>
              </w:rPr>
              <w:t>-22%</w:t>
            </w:r>
          </w:p>
        </w:tc>
        <w:tc>
          <w:tcPr>
            <w:tcW w:w="1134" w:type="dxa"/>
            <w:tcBorders>
              <w:top w:val="nil"/>
              <w:left w:val="nil"/>
              <w:bottom w:val="nil"/>
              <w:right w:val="nil"/>
            </w:tcBorders>
            <w:shd w:val="clear" w:color="auto" w:fill="auto"/>
            <w:noWrap/>
            <w:vAlign w:val="center"/>
            <w:hideMark/>
          </w:tcPr>
          <w:p w:rsidR="00550FCE" w:rsidRPr="00550FCE" w:rsidRDefault="00550FCE" w:rsidP="00550FCE">
            <w:pPr>
              <w:jc w:val="right"/>
              <w:rPr>
                <w:rFonts w:cs="Arial"/>
                <w:color w:val="7F7F7F"/>
                <w:szCs w:val="18"/>
                <w:lang w:eastAsia="en-AU"/>
              </w:rPr>
            </w:pPr>
            <w:r w:rsidRPr="00550FCE">
              <w:rPr>
                <w:rFonts w:cs="Arial"/>
                <w:color w:val="7F7F7F"/>
                <w:szCs w:val="18"/>
                <w:lang w:eastAsia="en-AU"/>
              </w:rPr>
              <w:t>-41%</w:t>
            </w:r>
          </w:p>
        </w:tc>
      </w:tr>
      <w:tr w:rsidR="00550FCE" w:rsidRPr="00550FCE" w:rsidTr="00550FCE">
        <w:trPr>
          <w:trHeight w:val="300"/>
        </w:trPr>
        <w:tc>
          <w:tcPr>
            <w:tcW w:w="2425" w:type="dxa"/>
            <w:tcBorders>
              <w:top w:val="nil"/>
              <w:left w:val="nil"/>
              <w:bottom w:val="nil"/>
              <w:right w:val="nil"/>
            </w:tcBorders>
            <w:shd w:val="clear" w:color="auto" w:fill="auto"/>
            <w:vAlign w:val="center"/>
            <w:hideMark/>
          </w:tcPr>
          <w:p w:rsidR="00550FCE" w:rsidRPr="00550FCE" w:rsidRDefault="00550FCE" w:rsidP="00550FCE">
            <w:pPr>
              <w:rPr>
                <w:rFonts w:cs="Arial"/>
                <w:color w:val="7F7F7F"/>
                <w:szCs w:val="18"/>
                <w:lang w:eastAsia="en-AU"/>
              </w:rPr>
            </w:pPr>
            <w:r w:rsidRPr="00550FCE">
              <w:rPr>
                <w:rFonts w:cs="Arial"/>
                <w:color w:val="7F7F7F"/>
                <w:szCs w:val="18"/>
                <w:lang w:eastAsia="en-AU"/>
              </w:rPr>
              <w:t>Arts and Recreation Services</w:t>
            </w:r>
          </w:p>
        </w:tc>
        <w:tc>
          <w:tcPr>
            <w:tcW w:w="1134" w:type="dxa"/>
            <w:tcBorders>
              <w:top w:val="nil"/>
              <w:left w:val="nil"/>
              <w:bottom w:val="nil"/>
              <w:right w:val="nil"/>
            </w:tcBorders>
            <w:shd w:val="clear" w:color="auto" w:fill="auto"/>
            <w:noWrap/>
            <w:vAlign w:val="center"/>
            <w:hideMark/>
          </w:tcPr>
          <w:p w:rsidR="00550FCE" w:rsidRPr="00550FCE" w:rsidRDefault="00550FCE" w:rsidP="00550FCE">
            <w:pPr>
              <w:jc w:val="right"/>
              <w:rPr>
                <w:rFonts w:cs="Arial"/>
                <w:color w:val="7F7F7F"/>
                <w:szCs w:val="18"/>
                <w:lang w:eastAsia="en-AU"/>
              </w:rPr>
            </w:pPr>
            <w:r w:rsidRPr="00550FCE">
              <w:rPr>
                <w:rFonts w:cs="Arial"/>
                <w:color w:val="7F7F7F"/>
                <w:szCs w:val="18"/>
                <w:lang w:eastAsia="en-AU"/>
              </w:rPr>
              <w:t>-16%</w:t>
            </w:r>
          </w:p>
        </w:tc>
        <w:tc>
          <w:tcPr>
            <w:tcW w:w="1134" w:type="dxa"/>
            <w:tcBorders>
              <w:top w:val="nil"/>
              <w:left w:val="nil"/>
              <w:bottom w:val="nil"/>
              <w:right w:val="nil"/>
            </w:tcBorders>
            <w:shd w:val="clear" w:color="auto" w:fill="auto"/>
            <w:noWrap/>
            <w:vAlign w:val="center"/>
            <w:hideMark/>
          </w:tcPr>
          <w:p w:rsidR="00550FCE" w:rsidRPr="00550FCE" w:rsidRDefault="00550FCE" w:rsidP="00550FCE">
            <w:pPr>
              <w:jc w:val="right"/>
              <w:rPr>
                <w:rFonts w:cs="Arial"/>
                <w:color w:val="7F7F7F"/>
                <w:szCs w:val="18"/>
                <w:lang w:eastAsia="en-AU"/>
              </w:rPr>
            </w:pPr>
            <w:r w:rsidRPr="00550FCE">
              <w:rPr>
                <w:rFonts w:cs="Arial"/>
                <w:color w:val="7F7F7F"/>
                <w:szCs w:val="18"/>
                <w:lang w:eastAsia="en-AU"/>
              </w:rPr>
              <w:t>-30%</w:t>
            </w:r>
          </w:p>
        </w:tc>
        <w:tc>
          <w:tcPr>
            <w:tcW w:w="1134" w:type="dxa"/>
            <w:tcBorders>
              <w:top w:val="nil"/>
              <w:left w:val="nil"/>
              <w:bottom w:val="nil"/>
              <w:right w:val="nil"/>
            </w:tcBorders>
            <w:shd w:val="clear" w:color="auto" w:fill="auto"/>
            <w:noWrap/>
            <w:vAlign w:val="center"/>
            <w:hideMark/>
          </w:tcPr>
          <w:p w:rsidR="00550FCE" w:rsidRPr="00550FCE" w:rsidRDefault="00550FCE" w:rsidP="00550FCE">
            <w:pPr>
              <w:jc w:val="right"/>
              <w:rPr>
                <w:rFonts w:cs="Arial"/>
                <w:color w:val="7F7F7F"/>
                <w:szCs w:val="18"/>
                <w:lang w:eastAsia="en-AU"/>
              </w:rPr>
            </w:pPr>
            <w:r w:rsidRPr="00550FCE">
              <w:rPr>
                <w:rFonts w:cs="Arial"/>
                <w:color w:val="7F7F7F"/>
                <w:szCs w:val="18"/>
                <w:lang w:eastAsia="en-AU"/>
              </w:rPr>
              <w:t>-39%</w:t>
            </w:r>
          </w:p>
        </w:tc>
        <w:tc>
          <w:tcPr>
            <w:tcW w:w="1134" w:type="dxa"/>
            <w:tcBorders>
              <w:top w:val="nil"/>
              <w:left w:val="nil"/>
              <w:bottom w:val="nil"/>
              <w:right w:val="nil"/>
            </w:tcBorders>
            <w:shd w:val="clear" w:color="auto" w:fill="auto"/>
            <w:noWrap/>
            <w:vAlign w:val="center"/>
            <w:hideMark/>
          </w:tcPr>
          <w:p w:rsidR="00550FCE" w:rsidRPr="00550FCE" w:rsidRDefault="00550FCE" w:rsidP="00550FCE">
            <w:pPr>
              <w:jc w:val="right"/>
              <w:rPr>
                <w:rFonts w:cs="Arial"/>
                <w:color w:val="7F7F7F"/>
                <w:szCs w:val="18"/>
                <w:lang w:eastAsia="en-AU"/>
              </w:rPr>
            </w:pPr>
            <w:r w:rsidRPr="00550FCE">
              <w:rPr>
                <w:rFonts w:cs="Arial"/>
                <w:color w:val="7F7F7F"/>
                <w:szCs w:val="18"/>
                <w:lang w:eastAsia="en-AU"/>
              </w:rPr>
              <w:t>63%</w:t>
            </w:r>
          </w:p>
        </w:tc>
        <w:tc>
          <w:tcPr>
            <w:tcW w:w="1134" w:type="dxa"/>
            <w:tcBorders>
              <w:top w:val="nil"/>
              <w:left w:val="nil"/>
              <w:bottom w:val="nil"/>
              <w:right w:val="nil"/>
            </w:tcBorders>
            <w:shd w:val="clear" w:color="auto" w:fill="auto"/>
            <w:noWrap/>
            <w:vAlign w:val="center"/>
            <w:hideMark/>
          </w:tcPr>
          <w:p w:rsidR="00550FCE" w:rsidRPr="00550FCE" w:rsidRDefault="00550FCE" w:rsidP="00550FCE">
            <w:pPr>
              <w:jc w:val="right"/>
              <w:rPr>
                <w:rFonts w:cs="Arial"/>
                <w:color w:val="7F7F7F"/>
                <w:szCs w:val="18"/>
                <w:lang w:eastAsia="en-AU"/>
              </w:rPr>
            </w:pPr>
            <w:r w:rsidRPr="00550FCE">
              <w:rPr>
                <w:rFonts w:cs="Arial"/>
                <w:color w:val="7F7F7F"/>
                <w:szCs w:val="18"/>
                <w:lang w:eastAsia="en-AU"/>
              </w:rPr>
              <w:t>-3%</w:t>
            </w:r>
          </w:p>
        </w:tc>
      </w:tr>
      <w:tr w:rsidR="00550FCE" w:rsidRPr="00550FCE" w:rsidTr="00550FCE">
        <w:trPr>
          <w:trHeight w:val="300"/>
        </w:trPr>
        <w:tc>
          <w:tcPr>
            <w:tcW w:w="2425" w:type="dxa"/>
            <w:tcBorders>
              <w:top w:val="nil"/>
              <w:left w:val="nil"/>
              <w:bottom w:val="nil"/>
              <w:right w:val="nil"/>
            </w:tcBorders>
            <w:shd w:val="clear" w:color="auto" w:fill="auto"/>
            <w:vAlign w:val="center"/>
            <w:hideMark/>
          </w:tcPr>
          <w:p w:rsidR="00550FCE" w:rsidRPr="00550FCE" w:rsidRDefault="00550FCE" w:rsidP="00550FCE">
            <w:pPr>
              <w:rPr>
                <w:rFonts w:cs="Arial"/>
                <w:color w:val="7F7F7F"/>
                <w:szCs w:val="18"/>
                <w:lang w:eastAsia="en-AU"/>
              </w:rPr>
            </w:pPr>
            <w:r w:rsidRPr="00550FCE">
              <w:rPr>
                <w:rFonts w:cs="Arial"/>
                <w:color w:val="7F7F7F"/>
                <w:szCs w:val="18"/>
                <w:lang w:eastAsia="en-AU"/>
              </w:rPr>
              <w:t>Construction</w:t>
            </w:r>
          </w:p>
        </w:tc>
        <w:tc>
          <w:tcPr>
            <w:tcW w:w="1134" w:type="dxa"/>
            <w:tcBorders>
              <w:top w:val="nil"/>
              <w:left w:val="nil"/>
              <w:bottom w:val="nil"/>
              <w:right w:val="nil"/>
            </w:tcBorders>
            <w:shd w:val="clear" w:color="auto" w:fill="auto"/>
            <w:noWrap/>
            <w:vAlign w:val="center"/>
            <w:hideMark/>
          </w:tcPr>
          <w:p w:rsidR="00550FCE" w:rsidRPr="00550FCE" w:rsidRDefault="00550FCE" w:rsidP="00550FCE">
            <w:pPr>
              <w:jc w:val="right"/>
              <w:rPr>
                <w:rFonts w:cs="Arial"/>
                <w:color w:val="7F7F7F"/>
                <w:szCs w:val="18"/>
                <w:lang w:eastAsia="en-AU"/>
              </w:rPr>
            </w:pPr>
            <w:r w:rsidRPr="00550FCE">
              <w:rPr>
                <w:rFonts w:cs="Arial"/>
                <w:color w:val="7F7F7F"/>
                <w:szCs w:val="18"/>
                <w:lang w:eastAsia="en-AU"/>
              </w:rPr>
              <w:t>34%</w:t>
            </w:r>
          </w:p>
        </w:tc>
        <w:tc>
          <w:tcPr>
            <w:tcW w:w="1134" w:type="dxa"/>
            <w:tcBorders>
              <w:top w:val="nil"/>
              <w:left w:val="nil"/>
              <w:bottom w:val="nil"/>
              <w:right w:val="nil"/>
            </w:tcBorders>
            <w:shd w:val="clear" w:color="auto" w:fill="auto"/>
            <w:noWrap/>
            <w:vAlign w:val="center"/>
            <w:hideMark/>
          </w:tcPr>
          <w:p w:rsidR="00550FCE" w:rsidRPr="00550FCE" w:rsidRDefault="00550FCE" w:rsidP="00550FCE">
            <w:pPr>
              <w:jc w:val="right"/>
              <w:rPr>
                <w:rFonts w:cs="Arial"/>
                <w:color w:val="7F7F7F"/>
                <w:szCs w:val="18"/>
                <w:lang w:eastAsia="en-AU"/>
              </w:rPr>
            </w:pPr>
            <w:r w:rsidRPr="00550FCE">
              <w:rPr>
                <w:rFonts w:cs="Arial"/>
                <w:color w:val="7F7F7F"/>
                <w:szCs w:val="18"/>
                <w:lang w:eastAsia="en-AU"/>
              </w:rPr>
              <w:t>8%</w:t>
            </w:r>
          </w:p>
        </w:tc>
        <w:tc>
          <w:tcPr>
            <w:tcW w:w="1134" w:type="dxa"/>
            <w:tcBorders>
              <w:top w:val="nil"/>
              <w:left w:val="nil"/>
              <w:bottom w:val="nil"/>
              <w:right w:val="nil"/>
            </w:tcBorders>
            <w:shd w:val="clear" w:color="auto" w:fill="auto"/>
            <w:noWrap/>
            <w:vAlign w:val="center"/>
            <w:hideMark/>
          </w:tcPr>
          <w:p w:rsidR="00550FCE" w:rsidRPr="00550FCE" w:rsidRDefault="00550FCE" w:rsidP="00550FCE">
            <w:pPr>
              <w:jc w:val="right"/>
              <w:rPr>
                <w:rFonts w:cs="Arial"/>
                <w:color w:val="7F7F7F"/>
                <w:szCs w:val="18"/>
                <w:lang w:eastAsia="en-AU"/>
              </w:rPr>
            </w:pPr>
            <w:r w:rsidRPr="00550FCE">
              <w:rPr>
                <w:rFonts w:cs="Arial"/>
                <w:color w:val="7F7F7F"/>
                <w:szCs w:val="18"/>
                <w:lang w:eastAsia="en-AU"/>
              </w:rPr>
              <w:t>-48%</w:t>
            </w:r>
          </w:p>
        </w:tc>
        <w:tc>
          <w:tcPr>
            <w:tcW w:w="1134" w:type="dxa"/>
            <w:tcBorders>
              <w:top w:val="nil"/>
              <w:left w:val="nil"/>
              <w:bottom w:val="nil"/>
              <w:right w:val="nil"/>
            </w:tcBorders>
            <w:shd w:val="clear" w:color="auto" w:fill="auto"/>
            <w:noWrap/>
            <w:vAlign w:val="center"/>
            <w:hideMark/>
          </w:tcPr>
          <w:p w:rsidR="00550FCE" w:rsidRPr="00550FCE" w:rsidRDefault="00550FCE" w:rsidP="00550FCE">
            <w:pPr>
              <w:jc w:val="right"/>
              <w:rPr>
                <w:rFonts w:cs="Arial"/>
                <w:color w:val="7F7F7F"/>
                <w:szCs w:val="18"/>
                <w:lang w:eastAsia="en-AU"/>
              </w:rPr>
            </w:pPr>
            <w:r w:rsidRPr="00550FCE">
              <w:rPr>
                <w:rFonts w:cs="Arial"/>
                <w:color w:val="7F7F7F"/>
                <w:szCs w:val="18"/>
                <w:lang w:eastAsia="en-AU"/>
              </w:rPr>
              <w:t>-55%</w:t>
            </w:r>
          </w:p>
        </w:tc>
        <w:tc>
          <w:tcPr>
            <w:tcW w:w="1134" w:type="dxa"/>
            <w:tcBorders>
              <w:top w:val="nil"/>
              <w:left w:val="nil"/>
              <w:bottom w:val="nil"/>
              <w:right w:val="nil"/>
            </w:tcBorders>
            <w:shd w:val="clear" w:color="auto" w:fill="auto"/>
            <w:noWrap/>
            <w:vAlign w:val="center"/>
            <w:hideMark/>
          </w:tcPr>
          <w:p w:rsidR="00550FCE" w:rsidRPr="00550FCE" w:rsidRDefault="00550FCE" w:rsidP="00550FCE">
            <w:pPr>
              <w:jc w:val="right"/>
              <w:rPr>
                <w:rFonts w:cs="Arial"/>
                <w:color w:val="7F7F7F"/>
                <w:szCs w:val="18"/>
                <w:lang w:eastAsia="en-AU"/>
              </w:rPr>
            </w:pPr>
            <w:r w:rsidRPr="00550FCE">
              <w:rPr>
                <w:rFonts w:cs="Arial"/>
                <w:color w:val="7F7F7F"/>
                <w:szCs w:val="18"/>
                <w:lang w:eastAsia="en-AU"/>
              </w:rPr>
              <w:t>-26%</w:t>
            </w:r>
          </w:p>
        </w:tc>
      </w:tr>
      <w:tr w:rsidR="00550FCE" w:rsidRPr="00550FCE" w:rsidTr="00550FCE">
        <w:trPr>
          <w:trHeight w:val="300"/>
        </w:trPr>
        <w:tc>
          <w:tcPr>
            <w:tcW w:w="2425" w:type="dxa"/>
            <w:tcBorders>
              <w:top w:val="nil"/>
              <w:left w:val="nil"/>
              <w:bottom w:val="nil"/>
              <w:right w:val="nil"/>
            </w:tcBorders>
            <w:shd w:val="clear" w:color="auto" w:fill="auto"/>
            <w:vAlign w:val="center"/>
            <w:hideMark/>
          </w:tcPr>
          <w:p w:rsidR="00550FCE" w:rsidRPr="00550FCE" w:rsidRDefault="00550FCE" w:rsidP="00550FCE">
            <w:pPr>
              <w:rPr>
                <w:rFonts w:cs="Arial"/>
                <w:color w:val="7F7F7F"/>
                <w:szCs w:val="18"/>
                <w:lang w:eastAsia="en-AU"/>
              </w:rPr>
            </w:pPr>
            <w:r w:rsidRPr="00550FCE">
              <w:rPr>
                <w:rFonts w:cs="Arial"/>
                <w:color w:val="7F7F7F"/>
                <w:szCs w:val="18"/>
                <w:lang w:eastAsia="en-AU"/>
              </w:rPr>
              <w:t>Cross-industry</w:t>
            </w:r>
          </w:p>
        </w:tc>
        <w:tc>
          <w:tcPr>
            <w:tcW w:w="1134" w:type="dxa"/>
            <w:tcBorders>
              <w:top w:val="nil"/>
              <w:left w:val="nil"/>
              <w:bottom w:val="nil"/>
              <w:right w:val="nil"/>
            </w:tcBorders>
            <w:shd w:val="clear" w:color="auto" w:fill="auto"/>
            <w:noWrap/>
            <w:vAlign w:val="center"/>
            <w:hideMark/>
          </w:tcPr>
          <w:p w:rsidR="00550FCE" w:rsidRPr="00550FCE" w:rsidRDefault="00550FCE" w:rsidP="00550FCE">
            <w:pPr>
              <w:jc w:val="right"/>
              <w:rPr>
                <w:rFonts w:cs="Arial"/>
                <w:color w:val="7F7F7F"/>
                <w:szCs w:val="18"/>
                <w:lang w:eastAsia="en-AU"/>
              </w:rPr>
            </w:pPr>
            <w:r w:rsidRPr="00550FCE">
              <w:rPr>
                <w:rFonts w:cs="Arial"/>
                <w:color w:val="7F7F7F"/>
                <w:szCs w:val="18"/>
                <w:lang w:eastAsia="en-AU"/>
              </w:rPr>
              <w:t>-39%</w:t>
            </w:r>
          </w:p>
        </w:tc>
        <w:tc>
          <w:tcPr>
            <w:tcW w:w="1134" w:type="dxa"/>
            <w:tcBorders>
              <w:top w:val="nil"/>
              <w:left w:val="nil"/>
              <w:bottom w:val="nil"/>
              <w:right w:val="nil"/>
            </w:tcBorders>
            <w:shd w:val="clear" w:color="auto" w:fill="auto"/>
            <w:noWrap/>
            <w:vAlign w:val="center"/>
            <w:hideMark/>
          </w:tcPr>
          <w:p w:rsidR="00550FCE" w:rsidRPr="00550FCE" w:rsidRDefault="00550FCE" w:rsidP="00550FCE">
            <w:pPr>
              <w:jc w:val="right"/>
              <w:rPr>
                <w:rFonts w:cs="Arial"/>
                <w:color w:val="7F7F7F"/>
                <w:szCs w:val="18"/>
                <w:lang w:eastAsia="en-AU"/>
              </w:rPr>
            </w:pPr>
            <w:r w:rsidRPr="00550FCE">
              <w:rPr>
                <w:rFonts w:cs="Arial"/>
                <w:color w:val="7F7F7F"/>
                <w:szCs w:val="18"/>
                <w:lang w:eastAsia="en-AU"/>
              </w:rPr>
              <w:t>-69%</w:t>
            </w:r>
          </w:p>
        </w:tc>
        <w:tc>
          <w:tcPr>
            <w:tcW w:w="1134" w:type="dxa"/>
            <w:tcBorders>
              <w:top w:val="nil"/>
              <w:left w:val="nil"/>
              <w:bottom w:val="nil"/>
              <w:right w:val="nil"/>
            </w:tcBorders>
            <w:shd w:val="clear" w:color="auto" w:fill="auto"/>
            <w:noWrap/>
            <w:vAlign w:val="center"/>
            <w:hideMark/>
          </w:tcPr>
          <w:p w:rsidR="00550FCE" w:rsidRPr="00550FCE" w:rsidRDefault="00550FCE" w:rsidP="00550FCE">
            <w:pPr>
              <w:jc w:val="right"/>
              <w:rPr>
                <w:rFonts w:cs="Arial"/>
                <w:color w:val="7F7F7F"/>
                <w:szCs w:val="18"/>
                <w:lang w:eastAsia="en-AU"/>
              </w:rPr>
            </w:pPr>
            <w:r w:rsidRPr="00550FCE">
              <w:rPr>
                <w:rFonts w:cs="Arial"/>
                <w:color w:val="7F7F7F"/>
                <w:szCs w:val="18"/>
                <w:lang w:eastAsia="en-AU"/>
              </w:rPr>
              <w:t>-82%</w:t>
            </w:r>
          </w:p>
        </w:tc>
        <w:tc>
          <w:tcPr>
            <w:tcW w:w="1134" w:type="dxa"/>
            <w:tcBorders>
              <w:top w:val="nil"/>
              <w:left w:val="nil"/>
              <w:bottom w:val="nil"/>
              <w:right w:val="nil"/>
            </w:tcBorders>
            <w:shd w:val="clear" w:color="auto" w:fill="auto"/>
            <w:noWrap/>
            <w:vAlign w:val="center"/>
            <w:hideMark/>
          </w:tcPr>
          <w:p w:rsidR="00550FCE" w:rsidRPr="00550FCE" w:rsidRDefault="00550FCE" w:rsidP="00550FCE">
            <w:pPr>
              <w:jc w:val="right"/>
              <w:rPr>
                <w:rFonts w:cs="Arial"/>
                <w:color w:val="7F7F7F"/>
                <w:szCs w:val="18"/>
                <w:lang w:eastAsia="en-AU"/>
              </w:rPr>
            </w:pPr>
            <w:r w:rsidRPr="00550FCE">
              <w:rPr>
                <w:rFonts w:cs="Arial"/>
                <w:color w:val="7F7F7F"/>
                <w:szCs w:val="18"/>
                <w:lang w:eastAsia="en-AU"/>
              </w:rPr>
              <w:t>-67%</w:t>
            </w:r>
          </w:p>
        </w:tc>
        <w:tc>
          <w:tcPr>
            <w:tcW w:w="1134" w:type="dxa"/>
            <w:tcBorders>
              <w:top w:val="nil"/>
              <w:left w:val="nil"/>
              <w:bottom w:val="nil"/>
              <w:right w:val="nil"/>
            </w:tcBorders>
            <w:shd w:val="clear" w:color="auto" w:fill="auto"/>
            <w:noWrap/>
            <w:vAlign w:val="center"/>
            <w:hideMark/>
          </w:tcPr>
          <w:p w:rsidR="00550FCE" w:rsidRPr="00550FCE" w:rsidRDefault="00550FCE" w:rsidP="00550FCE">
            <w:pPr>
              <w:jc w:val="right"/>
              <w:rPr>
                <w:rFonts w:cs="Arial"/>
                <w:color w:val="7F7F7F"/>
                <w:szCs w:val="18"/>
                <w:lang w:eastAsia="en-AU"/>
              </w:rPr>
            </w:pPr>
            <w:r w:rsidRPr="00550FCE">
              <w:rPr>
                <w:rFonts w:cs="Arial"/>
                <w:color w:val="7F7F7F"/>
                <w:szCs w:val="18"/>
                <w:lang w:eastAsia="en-AU"/>
              </w:rPr>
              <w:t>-21%</w:t>
            </w:r>
          </w:p>
        </w:tc>
      </w:tr>
      <w:tr w:rsidR="00550FCE" w:rsidRPr="00550FCE" w:rsidTr="00550FCE">
        <w:trPr>
          <w:trHeight w:val="300"/>
        </w:trPr>
        <w:tc>
          <w:tcPr>
            <w:tcW w:w="2425" w:type="dxa"/>
            <w:tcBorders>
              <w:top w:val="nil"/>
              <w:left w:val="nil"/>
              <w:bottom w:val="nil"/>
              <w:right w:val="nil"/>
            </w:tcBorders>
            <w:shd w:val="clear" w:color="auto" w:fill="auto"/>
            <w:vAlign w:val="center"/>
            <w:hideMark/>
          </w:tcPr>
          <w:p w:rsidR="00550FCE" w:rsidRPr="00550FCE" w:rsidRDefault="00550FCE" w:rsidP="00550FCE">
            <w:pPr>
              <w:rPr>
                <w:rFonts w:cs="Arial"/>
                <w:color w:val="7F7F7F"/>
                <w:szCs w:val="18"/>
                <w:lang w:eastAsia="en-AU"/>
              </w:rPr>
            </w:pPr>
            <w:r w:rsidRPr="00550FCE">
              <w:rPr>
                <w:rFonts w:cs="Arial"/>
                <w:color w:val="7F7F7F"/>
                <w:szCs w:val="18"/>
                <w:lang w:eastAsia="en-AU"/>
              </w:rPr>
              <w:t>Education and Training</w:t>
            </w:r>
          </w:p>
        </w:tc>
        <w:tc>
          <w:tcPr>
            <w:tcW w:w="1134" w:type="dxa"/>
            <w:tcBorders>
              <w:top w:val="nil"/>
              <w:left w:val="nil"/>
              <w:bottom w:val="nil"/>
              <w:right w:val="nil"/>
            </w:tcBorders>
            <w:shd w:val="clear" w:color="auto" w:fill="auto"/>
            <w:noWrap/>
            <w:vAlign w:val="center"/>
            <w:hideMark/>
          </w:tcPr>
          <w:p w:rsidR="00550FCE" w:rsidRPr="00550FCE" w:rsidRDefault="00550FCE" w:rsidP="00550FCE">
            <w:pPr>
              <w:jc w:val="right"/>
              <w:rPr>
                <w:rFonts w:cs="Arial"/>
                <w:color w:val="7F7F7F"/>
                <w:szCs w:val="18"/>
                <w:lang w:eastAsia="en-AU"/>
              </w:rPr>
            </w:pPr>
            <w:r w:rsidRPr="00550FCE">
              <w:rPr>
                <w:rFonts w:cs="Arial"/>
                <w:color w:val="7F7F7F"/>
                <w:szCs w:val="18"/>
                <w:lang w:eastAsia="en-AU"/>
              </w:rPr>
              <w:t>48%</w:t>
            </w:r>
          </w:p>
        </w:tc>
        <w:tc>
          <w:tcPr>
            <w:tcW w:w="1134" w:type="dxa"/>
            <w:tcBorders>
              <w:top w:val="nil"/>
              <w:left w:val="nil"/>
              <w:bottom w:val="nil"/>
              <w:right w:val="nil"/>
            </w:tcBorders>
            <w:shd w:val="clear" w:color="auto" w:fill="auto"/>
            <w:noWrap/>
            <w:vAlign w:val="center"/>
            <w:hideMark/>
          </w:tcPr>
          <w:p w:rsidR="00550FCE" w:rsidRPr="00550FCE" w:rsidRDefault="00550FCE" w:rsidP="00550FCE">
            <w:pPr>
              <w:jc w:val="right"/>
              <w:rPr>
                <w:rFonts w:cs="Arial"/>
                <w:color w:val="7F7F7F"/>
                <w:szCs w:val="18"/>
                <w:lang w:eastAsia="en-AU"/>
              </w:rPr>
            </w:pPr>
            <w:r w:rsidRPr="00550FCE">
              <w:rPr>
                <w:rFonts w:cs="Arial"/>
                <w:color w:val="7F7F7F"/>
                <w:szCs w:val="18"/>
                <w:lang w:eastAsia="en-AU"/>
              </w:rPr>
              <w:t>9%</w:t>
            </w:r>
          </w:p>
        </w:tc>
        <w:tc>
          <w:tcPr>
            <w:tcW w:w="1134" w:type="dxa"/>
            <w:tcBorders>
              <w:top w:val="nil"/>
              <w:left w:val="nil"/>
              <w:bottom w:val="nil"/>
              <w:right w:val="nil"/>
            </w:tcBorders>
            <w:shd w:val="clear" w:color="auto" w:fill="auto"/>
            <w:noWrap/>
            <w:vAlign w:val="center"/>
            <w:hideMark/>
          </w:tcPr>
          <w:p w:rsidR="00550FCE" w:rsidRPr="00550FCE" w:rsidRDefault="00550FCE" w:rsidP="00550FCE">
            <w:pPr>
              <w:jc w:val="right"/>
              <w:rPr>
                <w:rFonts w:cs="Arial"/>
                <w:color w:val="7F7F7F"/>
                <w:szCs w:val="18"/>
                <w:lang w:eastAsia="en-AU"/>
              </w:rPr>
            </w:pPr>
            <w:r w:rsidRPr="00550FCE">
              <w:rPr>
                <w:rFonts w:cs="Arial"/>
                <w:color w:val="7F7F7F"/>
                <w:szCs w:val="18"/>
                <w:lang w:eastAsia="en-AU"/>
              </w:rPr>
              <w:t>5%</w:t>
            </w:r>
          </w:p>
        </w:tc>
        <w:tc>
          <w:tcPr>
            <w:tcW w:w="1134" w:type="dxa"/>
            <w:tcBorders>
              <w:top w:val="nil"/>
              <w:left w:val="nil"/>
              <w:bottom w:val="nil"/>
              <w:right w:val="nil"/>
            </w:tcBorders>
            <w:shd w:val="clear" w:color="auto" w:fill="auto"/>
            <w:noWrap/>
            <w:vAlign w:val="center"/>
            <w:hideMark/>
          </w:tcPr>
          <w:p w:rsidR="00550FCE" w:rsidRPr="00550FCE" w:rsidRDefault="00550FCE" w:rsidP="00550FCE">
            <w:pPr>
              <w:jc w:val="right"/>
              <w:rPr>
                <w:rFonts w:cs="Arial"/>
                <w:color w:val="7F7F7F"/>
                <w:szCs w:val="18"/>
                <w:lang w:eastAsia="en-AU"/>
              </w:rPr>
            </w:pPr>
            <w:r w:rsidRPr="00550FCE">
              <w:rPr>
                <w:rFonts w:cs="Arial"/>
                <w:color w:val="7F7F7F"/>
                <w:szCs w:val="18"/>
                <w:lang w:eastAsia="en-AU"/>
              </w:rPr>
              <w:t>-61%</w:t>
            </w:r>
          </w:p>
        </w:tc>
        <w:tc>
          <w:tcPr>
            <w:tcW w:w="1134" w:type="dxa"/>
            <w:tcBorders>
              <w:top w:val="nil"/>
              <w:left w:val="nil"/>
              <w:bottom w:val="nil"/>
              <w:right w:val="nil"/>
            </w:tcBorders>
            <w:shd w:val="clear" w:color="auto" w:fill="auto"/>
            <w:noWrap/>
            <w:vAlign w:val="center"/>
            <w:hideMark/>
          </w:tcPr>
          <w:p w:rsidR="00550FCE" w:rsidRPr="00550FCE" w:rsidRDefault="00550FCE" w:rsidP="00550FCE">
            <w:pPr>
              <w:jc w:val="right"/>
              <w:rPr>
                <w:rFonts w:cs="Arial"/>
                <w:color w:val="7F7F7F"/>
                <w:szCs w:val="18"/>
                <w:lang w:eastAsia="en-AU"/>
              </w:rPr>
            </w:pPr>
            <w:r w:rsidRPr="00550FCE">
              <w:rPr>
                <w:rFonts w:cs="Arial"/>
                <w:color w:val="7F7F7F"/>
                <w:szCs w:val="18"/>
                <w:lang w:eastAsia="en-AU"/>
              </w:rPr>
              <w:t>-10%</w:t>
            </w:r>
          </w:p>
        </w:tc>
      </w:tr>
      <w:tr w:rsidR="00550FCE" w:rsidRPr="00550FCE" w:rsidTr="00550FCE">
        <w:trPr>
          <w:trHeight w:val="480"/>
        </w:trPr>
        <w:tc>
          <w:tcPr>
            <w:tcW w:w="2425" w:type="dxa"/>
            <w:tcBorders>
              <w:top w:val="nil"/>
              <w:left w:val="nil"/>
              <w:bottom w:val="nil"/>
              <w:right w:val="nil"/>
            </w:tcBorders>
            <w:shd w:val="clear" w:color="auto" w:fill="auto"/>
            <w:vAlign w:val="center"/>
            <w:hideMark/>
          </w:tcPr>
          <w:p w:rsidR="00550FCE" w:rsidRPr="00550FCE" w:rsidRDefault="00550FCE" w:rsidP="00550FCE">
            <w:pPr>
              <w:rPr>
                <w:rFonts w:cs="Arial"/>
                <w:color w:val="7F7F7F"/>
                <w:szCs w:val="18"/>
                <w:lang w:eastAsia="en-AU"/>
              </w:rPr>
            </w:pPr>
            <w:r w:rsidRPr="00550FCE">
              <w:rPr>
                <w:rFonts w:cs="Arial"/>
                <w:color w:val="7F7F7F"/>
                <w:szCs w:val="18"/>
                <w:lang w:eastAsia="en-AU"/>
              </w:rPr>
              <w:t>Electricity, Gas, Water and Waste Services</w:t>
            </w:r>
          </w:p>
        </w:tc>
        <w:tc>
          <w:tcPr>
            <w:tcW w:w="1134" w:type="dxa"/>
            <w:tcBorders>
              <w:top w:val="nil"/>
              <w:left w:val="nil"/>
              <w:bottom w:val="nil"/>
              <w:right w:val="nil"/>
            </w:tcBorders>
            <w:shd w:val="clear" w:color="auto" w:fill="auto"/>
            <w:noWrap/>
            <w:vAlign w:val="center"/>
            <w:hideMark/>
          </w:tcPr>
          <w:p w:rsidR="00550FCE" w:rsidRPr="00550FCE" w:rsidRDefault="00550FCE" w:rsidP="00550FCE">
            <w:pPr>
              <w:jc w:val="right"/>
              <w:rPr>
                <w:rFonts w:cs="Arial"/>
                <w:color w:val="7F7F7F"/>
                <w:szCs w:val="18"/>
                <w:lang w:eastAsia="en-AU"/>
              </w:rPr>
            </w:pPr>
            <w:r w:rsidRPr="00550FCE">
              <w:rPr>
                <w:rFonts w:cs="Arial"/>
                <w:color w:val="7F7F7F"/>
                <w:szCs w:val="18"/>
                <w:lang w:eastAsia="en-AU"/>
              </w:rPr>
              <w:t>-69%</w:t>
            </w:r>
          </w:p>
        </w:tc>
        <w:tc>
          <w:tcPr>
            <w:tcW w:w="1134" w:type="dxa"/>
            <w:tcBorders>
              <w:top w:val="nil"/>
              <w:left w:val="nil"/>
              <w:bottom w:val="nil"/>
              <w:right w:val="nil"/>
            </w:tcBorders>
            <w:shd w:val="clear" w:color="auto" w:fill="auto"/>
            <w:noWrap/>
            <w:vAlign w:val="center"/>
            <w:hideMark/>
          </w:tcPr>
          <w:p w:rsidR="00550FCE" w:rsidRPr="00550FCE" w:rsidRDefault="00550FCE" w:rsidP="00550FCE">
            <w:pPr>
              <w:jc w:val="right"/>
              <w:rPr>
                <w:rFonts w:cs="Arial"/>
                <w:color w:val="7F7F7F"/>
                <w:szCs w:val="18"/>
                <w:lang w:eastAsia="en-AU"/>
              </w:rPr>
            </w:pPr>
            <w:r w:rsidRPr="00550FCE">
              <w:rPr>
                <w:rFonts w:cs="Arial"/>
                <w:color w:val="7F7F7F"/>
                <w:szCs w:val="18"/>
                <w:lang w:eastAsia="en-AU"/>
              </w:rPr>
              <w:t>-73%</w:t>
            </w:r>
          </w:p>
        </w:tc>
        <w:tc>
          <w:tcPr>
            <w:tcW w:w="1134" w:type="dxa"/>
            <w:tcBorders>
              <w:top w:val="nil"/>
              <w:left w:val="nil"/>
              <w:bottom w:val="nil"/>
              <w:right w:val="nil"/>
            </w:tcBorders>
            <w:shd w:val="clear" w:color="auto" w:fill="auto"/>
            <w:noWrap/>
            <w:vAlign w:val="center"/>
            <w:hideMark/>
          </w:tcPr>
          <w:p w:rsidR="00550FCE" w:rsidRPr="00550FCE" w:rsidRDefault="00550FCE" w:rsidP="00550FCE">
            <w:pPr>
              <w:jc w:val="right"/>
              <w:rPr>
                <w:rFonts w:cs="Arial"/>
                <w:color w:val="7F7F7F"/>
                <w:szCs w:val="18"/>
                <w:lang w:eastAsia="en-AU"/>
              </w:rPr>
            </w:pPr>
            <w:r w:rsidRPr="00550FCE">
              <w:rPr>
                <w:rFonts w:cs="Arial"/>
                <w:color w:val="7F7F7F"/>
                <w:szCs w:val="18"/>
                <w:lang w:eastAsia="en-AU"/>
              </w:rPr>
              <w:t>-87%</w:t>
            </w:r>
          </w:p>
        </w:tc>
        <w:tc>
          <w:tcPr>
            <w:tcW w:w="1134" w:type="dxa"/>
            <w:tcBorders>
              <w:top w:val="nil"/>
              <w:left w:val="nil"/>
              <w:bottom w:val="nil"/>
              <w:right w:val="nil"/>
            </w:tcBorders>
            <w:shd w:val="clear" w:color="auto" w:fill="auto"/>
            <w:noWrap/>
            <w:vAlign w:val="center"/>
            <w:hideMark/>
          </w:tcPr>
          <w:p w:rsidR="00550FCE" w:rsidRPr="00550FCE" w:rsidRDefault="00550FCE" w:rsidP="00550FCE">
            <w:pPr>
              <w:jc w:val="right"/>
              <w:rPr>
                <w:rFonts w:cs="Arial"/>
                <w:color w:val="7F7F7F"/>
                <w:szCs w:val="18"/>
                <w:lang w:eastAsia="en-AU"/>
              </w:rPr>
            </w:pPr>
            <w:r w:rsidRPr="00550FCE">
              <w:rPr>
                <w:rFonts w:cs="Arial"/>
                <w:color w:val="7F7F7F"/>
                <w:szCs w:val="18"/>
                <w:lang w:eastAsia="en-AU"/>
              </w:rPr>
              <w:t>-78%</w:t>
            </w:r>
          </w:p>
        </w:tc>
        <w:tc>
          <w:tcPr>
            <w:tcW w:w="1134" w:type="dxa"/>
            <w:tcBorders>
              <w:top w:val="nil"/>
              <w:left w:val="nil"/>
              <w:bottom w:val="nil"/>
              <w:right w:val="nil"/>
            </w:tcBorders>
            <w:shd w:val="clear" w:color="auto" w:fill="auto"/>
            <w:noWrap/>
            <w:vAlign w:val="center"/>
            <w:hideMark/>
          </w:tcPr>
          <w:p w:rsidR="00550FCE" w:rsidRPr="00550FCE" w:rsidRDefault="00550FCE" w:rsidP="00550FCE">
            <w:pPr>
              <w:jc w:val="right"/>
              <w:rPr>
                <w:rFonts w:cs="Arial"/>
                <w:color w:val="7F7F7F"/>
                <w:szCs w:val="18"/>
                <w:lang w:eastAsia="en-AU"/>
              </w:rPr>
            </w:pPr>
            <w:r w:rsidRPr="00550FCE">
              <w:rPr>
                <w:rFonts w:cs="Arial"/>
                <w:color w:val="7F7F7F"/>
                <w:szCs w:val="18"/>
                <w:lang w:eastAsia="en-AU"/>
              </w:rPr>
              <w:t>-60%</w:t>
            </w:r>
          </w:p>
        </w:tc>
      </w:tr>
      <w:tr w:rsidR="00550FCE" w:rsidRPr="00550FCE" w:rsidTr="00550FCE">
        <w:trPr>
          <w:trHeight w:val="480"/>
        </w:trPr>
        <w:tc>
          <w:tcPr>
            <w:tcW w:w="2425" w:type="dxa"/>
            <w:tcBorders>
              <w:top w:val="nil"/>
              <w:left w:val="nil"/>
              <w:bottom w:val="nil"/>
              <w:right w:val="nil"/>
            </w:tcBorders>
            <w:shd w:val="clear" w:color="auto" w:fill="auto"/>
            <w:vAlign w:val="center"/>
            <w:hideMark/>
          </w:tcPr>
          <w:p w:rsidR="00550FCE" w:rsidRPr="00550FCE" w:rsidRDefault="00550FCE" w:rsidP="00550FCE">
            <w:pPr>
              <w:rPr>
                <w:rFonts w:cs="Arial"/>
                <w:color w:val="7F7F7F"/>
                <w:szCs w:val="18"/>
                <w:lang w:eastAsia="en-AU"/>
              </w:rPr>
            </w:pPr>
            <w:r w:rsidRPr="00550FCE">
              <w:rPr>
                <w:rFonts w:cs="Arial"/>
                <w:color w:val="7F7F7F"/>
                <w:szCs w:val="18"/>
                <w:lang w:eastAsia="en-AU"/>
              </w:rPr>
              <w:t>Financial and Insurance Services</w:t>
            </w:r>
          </w:p>
        </w:tc>
        <w:tc>
          <w:tcPr>
            <w:tcW w:w="1134" w:type="dxa"/>
            <w:tcBorders>
              <w:top w:val="nil"/>
              <w:left w:val="nil"/>
              <w:bottom w:val="nil"/>
              <w:right w:val="nil"/>
            </w:tcBorders>
            <w:shd w:val="clear" w:color="auto" w:fill="auto"/>
            <w:noWrap/>
            <w:vAlign w:val="center"/>
            <w:hideMark/>
          </w:tcPr>
          <w:p w:rsidR="00550FCE" w:rsidRPr="00550FCE" w:rsidRDefault="00550FCE" w:rsidP="00550FCE">
            <w:pPr>
              <w:jc w:val="right"/>
              <w:rPr>
                <w:rFonts w:cs="Arial"/>
                <w:color w:val="7F7F7F"/>
                <w:szCs w:val="18"/>
                <w:lang w:eastAsia="en-AU"/>
              </w:rPr>
            </w:pPr>
            <w:r w:rsidRPr="00550FCE">
              <w:rPr>
                <w:rFonts w:cs="Arial"/>
                <w:color w:val="7F7F7F"/>
                <w:szCs w:val="18"/>
                <w:lang w:eastAsia="en-AU"/>
              </w:rPr>
              <w:t>-56%</w:t>
            </w:r>
          </w:p>
        </w:tc>
        <w:tc>
          <w:tcPr>
            <w:tcW w:w="1134" w:type="dxa"/>
            <w:tcBorders>
              <w:top w:val="nil"/>
              <w:left w:val="nil"/>
              <w:bottom w:val="nil"/>
              <w:right w:val="nil"/>
            </w:tcBorders>
            <w:shd w:val="clear" w:color="auto" w:fill="auto"/>
            <w:noWrap/>
            <w:vAlign w:val="center"/>
            <w:hideMark/>
          </w:tcPr>
          <w:p w:rsidR="00550FCE" w:rsidRPr="00550FCE" w:rsidRDefault="00550FCE" w:rsidP="00550FCE">
            <w:pPr>
              <w:jc w:val="right"/>
              <w:rPr>
                <w:rFonts w:cs="Arial"/>
                <w:color w:val="7F7F7F"/>
                <w:szCs w:val="18"/>
                <w:lang w:eastAsia="en-AU"/>
              </w:rPr>
            </w:pPr>
            <w:r w:rsidRPr="00550FCE">
              <w:rPr>
                <w:rFonts w:cs="Arial"/>
                <w:color w:val="7F7F7F"/>
                <w:szCs w:val="18"/>
                <w:lang w:eastAsia="en-AU"/>
              </w:rPr>
              <w:t>-68%</w:t>
            </w:r>
          </w:p>
        </w:tc>
        <w:tc>
          <w:tcPr>
            <w:tcW w:w="1134" w:type="dxa"/>
            <w:tcBorders>
              <w:top w:val="nil"/>
              <w:left w:val="nil"/>
              <w:bottom w:val="nil"/>
              <w:right w:val="nil"/>
            </w:tcBorders>
            <w:shd w:val="clear" w:color="auto" w:fill="auto"/>
            <w:noWrap/>
            <w:vAlign w:val="center"/>
            <w:hideMark/>
          </w:tcPr>
          <w:p w:rsidR="00550FCE" w:rsidRPr="00550FCE" w:rsidRDefault="00550FCE" w:rsidP="00550FCE">
            <w:pPr>
              <w:jc w:val="right"/>
              <w:rPr>
                <w:rFonts w:cs="Arial"/>
                <w:color w:val="7F7F7F"/>
                <w:szCs w:val="18"/>
                <w:lang w:eastAsia="en-AU"/>
              </w:rPr>
            </w:pPr>
            <w:r w:rsidRPr="00550FCE">
              <w:rPr>
                <w:rFonts w:cs="Arial"/>
                <w:color w:val="7F7F7F"/>
                <w:szCs w:val="18"/>
                <w:lang w:eastAsia="en-AU"/>
              </w:rPr>
              <w:t>-74%</w:t>
            </w:r>
          </w:p>
        </w:tc>
        <w:tc>
          <w:tcPr>
            <w:tcW w:w="1134" w:type="dxa"/>
            <w:tcBorders>
              <w:top w:val="nil"/>
              <w:left w:val="nil"/>
              <w:bottom w:val="nil"/>
              <w:right w:val="nil"/>
            </w:tcBorders>
            <w:shd w:val="clear" w:color="auto" w:fill="auto"/>
            <w:noWrap/>
            <w:vAlign w:val="center"/>
            <w:hideMark/>
          </w:tcPr>
          <w:p w:rsidR="00550FCE" w:rsidRPr="00550FCE" w:rsidRDefault="00550FCE" w:rsidP="00550FCE">
            <w:pPr>
              <w:jc w:val="right"/>
              <w:rPr>
                <w:rFonts w:cs="Arial"/>
                <w:color w:val="7F7F7F"/>
                <w:szCs w:val="18"/>
                <w:lang w:eastAsia="en-AU"/>
              </w:rPr>
            </w:pPr>
            <w:r w:rsidRPr="00550FCE">
              <w:rPr>
                <w:rFonts w:cs="Arial"/>
                <w:color w:val="7F7F7F"/>
                <w:szCs w:val="18"/>
                <w:lang w:eastAsia="en-AU"/>
              </w:rPr>
              <w:t>-67%</w:t>
            </w:r>
          </w:p>
        </w:tc>
        <w:tc>
          <w:tcPr>
            <w:tcW w:w="1134" w:type="dxa"/>
            <w:tcBorders>
              <w:top w:val="nil"/>
              <w:left w:val="nil"/>
              <w:bottom w:val="nil"/>
              <w:right w:val="nil"/>
            </w:tcBorders>
            <w:shd w:val="clear" w:color="auto" w:fill="auto"/>
            <w:noWrap/>
            <w:vAlign w:val="center"/>
            <w:hideMark/>
          </w:tcPr>
          <w:p w:rsidR="00550FCE" w:rsidRPr="00550FCE" w:rsidRDefault="00550FCE" w:rsidP="00550FCE">
            <w:pPr>
              <w:jc w:val="right"/>
              <w:rPr>
                <w:rFonts w:cs="Arial"/>
                <w:color w:val="7F7F7F"/>
                <w:szCs w:val="18"/>
                <w:lang w:eastAsia="en-AU"/>
              </w:rPr>
            </w:pPr>
            <w:r w:rsidRPr="00550FCE">
              <w:rPr>
                <w:rFonts w:cs="Arial"/>
                <w:color w:val="7F7F7F"/>
                <w:szCs w:val="18"/>
                <w:lang w:eastAsia="en-AU"/>
              </w:rPr>
              <w:t>-76%</w:t>
            </w:r>
          </w:p>
        </w:tc>
      </w:tr>
      <w:tr w:rsidR="00550FCE" w:rsidRPr="00550FCE" w:rsidTr="00550FCE">
        <w:trPr>
          <w:trHeight w:val="480"/>
        </w:trPr>
        <w:tc>
          <w:tcPr>
            <w:tcW w:w="2425" w:type="dxa"/>
            <w:tcBorders>
              <w:top w:val="nil"/>
              <w:left w:val="nil"/>
              <w:bottom w:val="nil"/>
              <w:right w:val="nil"/>
            </w:tcBorders>
            <w:shd w:val="clear" w:color="auto" w:fill="auto"/>
            <w:vAlign w:val="center"/>
            <w:hideMark/>
          </w:tcPr>
          <w:p w:rsidR="00550FCE" w:rsidRPr="00550FCE" w:rsidRDefault="00550FCE" w:rsidP="00550FCE">
            <w:pPr>
              <w:rPr>
                <w:rFonts w:cs="Arial"/>
                <w:color w:val="7F7F7F"/>
                <w:szCs w:val="18"/>
                <w:lang w:eastAsia="en-AU"/>
              </w:rPr>
            </w:pPr>
            <w:r w:rsidRPr="00550FCE">
              <w:rPr>
                <w:rFonts w:cs="Arial"/>
                <w:color w:val="7F7F7F"/>
                <w:szCs w:val="18"/>
                <w:lang w:eastAsia="en-AU"/>
              </w:rPr>
              <w:t>Health Care and Social Assistance</w:t>
            </w:r>
          </w:p>
        </w:tc>
        <w:tc>
          <w:tcPr>
            <w:tcW w:w="1134" w:type="dxa"/>
            <w:tcBorders>
              <w:top w:val="nil"/>
              <w:left w:val="nil"/>
              <w:bottom w:val="nil"/>
              <w:right w:val="nil"/>
            </w:tcBorders>
            <w:shd w:val="clear" w:color="auto" w:fill="auto"/>
            <w:noWrap/>
            <w:vAlign w:val="center"/>
            <w:hideMark/>
          </w:tcPr>
          <w:p w:rsidR="00550FCE" w:rsidRPr="00550FCE" w:rsidRDefault="00550FCE" w:rsidP="00550FCE">
            <w:pPr>
              <w:jc w:val="right"/>
              <w:rPr>
                <w:rFonts w:cs="Arial"/>
                <w:color w:val="7F7F7F"/>
                <w:szCs w:val="18"/>
                <w:lang w:eastAsia="en-AU"/>
              </w:rPr>
            </w:pPr>
            <w:r w:rsidRPr="00550FCE">
              <w:rPr>
                <w:rFonts w:cs="Arial"/>
                <w:color w:val="7F7F7F"/>
                <w:szCs w:val="18"/>
                <w:lang w:eastAsia="en-AU"/>
              </w:rPr>
              <w:t>-28%</w:t>
            </w:r>
          </w:p>
        </w:tc>
        <w:tc>
          <w:tcPr>
            <w:tcW w:w="1134" w:type="dxa"/>
            <w:tcBorders>
              <w:top w:val="nil"/>
              <w:left w:val="nil"/>
              <w:bottom w:val="nil"/>
              <w:right w:val="nil"/>
            </w:tcBorders>
            <w:shd w:val="clear" w:color="auto" w:fill="auto"/>
            <w:noWrap/>
            <w:vAlign w:val="center"/>
            <w:hideMark/>
          </w:tcPr>
          <w:p w:rsidR="00550FCE" w:rsidRPr="00550FCE" w:rsidRDefault="00550FCE" w:rsidP="00550FCE">
            <w:pPr>
              <w:jc w:val="right"/>
              <w:rPr>
                <w:rFonts w:cs="Arial"/>
                <w:color w:val="7F7F7F"/>
                <w:szCs w:val="18"/>
                <w:lang w:eastAsia="en-AU"/>
              </w:rPr>
            </w:pPr>
            <w:r w:rsidRPr="00550FCE">
              <w:rPr>
                <w:rFonts w:cs="Arial"/>
                <w:color w:val="7F7F7F"/>
                <w:szCs w:val="18"/>
                <w:lang w:eastAsia="en-AU"/>
              </w:rPr>
              <w:t>-35%</w:t>
            </w:r>
          </w:p>
        </w:tc>
        <w:tc>
          <w:tcPr>
            <w:tcW w:w="1134" w:type="dxa"/>
            <w:tcBorders>
              <w:top w:val="nil"/>
              <w:left w:val="nil"/>
              <w:bottom w:val="nil"/>
              <w:right w:val="nil"/>
            </w:tcBorders>
            <w:shd w:val="clear" w:color="auto" w:fill="auto"/>
            <w:noWrap/>
            <w:vAlign w:val="center"/>
            <w:hideMark/>
          </w:tcPr>
          <w:p w:rsidR="00550FCE" w:rsidRPr="00550FCE" w:rsidRDefault="00550FCE" w:rsidP="00550FCE">
            <w:pPr>
              <w:jc w:val="right"/>
              <w:rPr>
                <w:rFonts w:cs="Arial"/>
                <w:color w:val="7F7F7F"/>
                <w:szCs w:val="18"/>
                <w:lang w:eastAsia="en-AU"/>
              </w:rPr>
            </w:pPr>
            <w:r w:rsidRPr="00550FCE">
              <w:rPr>
                <w:rFonts w:cs="Arial"/>
                <w:color w:val="7F7F7F"/>
                <w:szCs w:val="18"/>
                <w:lang w:eastAsia="en-AU"/>
              </w:rPr>
              <w:t>-42%</w:t>
            </w:r>
          </w:p>
        </w:tc>
        <w:tc>
          <w:tcPr>
            <w:tcW w:w="1134" w:type="dxa"/>
            <w:tcBorders>
              <w:top w:val="nil"/>
              <w:left w:val="nil"/>
              <w:bottom w:val="nil"/>
              <w:right w:val="nil"/>
            </w:tcBorders>
            <w:shd w:val="clear" w:color="auto" w:fill="auto"/>
            <w:noWrap/>
            <w:vAlign w:val="center"/>
            <w:hideMark/>
          </w:tcPr>
          <w:p w:rsidR="00550FCE" w:rsidRPr="00550FCE" w:rsidRDefault="00550FCE" w:rsidP="00550FCE">
            <w:pPr>
              <w:jc w:val="right"/>
              <w:rPr>
                <w:rFonts w:cs="Arial"/>
                <w:color w:val="7F7F7F"/>
                <w:szCs w:val="18"/>
                <w:lang w:eastAsia="en-AU"/>
              </w:rPr>
            </w:pPr>
            <w:r w:rsidRPr="00550FCE">
              <w:rPr>
                <w:rFonts w:cs="Arial"/>
                <w:color w:val="7F7F7F"/>
                <w:szCs w:val="18"/>
                <w:lang w:eastAsia="en-AU"/>
              </w:rPr>
              <w:t>-33%</w:t>
            </w:r>
          </w:p>
        </w:tc>
        <w:tc>
          <w:tcPr>
            <w:tcW w:w="1134" w:type="dxa"/>
            <w:tcBorders>
              <w:top w:val="nil"/>
              <w:left w:val="nil"/>
              <w:bottom w:val="nil"/>
              <w:right w:val="nil"/>
            </w:tcBorders>
            <w:shd w:val="clear" w:color="auto" w:fill="auto"/>
            <w:noWrap/>
            <w:vAlign w:val="center"/>
            <w:hideMark/>
          </w:tcPr>
          <w:p w:rsidR="00550FCE" w:rsidRPr="00550FCE" w:rsidRDefault="00550FCE" w:rsidP="00550FCE">
            <w:pPr>
              <w:jc w:val="right"/>
              <w:rPr>
                <w:rFonts w:cs="Arial"/>
                <w:color w:val="7F7F7F"/>
                <w:szCs w:val="18"/>
                <w:lang w:eastAsia="en-AU"/>
              </w:rPr>
            </w:pPr>
            <w:r w:rsidRPr="00550FCE">
              <w:rPr>
                <w:rFonts w:cs="Arial"/>
                <w:color w:val="7F7F7F"/>
                <w:szCs w:val="18"/>
                <w:lang w:eastAsia="en-AU"/>
              </w:rPr>
              <w:t>-17%</w:t>
            </w:r>
          </w:p>
        </w:tc>
      </w:tr>
      <w:tr w:rsidR="00550FCE" w:rsidRPr="00550FCE" w:rsidTr="00550FCE">
        <w:trPr>
          <w:trHeight w:val="480"/>
        </w:trPr>
        <w:tc>
          <w:tcPr>
            <w:tcW w:w="2425" w:type="dxa"/>
            <w:tcBorders>
              <w:top w:val="nil"/>
              <w:left w:val="nil"/>
              <w:bottom w:val="nil"/>
              <w:right w:val="nil"/>
            </w:tcBorders>
            <w:shd w:val="clear" w:color="auto" w:fill="auto"/>
            <w:vAlign w:val="center"/>
            <w:hideMark/>
          </w:tcPr>
          <w:p w:rsidR="00550FCE" w:rsidRPr="00550FCE" w:rsidRDefault="00550FCE" w:rsidP="00550FCE">
            <w:pPr>
              <w:rPr>
                <w:rFonts w:cs="Arial"/>
                <w:color w:val="7F7F7F"/>
                <w:szCs w:val="18"/>
                <w:lang w:eastAsia="en-AU"/>
              </w:rPr>
            </w:pPr>
            <w:r w:rsidRPr="00550FCE">
              <w:rPr>
                <w:rFonts w:cs="Arial"/>
                <w:color w:val="7F7F7F"/>
                <w:szCs w:val="18"/>
                <w:lang w:eastAsia="en-AU"/>
              </w:rPr>
              <w:t>Information Media and Telecommunications</w:t>
            </w:r>
          </w:p>
        </w:tc>
        <w:tc>
          <w:tcPr>
            <w:tcW w:w="1134" w:type="dxa"/>
            <w:tcBorders>
              <w:top w:val="nil"/>
              <w:left w:val="nil"/>
              <w:bottom w:val="nil"/>
              <w:right w:val="nil"/>
            </w:tcBorders>
            <w:shd w:val="clear" w:color="auto" w:fill="auto"/>
            <w:noWrap/>
            <w:vAlign w:val="center"/>
            <w:hideMark/>
          </w:tcPr>
          <w:p w:rsidR="00550FCE" w:rsidRPr="00550FCE" w:rsidRDefault="00550FCE" w:rsidP="00550FCE">
            <w:pPr>
              <w:jc w:val="right"/>
              <w:rPr>
                <w:rFonts w:cs="Arial"/>
                <w:color w:val="7F7F7F"/>
                <w:szCs w:val="18"/>
                <w:lang w:eastAsia="en-AU"/>
              </w:rPr>
            </w:pPr>
            <w:r w:rsidRPr="00550FCE">
              <w:rPr>
                <w:rFonts w:cs="Arial"/>
                <w:color w:val="7F7F7F"/>
                <w:szCs w:val="18"/>
                <w:lang w:eastAsia="en-AU"/>
              </w:rPr>
              <w:t>88%</w:t>
            </w:r>
          </w:p>
        </w:tc>
        <w:tc>
          <w:tcPr>
            <w:tcW w:w="1134" w:type="dxa"/>
            <w:tcBorders>
              <w:top w:val="nil"/>
              <w:left w:val="nil"/>
              <w:bottom w:val="nil"/>
              <w:right w:val="nil"/>
            </w:tcBorders>
            <w:shd w:val="clear" w:color="auto" w:fill="auto"/>
            <w:noWrap/>
            <w:vAlign w:val="center"/>
            <w:hideMark/>
          </w:tcPr>
          <w:p w:rsidR="00550FCE" w:rsidRPr="00550FCE" w:rsidRDefault="00550FCE" w:rsidP="00550FCE">
            <w:pPr>
              <w:jc w:val="right"/>
              <w:rPr>
                <w:rFonts w:cs="Arial"/>
                <w:color w:val="7F7F7F"/>
                <w:szCs w:val="18"/>
                <w:lang w:eastAsia="en-AU"/>
              </w:rPr>
            </w:pPr>
            <w:r w:rsidRPr="00550FCE">
              <w:rPr>
                <w:rFonts w:cs="Arial"/>
                <w:color w:val="7F7F7F"/>
                <w:szCs w:val="18"/>
                <w:lang w:eastAsia="en-AU"/>
              </w:rPr>
              <w:t>111%</w:t>
            </w:r>
          </w:p>
        </w:tc>
        <w:tc>
          <w:tcPr>
            <w:tcW w:w="1134" w:type="dxa"/>
            <w:tcBorders>
              <w:top w:val="nil"/>
              <w:left w:val="nil"/>
              <w:bottom w:val="nil"/>
              <w:right w:val="nil"/>
            </w:tcBorders>
            <w:shd w:val="clear" w:color="auto" w:fill="auto"/>
            <w:noWrap/>
            <w:vAlign w:val="center"/>
            <w:hideMark/>
          </w:tcPr>
          <w:p w:rsidR="00550FCE" w:rsidRPr="00550FCE" w:rsidRDefault="00550FCE" w:rsidP="00550FCE">
            <w:pPr>
              <w:jc w:val="right"/>
              <w:rPr>
                <w:rFonts w:cs="Arial"/>
                <w:color w:val="7F7F7F"/>
                <w:szCs w:val="18"/>
                <w:lang w:eastAsia="en-AU"/>
              </w:rPr>
            </w:pPr>
            <w:r w:rsidRPr="00550FCE">
              <w:rPr>
                <w:rFonts w:cs="Arial"/>
                <w:color w:val="7F7F7F"/>
                <w:szCs w:val="18"/>
                <w:lang w:eastAsia="en-AU"/>
              </w:rPr>
              <w:t>150%</w:t>
            </w:r>
          </w:p>
        </w:tc>
        <w:tc>
          <w:tcPr>
            <w:tcW w:w="1134" w:type="dxa"/>
            <w:tcBorders>
              <w:top w:val="nil"/>
              <w:left w:val="nil"/>
              <w:bottom w:val="nil"/>
              <w:right w:val="nil"/>
            </w:tcBorders>
            <w:shd w:val="clear" w:color="auto" w:fill="auto"/>
            <w:noWrap/>
            <w:vAlign w:val="center"/>
            <w:hideMark/>
          </w:tcPr>
          <w:p w:rsidR="00550FCE" w:rsidRPr="00550FCE" w:rsidRDefault="00550FCE" w:rsidP="00550FCE">
            <w:pPr>
              <w:jc w:val="right"/>
              <w:rPr>
                <w:rFonts w:cs="Arial"/>
                <w:color w:val="7F7F7F"/>
                <w:szCs w:val="18"/>
                <w:lang w:eastAsia="en-AU"/>
              </w:rPr>
            </w:pPr>
            <w:r w:rsidRPr="00550FCE">
              <w:rPr>
                <w:rFonts w:cs="Arial"/>
                <w:color w:val="7F7F7F"/>
                <w:szCs w:val="18"/>
                <w:lang w:eastAsia="en-AU"/>
              </w:rPr>
              <w:t>88%</w:t>
            </w:r>
          </w:p>
        </w:tc>
        <w:tc>
          <w:tcPr>
            <w:tcW w:w="1134" w:type="dxa"/>
            <w:tcBorders>
              <w:top w:val="nil"/>
              <w:left w:val="nil"/>
              <w:bottom w:val="nil"/>
              <w:right w:val="nil"/>
            </w:tcBorders>
            <w:shd w:val="clear" w:color="auto" w:fill="auto"/>
            <w:noWrap/>
            <w:vAlign w:val="center"/>
            <w:hideMark/>
          </w:tcPr>
          <w:p w:rsidR="00550FCE" w:rsidRPr="00550FCE" w:rsidRDefault="00550FCE" w:rsidP="00550FCE">
            <w:pPr>
              <w:jc w:val="right"/>
              <w:rPr>
                <w:rFonts w:cs="Arial"/>
                <w:color w:val="7F7F7F"/>
                <w:szCs w:val="18"/>
                <w:lang w:eastAsia="en-AU"/>
              </w:rPr>
            </w:pPr>
            <w:r w:rsidRPr="00550FCE">
              <w:rPr>
                <w:rFonts w:cs="Arial"/>
                <w:color w:val="7F7F7F"/>
                <w:szCs w:val="18"/>
                <w:lang w:eastAsia="en-AU"/>
              </w:rPr>
              <w:t>15%</w:t>
            </w:r>
          </w:p>
        </w:tc>
      </w:tr>
      <w:tr w:rsidR="00550FCE" w:rsidRPr="00550FCE" w:rsidTr="00550FCE">
        <w:trPr>
          <w:trHeight w:val="300"/>
        </w:trPr>
        <w:tc>
          <w:tcPr>
            <w:tcW w:w="2425" w:type="dxa"/>
            <w:tcBorders>
              <w:top w:val="nil"/>
              <w:left w:val="nil"/>
              <w:bottom w:val="nil"/>
              <w:right w:val="nil"/>
            </w:tcBorders>
            <w:shd w:val="clear" w:color="auto" w:fill="auto"/>
            <w:vAlign w:val="center"/>
            <w:hideMark/>
          </w:tcPr>
          <w:p w:rsidR="00550FCE" w:rsidRPr="00550FCE" w:rsidRDefault="00550FCE" w:rsidP="00550FCE">
            <w:pPr>
              <w:rPr>
                <w:rFonts w:cs="Arial"/>
                <w:color w:val="7F7F7F"/>
                <w:szCs w:val="18"/>
                <w:lang w:eastAsia="en-AU"/>
              </w:rPr>
            </w:pPr>
            <w:r w:rsidRPr="00550FCE">
              <w:rPr>
                <w:rFonts w:cs="Arial"/>
                <w:color w:val="7F7F7F"/>
                <w:szCs w:val="18"/>
                <w:lang w:eastAsia="en-AU"/>
              </w:rPr>
              <w:t>Manufacturing</w:t>
            </w:r>
          </w:p>
        </w:tc>
        <w:tc>
          <w:tcPr>
            <w:tcW w:w="1134" w:type="dxa"/>
            <w:tcBorders>
              <w:top w:val="nil"/>
              <w:left w:val="nil"/>
              <w:bottom w:val="nil"/>
              <w:right w:val="nil"/>
            </w:tcBorders>
            <w:shd w:val="clear" w:color="auto" w:fill="auto"/>
            <w:noWrap/>
            <w:vAlign w:val="center"/>
            <w:hideMark/>
          </w:tcPr>
          <w:p w:rsidR="00550FCE" w:rsidRPr="00550FCE" w:rsidRDefault="00550FCE" w:rsidP="00550FCE">
            <w:pPr>
              <w:jc w:val="right"/>
              <w:rPr>
                <w:rFonts w:cs="Arial"/>
                <w:color w:val="7F7F7F"/>
                <w:szCs w:val="18"/>
                <w:lang w:eastAsia="en-AU"/>
              </w:rPr>
            </w:pPr>
            <w:r w:rsidRPr="00550FCE">
              <w:rPr>
                <w:rFonts w:cs="Arial"/>
                <w:color w:val="7F7F7F"/>
                <w:szCs w:val="18"/>
                <w:lang w:eastAsia="en-AU"/>
              </w:rPr>
              <w:t>106%</w:t>
            </w:r>
          </w:p>
        </w:tc>
        <w:tc>
          <w:tcPr>
            <w:tcW w:w="1134" w:type="dxa"/>
            <w:tcBorders>
              <w:top w:val="nil"/>
              <w:left w:val="nil"/>
              <w:bottom w:val="nil"/>
              <w:right w:val="nil"/>
            </w:tcBorders>
            <w:shd w:val="clear" w:color="auto" w:fill="auto"/>
            <w:noWrap/>
            <w:vAlign w:val="center"/>
            <w:hideMark/>
          </w:tcPr>
          <w:p w:rsidR="00550FCE" w:rsidRPr="00550FCE" w:rsidRDefault="00550FCE" w:rsidP="00550FCE">
            <w:pPr>
              <w:jc w:val="right"/>
              <w:rPr>
                <w:rFonts w:cs="Arial"/>
                <w:color w:val="7F7F7F"/>
                <w:szCs w:val="18"/>
                <w:lang w:eastAsia="en-AU"/>
              </w:rPr>
            </w:pPr>
            <w:r w:rsidRPr="00550FCE">
              <w:rPr>
                <w:rFonts w:cs="Arial"/>
                <w:color w:val="7F7F7F"/>
                <w:szCs w:val="18"/>
                <w:lang w:eastAsia="en-AU"/>
              </w:rPr>
              <w:t>-12%</w:t>
            </w:r>
          </w:p>
        </w:tc>
        <w:tc>
          <w:tcPr>
            <w:tcW w:w="1134" w:type="dxa"/>
            <w:tcBorders>
              <w:top w:val="nil"/>
              <w:left w:val="nil"/>
              <w:bottom w:val="nil"/>
              <w:right w:val="nil"/>
            </w:tcBorders>
            <w:shd w:val="clear" w:color="auto" w:fill="auto"/>
            <w:noWrap/>
            <w:vAlign w:val="center"/>
            <w:hideMark/>
          </w:tcPr>
          <w:p w:rsidR="00550FCE" w:rsidRPr="00550FCE" w:rsidRDefault="00550FCE" w:rsidP="00550FCE">
            <w:pPr>
              <w:jc w:val="right"/>
              <w:rPr>
                <w:rFonts w:cs="Arial"/>
                <w:color w:val="7F7F7F"/>
                <w:szCs w:val="18"/>
                <w:lang w:eastAsia="en-AU"/>
              </w:rPr>
            </w:pPr>
            <w:r w:rsidRPr="00550FCE">
              <w:rPr>
                <w:rFonts w:cs="Arial"/>
                <w:color w:val="7F7F7F"/>
                <w:szCs w:val="18"/>
                <w:lang w:eastAsia="en-AU"/>
              </w:rPr>
              <w:t>-54%</w:t>
            </w:r>
          </w:p>
        </w:tc>
        <w:tc>
          <w:tcPr>
            <w:tcW w:w="1134" w:type="dxa"/>
            <w:tcBorders>
              <w:top w:val="nil"/>
              <w:left w:val="nil"/>
              <w:bottom w:val="nil"/>
              <w:right w:val="nil"/>
            </w:tcBorders>
            <w:shd w:val="clear" w:color="auto" w:fill="auto"/>
            <w:noWrap/>
            <w:vAlign w:val="center"/>
            <w:hideMark/>
          </w:tcPr>
          <w:p w:rsidR="00550FCE" w:rsidRPr="00550FCE" w:rsidRDefault="00550FCE" w:rsidP="00550FCE">
            <w:pPr>
              <w:jc w:val="right"/>
              <w:rPr>
                <w:rFonts w:cs="Arial"/>
                <w:color w:val="7F7F7F"/>
                <w:szCs w:val="18"/>
                <w:lang w:eastAsia="en-AU"/>
              </w:rPr>
            </w:pPr>
            <w:r w:rsidRPr="00550FCE">
              <w:rPr>
                <w:rFonts w:cs="Arial"/>
                <w:color w:val="7F7F7F"/>
                <w:szCs w:val="18"/>
                <w:lang w:eastAsia="en-AU"/>
              </w:rPr>
              <w:t>-40%</w:t>
            </w:r>
          </w:p>
        </w:tc>
        <w:tc>
          <w:tcPr>
            <w:tcW w:w="1134" w:type="dxa"/>
            <w:tcBorders>
              <w:top w:val="nil"/>
              <w:left w:val="nil"/>
              <w:bottom w:val="nil"/>
              <w:right w:val="nil"/>
            </w:tcBorders>
            <w:shd w:val="clear" w:color="auto" w:fill="auto"/>
            <w:noWrap/>
            <w:vAlign w:val="center"/>
            <w:hideMark/>
          </w:tcPr>
          <w:p w:rsidR="00550FCE" w:rsidRPr="00550FCE" w:rsidRDefault="00550FCE" w:rsidP="00550FCE">
            <w:pPr>
              <w:jc w:val="right"/>
              <w:rPr>
                <w:rFonts w:cs="Arial"/>
                <w:color w:val="7F7F7F"/>
                <w:szCs w:val="18"/>
                <w:lang w:eastAsia="en-AU"/>
              </w:rPr>
            </w:pPr>
            <w:r w:rsidRPr="00550FCE">
              <w:rPr>
                <w:rFonts w:cs="Arial"/>
                <w:color w:val="7F7F7F"/>
                <w:szCs w:val="18"/>
                <w:lang w:eastAsia="en-AU"/>
              </w:rPr>
              <w:t>-35%</w:t>
            </w:r>
          </w:p>
        </w:tc>
      </w:tr>
      <w:tr w:rsidR="00550FCE" w:rsidRPr="00550FCE" w:rsidTr="00550FCE">
        <w:trPr>
          <w:trHeight w:val="300"/>
        </w:trPr>
        <w:tc>
          <w:tcPr>
            <w:tcW w:w="2425" w:type="dxa"/>
            <w:tcBorders>
              <w:top w:val="nil"/>
              <w:left w:val="nil"/>
              <w:bottom w:val="nil"/>
              <w:right w:val="nil"/>
            </w:tcBorders>
            <w:shd w:val="clear" w:color="auto" w:fill="auto"/>
            <w:vAlign w:val="center"/>
            <w:hideMark/>
          </w:tcPr>
          <w:p w:rsidR="00550FCE" w:rsidRPr="00550FCE" w:rsidRDefault="00550FCE" w:rsidP="00550FCE">
            <w:pPr>
              <w:rPr>
                <w:rFonts w:cs="Arial"/>
                <w:color w:val="7F7F7F"/>
                <w:szCs w:val="18"/>
                <w:lang w:eastAsia="en-AU"/>
              </w:rPr>
            </w:pPr>
            <w:r w:rsidRPr="00550FCE">
              <w:rPr>
                <w:rFonts w:cs="Arial"/>
                <w:color w:val="7F7F7F"/>
                <w:szCs w:val="18"/>
                <w:lang w:eastAsia="en-AU"/>
              </w:rPr>
              <w:t>Mining</w:t>
            </w:r>
          </w:p>
        </w:tc>
        <w:tc>
          <w:tcPr>
            <w:tcW w:w="1134" w:type="dxa"/>
            <w:tcBorders>
              <w:top w:val="nil"/>
              <w:left w:val="nil"/>
              <w:bottom w:val="nil"/>
              <w:right w:val="nil"/>
            </w:tcBorders>
            <w:shd w:val="clear" w:color="auto" w:fill="auto"/>
            <w:noWrap/>
            <w:vAlign w:val="center"/>
            <w:hideMark/>
          </w:tcPr>
          <w:p w:rsidR="00550FCE" w:rsidRPr="00550FCE" w:rsidRDefault="00550FCE" w:rsidP="00550FCE">
            <w:pPr>
              <w:jc w:val="right"/>
              <w:rPr>
                <w:rFonts w:cs="Arial"/>
                <w:color w:val="7F7F7F"/>
                <w:szCs w:val="18"/>
                <w:lang w:eastAsia="en-AU"/>
              </w:rPr>
            </w:pPr>
            <w:r w:rsidRPr="00550FCE">
              <w:rPr>
                <w:rFonts w:cs="Arial"/>
                <w:color w:val="7F7F7F"/>
                <w:szCs w:val="18"/>
                <w:lang w:eastAsia="en-AU"/>
              </w:rPr>
              <w:t>-40%</w:t>
            </w:r>
          </w:p>
        </w:tc>
        <w:tc>
          <w:tcPr>
            <w:tcW w:w="1134" w:type="dxa"/>
            <w:tcBorders>
              <w:top w:val="nil"/>
              <w:left w:val="nil"/>
              <w:bottom w:val="nil"/>
              <w:right w:val="nil"/>
            </w:tcBorders>
            <w:shd w:val="clear" w:color="auto" w:fill="auto"/>
            <w:noWrap/>
            <w:vAlign w:val="center"/>
            <w:hideMark/>
          </w:tcPr>
          <w:p w:rsidR="00550FCE" w:rsidRPr="00550FCE" w:rsidRDefault="00550FCE" w:rsidP="00550FCE">
            <w:pPr>
              <w:jc w:val="right"/>
              <w:rPr>
                <w:rFonts w:cs="Arial"/>
                <w:color w:val="7F7F7F"/>
                <w:szCs w:val="18"/>
                <w:lang w:eastAsia="en-AU"/>
              </w:rPr>
            </w:pPr>
            <w:r w:rsidRPr="00550FCE">
              <w:rPr>
                <w:rFonts w:cs="Arial"/>
                <w:color w:val="7F7F7F"/>
                <w:szCs w:val="18"/>
                <w:lang w:eastAsia="en-AU"/>
              </w:rPr>
              <w:t>50%</w:t>
            </w:r>
          </w:p>
        </w:tc>
        <w:tc>
          <w:tcPr>
            <w:tcW w:w="1134" w:type="dxa"/>
            <w:tcBorders>
              <w:top w:val="nil"/>
              <w:left w:val="nil"/>
              <w:bottom w:val="nil"/>
              <w:right w:val="nil"/>
            </w:tcBorders>
            <w:shd w:val="clear" w:color="auto" w:fill="auto"/>
            <w:noWrap/>
            <w:vAlign w:val="center"/>
            <w:hideMark/>
          </w:tcPr>
          <w:p w:rsidR="00550FCE" w:rsidRPr="00550FCE" w:rsidRDefault="00550FCE" w:rsidP="00550FCE">
            <w:pPr>
              <w:jc w:val="right"/>
              <w:rPr>
                <w:rFonts w:cs="Arial"/>
                <w:color w:val="7F7F7F"/>
                <w:szCs w:val="18"/>
                <w:lang w:eastAsia="en-AU"/>
              </w:rPr>
            </w:pPr>
            <w:r w:rsidRPr="00550FCE">
              <w:rPr>
                <w:rFonts w:cs="Arial"/>
                <w:color w:val="7F7F7F"/>
                <w:szCs w:val="18"/>
                <w:lang w:eastAsia="en-AU"/>
              </w:rPr>
              <w:t>-10%</w:t>
            </w:r>
          </w:p>
        </w:tc>
        <w:tc>
          <w:tcPr>
            <w:tcW w:w="1134" w:type="dxa"/>
            <w:tcBorders>
              <w:top w:val="nil"/>
              <w:left w:val="nil"/>
              <w:bottom w:val="nil"/>
              <w:right w:val="nil"/>
            </w:tcBorders>
            <w:shd w:val="clear" w:color="auto" w:fill="auto"/>
            <w:noWrap/>
            <w:vAlign w:val="center"/>
            <w:hideMark/>
          </w:tcPr>
          <w:p w:rsidR="00550FCE" w:rsidRPr="00550FCE" w:rsidRDefault="00550FCE" w:rsidP="00550FCE">
            <w:pPr>
              <w:jc w:val="right"/>
              <w:rPr>
                <w:rFonts w:cs="Arial"/>
                <w:color w:val="7F7F7F"/>
                <w:szCs w:val="18"/>
                <w:lang w:eastAsia="en-AU"/>
              </w:rPr>
            </w:pPr>
            <w:r w:rsidRPr="00550FCE">
              <w:rPr>
                <w:rFonts w:cs="Arial"/>
                <w:color w:val="7F7F7F"/>
                <w:szCs w:val="18"/>
                <w:lang w:eastAsia="en-AU"/>
              </w:rPr>
              <w:t>-83%</w:t>
            </w:r>
          </w:p>
        </w:tc>
        <w:tc>
          <w:tcPr>
            <w:tcW w:w="1134" w:type="dxa"/>
            <w:tcBorders>
              <w:top w:val="nil"/>
              <w:left w:val="nil"/>
              <w:bottom w:val="nil"/>
              <w:right w:val="nil"/>
            </w:tcBorders>
            <w:shd w:val="clear" w:color="auto" w:fill="auto"/>
            <w:noWrap/>
            <w:vAlign w:val="center"/>
            <w:hideMark/>
          </w:tcPr>
          <w:p w:rsidR="00550FCE" w:rsidRPr="00550FCE" w:rsidRDefault="00550FCE" w:rsidP="00550FCE">
            <w:pPr>
              <w:jc w:val="right"/>
              <w:rPr>
                <w:rFonts w:cs="Arial"/>
                <w:color w:val="7F7F7F"/>
                <w:szCs w:val="18"/>
                <w:lang w:eastAsia="en-AU"/>
              </w:rPr>
            </w:pPr>
            <w:r w:rsidRPr="00550FCE">
              <w:rPr>
                <w:rFonts w:cs="Arial"/>
                <w:color w:val="7F7F7F"/>
                <w:szCs w:val="18"/>
                <w:lang w:eastAsia="en-AU"/>
              </w:rPr>
              <w:t>-80%</w:t>
            </w:r>
          </w:p>
        </w:tc>
      </w:tr>
      <w:tr w:rsidR="00550FCE" w:rsidRPr="00550FCE" w:rsidTr="00550FCE">
        <w:trPr>
          <w:trHeight w:val="300"/>
        </w:trPr>
        <w:tc>
          <w:tcPr>
            <w:tcW w:w="2425" w:type="dxa"/>
            <w:tcBorders>
              <w:top w:val="nil"/>
              <w:left w:val="nil"/>
              <w:bottom w:val="nil"/>
              <w:right w:val="nil"/>
            </w:tcBorders>
            <w:shd w:val="clear" w:color="auto" w:fill="auto"/>
            <w:vAlign w:val="center"/>
            <w:hideMark/>
          </w:tcPr>
          <w:p w:rsidR="00550FCE" w:rsidRPr="00550FCE" w:rsidRDefault="00550FCE" w:rsidP="00550FCE">
            <w:pPr>
              <w:rPr>
                <w:rFonts w:cs="Arial"/>
                <w:color w:val="7F7F7F"/>
                <w:szCs w:val="18"/>
                <w:lang w:eastAsia="en-AU"/>
              </w:rPr>
            </w:pPr>
            <w:r w:rsidRPr="00550FCE">
              <w:rPr>
                <w:rFonts w:cs="Arial"/>
                <w:color w:val="7F7F7F"/>
                <w:szCs w:val="18"/>
                <w:lang w:eastAsia="en-AU"/>
              </w:rPr>
              <w:t>Other Services</w:t>
            </w:r>
          </w:p>
        </w:tc>
        <w:tc>
          <w:tcPr>
            <w:tcW w:w="1134" w:type="dxa"/>
            <w:tcBorders>
              <w:top w:val="nil"/>
              <w:left w:val="nil"/>
              <w:bottom w:val="nil"/>
              <w:right w:val="nil"/>
            </w:tcBorders>
            <w:shd w:val="clear" w:color="auto" w:fill="auto"/>
            <w:noWrap/>
            <w:vAlign w:val="center"/>
            <w:hideMark/>
          </w:tcPr>
          <w:p w:rsidR="00550FCE" w:rsidRPr="00550FCE" w:rsidRDefault="00550FCE" w:rsidP="00550FCE">
            <w:pPr>
              <w:jc w:val="right"/>
              <w:rPr>
                <w:rFonts w:cs="Arial"/>
                <w:color w:val="7F7F7F"/>
                <w:szCs w:val="18"/>
                <w:lang w:eastAsia="en-AU"/>
              </w:rPr>
            </w:pPr>
            <w:r w:rsidRPr="00550FCE">
              <w:rPr>
                <w:rFonts w:cs="Arial"/>
                <w:color w:val="7F7F7F"/>
                <w:szCs w:val="18"/>
                <w:lang w:eastAsia="en-AU"/>
              </w:rPr>
              <w:t>-40%</w:t>
            </w:r>
          </w:p>
        </w:tc>
        <w:tc>
          <w:tcPr>
            <w:tcW w:w="1134" w:type="dxa"/>
            <w:tcBorders>
              <w:top w:val="nil"/>
              <w:left w:val="nil"/>
              <w:bottom w:val="nil"/>
              <w:right w:val="nil"/>
            </w:tcBorders>
            <w:shd w:val="clear" w:color="auto" w:fill="auto"/>
            <w:noWrap/>
            <w:vAlign w:val="center"/>
            <w:hideMark/>
          </w:tcPr>
          <w:p w:rsidR="00550FCE" w:rsidRPr="00550FCE" w:rsidRDefault="00550FCE" w:rsidP="00550FCE">
            <w:pPr>
              <w:jc w:val="right"/>
              <w:rPr>
                <w:rFonts w:cs="Arial"/>
                <w:color w:val="7F7F7F"/>
                <w:szCs w:val="18"/>
                <w:lang w:eastAsia="en-AU"/>
              </w:rPr>
            </w:pPr>
            <w:r w:rsidRPr="00550FCE">
              <w:rPr>
                <w:rFonts w:cs="Arial"/>
                <w:color w:val="7F7F7F"/>
                <w:szCs w:val="18"/>
                <w:lang w:eastAsia="en-AU"/>
              </w:rPr>
              <w:t>-37%</w:t>
            </w:r>
          </w:p>
        </w:tc>
        <w:tc>
          <w:tcPr>
            <w:tcW w:w="1134" w:type="dxa"/>
            <w:tcBorders>
              <w:top w:val="nil"/>
              <w:left w:val="nil"/>
              <w:bottom w:val="nil"/>
              <w:right w:val="nil"/>
            </w:tcBorders>
            <w:shd w:val="clear" w:color="auto" w:fill="auto"/>
            <w:noWrap/>
            <w:vAlign w:val="center"/>
            <w:hideMark/>
          </w:tcPr>
          <w:p w:rsidR="00550FCE" w:rsidRPr="00550FCE" w:rsidRDefault="00550FCE" w:rsidP="00550FCE">
            <w:pPr>
              <w:jc w:val="right"/>
              <w:rPr>
                <w:rFonts w:cs="Arial"/>
                <w:color w:val="7F7F7F"/>
                <w:szCs w:val="18"/>
                <w:lang w:eastAsia="en-AU"/>
              </w:rPr>
            </w:pPr>
            <w:r w:rsidRPr="00550FCE">
              <w:rPr>
                <w:rFonts w:cs="Arial"/>
                <w:color w:val="7F7F7F"/>
                <w:szCs w:val="18"/>
                <w:lang w:eastAsia="en-AU"/>
              </w:rPr>
              <w:t>-30%</w:t>
            </w:r>
          </w:p>
        </w:tc>
        <w:tc>
          <w:tcPr>
            <w:tcW w:w="1134" w:type="dxa"/>
            <w:tcBorders>
              <w:top w:val="nil"/>
              <w:left w:val="nil"/>
              <w:bottom w:val="nil"/>
              <w:right w:val="nil"/>
            </w:tcBorders>
            <w:shd w:val="clear" w:color="auto" w:fill="auto"/>
            <w:noWrap/>
            <w:vAlign w:val="center"/>
            <w:hideMark/>
          </w:tcPr>
          <w:p w:rsidR="00550FCE" w:rsidRPr="00550FCE" w:rsidRDefault="00550FCE" w:rsidP="00550FCE">
            <w:pPr>
              <w:jc w:val="right"/>
              <w:rPr>
                <w:rFonts w:cs="Arial"/>
                <w:color w:val="7F7F7F"/>
                <w:szCs w:val="18"/>
                <w:lang w:eastAsia="en-AU"/>
              </w:rPr>
            </w:pPr>
            <w:r w:rsidRPr="00550FCE">
              <w:rPr>
                <w:rFonts w:cs="Arial"/>
                <w:color w:val="7F7F7F"/>
                <w:szCs w:val="18"/>
                <w:lang w:eastAsia="en-AU"/>
              </w:rPr>
              <w:t>14%</w:t>
            </w:r>
          </w:p>
        </w:tc>
        <w:tc>
          <w:tcPr>
            <w:tcW w:w="1134" w:type="dxa"/>
            <w:tcBorders>
              <w:top w:val="nil"/>
              <w:left w:val="nil"/>
              <w:bottom w:val="nil"/>
              <w:right w:val="nil"/>
            </w:tcBorders>
            <w:shd w:val="clear" w:color="auto" w:fill="auto"/>
            <w:noWrap/>
            <w:vAlign w:val="center"/>
            <w:hideMark/>
          </w:tcPr>
          <w:p w:rsidR="00550FCE" w:rsidRPr="00550FCE" w:rsidRDefault="00550FCE" w:rsidP="00550FCE">
            <w:pPr>
              <w:jc w:val="right"/>
              <w:rPr>
                <w:rFonts w:cs="Arial"/>
                <w:color w:val="7F7F7F"/>
                <w:szCs w:val="18"/>
                <w:lang w:eastAsia="en-AU"/>
              </w:rPr>
            </w:pPr>
            <w:r w:rsidRPr="00550FCE">
              <w:rPr>
                <w:rFonts w:cs="Arial"/>
                <w:color w:val="7F7F7F"/>
                <w:szCs w:val="18"/>
                <w:lang w:eastAsia="en-AU"/>
              </w:rPr>
              <w:t>-2%</w:t>
            </w:r>
          </w:p>
        </w:tc>
      </w:tr>
      <w:tr w:rsidR="00550FCE" w:rsidRPr="00550FCE" w:rsidTr="00550FCE">
        <w:trPr>
          <w:trHeight w:val="480"/>
        </w:trPr>
        <w:tc>
          <w:tcPr>
            <w:tcW w:w="2425" w:type="dxa"/>
            <w:tcBorders>
              <w:top w:val="nil"/>
              <w:left w:val="nil"/>
              <w:bottom w:val="nil"/>
              <w:right w:val="nil"/>
            </w:tcBorders>
            <w:shd w:val="clear" w:color="auto" w:fill="auto"/>
            <w:vAlign w:val="center"/>
            <w:hideMark/>
          </w:tcPr>
          <w:p w:rsidR="00550FCE" w:rsidRPr="00550FCE" w:rsidRDefault="00550FCE" w:rsidP="00550FCE">
            <w:pPr>
              <w:rPr>
                <w:rFonts w:cs="Arial"/>
                <w:color w:val="7F7F7F"/>
                <w:szCs w:val="18"/>
                <w:lang w:eastAsia="en-AU"/>
              </w:rPr>
            </w:pPr>
            <w:r w:rsidRPr="00550FCE">
              <w:rPr>
                <w:rFonts w:cs="Arial"/>
                <w:color w:val="7F7F7F"/>
                <w:szCs w:val="18"/>
                <w:lang w:eastAsia="en-AU"/>
              </w:rPr>
              <w:t>Professional, Scientific and Technical Services</w:t>
            </w:r>
          </w:p>
        </w:tc>
        <w:tc>
          <w:tcPr>
            <w:tcW w:w="1134" w:type="dxa"/>
            <w:tcBorders>
              <w:top w:val="nil"/>
              <w:left w:val="nil"/>
              <w:bottom w:val="nil"/>
              <w:right w:val="nil"/>
            </w:tcBorders>
            <w:shd w:val="clear" w:color="auto" w:fill="auto"/>
            <w:noWrap/>
            <w:vAlign w:val="center"/>
            <w:hideMark/>
          </w:tcPr>
          <w:p w:rsidR="00550FCE" w:rsidRPr="00550FCE" w:rsidRDefault="00550FCE" w:rsidP="00550FCE">
            <w:pPr>
              <w:jc w:val="right"/>
              <w:rPr>
                <w:rFonts w:cs="Arial"/>
                <w:color w:val="7F7F7F"/>
                <w:szCs w:val="18"/>
                <w:lang w:eastAsia="en-AU"/>
              </w:rPr>
            </w:pPr>
            <w:r w:rsidRPr="00550FCE">
              <w:rPr>
                <w:rFonts w:cs="Arial"/>
                <w:color w:val="7F7F7F"/>
                <w:szCs w:val="18"/>
                <w:lang w:eastAsia="en-AU"/>
              </w:rPr>
              <w:t>-22%</w:t>
            </w:r>
          </w:p>
        </w:tc>
        <w:tc>
          <w:tcPr>
            <w:tcW w:w="1134" w:type="dxa"/>
            <w:tcBorders>
              <w:top w:val="nil"/>
              <w:left w:val="nil"/>
              <w:bottom w:val="nil"/>
              <w:right w:val="nil"/>
            </w:tcBorders>
            <w:shd w:val="clear" w:color="auto" w:fill="auto"/>
            <w:noWrap/>
            <w:vAlign w:val="center"/>
            <w:hideMark/>
          </w:tcPr>
          <w:p w:rsidR="00550FCE" w:rsidRPr="00550FCE" w:rsidRDefault="00550FCE" w:rsidP="00550FCE">
            <w:pPr>
              <w:jc w:val="right"/>
              <w:rPr>
                <w:rFonts w:cs="Arial"/>
                <w:color w:val="7F7F7F"/>
                <w:szCs w:val="18"/>
                <w:lang w:eastAsia="en-AU"/>
              </w:rPr>
            </w:pPr>
            <w:r w:rsidRPr="00550FCE">
              <w:rPr>
                <w:rFonts w:cs="Arial"/>
                <w:color w:val="7F7F7F"/>
                <w:szCs w:val="18"/>
                <w:lang w:eastAsia="en-AU"/>
              </w:rPr>
              <w:t>-33%</w:t>
            </w:r>
          </w:p>
        </w:tc>
        <w:tc>
          <w:tcPr>
            <w:tcW w:w="1134" w:type="dxa"/>
            <w:tcBorders>
              <w:top w:val="nil"/>
              <w:left w:val="nil"/>
              <w:bottom w:val="nil"/>
              <w:right w:val="nil"/>
            </w:tcBorders>
            <w:shd w:val="clear" w:color="auto" w:fill="auto"/>
            <w:noWrap/>
            <w:vAlign w:val="center"/>
            <w:hideMark/>
          </w:tcPr>
          <w:p w:rsidR="00550FCE" w:rsidRPr="00550FCE" w:rsidRDefault="00550FCE" w:rsidP="00550FCE">
            <w:pPr>
              <w:jc w:val="right"/>
              <w:rPr>
                <w:rFonts w:cs="Arial"/>
                <w:color w:val="7F7F7F"/>
                <w:szCs w:val="18"/>
                <w:lang w:eastAsia="en-AU"/>
              </w:rPr>
            </w:pPr>
            <w:r w:rsidRPr="00550FCE">
              <w:rPr>
                <w:rFonts w:cs="Arial"/>
                <w:color w:val="7F7F7F"/>
                <w:szCs w:val="18"/>
                <w:lang w:eastAsia="en-AU"/>
              </w:rPr>
              <w:t>-46%</w:t>
            </w:r>
          </w:p>
        </w:tc>
        <w:tc>
          <w:tcPr>
            <w:tcW w:w="1134" w:type="dxa"/>
            <w:tcBorders>
              <w:top w:val="nil"/>
              <w:left w:val="nil"/>
              <w:bottom w:val="nil"/>
              <w:right w:val="nil"/>
            </w:tcBorders>
            <w:shd w:val="clear" w:color="auto" w:fill="auto"/>
            <w:noWrap/>
            <w:vAlign w:val="center"/>
            <w:hideMark/>
          </w:tcPr>
          <w:p w:rsidR="00550FCE" w:rsidRPr="00550FCE" w:rsidRDefault="00550FCE" w:rsidP="00550FCE">
            <w:pPr>
              <w:jc w:val="right"/>
              <w:rPr>
                <w:rFonts w:cs="Arial"/>
                <w:color w:val="7F7F7F"/>
                <w:szCs w:val="18"/>
                <w:lang w:eastAsia="en-AU"/>
              </w:rPr>
            </w:pPr>
            <w:r w:rsidRPr="00550FCE">
              <w:rPr>
                <w:rFonts w:cs="Arial"/>
                <w:color w:val="7F7F7F"/>
                <w:szCs w:val="18"/>
                <w:lang w:eastAsia="en-AU"/>
              </w:rPr>
              <w:t>-29%</w:t>
            </w:r>
          </w:p>
        </w:tc>
        <w:tc>
          <w:tcPr>
            <w:tcW w:w="1134" w:type="dxa"/>
            <w:tcBorders>
              <w:top w:val="nil"/>
              <w:left w:val="nil"/>
              <w:bottom w:val="nil"/>
              <w:right w:val="nil"/>
            </w:tcBorders>
            <w:shd w:val="clear" w:color="auto" w:fill="auto"/>
            <w:noWrap/>
            <w:vAlign w:val="center"/>
            <w:hideMark/>
          </w:tcPr>
          <w:p w:rsidR="00550FCE" w:rsidRPr="00550FCE" w:rsidRDefault="00550FCE" w:rsidP="00550FCE">
            <w:pPr>
              <w:jc w:val="right"/>
              <w:rPr>
                <w:rFonts w:cs="Arial"/>
                <w:color w:val="7F7F7F"/>
                <w:szCs w:val="18"/>
                <w:lang w:eastAsia="en-AU"/>
              </w:rPr>
            </w:pPr>
            <w:r w:rsidRPr="00550FCE">
              <w:rPr>
                <w:rFonts w:cs="Arial"/>
                <w:color w:val="7F7F7F"/>
                <w:szCs w:val="18"/>
                <w:lang w:eastAsia="en-AU"/>
              </w:rPr>
              <w:t>-14%</w:t>
            </w:r>
          </w:p>
        </w:tc>
      </w:tr>
      <w:tr w:rsidR="00550FCE" w:rsidRPr="00550FCE" w:rsidTr="00550FCE">
        <w:trPr>
          <w:trHeight w:val="480"/>
        </w:trPr>
        <w:tc>
          <w:tcPr>
            <w:tcW w:w="2425" w:type="dxa"/>
            <w:tcBorders>
              <w:top w:val="nil"/>
              <w:left w:val="nil"/>
              <w:bottom w:val="nil"/>
              <w:right w:val="nil"/>
            </w:tcBorders>
            <w:shd w:val="clear" w:color="auto" w:fill="auto"/>
            <w:vAlign w:val="center"/>
            <w:hideMark/>
          </w:tcPr>
          <w:p w:rsidR="00550FCE" w:rsidRPr="00550FCE" w:rsidRDefault="00550FCE" w:rsidP="00550FCE">
            <w:pPr>
              <w:rPr>
                <w:rFonts w:cs="Arial"/>
                <w:color w:val="7F7F7F"/>
                <w:szCs w:val="18"/>
                <w:lang w:eastAsia="en-AU"/>
              </w:rPr>
            </w:pPr>
            <w:r w:rsidRPr="00550FCE">
              <w:rPr>
                <w:rFonts w:cs="Arial"/>
                <w:color w:val="7F7F7F"/>
                <w:szCs w:val="18"/>
                <w:lang w:eastAsia="en-AU"/>
              </w:rPr>
              <w:t>Public Administration and Safety</w:t>
            </w:r>
          </w:p>
        </w:tc>
        <w:tc>
          <w:tcPr>
            <w:tcW w:w="1134" w:type="dxa"/>
            <w:tcBorders>
              <w:top w:val="nil"/>
              <w:left w:val="nil"/>
              <w:bottom w:val="nil"/>
              <w:right w:val="nil"/>
            </w:tcBorders>
            <w:shd w:val="clear" w:color="auto" w:fill="auto"/>
            <w:noWrap/>
            <w:vAlign w:val="center"/>
            <w:hideMark/>
          </w:tcPr>
          <w:p w:rsidR="00550FCE" w:rsidRPr="00550FCE" w:rsidRDefault="00550FCE" w:rsidP="00550FCE">
            <w:pPr>
              <w:jc w:val="right"/>
              <w:rPr>
                <w:rFonts w:cs="Arial"/>
                <w:color w:val="7F7F7F"/>
                <w:szCs w:val="18"/>
                <w:lang w:eastAsia="en-AU"/>
              </w:rPr>
            </w:pPr>
            <w:r w:rsidRPr="00550FCE">
              <w:rPr>
                <w:rFonts w:cs="Arial"/>
                <w:color w:val="7F7F7F"/>
                <w:szCs w:val="18"/>
                <w:lang w:eastAsia="en-AU"/>
              </w:rPr>
              <w:t>91%</w:t>
            </w:r>
          </w:p>
        </w:tc>
        <w:tc>
          <w:tcPr>
            <w:tcW w:w="1134" w:type="dxa"/>
            <w:tcBorders>
              <w:top w:val="nil"/>
              <w:left w:val="nil"/>
              <w:bottom w:val="nil"/>
              <w:right w:val="nil"/>
            </w:tcBorders>
            <w:shd w:val="clear" w:color="auto" w:fill="auto"/>
            <w:noWrap/>
            <w:vAlign w:val="center"/>
            <w:hideMark/>
          </w:tcPr>
          <w:p w:rsidR="00550FCE" w:rsidRPr="00550FCE" w:rsidRDefault="00550FCE" w:rsidP="00550FCE">
            <w:pPr>
              <w:jc w:val="right"/>
              <w:rPr>
                <w:rFonts w:cs="Arial"/>
                <w:color w:val="7F7F7F"/>
                <w:szCs w:val="18"/>
                <w:lang w:eastAsia="en-AU"/>
              </w:rPr>
            </w:pPr>
            <w:r w:rsidRPr="00550FCE">
              <w:rPr>
                <w:rFonts w:cs="Arial"/>
                <w:color w:val="7F7F7F"/>
                <w:szCs w:val="18"/>
                <w:lang w:eastAsia="en-AU"/>
              </w:rPr>
              <w:t>173%</w:t>
            </w:r>
          </w:p>
        </w:tc>
        <w:tc>
          <w:tcPr>
            <w:tcW w:w="1134" w:type="dxa"/>
            <w:tcBorders>
              <w:top w:val="nil"/>
              <w:left w:val="nil"/>
              <w:bottom w:val="nil"/>
              <w:right w:val="nil"/>
            </w:tcBorders>
            <w:shd w:val="clear" w:color="auto" w:fill="auto"/>
            <w:noWrap/>
            <w:vAlign w:val="center"/>
            <w:hideMark/>
          </w:tcPr>
          <w:p w:rsidR="00550FCE" w:rsidRPr="00550FCE" w:rsidRDefault="00550FCE" w:rsidP="00550FCE">
            <w:pPr>
              <w:jc w:val="right"/>
              <w:rPr>
                <w:rFonts w:cs="Arial"/>
                <w:color w:val="7F7F7F"/>
                <w:szCs w:val="18"/>
                <w:lang w:eastAsia="en-AU"/>
              </w:rPr>
            </w:pPr>
            <w:r w:rsidRPr="00550FCE">
              <w:rPr>
                <w:rFonts w:cs="Arial"/>
                <w:color w:val="7F7F7F"/>
                <w:szCs w:val="18"/>
                <w:lang w:eastAsia="en-AU"/>
              </w:rPr>
              <w:t>21%</w:t>
            </w:r>
          </w:p>
        </w:tc>
        <w:tc>
          <w:tcPr>
            <w:tcW w:w="1134" w:type="dxa"/>
            <w:tcBorders>
              <w:top w:val="nil"/>
              <w:left w:val="nil"/>
              <w:bottom w:val="nil"/>
              <w:right w:val="nil"/>
            </w:tcBorders>
            <w:shd w:val="clear" w:color="auto" w:fill="auto"/>
            <w:noWrap/>
            <w:vAlign w:val="center"/>
            <w:hideMark/>
          </w:tcPr>
          <w:p w:rsidR="00550FCE" w:rsidRPr="00550FCE" w:rsidRDefault="00550FCE" w:rsidP="00550FCE">
            <w:pPr>
              <w:jc w:val="right"/>
              <w:rPr>
                <w:rFonts w:cs="Arial"/>
                <w:color w:val="7F7F7F"/>
                <w:szCs w:val="18"/>
                <w:lang w:eastAsia="en-AU"/>
              </w:rPr>
            </w:pPr>
            <w:r w:rsidRPr="00550FCE">
              <w:rPr>
                <w:rFonts w:cs="Arial"/>
                <w:color w:val="7F7F7F"/>
                <w:szCs w:val="18"/>
                <w:lang w:eastAsia="en-AU"/>
              </w:rPr>
              <w:t>-6%</w:t>
            </w:r>
          </w:p>
        </w:tc>
        <w:tc>
          <w:tcPr>
            <w:tcW w:w="1134" w:type="dxa"/>
            <w:tcBorders>
              <w:top w:val="nil"/>
              <w:left w:val="nil"/>
              <w:bottom w:val="nil"/>
              <w:right w:val="nil"/>
            </w:tcBorders>
            <w:shd w:val="clear" w:color="auto" w:fill="auto"/>
            <w:noWrap/>
            <w:vAlign w:val="center"/>
            <w:hideMark/>
          </w:tcPr>
          <w:p w:rsidR="00550FCE" w:rsidRPr="00550FCE" w:rsidRDefault="00550FCE" w:rsidP="00550FCE">
            <w:pPr>
              <w:jc w:val="right"/>
              <w:rPr>
                <w:rFonts w:cs="Arial"/>
                <w:color w:val="7F7F7F"/>
                <w:szCs w:val="18"/>
                <w:lang w:eastAsia="en-AU"/>
              </w:rPr>
            </w:pPr>
            <w:r w:rsidRPr="00550FCE">
              <w:rPr>
                <w:rFonts w:cs="Arial"/>
                <w:color w:val="7F7F7F"/>
                <w:szCs w:val="18"/>
                <w:lang w:eastAsia="en-AU"/>
              </w:rPr>
              <w:t>-53%</w:t>
            </w:r>
          </w:p>
        </w:tc>
      </w:tr>
      <w:tr w:rsidR="00550FCE" w:rsidRPr="00550FCE" w:rsidTr="00550FCE">
        <w:trPr>
          <w:trHeight w:val="480"/>
        </w:trPr>
        <w:tc>
          <w:tcPr>
            <w:tcW w:w="2425" w:type="dxa"/>
            <w:tcBorders>
              <w:top w:val="nil"/>
              <w:left w:val="nil"/>
              <w:bottom w:val="nil"/>
              <w:right w:val="nil"/>
            </w:tcBorders>
            <w:shd w:val="clear" w:color="auto" w:fill="auto"/>
            <w:vAlign w:val="center"/>
            <w:hideMark/>
          </w:tcPr>
          <w:p w:rsidR="00550FCE" w:rsidRPr="00550FCE" w:rsidRDefault="00550FCE" w:rsidP="00550FCE">
            <w:pPr>
              <w:rPr>
                <w:rFonts w:cs="Arial"/>
                <w:color w:val="7F7F7F"/>
                <w:szCs w:val="18"/>
                <w:lang w:eastAsia="en-AU"/>
              </w:rPr>
            </w:pPr>
            <w:r w:rsidRPr="00550FCE">
              <w:rPr>
                <w:rFonts w:cs="Arial"/>
                <w:color w:val="7F7F7F"/>
                <w:szCs w:val="18"/>
                <w:lang w:eastAsia="en-AU"/>
              </w:rPr>
              <w:t>Rental, Hiring and Real Estate Services</w:t>
            </w:r>
          </w:p>
        </w:tc>
        <w:tc>
          <w:tcPr>
            <w:tcW w:w="1134" w:type="dxa"/>
            <w:tcBorders>
              <w:top w:val="nil"/>
              <w:left w:val="nil"/>
              <w:bottom w:val="nil"/>
              <w:right w:val="nil"/>
            </w:tcBorders>
            <w:shd w:val="clear" w:color="auto" w:fill="auto"/>
            <w:noWrap/>
            <w:vAlign w:val="center"/>
            <w:hideMark/>
          </w:tcPr>
          <w:p w:rsidR="00550FCE" w:rsidRPr="00550FCE" w:rsidRDefault="00550FCE" w:rsidP="00550FCE">
            <w:pPr>
              <w:jc w:val="right"/>
              <w:rPr>
                <w:rFonts w:cs="Arial"/>
                <w:color w:val="7F7F7F"/>
                <w:szCs w:val="18"/>
                <w:lang w:eastAsia="en-AU"/>
              </w:rPr>
            </w:pPr>
            <w:r w:rsidRPr="00550FCE">
              <w:rPr>
                <w:rFonts w:cs="Arial"/>
                <w:color w:val="7F7F7F"/>
                <w:szCs w:val="18"/>
                <w:lang w:eastAsia="en-AU"/>
              </w:rPr>
              <w:t>-33%</w:t>
            </w:r>
          </w:p>
        </w:tc>
        <w:tc>
          <w:tcPr>
            <w:tcW w:w="1134" w:type="dxa"/>
            <w:tcBorders>
              <w:top w:val="nil"/>
              <w:left w:val="nil"/>
              <w:bottom w:val="nil"/>
              <w:right w:val="nil"/>
            </w:tcBorders>
            <w:shd w:val="clear" w:color="auto" w:fill="auto"/>
            <w:noWrap/>
            <w:vAlign w:val="center"/>
            <w:hideMark/>
          </w:tcPr>
          <w:p w:rsidR="00550FCE" w:rsidRPr="00550FCE" w:rsidRDefault="00550FCE" w:rsidP="00550FCE">
            <w:pPr>
              <w:jc w:val="right"/>
              <w:rPr>
                <w:rFonts w:cs="Arial"/>
                <w:color w:val="7F7F7F"/>
                <w:szCs w:val="18"/>
                <w:lang w:eastAsia="en-AU"/>
              </w:rPr>
            </w:pPr>
            <w:r w:rsidRPr="00550FCE">
              <w:rPr>
                <w:rFonts w:cs="Arial"/>
                <w:color w:val="7F7F7F"/>
                <w:szCs w:val="18"/>
                <w:lang w:eastAsia="en-AU"/>
              </w:rPr>
              <w:t>-41%</w:t>
            </w:r>
          </w:p>
        </w:tc>
        <w:tc>
          <w:tcPr>
            <w:tcW w:w="1134" w:type="dxa"/>
            <w:tcBorders>
              <w:top w:val="nil"/>
              <w:left w:val="nil"/>
              <w:bottom w:val="nil"/>
              <w:right w:val="nil"/>
            </w:tcBorders>
            <w:shd w:val="clear" w:color="auto" w:fill="auto"/>
            <w:noWrap/>
            <w:vAlign w:val="center"/>
            <w:hideMark/>
          </w:tcPr>
          <w:p w:rsidR="00550FCE" w:rsidRPr="00550FCE" w:rsidRDefault="00550FCE" w:rsidP="00550FCE">
            <w:pPr>
              <w:jc w:val="right"/>
              <w:rPr>
                <w:rFonts w:cs="Arial"/>
                <w:color w:val="7F7F7F"/>
                <w:szCs w:val="18"/>
                <w:lang w:eastAsia="en-AU"/>
              </w:rPr>
            </w:pPr>
            <w:r w:rsidRPr="00550FCE">
              <w:rPr>
                <w:rFonts w:cs="Arial"/>
                <w:color w:val="7F7F7F"/>
                <w:szCs w:val="18"/>
                <w:lang w:eastAsia="en-AU"/>
              </w:rPr>
              <w:t>-67%</w:t>
            </w:r>
          </w:p>
        </w:tc>
        <w:tc>
          <w:tcPr>
            <w:tcW w:w="1134" w:type="dxa"/>
            <w:tcBorders>
              <w:top w:val="nil"/>
              <w:left w:val="nil"/>
              <w:bottom w:val="nil"/>
              <w:right w:val="nil"/>
            </w:tcBorders>
            <w:shd w:val="clear" w:color="auto" w:fill="auto"/>
            <w:noWrap/>
            <w:vAlign w:val="center"/>
            <w:hideMark/>
          </w:tcPr>
          <w:p w:rsidR="00550FCE" w:rsidRPr="00550FCE" w:rsidRDefault="00550FCE" w:rsidP="00550FCE">
            <w:pPr>
              <w:jc w:val="right"/>
              <w:rPr>
                <w:rFonts w:cs="Arial"/>
                <w:color w:val="7F7F7F"/>
                <w:szCs w:val="18"/>
                <w:lang w:eastAsia="en-AU"/>
              </w:rPr>
            </w:pPr>
            <w:r w:rsidRPr="00550FCE">
              <w:rPr>
                <w:rFonts w:cs="Arial"/>
                <w:color w:val="7F7F7F"/>
                <w:szCs w:val="18"/>
                <w:lang w:eastAsia="en-AU"/>
              </w:rPr>
              <w:t>-42%</w:t>
            </w:r>
          </w:p>
        </w:tc>
        <w:tc>
          <w:tcPr>
            <w:tcW w:w="1134" w:type="dxa"/>
            <w:tcBorders>
              <w:top w:val="nil"/>
              <w:left w:val="nil"/>
              <w:bottom w:val="nil"/>
              <w:right w:val="nil"/>
            </w:tcBorders>
            <w:shd w:val="clear" w:color="auto" w:fill="auto"/>
            <w:noWrap/>
            <w:vAlign w:val="center"/>
            <w:hideMark/>
          </w:tcPr>
          <w:p w:rsidR="00550FCE" w:rsidRPr="00550FCE" w:rsidRDefault="00550FCE" w:rsidP="00550FCE">
            <w:pPr>
              <w:jc w:val="right"/>
              <w:rPr>
                <w:rFonts w:cs="Arial"/>
                <w:color w:val="7F7F7F"/>
                <w:szCs w:val="18"/>
                <w:lang w:eastAsia="en-AU"/>
              </w:rPr>
            </w:pPr>
            <w:r w:rsidRPr="00550FCE">
              <w:rPr>
                <w:rFonts w:cs="Arial"/>
                <w:color w:val="7F7F7F"/>
                <w:szCs w:val="18"/>
                <w:lang w:eastAsia="en-AU"/>
              </w:rPr>
              <w:t>-22%</w:t>
            </w:r>
          </w:p>
        </w:tc>
      </w:tr>
      <w:tr w:rsidR="00550FCE" w:rsidRPr="00550FCE" w:rsidTr="00550FCE">
        <w:trPr>
          <w:trHeight w:val="300"/>
        </w:trPr>
        <w:tc>
          <w:tcPr>
            <w:tcW w:w="2425" w:type="dxa"/>
            <w:tcBorders>
              <w:top w:val="nil"/>
              <w:left w:val="nil"/>
              <w:bottom w:val="nil"/>
              <w:right w:val="nil"/>
            </w:tcBorders>
            <w:shd w:val="clear" w:color="auto" w:fill="auto"/>
            <w:vAlign w:val="center"/>
            <w:hideMark/>
          </w:tcPr>
          <w:p w:rsidR="00550FCE" w:rsidRPr="00550FCE" w:rsidRDefault="00550FCE" w:rsidP="00550FCE">
            <w:pPr>
              <w:rPr>
                <w:rFonts w:cs="Arial"/>
                <w:color w:val="7F7F7F"/>
                <w:szCs w:val="18"/>
                <w:lang w:eastAsia="en-AU"/>
              </w:rPr>
            </w:pPr>
            <w:r w:rsidRPr="00550FCE">
              <w:rPr>
                <w:rFonts w:cs="Arial"/>
                <w:color w:val="7F7F7F"/>
                <w:szCs w:val="18"/>
                <w:lang w:eastAsia="en-AU"/>
              </w:rPr>
              <w:t>Retail Trade</w:t>
            </w:r>
          </w:p>
        </w:tc>
        <w:tc>
          <w:tcPr>
            <w:tcW w:w="1134" w:type="dxa"/>
            <w:tcBorders>
              <w:top w:val="nil"/>
              <w:left w:val="nil"/>
              <w:bottom w:val="nil"/>
              <w:right w:val="nil"/>
            </w:tcBorders>
            <w:shd w:val="clear" w:color="auto" w:fill="auto"/>
            <w:noWrap/>
            <w:vAlign w:val="center"/>
            <w:hideMark/>
          </w:tcPr>
          <w:p w:rsidR="00550FCE" w:rsidRPr="00550FCE" w:rsidRDefault="00550FCE" w:rsidP="00550FCE">
            <w:pPr>
              <w:jc w:val="right"/>
              <w:rPr>
                <w:rFonts w:cs="Arial"/>
                <w:color w:val="7F7F7F"/>
                <w:szCs w:val="18"/>
                <w:lang w:eastAsia="en-AU"/>
              </w:rPr>
            </w:pPr>
            <w:r w:rsidRPr="00550FCE">
              <w:rPr>
                <w:rFonts w:cs="Arial"/>
                <w:color w:val="7F7F7F"/>
                <w:szCs w:val="18"/>
                <w:lang w:eastAsia="en-AU"/>
              </w:rPr>
              <w:t>-87%</w:t>
            </w:r>
          </w:p>
        </w:tc>
        <w:tc>
          <w:tcPr>
            <w:tcW w:w="1134" w:type="dxa"/>
            <w:tcBorders>
              <w:top w:val="nil"/>
              <w:left w:val="nil"/>
              <w:bottom w:val="nil"/>
              <w:right w:val="nil"/>
            </w:tcBorders>
            <w:shd w:val="clear" w:color="auto" w:fill="auto"/>
            <w:noWrap/>
            <w:vAlign w:val="center"/>
            <w:hideMark/>
          </w:tcPr>
          <w:p w:rsidR="00550FCE" w:rsidRPr="00550FCE" w:rsidRDefault="00550FCE" w:rsidP="00550FCE">
            <w:pPr>
              <w:jc w:val="right"/>
              <w:rPr>
                <w:rFonts w:cs="Arial"/>
                <w:color w:val="7F7F7F"/>
                <w:szCs w:val="18"/>
                <w:lang w:eastAsia="en-AU"/>
              </w:rPr>
            </w:pPr>
            <w:r w:rsidRPr="00550FCE">
              <w:rPr>
                <w:rFonts w:cs="Arial"/>
                <w:color w:val="7F7F7F"/>
                <w:szCs w:val="18"/>
                <w:lang w:eastAsia="en-AU"/>
              </w:rPr>
              <w:t>-89%</w:t>
            </w:r>
          </w:p>
        </w:tc>
        <w:tc>
          <w:tcPr>
            <w:tcW w:w="1134" w:type="dxa"/>
            <w:tcBorders>
              <w:top w:val="nil"/>
              <w:left w:val="nil"/>
              <w:bottom w:val="nil"/>
              <w:right w:val="nil"/>
            </w:tcBorders>
            <w:shd w:val="clear" w:color="auto" w:fill="auto"/>
            <w:noWrap/>
            <w:vAlign w:val="center"/>
            <w:hideMark/>
          </w:tcPr>
          <w:p w:rsidR="00550FCE" w:rsidRPr="00550FCE" w:rsidRDefault="00550FCE" w:rsidP="00550FCE">
            <w:pPr>
              <w:jc w:val="right"/>
              <w:rPr>
                <w:rFonts w:cs="Arial"/>
                <w:color w:val="7F7F7F"/>
                <w:szCs w:val="18"/>
                <w:lang w:eastAsia="en-AU"/>
              </w:rPr>
            </w:pPr>
            <w:r w:rsidRPr="00550FCE">
              <w:rPr>
                <w:rFonts w:cs="Arial"/>
                <w:color w:val="7F7F7F"/>
                <w:szCs w:val="18"/>
                <w:lang w:eastAsia="en-AU"/>
              </w:rPr>
              <w:t>-91%</w:t>
            </w:r>
          </w:p>
        </w:tc>
        <w:tc>
          <w:tcPr>
            <w:tcW w:w="1134" w:type="dxa"/>
            <w:tcBorders>
              <w:top w:val="nil"/>
              <w:left w:val="nil"/>
              <w:bottom w:val="nil"/>
              <w:right w:val="nil"/>
            </w:tcBorders>
            <w:shd w:val="clear" w:color="auto" w:fill="auto"/>
            <w:noWrap/>
            <w:vAlign w:val="center"/>
            <w:hideMark/>
          </w:tcPr>
          <w:p w:rsidR="00550FCE" w:rsidRPr="00550FCE" w:rsidRDefault="00550FCE" w:rsidP="00550FCE">
            <w:pPr>
              <w:jc w:val="right"/>
              <w:rPr>
                <w:rFonts w:cs="Arial"/>
                <w:color w:val="7F7F7F"/>
                <w:szCs w:val="18"/>
                <w:lang w:eastAsia="en-AU"/>
              </w:rPr>
            </w:pPr>
            <w:r w:rsidRPr="00550FCE">
              <w:rPr>
                <w:rFonts w:cs="Arial"/>
                <w:color w:val="7F7F7F"/>
                <w:szCs w:val="18"/>
                <w:lang w:eastAsia="en-AU"/>
              </w:rPr>
              <w:t>-79%</w:t>
            </w:r>
          </w:p>
        </w:tc>
        <w:tc>
          <w:tcPr>
            <w:tcW w:w="1134" w:type="dxa"/>
            <w:tcBorders>
              <w:top w:val="nil"/>
              <w:left w:val="nil"/>
              <w:bottom w:val="nil"/>
              <w:right w:val="nil"/>
            </w:tcBorders>
            <w:shd w:val="clear" w:color="auto" w:fill="auto"/>
            <w:noWrap/>
            <w:vAlign w:val="center"/>
            <w:hideMark/>
          </w:tcPr>
          <w:p w:rsidR="00550FCE" w:rsidRPr="00550FCE" w:rsidRDefault="00550FCE" w:rsidP="00550FCE">
            <w:pPr>
              <w:jc w:val="right"/>
              <w:rPr>
                <w:rFonts w:cs="Arial"/>
                <w:color w:val="7F7F7F"/>
                <w:szCs w:val="18"/>
                <w:lang w:eastAsia="en-AU"/>
              </w:rPr>
            </w:pPr>
            <w:r w:rsidRPr="00550FCE">
              <w:rPr>
                <w:rFonts w:cs="Arial"/>
                <w:color w:val="7F7F7F"/>
                <w:szCs w:val="18"/>
                <w:lang w:eastAsia="en-AU"/>
              </w:rPr>
              <w:t>-49%</w:t>
            </w:r>
          </w:p>
        </w:tc>
      </w:tr>
      <w:tr w:rsidR="00550FCE" w:rsidRPr="00550FCE" w:rsidTr="00550FCE">
        <w:trPr>
          <w:trHeight w:val="480"/>
        </w:trPr>
        <w:tc>
          <w:tcPr>
            <w:tcW w:w="2425" w:type="dxa"/>
            <w:tcBorders>
              <w:top w:val="nil"/>
              <w:left w:val="nil"/>
              <w:bottom w:val="nil"/>
              <w:right w:val="nil"/>
            </w:tcBorders>
            <w:shd w:val="clear" w:color="auto" w:fill="auto"/>
            <w:vAlign w:val="center"/>
            <w:hideMark/>
          </w:tcPr>
          <w:p w:rsidR="00550FCE" w:rsidRPr="00550FCE" w:rsidRDefault="00550FCE" w:rsidP="00550FCE">
            <w:pPr>
              <w:rPr>
                <w:rFonts w:cs="Arial"/>
                <w:color w:val="7F7F7F"/>
                <w:szCs w:val="18"/>
                <w:lang w:eastAsia="en-AU"/>
              </w:rPr>
            </w:pPr>
            <w:r w:rsidRPr="00550FCE">
              <w:rPr>
                <w:rFonts w:cs="Arial"/>
                <w:color w:val="7F7F7F"/>
                <w:szCs w:val="18"/>
                <w:lang w:eastAsia="en-AU"/>
              </w:rPr>
              <w:t>Transport, Postal and Warehousing</w:t>
            </w:r>
          </w:p>
        </w:tc>
        <w:tc>
          <w:tcPr>
            <w:tcW w:w="1134" w:type="dxa"/>
            <w:tcBorders>
              <w:top w:val="nil"/>
              <w:left w:val="nil"/>
              <w:bottom w:val="nil"/>
              <w:right w:val="nil"/>
            </w:tcBorders>
            <w:shd w:val="clear" w:color="auto" w:fill="auto"/>
            <w:noWrap/>
            <w:vAlign w:val="center"/>
            <w:hideMark/>
          </w:tcPr>
          <w:p w:rsidR="00550FCE" w:rsidRPr="00550FCE" w:rsidRDefault="00550FCE" w:rsidP="00550FCE">
            <w:pPr>
              <w:jc w:val="right"/>
              <w:rPr>
                <w:rFonts w:cs="Arial"/>
                <w:color w:val="7F7F7F"/>
                <w:szCs w:val="18"/>
                <w:lang w:eastAsia="en-AU"/>
              </w:rPr>
            </w:pPr>
            <w:r w:rsidRPr="00550FCE">
              <w:rPr>
                <w:rFonts w:cs="Arial"/>
                <w:color w:val="7F7F7F"/>
                <w:szCs w:val="18"/>
                <w:lang w:eastAsia="en-AU"/>
              </w:rPr>
              <w:t>-15%</w:t>
            </w:r>
          </w:p>
        </w:tc>
        <w:tc>
          <w:tcPr>
            <w:tcW w:w="1134" w:type="dxa"/>
            <w:tcBorders>
              <w:top w:val="nil"/>
              <w:left w:val="nil"/>
              <w:bottom w:val="nil"/>
              <w:right w:val="nil"/>
            </w:tcBorders>
            <w:shd w:val="clear" w:color="auto" w:fill="auto"/>
            <w:noWrap/>
            <w:vAlign w:val="center"/>
            <w:hideMark/>
          </w:tcPr>
          <w:p w:rsidR="00550FCE" w:rsidRPr="00550FCE" w:rsidRDefault="00550FCE" w:rsidP="00550FCE">
            <w:pPr>
              <w:jc w:val="right"/>
              <w:rPr>
                <w:rFonts w:cs="Arial"/>
                <w:color w:val="7F7F7F"/>
                <w:szCs w:val="18"/>
                <w:lang w:eastAsia="en-AU"/>
              </w:rPr>
            </w:pPr>
            <w:r w:rsidRPr="00550FCE">
              <w:rPr>
                <w:rFonts w:cs="Arial"/>
                <w:color w:val="7F7F7F"/>
                <w:szCs w:val="18"/>
                <w:lang w:eastAsia="en-AU"/>
              </w:rPr>
              <w:t>-47%</w:t>
            </w:r>
          </w:p>
        </w:tc>
        <w:tc>
          <w:tcPr>
            <w:tcW w:w="1134" w:type="dxa"/>
            <w:tcBorders>
              <w:top w:val="nil"/>
              <w:left w:val="nil"/>
              <w:bottom w:val="nil"/>
              <w:right w:val="nil"/>
            </w:tcBorders>
            <w:shd w:val="clear" w:color="auto" w:fill="auto"/>
            <w:noWrap/>
            <w:vAlign w:val="center"/>
            <w:hideMark/>
          </w:tcPr>
          <w:p w:rsidR="00550FCE" w:rsidRPr="00550FCE" w:rsidRDefault="00550FCE" w:rsidP="00550FCE">
            <w:pPr>
              <w:jc w:val="right"/>
              <w:rPr>
                <w:rFonts w:cs="Arial"/>
                <w:color w:val="7F7F7F"/>
                <w:szCs w:val="18"/>
                <w:lang w:eastAsia="en-AU"/>
              </w:rPr>
            </w:pPr>
            <w:r w:rsidRPr="00550FCE">
              <w:rPr>
                <w:rFonts w:cs="Arial"/>
                <w:color w:val="7F7F7F"/>
                <w:szCs w:val="18"/>
                <w:lang w:eastAsia="en-AU"/>
              </w:rPr>
              <w:t>-62%</w:t>
            </w:r>
          </w:p>
        </w:tc>
        <w:tc>
          <w:tcPr>
            <w:tcW w:w="1134" w:type="dxa"/>
            <w:tcBorders>
              <w:top w:val="nil"/>
              <w:left w:val="nil"/>
              <w:bottom w:val="nil"/>
              <w:right w:val="nil"/>
            </w:tcBorders>
            <w:shd w:val="clear" w:color="auto" w:fill="auto"/>
            <w:noWrap/>
            <w:vAlign w:val="center"/>
            <w:hideMark/>
          </w:tcPr>
          <w:p w:rsidR="00550FCE" w:rsidRPr="00550FCE" w:rsidRDefault="00550FCE" w:rsidP="00550FCE">
            <w:pPr>
              <w:jc w:val="right"/>
              <w:rPr>
                <w:rFonts w:cs="Arial"/>
                <w:color w:val="7F7F7F"/>
                <w:szCs w:val="18"/>
                <w:lang w:eastAsia="en-AU"/>
              </w:rPr>
            </w:pPr>
            <w:r w:rsidRPr="00550FCE">
              <w:rPr>
                <w:rFonts w:cs="Arial"/>
                <w:color w:val="7F7F7F"/>
                <w:szCs w:val="18"/>
                <w:lang w:eastAsia="en-AU"/>
              </w:rPr>
              <w:t>-62%</w:t>
            </w:r>
          </w:p>
        </w:tc>
        <w:tc>
          <w:tcPr>
            <w:tcW w:w="1134" w:type="dxa"/>
            <w:tcBorders>
              <w:top w:val="nil"/>
              <w:left w:val="nil"/>
              <w:bottom w:val="nil"/>
              <w:right w:val="nil"/>
            </w:tcBorders>
            <w:shd w:val="clear" w:color="auto" w:fill="auto"/>
            <w:noWrap/>
            <w:vAlign w:val="center"/>
            <w:hideMark/>
          </w:tcPr>
          <w:p w:rsidR="00550FCE" w:rsidRPr="00550FCE" w:rsidRDefault="00550FCE" w:rsidP="00550FCE">
            <w:pPr>
              <w:jc w:val="right"/>
              <w:rPr>
                <w:rFonts w:cs="Arial"/>
                <w:color w:val="7F7F7F"/>
                <w:szCs w:val="18"/>
                <w:lang w:eastAsia="en-AU"/>
              </w:rPr>
            </w:pPr>
            <w:r w:rsidRPr="00550FCE">
              <w:rPr>
                <w:rFonts w:cs="Arial"/>
                <w:color w:val="7F7F7F"/>
                <w:szCs w:val="18"/>
                <w:lang w:eastAsia="en-AU"/>
              </w:rPr>
              <w:t>-59%</w:t>
            </w:r>
          </w:p>
        </w:tc>
      </w:tr>
      <w:tr w:rsidR="00550FCE" w:rsidRPr="00550FCE" w:rsidTr="00550FCE">
        <w:trPr>
          <w:trHeight w:val="300"/>
        </w:trPr>
        <w:tc>
          <w:tcPr>
            <w:tcW w:w="2425" w:type="dxa"/>
            <w:tcBorders>
              <w:top w:val="nil"/>
              <w:left w:val="nil"/>
              <w:bottom w:val="nil"/>
              <w:right w:val="nil"/>
            </w:tcBorders>
            <w:shd w:val="clear" w:color="auto" w:fill="auto"/>
            <w:vAlign w:val="center"/>
            <w:hideMark/>
          </w:tcPr>
          <w:p w:rsidR="00550FCE" w:rsidRPr="00550FCE" w:rsidRDefault="00550FCE" w:rsidP="00550FCE">
            <w:pPr>
              <w:rPr>
                <w:rFonts w:cs="Arial"/>
                <w:color w:val="7F7F7F"/>
                <w:szCs w:val="18"/>
                <w:lang w:eastAsia="en-AU"/>
              </w:rPr>
            </w:pPr>
            <w:r w:rsidRPr="00550FCE">
              <w:rPr>
                <w:rFonts w:cs="Arial"/>
                <w:color w:val="7F7F7F"/>
                <w:szCs w:val="18"/>
                <w:lang w:eastAsia="en-AU"/>
              </w:rPr>
              <w:t>Wholesale Trade</w:t>
            </w:r>
          </w:p>
        </w:tc>
        <w:tc>
          <w:tcPr>
            <w:tcW w:w="1134" w:type="dxa"/>
            <w:tcBorders>
              <w:top w:val="nil"/>
              <w:left w:val="nil"/>
              <w:bottom w:val="nil"/>
              <w:right w:val="nil"/>
            </w:tcBorders>
            <w:shd w:val="clear" w:color="auto" w:fill="auto"/>
            <w:noWrap/>
            <w:vAlign w:val="center"/>
            <w:hideMark/>
          </w:tcPr>
          <w:p w:rsidR="00550FCE" w:rsidRPr="00550FCE" w:rsidRDefault="00550FCE" w:rsidP="00550FCE">
            <w:pPr>
              <w:jc w:val="right"/>
              <w:rPr>
                <w:rFonts w:cs="Arial"/>
                <w:color w:val="7F7F7F"/>
                <w:szCs w:val="18"/>
                <w:lang w:eastAsia="en-AU"/>
              </w:rPr>
            </w:pPr>
            <w:r w:rsidRPr="00550FCE">
              <w:rPr>
                <w:rFonts w:cs="Arial"/>
                <w:color w:val="7F7F7F"/>
                <w:szCs w:val="18"/>
                <w:lang w:eastAsia="en-AU"/>
              </w:rPr>
              <w:t>-86%</w:t>
            </w:r>
          </w:p>
        </w:tc>
        <w:tc>
          <w:tcPr>
            <w:tcW w:w="1134" w:type="dxa"/>
            <w:tcBorders>
              <w:top w:val="nil"/>
              <w:left w:val="nil"/>
              <w:bottom w:val="nil"/>
              <w:right w:val="nil"/>
            </w:tcBorders>
            <w:shd w:val="clear" w:color="auto" w:fill="auto"/>
            <w:noWrap/>
            <w:vAlign w:val="center"/>
            <w:hideMark/>
          </w:tcPr>
          <w:p w:rsidR="00550FCE" w:rsidRPr="00550FCE" w:rsidRDefault="00550FCE" w:rsidP="00550FCE">
            <w:pPr>
              <w:jc w:val="right"/>
              <w:rPr>
                <w:rFonts w:cs="Arial"/>
                <w:color w:val="7F7F7F"/>
                <w:szCs w:val="18"/>
                <w:lang w:eastAsia="en-AU"/>
              </w:rPr>
            </w:pPr>
            <w:r w:rsidRPr="00550FCE">
              <w:rPr>
                <w:rFonts w:cs="Arial"/>
                <w:color w:val="7F7F7F"/>
                <w:szCs w:val="18"/>
                <w:lang w:eastAsia="en-AU"/>
              </w:rPr>
              <w:t>-95%</w:t>
            </w:r>
          </w:p>
        </w:tc>
        <w:tc>
          <w:tcPr>
            <w:tcW w:w="1134" w:type="dxa"/>
            <w:tcBorders>
              <w:top w:val="nil"/>
              <w:left w:val="nil"/>
              <w:bottom w:val="nil"/>
              <w:right w:val="nil"/>
            </w:tcBorders>
            <w:shd w:val="clear" w:color="auto" w:fill="auto"/>
            <w:noWrap/>
            <w:vAlign w:val="center"/>
            <w:hideMark/>
          </w:tcPr>
          <w:p w:rsidR="00550FCE" w:rsidRPr="00550FCE" w:rsidRDefault="00550FCE" w:rsidP="00550FCE">
            <w:pPr>
              <w:jc w:val="right"/>
              <w:rPr>
                <w:rFonts w:cs="Arial"/>
                <w:color w:val="7F7F7F"/>
                <w:szCs w:val="18"/>
                <w:lang w:eastAsia="en-AU"/>
              </w:rPr>
            </w:pPr>
            <w:r w:rsidRPr="00550FCE">
              <w:rPr>
                <w:rFonts w:cs="Arial"/>
                <w:color w:val="7F7F7F"/>
                <w:szCs w:val="18"/>
                <w:lang w:eastAsia="en-AU"/>
              </w:rPr>
              <w:t>-97%</w:t>
            </w:r>
          </w:p>
        </w:tc>
        <w:tc>
          <w:tcPr>
            <w:tcW w:w="1134" w:type="dxa"/>
            <w:tcBorders>
              <w:top w:val="nil"/>
              <w:left w:val="nil"/>
              <w:bottom w:val="nil"/>
              <w:right w:val="nil"/>
            </w:tcBorders>
            <w:shd w:val="clear" w:color="auto" w:fill="auto"/>
            <w:noWrap/>
            <w:vAlign w:val="center"/>
            <w:hideMark/>
          </w:tcPr>
          <w:p w:rsidR="00550FCE" w:rsidRPr="00550FCE" w:rsidRDefault="00550FCE" w:rsidP="00550FCE">
            <w:pPr>
              <w:jc w:val="right"/>
              <w:rPr>
                <w:rFonts w:cs="Arial"/>
                <w:color w:val="7F7F7F"/>
                <w:szCs w:val="18"/>
                <w:lang w:eastAsia="en-AU"/>
              </w:rPr>
            </w:pPr>
            <w:r w:rsidRPr="00550FCE">
              <w:rPr>
                <w:rFonts w:cs="Arial"/>
                <w:color w:val="7F7F7F"/>
                <w:szCs w:val="18"/>
                <w:lang w:eastAsia="en-AU"/>
              </w:rPr>
              <w:t>-96%</w:t>
            </w:r>
          </w:p>
        </w:tc>
        <w:tc>
          <w:tcPr>
            <w:tcW w:w="1134" w:type="dxa"/>
            <w:tcBorders>
              <w:top w:val="nil"/>
              <w:left w:val="nil"/>
              <w:bottom w:val="nil"/>
              <w:right w:val="nil"/>
            </w:tcBorders>
            <w:shd w:val="clear" w:color="auto" w:fill="auto"/>
            <w:noWrap/>
            <w:vAlign w:val="center"/>
            <w:hideMark/>
          </w:tcPr>
          <w:p w:rsidR="00550FCE" w:rsidRPr="00550FCE" w:rsidRDefault="00550FCE" w:rsidP="00550FCE">
            <w:pPr>
              <w:jc w:val="right"/>
              <w:rPr>
                <w:rFonts w:cs="Arial"/>
                <w:color w:val="7F7F7F"/>
                <w:szCs w:val="18"/>
                <w:lang w:eastAsia="en-AU"/>
              </w:rPr>
            </w:pPr>
            <w:r w:rsidRPr="00550FCE">
              <w:rPr>
                <w:rFonts w:cs="Arial"/>
                <w:color w:val="7F7F7F"/>
                <w:szCs w:val="18"/>
                <w:lang w:eastAsia="en-AU"/>
              </w:rPr>
              <w:t>-82%</w:t>
            </w:r>
          </w:p>
        </w:tc>
      </w:tr>
      <w:tr w:rsidR="00550FCE" w:rsidRPr="00550FCE" w:rsidTr="00550FCE">
        <w:trPr>
          <w:trHeight w:val="300"/>
        </w:trPr>
        <w:tc>
          <w:tcPr>
            <w:tcW w:w="2425" w:type="dxa"/>
            <w:tcBorders>
              <w:top w:val="nil"/>
              <w:left w:val="nil"/>
              <w:bottom w:val="nil"/>
              <w:right w:val="nil"/>
            </w:tcBorders>
            <w:shd w:val="clear" w:color="000000" w:fill="7F7F7F"/>
            <w:noWrap/>
            <w:vAlign w:val="center"/>
            <w:hideMark/>
          </w:tcPr>
          <w:p w:rsidR="00550FCE" w:rsidRPr="00550FCE" w:rsidRDefault="00550FCE" w:rsidP="00550FCE">
            <w:pPr>
              <w:rPr>
                <w:rFonts w:cs="Arial"/>
                <w:b/>
                <w:bCs/>
                <w:color w:val="FFFFFF"/>
                <w:szCs w:val="18"/>
                <w:lang w:eastAsia="en-AU"/>
              </w:rPr>
            </w:pPr>
            <w:r w:rsidRPr="00550FCE">
              <w:rPr>
                <w:rFonts w:cs="Arial"/>
                <w:b/>
                <w:bCs/>
                <w:color w:val="FFFFFF"/>
                <w:szCs w:val="18"/>
                <w:lang w:eastAsia="en-AU"/>
              </w:rPr>
              <w:t>Total*</w:t>
            </w:r>
          </w:p>
        </w:tc>
        <w:tc>
          <w:tcPr>
            <w:tcW w:w="1134" w:type="dxa"/>
            <w:tcBorders>
              <w:top w:val="nil"/>
              <w:left w:val="nil"/>
              <w:bottom w:val="nil"/>
              <w:right w:val="nil"/>
            </w:tcBorders>
            <w:shd w:val="clear" w:color="000000" w:fill="7F7F7F"/>
            <w:noWrap/>
            <w:vAlign w:val="center"/>
            <w:hideMark/>
          </w:tcPr>
          <w:p w:rsidR="00550FCE" w:rsidRPr="00550FCE" w:rsidRDefault="00550FCE" w:rsidP="00550FCE">
            <w:pPr>
              <w:jc w:val="right"/>
              <w:rPr>
                <w:rFonts w:cs="Arial"/>
                <w:b/>
                <w:bCs/>
                <w:color w:val="FFFFFF"/>
                <w:szCs w:val="18"/>
                <w:lang w:eastAsia="en-AU"/>
              </w:rPr>
            </w:pPr>
            <w:r w:rsidRPr="00550FCE">
              <w:rPr>
                <w:rFonts w:cs="Arial"/>
                <w:b/>
                <w:bCs/>
                <w:color w:val="FFFFFF"/>
                <w:szCs w:val="18"/>
                <w:lang w:eastAsia="en-AU"/>
              </w:rPr>
              <w:t>-41%</w:t>
            </w:r>
          </w:p>
        </w:tc>
        <w:tc>
          <w:tcPr>
            <w:tcW w:w="1134" w:type="dxa"/>
            <w:tcBorders>
              <w:top w:val="nil"/>
              <w:left w:val="nil"/>
              <w:bottom w:val="nil"/>
              <w:right w:val="nil"/>
            </w:tcBorders>
            <w:shd w:val="clear" w:color="000000" w:fill="7F7F7F"/>
            <w:noWrap/>
            <w:vAlign w:val="center"/>
            <w:hideMark/>
          </w:tcPr>
          <w:p w:rsidR="00550FCE" w:rsidRPr="00550FCE" w:rsidRDefault="00550FCE" w:rsidP="00550FCE">
            <w:pPr>
              <w:jc w:val="right"/>
              <w:rPr>
                <w:rFonts w:cs="Arial"/>
                <w:b/>
                <w:bCs/>
                <w:color w:val="FFFFFF"/>
                <w:szCs w:val="18"/>
                <w:lang w:eastAsia="en-AU"/>
              </w:rPr>
            </w:pPr>
            <w:r w:rsidRPr="00550FCE">
              <w:rPr>
                <w:rFonts w:cs="Arial"/>
                <w:b/>
                <w:bCs/>
                <w:color w:val="FFFFFF"/>
                <w:szCs w:val="18"/>
                <w:lang w:eastAsia="en-AU"/>
              </w:rPr>
              <w:t>-57%</w:t>
            </w:r>
          </w:p>
        </w:tc>
        <w:tc>
          <w:tcPr>
            <w:tcW w:w="1134" w:type="dxa"/>
            <w:tcBorders>
              <w:top w:val="nil"/>
              <w:left w:val="nil"/>
              <w:bottom w:val="nil"/>
              <w:right w:val="nil"/>
            </w:tcBorders>
            <w:shd w:val="clear" w:color="000000" w:fill="7F7F7F"/>
            <w:noWrap/>
            <w:vAlign w:val="center"/>
            <w:hideMark/>
          </w:tcPr>
          <w:p w:rsidR="00550FCE" w:rsidRPr="00550FCE" w:rsidRDefault="00550FCE" w:rsidP="00550FCE">
            <w:pPr>
              <w:jc w:val="right"/>
              <w:rPr>
                <w:rFonts w:cs="Arial"/>
                <w:b/>
                <w:bCs/>
                <w:color w:val="FFFFFF"/>
                <w:szCs w:val="18"/>
                <w:lang w:eastAsia="en-AU"/>
              </w:rPr>
            </w:pPr>
            <w:r w:rsidRPr="00550FCE">
              <w:rPr>
                <w:rFonts w:cs="Arial"/>
                <w:b/>
                <w:bCs/>
                <w:color w:val="FFFFFF"/>
                <w:szCs w:val="18"/>
                <w:lang w:eastAsia="en-AU"/>
              </w:rPr>
              <w:t>-68%</w:t>
            </w:r>
          </w:p>
        </w:tc>
        <w:tc>
          <w:tcPr>
            <w:tcW w:w="1134" w:type="dxa"/>
            <w:tcBorders>
              <w:top w:val="nil"/>
              <w:left w:val="nil"/>
              <w:bottom w:val="nil"/>
              <w:right w:val="nil"/>
            </w:tcBorders>
            <w:shd w:val="clear" w:color="000000" w:fill="7F7F7F"/>
            <w:noWrap/>
            <w:vAlign w:val="center"/>
            <w:hideMark/>
          </w:tcPr>
          <w:p w:rsidR="00550FCE" w:rsidRPr="00550FCE" w:rsidRDefault="00550FCE" w:rsidP="00550FCE">
            <w:pPr>
              <w:jc w:val="right"/>
              <w:rPr>
                <w:rFonts w:cs="Arial"/>
                <w:b/>
                <w:bCs/>
                <w:color w:val="FFFFFF"/>
                <w:szCs w:val="18"/>
                <w:lang w:eastAsia="en-AU"/>
              </w:rPr>
            </w:pPr>
            <w:r w:rsidRPr="00550FCE">
              <w:rPr>
                <w:rFonts w:cs="Arial"/>
                <w:b/>
                <w:bCs/>
                <w:color w:val="FFFFFF"/>
                <w:szCs w:val="18"/>
                <w:lang w:eastAsia="en-AU"/>
              </w:rPr>
              <w:t>-51%</w:t>
            </w:r>
          </w:p>
        </w:tc>
        <w:tc>
          <w:tcPr>
            <w:tcW w:w="1134" w:type="dxa"/>
            <w:tcBorders>
              <w:top w:val="nil"/>
              <w:left w:val="nil"/>
              <w:bottom w:val="nil"/>
              <w:right w:val="nil"/>
            </w:tcBorders>
            <w:shd w:val="clear" w:color="000000" w:fill="7F7F7F"/>
            <w:noWrap/>
            <w:vAlign w:val="center"/>
            <w:hideMark/>
          </w:tcPr>
          <w:p w:rsidR="00550FCE" w:rsidRPr="00550FCE" w:rsidRDefault="00550FCE" w:rsidP="00550FCE">
            <w:pPr>
              <w:jc w:val="right"/>
              <w:rPr>
                <w:rFonts w:cs="Arial"/>
                <w:b/>
                <w:bCs/>
                <w:color w:val="FFFFFF"/>
                <w:szCs w:val="18"/>
                <w:lang w:eastAsia="en-AU"/>
              </w:rPr>
            </w:pPr>
            <w:r w:rsidRPr="00550FCE">
              <w:rPr>
                <w:rFonts w:cs="Arial"/>
                <w:b/>
                <w:bCs/>
                <w:color w:val="FFFFFF"/>
                <w:szCs w:val="18"/>
                <w:lang w:eastAsia="en-AU"/>
              </w:rPr>
              <w:t>-34%</w:t>
            </w:r>
          </w:p>
        </w:tc>
      </w:tr>
    </w:tbl>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4A0" w:firstRow="1" w:lastRow="0" w:firstColumn="1" w:lastColumn="0" w:noHBand="0" w:noVBand="1"/>
      </w:tblPr>
      <w:tblGrid>
        <w:gridCol w:w="431"/>
        <w:gridCol w:w="7649"/>
      </w:tblGrid>
      <w:tr w:rsidR="00550FCE" w:rsidRPr="00913551" w:rsidTr="00BB0C32">
        <w:tc>
          <w:tcPr>
            <w:tcW w:w="431" w:type="dxa"/>
            <w:tcMar>
              <w:left w:w="0" w:type="dxa"/>
              <w:right w:w="28" w:type="dxa"/>
            </w:tcMar>
          </w:tcPr>
          <w:p w:rsidR="00550FCE" w:rsidRPr="00913551" w:rsidRDefault="00550FCE" w:rsidP="00BB0C32">
            <w:pPr>
              <w:spacing w:after="0" w:line="240" w:lineRule="auto"/>
              <w:jc w:val="right"/>
              <w:rPr>
                <w:color w:val="7F7F7F" w:themeColor="text2"/>
                <w:sz w:val="16"/>
                <w:szCs w:val="16"/>
              </w:rPr>
            </w:pPr>
            <w:r w:rsidRPr="00913551">
              <w:rPr>
                <w:color w:val="7F7F7F" w:themeColor="text2"/>
                <w:sz w:val="16"/>
                <w:szCs w:val="16"/>
              </w:rPr>
              <w:t xml:space="preserve">* </w:t>
            </w:r>
          </w:p>
        </w:tc>
        <w:tc>
          <w:tcPr>
            <w:tcW w:w="7649" w:type="dxa"/>
            <w:tcMar>
              <w:left w:w="0" w:type="dxa"/>
              <w:right w:w="28" w:type="dxa"/>
            </w:tcMar>
          </w:tcPr>
          <w:p w:rsidR="00550FCE" w:rsidRPr="00913551" w:rsidRDefault="00550FCE" w:rsidP="00BB0C32">
            <w:pPr>
              <w:spacing w:after="0" w:line="240" w:lineRule="auto"/>
              <w:rPr>
                <w:i/>
                <w:color w:val="7F7F7F" w:themeColor="text2"/>
                <w:sz w:val="16"/>
                <w:szCs w:val="16"/>
              </w:rPr>
            </w:pPr>
            <w:r w:rsidRPr="00913551">
              <w:rPr>
                <w:i/>
                <w:sz w:val="16"/>
                <w:szCs w:val="16"/>
              </w:rPr>
              <w:t xml:space="preserve">Totals for 2010 and 2014 include a small number of enrolments that </w:t>
            </w:r>
            <w:proofErr w:type="gramStart"/>
            <w:r w:rsidRPr="00913551">
              <w:rPr>
                <w:i/>
                <w:sz w:val="16"/>
                <w:szCs w:val="16"/>
              </w:rPr>
              <w:t>were not able to</w:t>
            </w:r>
            <w:proofErr w:type="gramEnd"/>
            <w:r w:rsidRPr="00913551">
              <w:rPr>
                <w:i/>
                <w:sz w:val="16"/>
                <w:szCs w:val="16"/>
              </w:rPr>
              <w:t xml:space="preserve"> be coded directly into ANZSIC (50 and 5 respectively).</w:t>
            </w:r>
          </w:p>
        </w:tc>
      </w:tr>
    </w:tbl>
    <w:p w:rsidR="00674718" w:rsidRDefault="00674718" w:rsidP="00AB62FC">
      <w:pPr>
        <w:pStyle w:val="Quote"/>
        <w:rPr>
          <w:b w:val="0"/>
          <w:sz w:val="18"/>
          <w:szCs w:val="18"/>
        </w:rPr>
      </w:pPr>
    </w:p>
    <w:p w:rsidR="00550FCE" w:rsidRDefault="00550FCE" w:rsidP="00AB62FC">
      <w:pPr>
        <w:pStyle w:val="Quote"/>
        <w:rPr>
          <w:b w:val="0"/>
          <w:sz w:val="18"/>
          <w:szCs w:val="18"/>
        </w:rPr>
      </w:pPr>
    </w:p>
    <w:p w:rsidR="00AB62FC" w:rsidRPr="00086FAC" w:rsidRDefault="00AB62FC" w:rsidP="00AB62FC">
      <w:pPr>
        <w:rPr>
          <w:rFonts w:cs="Arial"/>
          <w:bCs/>
          <w:color w:val="7F7F7F" w:themeColor="text2"/>
          <w:kern w:val="32"/>
          <w:szCs w:val="18"/>
        </w:rPr>
      </w:pPr>
      <w:r w:rsidRPr="00086FAC">
        <w:rPr>
          <w:szCs w:val="18"/>
        </w:rPr>
        <w:br w:type="page"/>
      </w:r>
    </w:p>
    <w:p w:rsidR="00AB62FC" w:rsidRPr="00BB0C32" w:rsidRDefault="00AB62FC" w:rsidP="00AB62FC">
      <w:pPr>
        <w:pStyle w:val="Heading1"/>
        <w:rPr>
          <w:color w:val="B41F22" w:themeColor="accent1"/>
        </w:rPr>
      </w:pPr>
      <w:bookmarkStart w:id="32" w:name="_Toc432758340"/>
      <w:r w:rsidRPr="00BB0C32">
        <w:rPr>
          <w:color w:val="B41F22" w:themeColor="accent1"/>
        </w:rPr>
        <w:lastRenderedPageBreak/>
        <w:t xml:space="preserve">Training in </w:t>
      </w:r>
      <w:r w:rsidR="002951B9">
        <w:rPr>
          <w:color w:val="B41F22" w:themeColor="accent1"/>
        </w:rPr>
        <w:t>Areas of Value to the Victorian Economy</w:t>
      </w:r>
      <w:bookmarkEnd w:id="32"/>
    </w:p>
    <w:p w:rsidR="00AB62FC" w:rsidRPr="00365EB2" w:rsidRDefault="00AB62FC" w:rsidP="00AB62FC"/>
    <w:p w:rsidR="002951B9" w:rsidRDefault="002951B9" w:rsidP="003934C1">
      <w:pPr>
        <w:spacing w:after="120"/>
      </w:pPr>
      <w:r w:rsidRPr="009A53DC">
        <w:t xml:space="preserve">Vocational training </w:t>
      </w:r>
      <w:r>
        <w:t>plays a key role in</w:t>
      </w:r>
      <w:r w:rsidRPr="009A53DC">
        <w:t xml:space="preserve"> provid</w:t>
      </w:r>
      <w:r>
        <w:t>ing</w:t>
      </w:r>
      <w:r w:rsidRPr="009A53DC">
        <w:t xml:space="preserve"> the jobs and skills Victoria’s economy needs to ensure its future growth. This section looks at training which delivers job outcomes – </w:t>
      </w:r>
      <w:r>
        <w:t xml:space="preserve">referred to here as </w:t>
      </w:r>
      <w:r w:rsidRPr="009A53DC">
        <w:t xml:space="preserve">‘industry-aligned training’. This covers </w:t>
      </w:r>
      <w:proofErr w:type="gramStart"/>
      <w:r w:rsidRPr="009A53DC">
        <w:t>government subsidised</w:t>
      </w:r>
      <w:proofErr w:type="gramEnd"/>
      <w:r w:rsidRPr="009A53DC">
        <w:t xml:space="preserve"> training in AQF qualifications, and excludes training in foundation skills, education pathways and low-level courses in languages other than English.</w:t>
      </w:r>
    </w:p>
    <w:p w:rsidR="002951B9" w:rsidRPr="00612488" w:rsidRDefault="002951B9" w:rsidP="002951B9">
      <w:pPr>
        <w:pStyle w:val="Heading2"/>
        <w:rPr>
          <w:color w:val="B41F22" w:themeColor="accent1"/>
        </w:rPr>
      </w:pPr>
      <w:bookmarkStart w:id="33" w:name="_Toc432758341"/>
      <w:r w:rsidRPr="00612488">
        <w:rPr>
          <w:color w:val="B41F22" w:themeColor="accent1"/>
        </w:rPr>
        <w:t xml:space="preserve">Vocational Training </w:t>
      </w:r>
      <w:r>
        <w:rPr>
          <w:color w:val="B41F22" w:themeColor="accent1"/>
        </w:rPr>
        <w:t>to Support Industry Needs</w:t>
      </w:r>
      <w:bookmarkEnd w:id="33"/>
    </w:p>
    <w:p w:rsidR="00AB62FC" w:rsidRDefault="002951B9" w:rsidP="002951B9">
      <w:pPr>
        <w:spacing w:before="120" w:after="120"/>
      </w:pPr>
      <w:r>
        <w:t>Vocational training delivers a pipeline of skilled workers across a range of industries to meet the current and future skill needs of employers.</w:t>
      </w:r>
    </w:p>
    <w:p w:rsidR="00AB62FC" w:rsidRPr="00365EB2" w:rsidRDefault="00AB62FC" w:rsidP="004F7D8A">
      <w:pPr>
        <w:pStyle w:val="Quote"/>
        <w:pBdr>
          <w:top w:val="single" w:sz="4" w:space="1" w:color="7F7F7F" w:themeColor="text2"/>
          <w:left w:val="single" w:sz="4" w:space="4" w:color="7F7F7F" w:themeColor="text2"/>
          <w:bottom w:val="single" w:sz="4" w:space="1" w:color="7F7F7F" w:themeColor="text2"/>
          <w:right w:val="single" w:sz="4" w:space="4" w:color="7F7F7F" w:themeColor="text2"/>
        </w:pBdr>
        <w:spacing w:after="120"/>
      </w:pPr>
      <w:r w:rsidRPr="00BB466D">
        <w:t>Key points</w:t>
      </w:r>
    </w:p>
    <w:p w:rsidR="002951B9" w:rsidRPr="008820A6" w:rsidRDefault="002951B9" w:rsidP="002951B9">
      <w:pPr>
        <w:pStyle w:val="Quote"/>
        <w:numPr>
          <w:ilvl w:val="0"/>
          <w:numId w:val="18"/>
        </w:numPr>
        <w:pBdr>
          <w:top w:val="single" w:sz="4" w:space="1" w:color="7F7F7F" w:themeColor="text2"/>
          <w:left w:val="single" w:sz="4" w:space="4" w:color="7F7F7F" w:themeColor="text2"/>
          <w:bottom w:val="single" w:sz="4" w:space="1" w:color="7F7F7F" w:themeColor="text2"/>
          <w:right w:val="single" w:sz="4" w:space="4" w:color="7F7F7F" w:themeColor="text2"/>
        </w:pBdr>
        <w:spacing w:before="120" w:after="120" w:line="220" w:lineRule="atLeast"/>
        <w:rPr>
          <w:sz w:val="18"/>
          <w:szCs w:val="18"/>
        </w:rPr>
      </w:pPr>
      <w:r w:rsidRPr="008820A6">
        <w:rPr>
          <w:b w:val="0"/>
          <w:sz w:val="18"/>
          <w:szCs w:val="18"/>
        </w:rPr>
        <w:t>The number of government subsidised industry-aligned course enrolments reported in 2015 (half year) was 270,340. This was 10 per cent lower than 2014 (half year).</w:t>
      </w:r>
    </w:p>
    <w:p w:rsidR="002951B9" w:rsidRPr="008820A6" w:rsidRDefault="002951B9" w:rsidP="002951B9">
      <w:pPr>
        <w:pStyle w:val="Quote"/>
        <w:numPr>
          <w:ilvl w:val="0"/>
          <w:numId w:val="18"/>
        </w:numPr>
        <w:pBdr>
          <w:top w:val="single" w:sz="4" w:space="1" w:color="7F7F7F" w:themeColor="text2"/>
          <w:left w:val="single" w:sz="4" w:space="4" w:color="7F7F7F" w:themeColor="text2"/>
          <w:bottom w:val="single" w:sz="4" w:space="1" w:color="7F7F7F" w:themeColor="text2"/>
          <w:right w:val="single" w:sz="4" w:space="4" w:color="7F7F7F" w:themeColor="text2"/>
        </w:pBdr>
        <w:spacing w:before="120" w:after="120" w:line="220" w:lineRule="atLeast"/>
        <w:rPr>
          <w:sz w:val="18"/>
          <w:szCs w:val="18"/>
        </w:rPr>
      </w:pPr>
      <w:proofErr w:type="gramStart"/>
      <w:r w:rsidRPr="008820A6">
        <w:rPr>
          <w:b w:val="0"/>
          <w:sz w:val="18"/>
          <w:szCs w:val="18"/>
        </w:rPr>
        <w:t>The decrease in the number of course enrolments in 2015 (half year) was due to a decline across a range of industries, most notably in Transport, Postal and Warehousing (45 per cent lower than in the 2014 half year), Cross-industry (17 per cent lower than in the 2014 half year) and Manufacturing (18 per cent lower than in the 2014 half year).</w:t>
      </w:r>
      <w:proofErr w:type="gramEnd"/>
    </w:p>
    <w:p w:rsidR="00AB62FC" w:rsidRDefault="002951B9" w:rsidP="002951B9">
      <w:pPr>
        <w:pStyle w:val="ListParagraph"/>
        <w:numPr>
          <w:ilvl w:val="0"/>
          <w:numId w:val="18"/>
        </w:numPr>
        <w:pBdr>
          <w:top w:val="single" w:sz="4" w:space="1" w:color="7F7F7F" w:themeColor="text2"/>
          <w:left w:val="single" w:sz="4" w:space="4" w:color="7F7F7F" w:themeColor="text2"/>
          <w:bottom w:val="single" w:sz="4" w:space="1" w:color="7F7F7F" w:themeColor="text2"/>
          <w:right w:val="single" w:sz="4" w:space="4" w:color="7F7F7F" w:themeColor="text2"/>
        </w:pBdr>
        <w:spacing w:before="120"/>
        <w:ind w:left="357" w:hanging="357"/>
        <w:contextualSpacing w:val="0"/>
      </w:pPr>
      <w:r w:rsidRPr="008820A6">
        <w:rPr>
          <w:szCs w:val="18"/>
        </w:rPr>
        <w:t>Course enrolments have increased in a number of industries over the same period, including Construction (17 per cent higher than in the 2014 half year) and Electricity, Gas, Water and Waste Services (147 per cent higher than in the 2014 half year, from a relatively low base).</w:t>
      </w:r>
    </w:p>
    <w:p w:rsidR="004F7D8A" w:rsidRPr="00365EB2" w:rsidRDefault="004F7D8A" w:rsidP="004F7D8A">
      <w:pPr>
        <w:pBdr>
          <w:top w:val="single" w:sz="4" w:space="1" w:color="7F7F7F" w:themeColor="text2"/>
          <w:left w:val="single" w:sz="4" w:space="4" w:color="7F7F7F" w:themeColor="text2"/>
          <w:bottom w:val="single" w:sz="4" w:space="1" w:color="7F7F7F" w:themeColor="text2"/>
          <w:right w:val="single" w:sz="4" w:space="4" w:color="7F7F7F" w:themeColor="text2"/>
        </w:pBdr>
      </w:pPr>
    </w:p>
    <w:p w:rsidR="00AB62FC" w:rsidRPr="00365EB2" w:rsidRDefault="00AB62FC" w:rsidP="004F7D8A"/>
    <w:p w:rsidR="00AB62FC" w:rsidRDefault="00AB62FC" w:rsidP="004F7D8A"/>
    <w:p w:rsidR="002951B9" w:rsidRDefault="002951B9">
      <w:r>
        <w:rPr>
          <w:b/>
        </w:rPr>
        <w:br w:type="page"/>
      </w:r>
    </w:p>
    <w:tbl>
      <w:tblPr>
        <w:tblStyle w:val="TableGrid"/>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230"/>
      </w:tblGrid>
      <w:tr w:rsidR="002951B9" w:rsidTr="002951B9">
        <w:tc>
          <w:tcPr>
            <w:tcW w:w="1134" w:type="dxa"/>
            <w:tcMar>
              <w:left w:w="0" w:type="dxa"/>
              <w:right w:w="0" w:type="dxa"/>
            </w:tcMar>
          </w:tcPr>
          <w:p w:rsidR="002951B9" w:rsidRDefault="0005261F" w:rsidP="002951B9">
            <w:pPr>
              <w:pStyle w:val="Quote"/>
              <w:tabs>
                <w:tab w:val="left" w:pos="1134"/>
              </w:tabs>
              <w:rPr>
                <w:b w:val="0"/>
                <w:color w:val="B41F22" w:themeColor="accent1"/>
              </w:rPr>
            </w:pPr>
            <w:r>
              <w:rPr>
                <w:b w:val="0"/>
                <w:color w:val="B41F22" w:themeColor="accent1"/>
              </w:rPr>
              <w:lastRenderedPageBreak/>
              <w:t>Table 4</w:t>
            </w:r>
            <w:r w:rsidR="002951B9">
              <w:rPr>
                <w:b w:val="0"/>
                <w:color w:val="B41F22" w:themeColor="accent1"/>
              </w:rPr>
              <w:t>.1.1:</w:t>
            </w:r>
          </w:p>
        </w:tc>
        <w:tc>
          <w:tcPr>
            <w:tcW w:w="7230" w:type="dxa"/>
            <w:tcMar>
              <w:left w:w="0" w:type="dxa"/>
              <w:right w:w="0" w:type="dxa"/>
            </w:tcMar>
          </w:tcPr>
          <w:p w:rsidR="002951B9" w:rsidRDefault="002951B9" w:rsidP="002951B9">
            <w:pPr>
              <w:pStyle w:val="Quote"/>
              <w:tabs>
                <w:tab w:val="left" w:pos="1134"/>
              </w:tabs>
              <w:rPr>
                <w:b w:val="0"/>
                <w:color w:val="B41F22" w:themeColor="accent1"/>
              </w:rPr>
            </w:pPr>
            <w:r w:rsidRPr="007343D8">
              <w:rPr>
                <w:b w:val="0"/>
                <w:color w:val="B41F22" w:themeColor="accent1"/>
              </w:rPr>
              <w:t xml:space="preserve">Government subsidised course enrolments in </w:t>
            </w:r>
            <w:r>
              <w:rPr>
                <w:b w:val="0"/>
                <w:color w:val="B41F22" w:themeColor="accent1"/>
              </w:rPr>
              <w:t xml:space="preserve">industry-aligned </w:t>
            </w:r>
            <w:r w:rsidRPr="007343D8">
              <w:rPr>
                <w:b w:val="0"/>
                <w:color w:val="B41F22" w:themeColor="accent1"/>
              </w:rPr>
              <w:t xml:space="preserve">training by </w:t>
            </w:r>
            <w:r>
              <w:rPr>
                <w:b w:val="0"/>
                <w:color w:val="B41F22" w:themeColor="accent1"/>
              </w:rPr>
              <w:t>industry</w:t>
            </w:r>
            <w:r w:rsidRPr="007343D8">
              <w:rPr>
                <w:b w:val="0"/>
                <w:color w:val="B41F22" w:themeColor="accent1"/>
              </w:rPr>
              <w:t>, 2010 to 2015 (half year)</w:t>
            </w:r>
          </w:p>
        </w:tc>
      </w:tr>
    </w:tbl>
    <w:tbl>
      <w:tblPr>
        <w:tblW w:w="8520" w:type="dxa"/>
        <w:tblInd w:w="93" w:type="dxa"/>
        <w:tblLayout w:type="fixed"/>
        <w:tblLook w:val="04A0" w:firstRow="1" w:lastRow="0" w:firstColumn="1" w:lastColumn="0" w:noHBand="0" w:noVBand="1"/>
      </w:tblPr>
      <w:tblGrid>
        <w:gridCol w:w="2992"/>
        <w:gridCol w:w="921"/>
        <w:gridCol w:w="921"/>
        <w:gridCol w:w="922"/>
        <w:gridCol w:w="921"/>
        <w:gridCol w:w="921"/>
        <w:gridCol w:w="922"/>
      </w:tblGrid>
      <w:tr w:rsidR="002951B9" w:rsidRPr="007343D8" w:rsidTr="00692A5D">
        <w:trPr>
          <w:trHeight w:val="300"/>
        </w:trPr>
        <w:tc>
          <w:tcPr>
            <w:tcW w:w="2992" w:type="dxa"/>
            <w:tcBorders>
              <w:top w:val="nil"/>
              <w:left w:val="nil"/>
              <w:bottom w:val="nil"/>
              <w:right w:val="nil"/>
            </w:tcBorders>
            <w:shd w:val="clear" w:color="000000" w:fill="7F7F7F"/>
            <w:noWrap/>
            <w:vAlign w:val="center"/>
            <w:hideMark/>
          </w:tcPr>
          <w:p w:rsidR="002951B9" w:rsidRPr="007343D8" w:rsidRDefault="002951B9" w:rsidP="002951B9">
            <w:pPr>
              <w:rPr>
                <w:rFonts w:cs="Arial"/>
                <w:color w:val="FFFFFF"/>
                <w:szCs w:val="18"/>
                <w:lang w:eastAsia="en-AU"/>
              </w:rPr>
            </w:pPr>
            <w:r w:rsidRPr="007343D8">
              <w:rPr>
                <w:rFonts w:cs="Arial"/>
                <w:color w:val="FFFFFF"/>
                <w:szCs w:val="18"/>
                <w:lang w:eastAsia="en-AU"/>
              </w:rPr>
              <w:t> </w:t>
            </w:r>
          </w:p>
        </w:tc>
        <w:tc>
          <w:tcPr>
            <w:tcW w:w="921" w:type="dxa"/>
            <w:tcBorders>
              <w:top w:val="nil"/>
              <w:left w:val="nil"/>
              <w:bottom w:val="nil"/>
              <w:right w:val="nil"/>
            </w:tcBorders>
            <w:shd w:val="clear" w:color="000000" w:fill="7F7F7F"/>
            <w:noWrap/>
            <w:vAlign w:val="center"/>
            <w:hideMark/>
          </w:tcPr>
          <w:p w:rsidR="002951B9" w:rsidRPr="007343D8" w:rsidRDefault="002951B9" w:rsidP="002951B9">
            <w:pPr>
              <w:jc w:val="right"/>
              <w:rPr>
                <w:rFonts w:cs="Arial"/>
                <w:b/>
                <w:bCs/>
                <w:color w:val="FFFFFF"/>
                <w:szCs w:val="18"/>
                <w:lang w:eastAsia="en-AU"/>
              </w:rPr>
            </w:pPr>
            <w:r w:rsidRPr="007343D8">
              <w:rPr>
                <w:rFonts w:cs="Arial"/>
                <w:b/>
                <w:bCs/>
                <w:color w:val="FFFFFF"/>
                <w:szCs w:val="18"/>
                <w:lang w:eastAsia="en-AU"/>
              </w:rPr>
              <w:t>2010</w:t>
            </w:r>
          </w:p>
        </w:tc>
        <w:tc>
          <w:tcPr>
            <w:tcW w:w="921" w:type="dxa"/>
            <w:tcBorders>
              <w:top w:val="nil"/>
              <w:left w:val="nil"/>
              <w:bottom w:val="nil"/>
              <w:right w:val="nil"/>
            </w:tcBorders>
            <w:shd w:val="clear" w:color="000000" w:fill="7F7F7F"/>
            <w:noWrap/>
            <w:vAlign w:val="center"/>
            <w:hideMark/>
          </w:tcPr>
          <w:p w:rsidR="002951B9" w:rsidRPr="007343D8" w:rsidRDefault="002951B9" w:rsidP="002951B9">
            <w:pPr>
              <w:jc w:val="right"/>
              <w:rPr>
                <w:rFonts w:cs="Arial"/>
                <w:b/>
                <w:bCs/>
                <w:color w:val="FFFFFF"/>
                <w:szCs w:val="18"/>
                <w:lang w:eastAsia="en-AU"/>
              </w:rPr>
            </w:pPr>
            <w:r w:rsidRPr="007343D8">
              <w:rPr>
                <w:rFonts w:cs="Arial"/>
                <w:b/>
                <w:bCs/>
                <w:color w:val="FFFFFF"/>
                <w:szCs w:val="18"/>
                <w:lang w:eastAsia="en-AU"/>
              </w:rPr>
              <w:t>2011</w:t>
            </w:r>
          </w:p>
        </w:tc>
        <w:tc>
          <w:tcPr>
            <w:tcW w:w="922" w:type="dxa"/>
            <w:tcBorders>
              <w:top w:val="nil"/>
              <w:left w:val="nil"/>
              <w:bottom w:val="nil"/>
              <w:right w:val="nil"/>
            </w:tcBorders>
            <w:shd w:val="clear" w:color="000000" w:fill="7F7F7F"/>
            <w:noWrap/>
            <w:vAlign w:val="center"/>
            <w:hideMark/>
          </w:tcPr>
          <w:p w:rsidR="002951B9" w:rsidRPr="007343D8" w:rsidRDefault="002951B9" w:rsidP="002951B9">
            <w:pPr>
              <w:jc w:val="right"/>
              <w:rPr>
                <w:rFonts w:cs="Arial"/>
                <w:b/>
                <w:bCs/>
                <w:color w:val="FFFFFF"/>
                <w:szCs w:val="18"/>
                <w:lang w:eastAsia="en-AU"/>
              </w:rPr>
            </w:pPr>
            <w:r w:rsidRPr="007343D8">
              <w:rPr>
                <w:rFonts w:cs="Arial"/>
                <w:b/>
                <w:bCs/>
                <w:color w:val="FFFFFF"/>
                <w:szCs w:val="18"/>
                <w:lang w:eastAsia="en-AU"/>
              </w:rPr>
              <w:t>2012</w:t>
            </w:r>
          </w:p>
        </w:tc>
        <w:tc>
          <w:tcPr>
            <w:tcW w:w="921" w:type="dxa"/>
            <w:tcBorders>
              <w:top w:val="nil"/>
              <w:left w:val="nil"/>
              <w:bottom w:val="nil"/>
              <w:right w:val="nil"/>
            </w:tcBorders>
            <w:shd w:val="clear" w:color="000000" w:fill="7F7F7F"/>
            <w:noWrap/>
            <w:vAlign w:val="center"/>
            <w:hideMark/>
          </w:tcPr>
          <w:p w:rsidR="002951B9" w:rsidRPr="007343D8" w:rsidRDefault="002951B9" w:rsidP="002951B9">
            <w:pPr>
              <w:jc w:val="right"/>
              <w:rPr>
                <w:rFonts w:cs="Arial"/>
                <w:b/>
                <w:bCs/>
                <w:color w:val="FFFFFF"/>
                <w:szCs w:val="18"/>
                <w:lang w:eastAsia="en-AU"/>
              </w:rPr>
            </w:pPr>
            <w:r w:rsidRPr="007343D8">
              <w:rPr>
                <w:rFonts w:cs="Arial"/>
                <w:b/>
                <w:bCs/>
                <w:color w:val="FFFFFF"/>
                <w:szCs w:val="18"/>
                <w:lang w:eastAsia="en-AU"/>
              </w:rPr>
              <w:t>2013</w:t>
            </w:r>
          </w:p>
        </w:tc>
        <w:tc>
          <w:tcPr>
            <w:tcW w:w="921" w:type="dxa"/>
            <w:tcBorders>
              <w:top w:val="nil"/>
              <w:left w:val="nil"/>
              <w:bottom w:val="nil"/>
              <w:right w:val="nil"/>
            </w:tcBorders>
            <w:shd w:val="clear" w:color="000000" w:fill="7F7F7F"/>
            <w:noWrap/>
            <w:vAlign w:val="center"/>
            <w:hideMark/>
          </w:tcPr>
          <w:p w:rsidR="002951B9" w:rsidRPr="007343D8" w:rsidRDefault="002951B9" w:rsidP="002951B9">
            <w:pPr>
              <w:jc w:val="right"/>
              <w:rPr>
                <w:rFonts w:cs="Arial"/>
                <w:b/>
                <w:bCs/>
                <w:color w:val="FFFFFF"/>
                <w:szCs w:val="18"/>
                <w:lang w:eastAsia="en-AU"/>
              </w:rPr>
            </w:pPr>
            <w:r w:rsidRPr="007343D8">
              <w:rPr>
                <w:rFonts w:cs="Arial"/>
                <w:b/>
                <w:bCs/>
                <w:color w:val="FFFFFF"/>
                <w:szCs w:val="18"/>
                <w:lang w:eastAsia="en-AU"/>
              </w:rPr>
              <w:t>2014</w:t>
            </w:r>
          </w:p>
        </w:tc>
        <w:tc>
          <w:tcPr>
            <w:tcW w:w="922" w:type="dxa"/>
            <w:tcBorders>
              <w:top w:val="nil"/>
              <w:left w:val="nil"/>
              <w:bottom w:val="nil"/>
              <w:right w:val="nil"/>
            </w:tcBorders>
            <w:shd w:val="clear" w:color="000000" w:fill="7F7F7F"/>
            <w:noWrap/>
            <w:vAlign w:val="center"/>
            <w:hideMark/>
          </w:tcPr>
          <w:p w:rsidR="002951B9" w:rsidRPr="007343D8" w:rsidRDefault="002951B9" w:rsidP="002951B9">
            <w:pPr>
              <w:jc w:val="right"/>
              <w:rPr>
                <w:rFonts w:cs="Arial"/>
                <w:b/>
                <w:bCs/>
                <w:color w:val="FFFFFF"/>
                <w:szCs w:val="18"/>
                <w:lang w:eastAsia="en-AU"/>
              </w:rPr>
            </w:pPr>
            <w:r w:rsidRPr="007343D8">
              <w:rPr>
                <w:rFonts w:cs="Arial"/>
                <w:b/>
                <w:bCs/>
                <w:color w:val="FFFFFF"/>
                <w:szCs w:val="18"/>
                <w:lang w:eastAsia="en-AU"/>
              </w:rPr>
              <w:t>2015</w:t>
            </w:r>
          </w:p>
        </w:tc>
      </w:tr>
      <w:tr w:rsidR="002951B9" w:rsidRPr="007343D8" w:rsidTr="00692A5D">
        <w:trPr>
          <w:trHeight w:hRule="exact" w:val="397"/>
        </w:trPr>
        <w:tc>
          <w:tcPr>
            <w:tcW w:w="2992" w:type="dxa"/>
            <w:tcBorders>
              <w:top w:val="nil"/>
              <w:left w:val="nil"/>
              <w:bottom w:val="nil"/>
              <w:right w:val="nil"/>
            </w:tcBorders>
            <w:shd w:val="clear" w:color="auto" w:fill="auto"/>
            <w:noWrap/>
            <w:vAlign w:val="center"/>
            <w:hideMark/>
          </w:tcPr>
          <w:p w:rsidR="002951B9" w:rsidRPr="007343D8" w:rsidRDefault="002951B9" w:rsidP="002951B9">
            <w:pPr>
              <w:rPr>
                <w:rFonts w:cs="Arial"/>
                <w:color w:val="7F7F7F"/>
                <w:szCs w:val="18"/>
                <w:lang w:eastAsia="en-AU"/>
              </w:rPr>
            </w:pPr>
            <w:r w:rsidRPr="00900672">
              <w:t>Accommodation and Food Services</w:t>
            </w:r>
          </w:p>
        </w:tc>
        <w:tc>
          <w:tcPr>
            <w:tcW w:w="921" w:type="dxa"/>
            <w:tcBorders>
              <w:top w:val="nil"/>
              <w:left w:val="nil"/>
              <w:bottom w:val="nil"/>
              <w:right w:val="nil"/>
            </w:tcBorders>
            <w:shd w:val="clear" w:color="auto" w:fill="auto"/>
            <w:noWrap/>
            <w:vAlign w:val="center"/>
            <w:hideMark/>
          </w:tcPr>
          <w:p w:rsidR="002951B9" w:rsidRPr="007343D8" w:rsidRDefault="002951B9" w:rsidP="002951B9">
            <w:pPr>
              <w:jc w:val="right"/>
              <w:rPr>
                <w:rFonts w:cs="Arial"/>
                <w:color w:val="7F7F7F"/>
                <w:szCs w:val="18"/>
                <w:lang w:eastAsia="en-AU"/>
              </w:rPr>
            </w:pPr>
            <w:r w:rsidRPr="00EF2945">
              <w:t xml:space="preserve"> 15,580 </w:t>
            </w:r>
          </w:p>
        </w:tc>
        <w:tc>
          <w:tcPr>
            <w:tcW w:w="921" w:type="dxa"/>
            <w:tcBorders>
              <w:top w:val="nil"/>
              <w:left w:val="nil"/>
              <w:bottom w:val="nil"/>
              <w:right w:val="nil"/>
            </w:tcBorders>
            <w:shd w:val="clear" w:color="auto" w:fill="auto"/>
            <w:noWrap/>
            <w:vAlign w:val="center"/>
            <w:hideMark/>
          </w:tcPr>
          <w:p w:rsidR="002951B9" w:rsidRPr="007343D8" w:rsidRDefault="002951B9" w:rsidP="002951B9">
            <w:pPr>
              <w:jc w:val="right"/>
              <w:rPr>
                <w:rFonts w:cs="Arial"/>
                <w:color w:val="7F7F7F"/>
                <w:szCs w:val="18"/>
                <w:lang w:eastAsia="en-AU"/>
              </w:rPr>
            </w:pPr>
            <w:r w:rsidRPr="00EF2945">
              <w:t xml:space="preserve"> 20,451 </w:t>
            </w:r>
          </w:p>
        </w:tc>
        <w:tc>
          <w:tcPr>
            <w:tcW w:w="922" w:type="dxa"/>
            <w:tcBorders>
              <w:top w:val="nil"/>
              <w:left w:val="nil"/>
              <w:bottom w:val="nil"/>
              <w:right w:val="nil"/>
            </w:tcBorders>
            <w:shd w:val="clear" w:color="auto" w:fill="auto"/>
            <w:noWrap/>
            <w:vAlign w:val="center"/>
            <w:hideMark/>
          </w:tcPr>
          <w:p w:rsidR="002951B9" w:rsidRPr="007343D8" w:rsidRDefault="002951B9" w:rsidP="002951B9">
            <w:pPr>
              <w:jc w:val="right"/>
              <w:rPr>
                <w:rFonts w:cs="Arial"/>
                <w:color w:val="7F7F7F"/>
                <w:szCs w:val="18"/>
                <w:lang w:eastAsia="en-AU"/>
              </w:rPr>
            </w:pPr>
            <w:r w:rsidRPr="00EF2945">
              <w:t xml:space="preserve"> 30,537 </w:t>
            </w:r>
          </w:p>
        </w:tc>
        <w:tc>
          <w:tcPr>
            <w:tcW w:w="921" w:type="dxa"/>
            <w:tcBorders>
              <w:top w:val="nil"/>
              <w:left w:val="nil"/>
              <w:bottom w:val="nil"/>
              <w:right w:val="nil"/>
            </w:tcBorders>
            <w:shd w:val="clear" w:color="auto" w:fill="auto"/>
            <w:noWrap/>
            <w:vAlign w:val="center"/>
            <w:hideMark/>
          </w:tcPr>
          <w:p w:rsidR="002951B9" w:rsidRPr="007343D8" w:rsidRDefault="002951B9" w:rsidP="002951B9">
            <w:pPr>
              <w:jc w:val="right"/>
              <w:rPr>
                <w:rFonts w:cs="Arial"/>
                <w:color w:val="7F7F7F"/>
                <w:szCs w:val="18"/>
                <w:lang w:eastAsia="en-AU"/>
              </w:rPr>
            </w:pPr>
            <w:r w:rsidRPr="00EF2945">
              <w:t xml:space="preserve"> 17,012 </w:t>
            </w:r>
          </w:p>
        </w:tc>
        <w:tc>
          <w:tcPr>
            <w:tcW w:w="921" w:type="dxa"/>
            <w:tcBorders>
              <w:top w:val="nil"/>
              <w:left w:val="nil"/>
              <w:bottom w:val="nil"/>
              <w:right w:val="nil"/>
            </w:tcBorders>
            <w:shd w:val="clear" w:color="auto" w:fill="auto"/>
            <w:noWrap/>
            <w:vAlign w:val="center"/>
            <w:hideMark/>
          </w:tcPr>
          <w:p w:rsidR="002951B9" w:rsidRPr="007343D8" w:rsidRDefault="002951B9" w:rsidP="002951B9">
            <w:pPr>
              <w:jc w:val="right"/>
              <w:rPr>
                <w:rFonts w:cs="Arial"/>
                <w:color w:val="7F7F7F"/>
                <w:szCs w:val="18"/>
                <w:lang w:eastAsia="en-AU"/>
              </w:rPr>
            </w:pPr>
            <w:r w:rsidRPr="00EF2945">
              <w:t xml:space="preserve"> 18,995 </w:t>
            </w:r>
          </w:p>
        </w:tc>
        <w:tc>
          <w:tcPr>
            <w:tcW w:w="922" w:type="dxa"/>
            <w:tcBorders>
              <w:top w:val="nil"/>
              <w:left w:val="nil"/>
              <w:bottom w:val="nil"/>
              <w:right w:val="nil"/>
            </w:tcBorders>
            <w:shd w:val="clear" w:color="auto" w:fill="auto"/>
            <w:noWrap/>
            <w:vAlign w:val="center"/>
            <w:hideMark/>
          </w:tcPr>
          <w:p w:rsidR="002951B9" w:rsidRPr="007343D8" w:rsidRDefault="002951B9" w:rsidP="002951B9">
            <w:pPr>
              <w:jc w:val="right"/>
              <w:rPr>
                <w:rFonts w:cs="Arial"/>
                <w:color w:val="7F7F7F"/>
                <w:szCs w:val="18"/>
                <w:lang w:eastAsia="en-AU"/>
              </w:rPr>
            </w:pPr>
            <w:r w:rsidRPr="00EF2945">
              <w:t xml:space="preserve"> 14,303 </w:t>
            </w:r>
          </w:p>
        </w:tc>
      </w:tr>
      <w:tr w:rsidR="002951B9" w:rsidRPr="007343D8" w:rsidTr="00692A5D">
        <w:trPr>
          <w:trHeight w:hRule="exact" w:val="397"/>
        </w:trPr>
        <w:tc>
          <w:tcPr>
            <w:tcW w:w="2992" w:type="dxa"/>
            <w:tcBorders>
              <w:top w:val="nil"/>
              <w:left w:val="nil"/>
              <w:bottom w:val="nil"/>
              <w:right w:val="nil"/>
            </w:tcBorders>
            <w:shd w:val="clear" w:color="auto" w:fill="auto"/>
            <w:noWrap/>
            <w:vAlign w:val="center"/>
            <w:hideMark/>
          </w:tcPr>
          <w:p w:rsidR="002951B9" w:rsidRPr="007343D8" w:rsidRDefault="002951B9" w:rsidP="002951B9">
            <w:pPr>
              <w:rPr>
                <w:rFonts w:cs="Arial"/>
                <w:color w:val="7F7F7F"/>
                <w:szCs w:val="18"/>
                <w:lang w:eastAsia="en-AU"/>
              </w:rPr>
            </w:pPr>
            <w:r w:rsidRPr="00900672">
              <w:t>Administrative and Support Services</w:t>
            </w:r>
          </w:p>
        </w:tc>
        <w:tc>
          <w:tcPr>
            <w:tcW w:w="921" w:type="dxa"/>
            <w:tcBorders>
              <w:top w:val="nil"/>
              <w:left w:val="nil"/>
              <w:bottom w:val="nil"/>
              <w:right w:val="nil"/>
            </w:tcBorders>
            <w:shd w:val="clear" w:color="auto" w:fill="auto"/>
            <w:noWrap/>
            <w:vAlign w:val="center"/>
            <w:hideMark/>
          </w:tcPr>
          <w:p w:rsidR="002951B9" w:rsidRPr="007343D8" w:rsidRDefault="002951B9" w:rsidP="002951B9">
            <w:pPr>
              <w:jc w:val="right"/>
              <w:rPr>
                <w:rFonts w:cs="Arial"/>
                <w:color w:val="7F7F7F"/>
                <w:szCs w:val="18"/>
                <w:lang w:eastAsia="en-AU"/>
              </w:rPr>
            </w:pPr>
            <w:r w:rsidRPr="00EF2945">
              <w:t xml:space="preserve"> 7,882 </w:t>
            </w:r>
          </w:p>
        </w:tc>
        <w:tc>
          <w:tcPr>
            <w:tcW w:w="921" w:type="dxa"/>
            <w:tcBorders>
              <w:top w:val="nil"/>
              <w:left w:val="nil"/>
              <w:bottom w:val="nil"/>
              <w:right w:val="nil"/>
            </w:tcBorders>
            <w:shd w:val="clear" w:color="auto" w:fill="auto"/>
            <w:noWrap/>
            <w:vAlign w:val="center"/>
            <w:hideMark/>
          </w:tcPr>
          <w:p w:rsidR="002951B9" w:rsidRPr="007343D8" w:rsidRDefault="002951B9" w:rsidP="002951B9">
            <w:pPr>
              <w:jc w:val="right"/>
              <w:rPr>
                <w:rFonts w:cs="Arial"/>
                <w:color w:val="7F7F7F"/>
                <w:szCs w:val="18"/>
                <w:lang w:eastAsia="en-AU"/>
              </w:rPr>
            </w:pPr>
            <w:r w:rsidRPr="00EF2945">
              <w:t xml:space="preserve"> 11,126 </w:t>
            </w:r>
          </w:p>
        </w:tc>
        <w:tc>
          <w:tcPr>
            <w:tcW w:w="922" w:type="dxa"/>
            <w:tcBorders>
              <w:top w:val="nil"/>
              <w:left w:val="nil"/>
              <w:bottom w:val="nil"/>
              <w:right w:val="nil"/>
            </w:tcBorders>
            <w:shd w:val="clear" w:color="auto" w:fill="auto"/>
            <w:noWrap/>
            <w:vAlign w:val="center"/>
            <w:hideMark/>
          </w:tcPr>
          <w:p w:rsidR="002951B9" w:rsidRPr="007343D8" w:rsidRDefault="002951B9" w:rsidP="002951B9">
            <w:pPr>
              <w:jc w:val="right"/>
              <w:rPr>
                <w:rFonts w:cs="Arial"/>
                <w:color w:val="7F7F7F"/>
                <w:szCs w:val="18"/>
                <w:lang w:eastAsia="en-AU"/>
              </w:rPr>
            </w:pPr>
            <w:r w:rsidRPr="00EF2945">
              <w:t xml:space="preserve"> 16,547 </w:t>
            </w:r>
          </w:p>
        </w:tc>
        <w:tc>
          <w:tcPr>
            <w:tcW w:w="921" w:type="dxa"/>
            <w:tcBorders>
              <w:top w:val="nil"/>
              <w:left w:val="nil"/>
              <w:bottom w:val="nil"/>
              <w:right w:val="nil"/>
            </w:tcBorders>
            <w:shd w:val="clear" w:color="auto" w:fill="auto"/>
            <w:noWrap/>
            <w:vAlign w:val="center"/>
            <w:hideMark/>
          </w:tcPr>
          <w:p w:rsidR="002951B9" w:rsidRPr="007343D8" w:rsidRDefault="002951B9" w:rsidP="002951B9">
            <w:pPr>
              <w:jc w:val="right"/>
              <w:rPr>
                <w:rFonts w:cs="Arial"/>
                <w:color w:val="7F7F7F"/>
                <w:szCs w:val="18"/>
                <w:lang w:eastAsia="en-AU"/>
              </w:rPr>
            </w:pPr>
            <w:r w:rsidRPr="00EF2945">
              <w:t xml:space="preserve"> 9,534 </w:t>
            </w:r>
          </w:p>
        </w:tc>
        <w:tc>
          <w:tcPr>
            <w:tcW w:w="921" w:type="dxa"/>
            <w:tcBorders>
              <w:top w:val="nil"/>
              <w:left w:val="nil"/>
              <w:bottom w:val="nil"/>
              <w:right w:val="nil"/>
            </w:tcBorders>
            <w:shd w:val="clear" w:color="auto" w:fill="auto"/>
            <w:noWrap/>
            <w:vAlign w:val="center"/>
            <w:hideMark/>
          </w:tcPr>
          <w:p w:rsidR="002951B9" w:rsidRPr="007343D8" w:rsidRDefault="002951B9" w:rsidP="002951B9">
            <w:pPr>
              <w:jc w:val="right"/>
              <w:rPr>
                <w:rFonts w:cs="Arial"/>
                <w:color w:val="7F7F7F"/>
                <w:szCs w:val="18"/>
                <w:lang w:eastAsia="en-AU"/>
              </w:rPr>
            </w:pPr>
            <w:r w:rsidRPr="00EF2945">
              <w:t xml:space="preserve"> 7,761 </w:t>
            </w:r>
          </w:p>
        </w:tc>
        <w:tc>
          <w:tcPr>
            <w:tcW w:w="922" w:type="dxa"/>
            <w:tcBorders>
              <w:top w:val="nil"/>
              <w:left w:val="nil"/>
              <w:bottom w:val="nil"/>
              <w:right w:val="nil"/>
            </w:tcBorders>
            <w:shd w:val="clear" w:color="auto" w:fill="auto"/>
            <w:noWrap/>
            <w:vAlign w:val="center"/>
            <w:hideMark/>
          </w:tcPr>
          <w:p w:rsidR="002951B9" w:rsidRPr="007343D8" w:rsidRDefault="002951B9" w:rsidP="002951B9">
            <w:pPr>
              <w:jc w:val="right"/>
              <w:rPr>
                <w:rFonts w:cs="Arial"/>
                <w:color w:val="7F7F7F"/>
                <w:szCs w:val="18"/>
                <w:lang w:eastAsia="en-AU"/>
              </w:rPr>
            </w:pPr>
            <w:r w:rsidRPr="00EF2945">
              <w:t xml:space="preserve"> 5,372 </w:t>
            </w:r>
          </w:p>
        </w:tc>
      </w:tr>
      <w:tr w:rsidR="002951B9" w:rsidRPr="007343D8" w:rsidTr="00692A5D">
        <w:trPr>
          <w:trHeight w:hRule="exact" w:val="397"/>
        </w:trPr>
        <w:tc>
          <w:tcPr>
            <w:tcW w:w="2992" w:type="dxa"/>
            <w:tcBorders>
              <w:top w:val="nil"/>
              <w:left w:val="nil"/>
              <w:bottom w:val="nil"/>
              <w:right w:val="nil"/>
            </w:tcBorders>
            <w:shd w:val="clear" w:color="auto" w:fill="auto"/>
            <w:noWrap/>
            <w:vAlign w:val="center"/>
            <w:hideMark/>
          </w:tcPr>
          <w:p w:rsidR="002951B9" w:rsidRPr="007343D8" w:rsidRDefault="002951B9" w:rsidP="002951B9">
            <w:pPr>
              <w:rPr>
                <w:rFonts w:cs="Arial"/>
                <w:color w:val="7F7F7F"/>
                <w:szCs w:val="18"/>
                <w:lang w:eastAsia="en-AU"/>
              </w:rPr>
            </w:pPr>
            <w:r w:rsidRPr="00900672">
              <w:t>Agriculture, Forestry and Fishing</w:t>
            </w:r>
          </w:p>
        </w:tc>
        <w:tc>
          <w:tcPr>
            <w:tcW w:w="921" w:type="dxa"/>
            <w:tcBorders>
              <w:top w:val="nil"/>
              <w:left w:val="nil"/>
              <w:bottom w:val="nil"/>
              <w:right w:val="nil"/>
            </w:tcBorders>
            <w:shd w:val="clear" w:color="auto" w:fill="auto"/>
            <w:noWrap/>
            <w:vAlign w:val="center"/>
            <w:hideMark/>
          </w:tcPr>
          <w:p w:rsidR="002951B9" w:rsidRPr="007343D8" w:rsidRDefault="002951B9" w:rsidP="002951B9">
            <w:pPr>
              <w:jc w:val="right"/>
              <w:rPr>
                <w:rFonts w:cs="Arial"/>
                <w:color w:val="7F7F7F"/>
                <w:szCs w:val="18"/>
                <w:lang w:eastAsia="en-AU"/>
              </w:rPr>
            </w:pPr>
            <w:r w:rsidRPr="00EF2945">
              <w:t xml:space="preserve"> 4,128 </w:t>
            </w:r>
          </w:p>
        </w:tc>
        <w:tc>
          <w:tcPr>
            <w:tcW w:w="921" w:type="dxa"/>
            <w:tcBorders>
              <w:top w:val="nil"/>
              <w:left w:val="nil"/>
              <w:bottom w:val="nil"/>
              <w:right w:val="nil"/>
            </w:tcBorders>
            <w:shd w:val="clear" w:color="auto" w:fill="auto"/>
            <w:noWrap/>
            <w:vAlign w:val="center"/>
            <w:hideMark/>
          </w:tcPr>
          <w:p w:rsidR="002951B9" w:rsidRPr="007343D8" w:rsidRDefault="002951B9" w:rsidP="002951B9">
            <w:pPr>
              <w:jc w:val="right"/>
              <w:rPr>
                <w:rFonts w:cs="Arial"/>
                <w:color w:val="7F7F7F"/>
                <w:szCs w:val="18"/>
                <w:lang w:eastAsia="en-AU"/>
              </w:rPr>
            </w:pPr>
            <w:r w:rsidRPr="00EF2945">
              <w:t xml:space="preserve"> 4,540 </w:t>
            </w:r>
          </w:p>
        </w:tc>
        <w:tc>
          <w:tcPr>
            <w:tcW w:w="922" w:type="dxa"/>
            <w:tcBorders>
              <w:top w:val="nil"/>
              <w:left w:val="nil"/>
              <w:bottom w:val="nil"/>
              <w:right w:val="nil"/>
            </w:tcBorders>
            <w:shd w:val="clear" w:color="auto" w:fill="auto"/>
            <w:noWrap/>
            <w:vAlign w:val="center"/>
            <w:hideMark/>
          </w:tcPr>
          <w:p w:rsidR="002951B9" w:rsidRPr="007343D8" w:rsidRDefault="002951B9" w:rsidP="002951B9">
            <w:pPr>
              <w:jc w:val="right"/>
              <w:rPr>
                <w:rFonts w:cs="Arial"/>
                <w:color w:val="7F7F7F"/>
                <w:szCs w:val="18"/>
                <w:lang w:eastAsia="en-AU"/>
              </w:rPr>
            </w:pPr>
            <w:r w:rsidRPr="00EF2945">
              <w:t xml:space="preserve"> 6,315 </w:t>
            </w:r>
          </w:p>
        </w:tc>
        <w:tc>
          <w:tcPr>
            <w:tcW w:w="921" w:type="dxa"/>
            <w:tcBorders>
              <w:top w:val="nil"/>
              <w:left w:val="nil"/>
              <w:bottom w:val="nil"/>
              <w:right w:val="nil"/>
            </w:tcBorders>
            <w:shd w:val="clear" w:color="auto" w:fill="auto"/>
            <w:noWrap/>
            <w:vAlign w:val="center"/>
            <w:hideMark/>
          </w:tcPr>
          <w:p w:rsidR="002951B9" w:rsidRPr="007343D8" w:rsidRDefault="002951B9" w:rsidP="002951B9">
            <w:pPr>
              <w:jc w:val="right"/>
              <w:rPr>
                <w:rFonts w:cs="Arial"/>
                <w:color w:val="7F7F7F"/>
                <w:szCs w:val="18"/>
                <w:lang w:eastAsia="en-AU"/>
              </w:rPr>
            </w:pPr>
            <w:r w:rsidRPr="00EF2945">
              <w:t xml:space="preserve"> 4,052 </w:t>
            </w:r>
          </w:p>
        </w:tc>
        <w:tc>
          <w:tcPr>
            <w:tcW w:w="921" w:type="dxa"/>
            <w:tcBorders>
              <w:top w:val="nil"/>
              <w:left w:val="nil"/>
              <w:bottom w:val="nil"/>
              <w:right w:val="nil"/>
            </w:tcBorders>
            <w:shd w:val="clear" w:color="auto" w:fill="auto"/>
            <w:noWrap/>
            <w:vAlign w:val="center"/>
            <w:hideMark/>
          </w:tcPr>
          <w:p w:rsidR="002951B9" w:rsidRPr="007343D8" w:rsidRDefault="002951B9" w:rsidP="002951B9">
            <w:pPr>
              <w:jc w:val="right"/>
              <w:rPr>
                <w:rFonts w:cs="Arial"/>
                <w:color w:val="7F7F7F"/>
                <w:szCs w:val="18"/>
                <w:lang w:eastAsia="en-AU"/>
              </w:rPr>
            </w:pPr>
            <w:r w:rsidRPr="00EF2945">
              <w:t xml:space="preserve"> 6,885 </w:t>
            </w:r>
          </w:p>
        </w:tc>
        <w:tc>
          <w:tcPr>
            <w:tcW w:w="922" w:type="dxa"/>
            <w:tcBorders>
              <w:top w:val="nil"/>
              <w:left w:val="nil"/>
              <w:bottom w:val="nil"/>
              <w:right w:val="nil"/>
            </w:tcBorders>
            <w:shd w:val="clear" w:color="auto" w:fill="auto"/>
            <w:noWrap/>
            <w:vAlign w:val="center"/>
            <w:hideMark/>
          </w:tcPr>
          <w:p w:rsidR="002951B9" w:rsidRPr="007343D8" w:rsidRDefault="002951B9" w:rsidP="002951B9">
            <w:pPr>
              <w:jc w:val="right"/>
              <w:rPr>
                <w:rFonts w:cs="Arial"/>
                <w:color w:val="7F7F7F"/>
                <w:szCs w:val="18"/>
                <w:lang w:eastAsia="en-AU"/>
              </w:rPr>
            </w:pPr>
            <w:r w:rsidRPr="00EF2945">
              <w:t xml:space="preserve"> 4,991 </w:t>
            </w:r>
          </w:p>
        </w:tc>
      </w:tr>
      <w:tr w:rsidR="002951B9" w:rsidRPr="007343D8" w:rsidTr="00692A5D">
        <w:trPr>
          <w:trHeight w:hRule="exact" w:val="397"/>
        </w:trPr>
        <w:tc>
          <w:tcPr>
            <w:tcW w:w="2992" w:type="dxa"/>
            <w:tcBorders>
              <w:top w:val="nil"/>
              <w:left w:val="nil"/>
              <w:bottom w:val="nil"/>
              <w:right w:val="nil"/>
            </w:tcBorders>
            <w:shd w:val="clear" w:color="auto" w:fill="auto"/>
            <w:noWrap/>
            <w:vAlign w:val="center"/>
            <w:hideMark/>
          </w:tcPr>
          <w:p w:rsidR="002951B9" w:rsidRPr="007343D8" w:rsidRDefault="002951B9" w:rsidP="002951B9">
            <w:pPr>
              <w:rPr>
                <w:rFonts w:cs="Arial"/>
                <w:color w:val="7F7F7F"/>
                <w:szCs w:val="18"/>
                <w:lang w:eastAsia="en-AU"/>
              </w:rPr>
            </w:pPr>
            <w:r w:rsidRPr="00900672">
              <w:t>Arts and Recreation Services</w:t>
            </w:r>
          </w:p>
        </w:tc>
        <w:tc>
          <w:tcPr>
            <w:tcW w:w="921" w:type="dxa"/>
            <w:tcBorders>
              <w:top w:val="nil"/>
              <w:left w:val="nil"/>
              <w:bottom w:val="nil"/>
              <w:right w:val="nil"/>
            </w:tcBorders>
            <w:shd w:val="clear" w:color="auto" w:fill="auto"/>
            <w:noWrap/>
            <w:vAlign w:val="center"/>
            <w:hideMark/>
          </w:tcPr>
          <w:p w:rsidR="002951B9" w:rsidRPr="007343D8" w:rsidRDefault="002951B9" w:rsidP="002951B9">
            <w:pPr>
              <w:jc w:val="right"/>
              <w:rPr>
                <w:rFonts w:cs="Arial"/>
                <w:color w:val="7F7F7F"/>
                <w:szCs w:val="18"/>
                <w:lang w:eastAsia="en-AU"/>
              </w:rPr>
            </w:pPr>
            <w:r w:rsidRPr="00EF2945">
              <w:t xml:space="preserve"> 13,959 </w:t>
            </w:r>
          </w:p>
        </w:tc>
        <w:tc>
          <w:tcPr>
            <w:tcW w:w="921" w:type="dxa"/>
            <w:tcBorders>
              <w:top w:val="nil"/>
              <w:left w:val="nil"/>
              <w:bottom w:val="nil"/>
              <w:right w:val="nil"/>
            </w:tcBorders>
            <w:shd w:val="clear" w:color="auto" w:fill="auto"/>
            <w:noWrap/>
            <w:vAlign w:val="center"/>
            <w:hideMark/>
          </w:tcPr>
          <w:p w:rsidR="002951B9" w:rsidRPr="007343D8" w:rsidRDefault="002951B9" w:rsidP="002951B9">
            <w:pPr>
              <w:jc w:val="right"/>
              <w:rPr>
                <w:rFonts w:cs="Arial"/>
                <w:color w:val="7F7F7F"/>
                <w:szCs w:val="18"/>
                <w:lang w:eastAsia="en-AU"/>
              </w:rPr>
            </w:pPr>
            <w:r w:rsidRPr="00EF2945">
              <w:t xml:space="preserve"> 18,227 </w:t>
            </w:r>
          </w:p>
        </w:tc>
        <w:tc>
          <w:tcPr>
            <w:tcW w:w="922" w:type="dxa"/>
            <w:tcBorders>
              <w:top w:val="nil"/>
              <w:left w:val="nil"/>
              <w:bottom w:val="nil"/>
              <w:right w:val="nil"/>
            </w:tcBorders>
            <w:shd w:val="clear" w:color="auto" w:fill="auto"/>
            <w:noWrap/>
            <w:vAlign w:val="center"/>
            <w:hideMark/>
          </w:tcPr>
          <w:p w:rsidR="002951B9" w:rsidRPr="007343D8" w:rsidRDefault="002951B9" w:rsidP="002951B9">
            <w:pPr>
              <w:jc w:val="right"/>
              <w:rPr>
                <w:rFonts w:cs="Arial"/>
                <w:color w:val="7F7F7F"/>
                <w:szCs w:val="18"/>
                <w:lang w:eastAsia="en-AU"/>
              </w:rPr>
            </w:pPr>
            <w:r w:rsidRPr="00EF2945">
              <w:t xml:space="preserve"> 22,508 </w:t>
            </w:r>
          </w:p>
        </w:tc>
        <w:tc>
          <w:tcPr>
            <w:tcW w:w="921" w:type="dxa"/>
            <w:tcBorders>
              <w:top w:val="nil"/>
              <w:left w:val="nil"/>
              <w:bottom w:val="nil"/>
              <w:right w:val="nil"/>
            </w:tcBorders>
            <w:shd w:val="clear" w:color="auto" w:fill="auto"/>
            <w:noWrap/>
            <w:vAlign w:val="center"/>
            <w:hideMark/>
          </w:tcPr>
          <w:p w:rsidR="002951B9" w:rsidRPr="007343D8" w:rsidRDefault="002951B9" w:rsidP="002951B9">
            <w:pPr>
              <w:jc w:val="right"/>
              <w:rPr>
                <w:rFonts w:cs="Arial"/>
                <w:color w:val="7F7F7F"/>
                <w:szCs w:val="18"/>
                <w:lang w:eastAsia="en-AU"/>
              </w:rPr>
            </w:pPr>
            <w:r w:rsidRPr="00EF2945">
              <w:t xml:space="preserve"> 11,813 </w:t>
            </w:r>
          </w:p>
        </w:tc>
        <w:tc>
          <w:tcPr>
            <w:tcW w:w="921" w:type="dxa"/>
            <w:tcBorders>
              <w:top w:val="nil"/>
              <w:left w:val="nil"/>
              <w:bottom w:val="nil"/>
              <w:right w:val="nil"/>
            </w:tcBorders>
            <w:shd w:val="clear" w:color="auto" w:fill="auto"/>
            <w:noWrap/>
            <w:vAlign w:val="center"/>
            <w:hideMark/>
          </w:tcPr>
          <w:p w:rsidR="002951B9" w:rsidRPr="007343D8" w:rsidRDefault="002951B9" w:rsidP="002951B9">
            <w:pPr>
              <w:jc w:val="right"/>
              <w:rPr>
                <w:rFonts w:cs="Arial"/>
                <w:color w:val="7F7F7F"/>
                <w:szCs w:val="18"/>
                <w:lang w:eastAsia="en-AU"/>
              </w:rPr>
            </w:pPr>
            <w:r w:rsidRPr="00EF2945">
              <w:t xml:space="preserve"> 9,709 </w:t>
            </w:r>
          </w:p>
        </w:tc>
        <w:tc>
          <w:tcPr>
            <w:tcW w:w="922" w:type="dxa"/>
            <w:tcBorders>
              <w:top w:val="nil"/>
              <w:left w:val="nil"/>
              <w:bottom w:val="nil"/>
              <w:right w:val="nil"/>
            </w:tcBorders>
            <w:shd w:val="clear" w:color="auto" w:fill="auto"/>
            <w:noWrap/>
            <w:vAlign w:val="center"/>
            <w:hideMark/>
          </w:tcPr>
          <w:p w:rsidR="002951B9" w:rsidRPr="007343D8" w:rsidRDefault="002951B9" w:rsidP="002951B9">
            <w:pPr>
              <w:jc w:val="right"/>
              <w:rPr>
                <w:rFonts w:cs="Arial"/>
                <w:color w:val="7F7F7F"/>
                <w:szCs w:val="18"/>
                <w:lang w:eastAsia="en-AU"/>
              </w:rPr>
            </w:pPr>
            <w:r w:rsidRPr="00EF2945">
              <w:t xml:space="preserve"> 9,968 </w:t>
            </w:r>
          </w:p>
        </w:tc>
      </w:tr>
      <w:tr w:rsidR="002951B9" w:rsidRPr="007343D8" w:rsidTr="00692A5D">
        <w:trPr>
          <w:trHeight w:hRule="exact" w:val="397"/>
        </w:trPr>
        <w:tc>
          <w:tcPr>
            <w:tcW w:w="2992" w:type="dxa"/>
            <w:tcBorders>
              <w:top w:val="nil"/>
              <w:left w:val="nil"/>
              <w:bottom w:val="nil"/>
              <w:right w:val="nil"/>
            </w:tcBorders>
            <w:shd w:val="clear" w:color="auto" w:fill="auto"/>
            <w:noWrap/>
            <w:vAlign w:val="center"/>
            <w:hideMark/>
          </w:tcPr>
          <w:p w:rsidR="002951B9" w:rsidRPr="007343D8" w:rsidRDefault="002951B9" w:rsidP="002951B9">
            <w:pPr>
              <w:rPr>
                <w:rFonts w:cs="Arial"/>
                <w:color w:val="7F7F7F"/>
                <w:szCs w:val="18"/>
                <w:lang w:eastAsia="en-AU"/>
              </w:rPr>
            </w:pPr>
            <w:r w:rsidRPr="00900672">
              <w:t>Construction</w:t>
            </w:r>
          </w:p>
        </w:tc>
        <w:tc>
          <w:tcPr>
            <w:tcW w:w="921" w:type="dxa"/>
            <w:tcBorders>
              <w:top w:val="nil"/>
              <w:left w:val="nil"/>
              <w:bottom w:val="nil"/>
              <w:right w:val="nil"/>
            </w:tcBorders>
            <w:shd w:val="clear" w:color="auto" w:fill="auto"/>
            <w:noWrap/>
            <w:vAlign w:val="center"/>
            <w:hideMark/>
          </w:tcPr>
          <w:p w:rsidR="002951B9" w:rsidRPr="007343D8" w:rsidRDefault="002951B9" w:rsidP="002951B9">
            <w:pPr>
              <w:jc w:val="right"/>
              <w:rPr>
                <w:rFonts w:cs="Arial"/>
                <w:color w:val="7F7F7F"/>
                <w:szCs w:val="18"/>
                <w:lang w:eastAsia="en-AU"/>
              </w:rPr>
            </w:pPr>
            <w:r w:rsidRPr="00EF2945">
              <w:t xml:space="preserve"> 28,042 </w:t>
            </w:r>
          </w:p>
        </w:tc>
        <w:tc>
          <w:tcPr>
            <w:tcW w:w="921" w:type="dxa"/>
            <w:tcBorders>
              <w:top w:val="nil"/>
              <w:left w:val="nil"/>
              <w:bottom w:val="nil"/>
              <w:right w:val="nil"/>
            </w:tcBorders>
            <w:shd w:val="clear" w:color="auto" w:fill="auto"/>
            <w:noWrap/>
            <w:vAlign w:val="center"/>
            <w:hideMark/>
          </w:tcPr>
          <w:p w:rsidR="002951B9" w:rsidRPr="007343D8" w:rsidRDefault="002951B9" w:rsidP="002951B9">
            <w:pPr>
              <w:jc w:val="right"/>
              <w:rPr>
                <w:rFonts w:cs="Arial"/>
                <w:color w:val="7F7F7F"/>
                <w:szCs w:val="18"/>
                <w:lang w:eastAsia="en-AU"/>
              </w:rPr>
            </w:pPr>
            <w:r w:rsidRPr="00EF2945">
              <w:t xml:space="preserve"> 33,394 </w:t>
            </w:r>
          </w:p>
        </w:tc>
        <w:tc>
          <w:tcPr>
            <w:tcW w:w="922" w:type="dxa"/>
            <w:tcBorders>
              <w:top w:val="nil"/>
              <w:left w:val="nil"/>
              <w:bottom w:val="nil"/>
              <w:right w:val="nil"/>
            </w:tcBorders>
            <w:shd w:val="clear" w:color="auto" w:fill="auto"/>
            <w:noWrap/>
            <w:vAlign w:val="center"/>
            <w:hideMark/>
          </w:tcPr>
          <w:p w:rsidR="002951B9" w:rsidRPr="007343D8" w:rsidRDefault="002951B9" w:rsidP="002951B9">
            <w:pPr>
              <w:jc w:val="right"/>
              <w:rPr>
                <w:rFonts w:cs="Arial"/>
                <w:color w:val="7F7F7F"/>
                <w:szCs w:val="18"/>
                <w:lang w:eastAsia="en-AU"/>
              </w:rPr>
            </w:pPr>
            <w:r w:rsidRPr="00EF2945">
              <w:t xml:space="preserve"> 36,402 </w:t>
            </w:r>
          </w:p>
        </w:tc>
        <w:tc>
          <w:tcPr>
            <w:tcW w:w="921" w:type="dxa"/>
            <w:tcBorders>
              <w:top w:val="nil"/>
              <w:left w:val="nil"/>
              <w:bottom w:val="nil"/>
              <w:right w:val="nil"/>
            </w:tcBorders>
            <w:shd w:val="clear" w:color="auto" w:fill="auto"/>
            <w:noWrap/>
            <w:vAlign w:val="center"/>
            <w:hideMark/>
          </w:tcPr>
          <w:p w:rsidR="002951B9" w:rsidRPr="007343D8" w:rsidRDefault="002951B9" w:rsidP="002951B9">
            <w:pPr>
              <w:jc w:val="right"/>
              <w:rPr>
                <w:rFonts w:cs="Arial"/>
                <w:color w:val="7F7F7F"/>
                <w:szCs w:val="18"/>
                <w:lang w:eastAsia="en-AU"/>
              </w:rPr>
            </w:pPr>
            <w:r w:rsidRPr="00EF2945">
              <w:t xml:space="preserve"> 37,552 </w:t>
            </w:r>
          </w:p>
        </w:tc>
        <w:tc>
          <w:tcPr>
            <w:tcW w:w="921" w:type="dxa"/>
            <w:tcBorders>
              <w:top w:val="nil"/>
              <w:left w:val="nil"/>
              <w:bottom w:val="nil"/>
              <w:right w:val="nil"/>
            </w:tcBorders>
            <w:shd w:val="clear" w:color="auto" w:fill="auto"/>
            <w:noWrap/>
            <w:vAlign w:val="center"/>
            <w:hideMark/>
          </w:tcPr>
          <w:p w:rsidR="002951B9" w:rsidRPr="007343D8" w:rsidRDefault="002951B9" w:rsidP="002951B9">
            <w:pPr>
              <w:jc w:val="right"/>
              <w:rPr>
                <w:rFonts w:cs="Arial"/>
                <w:color w:val="7F7F7F"/>
                <w:szCs w:val="18"/>
                <w:lang w:eastAsia="en-AU"/>
              </w:rPr>
            </w:pPr>
            <w:r w:rsidRPr="00EF2945">
              <w:t xml:space="preserve"> 38,623 </w:t>
            </w:r>
          </w:p>
        </w:tc>
        <w:tc>
          <w:tcPr>
            <w:tcW w:w="922" w:type="dxa"/>
            <w:tcBorders>
              <w:top w:val="nil"/>
              <w:left w:val="nil"/>
              <w:bottom w:val="nil"/>
              <w:right w:val="nil"/>
            </w:tcBorders>
            <w:shd w:val="clear" w:color="auto" w:fill="auto"/>
            <w:noWrap/>
            <w:vAlign w:val="center"/>
            <w:hideMark/>
          </w:tcPr>
          <w:p w:rsidR="002951B9" w:rsidRPr="007343D8" w:rsidRDefault="002951B9" w:rsidP="002951B9">
            <w:pPr>
              <w:jc w:val="right"/>
              <w:rPr>
                <w:rFonts w:cs="Arial"/>
                <w:color w:val="7F7F7F"/>
                <w:szCs w:val="18"/>
                <w:lang w:eastAsia="en-AU"/>
              </w:rPr>
            </w:pPr>
            <w:r w:rsidRPr="00EF2945">
              <w:t xml:space="preserve"> 45,271 </w:t>
            </w:r>
          </w:p>
        </w:tc>
      </w:tr>
      <w:tr w:rsidR="002951B9" w:rsidRPr="007343D8" w:rsidTr="00692A5D">
        <w:trPr>
          <w:trHeight w:hRule="exact" w:val="397"/>
        </w:trPr>
        <w:tc>
          <w:tcPr>
            <w:tcW w:w="2992" w:type="dxa"/>
            <w:tcBorders>
              <w:top w:val="nil"/>
              <w:left w:val="nil"/>
              <w:bottom w:val="nil"/>
              <w:right w:val="nil"/>
            </w:tcBorders>
            <w:shd w:val="clear" w:color="auto" w:fill="auto"/>
            <w:noWrap/>
            <w:vAlign w:val="center"/>
            <w:hideMark/>
          </w:tcPr>
          <w:p w:rsidR="002951B9" w:rsidRPr="007343D8" w:rsidRDefault="002951B9" w:rsidP="002951B9">
            <w:pPr>
              <w:rPr>
                <w:rFonts w:cs="Arial"/>
                <w:color w:val="7F7F7F"/>
                <w:szCs w:val="18"/>
                <w:lang w:eastAsia="en-AU"/>
              </w:rPr>
            </w:pPr>
            <w:r w:rsidRPr="00900672">
              <w:t>Cross-industry</w:t>
            </w:r>
            <w:r>
              <w:t>*</w:t>
            </w:r>
          </w:p>
        </w:tc>
        <w:tc>
          <w:tcPr>
            <w:tcW w:w="921" w:type="dxa"/>
            <w:tcBorders>
              <w:top w:val="nil"/>
              <w:left w:val="nil"/>
              <w:bottom w:val="nil"/>
              <w:right w:val="nil"/>
            </w:tcBorders>
            <w:shd w:val="clear" w:color="auto" w:fill="auto"/>
            <w:noWrap/>
            <w:vAlign w:val="center"/>
            <w:hideMark/>
          </w:tcPr>
          <w:p w:rsidR="002951B9" w:rsidRPr="007343D8" w:rsidRDefault="002951B9" w:rsidP="002951B9">
            <w:pPr>
              <w:jc w:val="right"/>
              <w:rPr>
                <w:rFonts w:cs="Arial"/>
                <w:color w:val="7F7F7F"/>
                <w:szCs w:val="18"/>
                <w:lang w:eastAsia="en-AU"/>
              </w:rPr>
            </w:pPr>
            <w:r w:rsidRPr="00EF2945">
              <w:t xml:space="preserve"> 34,418 </w:t>
            </w:r>
          </w:p>
        </w:tc>
        <w:tc>
          <w:tcPr>
            <w:tcW w:w="921" w:type="dxa"/>
            <w:tcBorders>
              <w:top w:val="nil"/>
              <w:left w:val="nil"/>
              <w:bottom w:val="nil"/>
              <w:right w:val="nil"/>
            </w:tcBorders>
            <w:shd w:val="clear" w:color="auto" w:fill="auto"/>
            <w:noWrap/>
            <w:vAlign w:val="center"/>
            <w:hideMark/>
          </w:tcPr>
          <w:p w:rsidR="002951B9" w:rsidRPr="007343D8" w:rsidRDefault="002951B9" w:rsidP="002951B9">
            <w:pPr>
              <w:jc w:val="right"/>
              <w:rPr>
                <w:rFonts w:cs="Arial"/>
                <w:color w:val="7F7F7F"/>
                <w:szCs w:val="18"/>
                <w:lang w:eastAsia="en-AU"/>
              </w:rPr>
            </w:pPr>
            <w:r w:rsidRPr="00EF2945">
              <w:t xml:space="preserve"> 43,420 </w:t>
            </w:r>
          </w:p>
        </w:tc>
        <w:tc>
          <w:tcPr>
            <w:tcW w:w="922" w:type="dxa"/>
            <w:tcBorders>
              <w:top w:val="nil"/>
              <w:left w:val="nil"/>
              <w:bottom w:val="nil"/>
              <w:right w:val="nil"/>
            </w:tcBorders>
            <w:shd w:val="clear" w:color="auto" w:fill="auto"/>
            <w:noWrap/>
            <w:vAlign w:val="center"/>
            <w:hideMark/>
          </w:tcPr>
          <w:p w:rsidR="002951B9" w:rsidRPr="007343D8" w:rsidRDefault="002951B9" w:rsidP="002951B9">
            <w:pPr>
              <w:jc w:val="right"/>
              <w:rPr>
                <w:rFonts w:cs="Arial"/>
                <w:color w:val="7F7F7F"/>
                <w:szCs w:val="18"/>
                <w:lang w:eastAsia="en-AU"/>
              </w:rPr>
            </w:pPr>
            <w:r w:rsidRPr="00EF2945">
              <w:t xml:space="preserve"> 70,358 </w:t>
            </w:r>
          </w:p>
        </w:tc>
        <w:tc>
          <w:tcPr>
            <w:tcW w:w="921" w:type="dxa"/>
            <w:tcBorders>
              <w:top w:val="nil"/>
              <w:left w:val="nil"/>
              <w:bottom w:val="nil"/>
              <w:right w:val="nil"/>
            </w:tcBorders>
            <w:shd w:val="clear" w:color="auto" w:fill="auto"/>
            <w:noWrap/>
            <w:vAlign w:val="center"/>
            <w:hideMark/>
          </w:tcPr>
          <w:p w:rsidR="002951B9" w:rsidRPr="007343D8" w:rsidRDefault="002951B9" w:rsidP="002951B9">
            <w:pPr>
              <w:jc w:val="right"/>
              <w:rPr>
                <w:rFonts w:cs="Arial"/>
                <w:color w:val="7F7F7F"/>
                <w:szCs w:val="18"/>
                <w:lang w:eastAsia="en-AU"/>
              </w:rPr>
            </w:pPr>
            <w:r w:rsidRPr="00EF2945">
              <w:t xml:space="preserve"> 42,708 </w:t>
            </w:r>
          </w:p>
        </w:tc>
        <w:tc>
          <w:tcPr>
            <w:tcW w:w="921" w:type="dxa"/>
            <w:tcBorders>
              <w:top w:val="nil"/>
              <w:left w:val="nil"/>
              <w:bottom w:val="nil"/>
              <w:right w:val="nil"/>
            </w:tcBorders>
            <w:shd w:val="clear" w:color="auto" w:fill="auto"/>
            <w:noWrap/>
            <w:vAlign w:val="center"/>
            <w:hideMark/>
          </w:tcPr>
          <w:p w:rsidR="002951B9" w:rsidRPr="007343D8" w:rsidRDefault="002951B9" w:rsidP="002951B9">
            <w:pPr>
              <w:jc w:val="right"/>
              <w:rPr>
                <w:rFonts w:cs="Arial"/>
                <w:color w:val="7F7F7F"/>
                <w:szCs w:val="18"/>
                <w:lang w:eastAsia="en-AU"/>
              </w:rPr>
            </w:pPr>
            <w:r w:rsidRPr="00EF2945">
              <w:t xml:space="preserve"> 38,626 </w:t>
            </w:r>
          </w:p>
        </w:tc>
        <w:tc>
          <w:tcPr>
            <w:tcW w:w="922" w:type="dxa"/>
            <w:tcBorders>
              <w:top w:val="nil"/>
              <w:left w:val="nil"/>
              <w:bottom w:val="nil"/>
              <w:right w:val="nil"/>
            </w:tcBorders>
            <w:shd w:val="clear" w:color="auto" w:fill="auto"/>
            <w:noWrap/>
            <w:vAlign w:val="center"/>
            <w:hideMark/>
          </w:tcPr>
          <w:p w:rsidR="002951B9" w:rsidRPr="007343D8" w:rsidRDefault="002951B9" w:rsidP="002951B9">
            <w:pPr>
              <w:jc w:val="right"/>
              <w:rPr>
                <w:rFonts w:cs="Arial"/>
                <w:color w:val="7F7F7F"/>
                <w:szCs w:val="18"/>
                <w:lang w:eastAsia="en-AU"/>
              </w:rPr>
            </w:pPr>
            <w:r w:rsidRPr="00EF2945">
              <w:t xml:space="preserve"> 32,185 </w:t>
            </w:r>
          </w:p>
        </w:tc>
      </w:tr>
      <w:tr w:rsidR="002951B9" w:rsidRPr="007343D8" w:rsidTr="00692A5D">
        <w:trPr>
          <w:trHeight w:hRule="exact" w:val="397"/>
        </w:trPr>
        <w:tc>
          <w:tcPr>
            <w:tcW w:w="2992" w:type="dxa"/>
            <w:tcBorders>
              <w:top w:val="nil"/>
              <w:left w:val="nil"/>
              <w:bottom w:val="nil"/>
              <w:right w:val="nil"/>
            </w:tcBorders>
            <w:shd w:val="clear" w:color="auto" w:fill="auto"/>
            <w:noWrap/>
            <w:vAlign w:val="center"/>
          </w:tcPr>
          <w:p w:rsidR="002951B9" w:rsidRPr="007343D8" w:rsidRDefault="002951B9" w:rsidP="002951B9">
            <w:pPr>
              <w:rPr>
                <w:rFonts w:cs="Arial"/>
                <w:color w:val="7F7F7F"/>
                <w:szCs w:val="18"/>
                <w:lang w:eastAsia="en-AU"/>
              </w:rPr>
            </w:pPr>
            <w:r w:rsidRPr="00900672">
              <w:t>Education and Training</w:t>
            </w:r>
          </w:p>
        </w:tc>
        <w:tc>
          <w:tcPr>
            <w:tcW w:w="921" w:type="dxa"/>
            <w:tcBorders>
              <w:top w:val="nil"/>
              <w:left w:val="nil"/>
              <w:bottom w:val="nil"/>
              <w:right w:val="nil"/>
            </w:tcBorders>
            <w:shd w:val="clear" w:color="auto" w:fill="auto"/>
            <w:noWrap/>
            <w:vAlign w:val="center"/>
          </w:tcPr>
          <w:p w:rsidR="002951B9" w:rsidRPr="007343D8" w:rsidRDefault="002951B9" w:rsidP="002951B9">
            <w:pPr>
              <w:jc w:val="right"/>
              <w:rPr>
                <w:rFonts w:cs="Arial"/>
                <w:color w:val="7F7F7F"/>
                <w:szCs w:val="18"/>
                <w:lang w:eastAsia="en-AU"/>
              </w:rPr>
            </w:pPr>
            <w:r w:rsidRPr="00EF2945">
              <w:t xml:space="preserve"> 4,629 </w:t>
            </w:r>
          </w:p>
        </w:tc>
        <w:tc>
          <w:tcPr>
            <w:tcW w:w="921" w:type="dxa"/>
            <w:tcBorders>
              <w:top w:val="nil"/>
              <w:left w:val="nil"/>
              <w:bottom w:val="nil"/>
              <w:right w:val="nil"/>
            </w:tcBorders>
            <w:shd w:val="clear" w:color="auto" w:fill="auto"/>
            <w:noWrap/>
            <w:vAlign w:val="center"/>
          </w:tcPr>
          <w:p w:rsidR="002951B9" w:rsidRPr="007343D8" w:rsidRDefault="002951B9" w:rsidP="002951B9">
            <w:pPr>
              <w:jc w:val="right"/>
              <w:rPr>
                <w:rFonts w:cs="Arial"/>
                <w:color w:val="7F7F7F"/>
                <w:szCs w:val="18"/>
                <w:lang w:eastAsia="en-AU"/>
              </w:rPr>
            </w:pPr>
            <w:r w:rsidRPr="00EF2945">
              <w:t xml:space="preserve"> 6,616 </w:t>
            </w:r>
          </w:p>
        </w:tc>
        <w:tc>
          <w:tcPr>
            <w:tcW w:w="922" w:type="dxa"/>
            <w:tcBorders>
              <w:top w:val="nil"/>
              <w:left w:val="nil"/>
              <w:bottom w:val="nil"/>
              <w:right w:val="nil"/>
            </w:tcBorders>
            <w:shd w:val="clear" w:color="auto" w:fill="auto"/>
            <w:noWrap/>
            <w:vAlign w:val="center"/>
          </w:tcPr>
          <w:p w:rsidR="002951B9" w:rsidRPr="007343D8" w:rsidRDefault="002951B9" w:rsidP="002951B9">
            <w:pPr>
              <w:jc w:val="right"/>
              <w:rPr>
                <w:rFonts w:cs="Arial"/>
                <w:color w:val="7F7F7F"/>
                <w:szCs w:val="18"/>
                <w:lang w:eastAsia="en-AU"/>
              </w:rPr>
            </w:pPr>
            <w:r w:rsidRPr="00EF2945">
              <w:t xml:space="preserve"> 7,034 </w:t>
            </w:r>
          </w:p>
        </w:tc>
        <w:tc>
          <w:tcPr>
            <w:tcW w:w="921" w:type="dxa"/>
            <w:tcBorders>
              <w:top w:val="nil"/>
              <w:left w:val="nil"/>
              <w:bottom w:val="nil"/>
              <w:right w:val="nil"/>
            </w:tcBorders>
            <w:shd w:val="clear" w:color="auto" w:fill="auto"/>
            <w:noWrap/>
            <w:vAlign w:val="center"/>
          </w:tcPr>
          <w:p w:rsidR="002951B9" w:rsidRPr="007343D8" w:rsidRDefault="002951B9" w:rsidP="002951B9">
            <w:pPr>
              <w:jc w:val="right"/>
              <w:rPr>
                <w:rFonts w:cs="Arial"/>
                <w:color w:val="7F7F7F"/>
                <w:szCs w:val="18"/>
                <w:lang w:eastAsia="en-AU"/>
              </w:rPr>
            </w:pPr>
            <w:r w:rsidRPr="00EF2945">
              <w:t xml:space="preserve"> 7,744 </w:t>
            </w:r>
          </w:p>
        </w:tc>
        <w:tc>
          <w:tcPr>
            <w:tcW w:w="921" w:type="dxa"/>
            <w:tcBorders>
              <w:top w:val="nil"/>
              <w:left w:val="nil"/>
              <w:bottom w:val="nil"/>
              <w:right w:val="nil"/>
            </w:tcBorders>
            <w:shd w:val="clear" w:color="auto" w:fill="auto"/>
            <w:noWrap/>
            <w:vAlign w:val="center"/>
          </w:tcPr>
          <w:p w:rsidR="002951B9" w:rsidRPr="007343D8" w:rsidRDefault="002951B9" w:rsidP="002951B9">
            <w:pPr>
              <w:jc w:val="right"/>
              <w:rPr>
                <w:rFonts w:cs="Arial"/>
                <w:color w:val="7F7F7F"/>
                <w:szCs w:val="18"/>
                <w:lang w:eastAsia="en-AU"/>
              </w:rPr>
            </w:pPr>
            <w:r w:rsidRPr="00EF2945">
              <w:t xml:space="preserve"> 6,486 </w:t>
            </w:r>
          </w:p>
        </w:tc>
        <w:tc>
          <w:tcPr>
            <w:tcW w:w="922" w:type="dxa"/>
            <w:tcBorders>
              <w:top w:val="nil"/>
              <w:left w:val="nil"/>
              <w:bottom w:val="nil"/>
              <w:right w:val="nil"/>
            </w:tcBorders>
            <w:shd w:val="clear" w:color="auto" w:fill="auto"/>
            <w:noWrap/>
            <w:vAlign w:val="center"/>
          </w:tcPr>
          <w:p w:rsidR="002951B9" w:rsidRPr="007343D8" w:rsidRDefault="002951B9" w:rsidP="002951B9">
            <w:pPr>
              <w:jc w:val="right"/>
              <w:rPr>
                <w:rFonts w:cs="Arial"/>
                <w:color w:val="7F7F7F"/>
                <w:szCs w:val="18"/>
                <w:lang w:eastAsia="en-AU"/>
              </w:rPr>
            </w:pPr>
            <w:r w:rsidRPr="00EF2945">
              <w:t xml:space="preserve"> 5,448 </w:t>
            </w:r>
          </w:p>
        </w:tc>
      </w:tr>
      <w:tr w:rsidR="002951B9" w:rsidRPr="007343D8" w:rsidTr="00692A5D">
        <w:trPr>
          <w:trHeight w:hRule="exact" w:val="397"/>
        </w:trPr>
        <w:tc>
          <w:tcPr>
            <w:tcW w:w="2992" w:type="dxa"/>
            <w:tcBorders>
              <w:top w:val="nil"/>
              <w:left w:val="nil"/>
              <w:bottom w:val="nil"/>
              <w:right w:val="nil"/>
            </w:tcBorders>
            <w:shd w:val="clear" w:color="auto" w:fill="auto"/>
            <w:noWrap/>
            <w:vAlign w:val="center"/>
          </w:tcPr>
          <w:p w:rsidR="002951B9" w:rsidRPr="007343D8" w:rsidRDefault="002951B9" w:rsidP="002951B9">
            <w:pPr>
              <w:rPr>
                <w:rFonts w:cs="Arial"/>
                <w:color w:val="7F7F7F"/>
                <w:szCs w:val="18"/>
                <w:lang w:eastAsia="en-AU"/>
              </w:rPr>
            </w:pPr>
            <w:r w:rsidRPr="00900672">
              <w:t>Electricity, Gas, Water and Waste Services</w:t>
            </w:r>
          </w:p>
        </w:tc>
        <w:tc>
          <w:tcPr>
            <w:tcW w:w="921" w:type="dxa"/>
            <w:tcBorders>
              <w:top w:val="nil"/>
              <w:left w:val="nil"/>
              <w:bottom w:val="nil"/>
              <w:right w:val="nil"/>
            </w:tcBorders>
            <w:shd w:val="clear" w:color="auto" w:fill="auto"/>
            <w:noWrap/>
            <w:vAlign w:val="center"/>
          </w:tcPr>
          <w:p w:rsidR="002951B9" w:rsidRPr="007343D8" w:rsidRDefault="002951B9" w:rsidP="002951B9">
            <w:pPr>
              <w:jc w:val="right"/>
              <w:rPr>
                <w:rFonts w:cs="Arial"/>
                <w:color w:val="7F7F7F"/>
                <w:szCs w:val="18"/>
                <w:lang w:eastAsia="en-AU"/>
              </w:rPr>
            </w:pPr>
            <w:r w:rsidRPr="00EF2945">
              <w:t xml:space="preserve"> 627 </w:t>
            </w:r>
          </w:p>
        </w:tc>
        <w:tc>
          <w:tcPr>
            <w:tcW w:w="921" w:type="dxa"/>
            <w:tcBorders>
              <w:top w:val="nil"/>
              <w:left w:val="nil"/>
              <w:bottom w:val="nil"/>
              <w:right w:val="nil"/>
            </w:tcBorders>
            <w:shd w:val="clear" w:color="auto" w:fill="auto"/>
            <w:noWrap/>
            <w:vAlign w:val="center"/>
          </w:tcPr>
          <w:p w:rsidR="002951B9" w:rsidRPr="007343D8" w:rsidRDefault="002951B9" w:rsidP="002951B9">
            <w:pPr>
              <w:jc w:val="right"/>
              <w:rPr>
                <w:rFonts w:cs="Arial"/>
                <w:color w:val="7F7F7F"/>
                <w:szCs w:val="18"/>
                <w:lang w:eastAsia="en-AU"/>
              </w:rPr>
            </w:pPr>
            <w:r w:rsidRPr="00EF2945">
              <w:t xml:space="preserve"> 614 </w:t>
            </w:r>
          </w:p>
        </w:tc>
        <w:tc>
          <w:tcPr>
            <w:tcW w:w="922" w:type="dxa"/>
            <w:tcBorders>
              <w:top w:val="nil"/>
              <w:left w:val="nil"/>
              <w:bottom w:val="nil"/>
              <w:right w:val="nil"/>
            </w:tcBorders>
            <w:shd w:val="clear" w:color="auto" w:fill="auto"/>
            <w:noWrap/>
            <w:vAlign w:val="center"/>
          </w:tcPr>
          <w:p w:rsidR="002951B9" w:rsidRPr="007343D8" w:rsidRDefault="002951B9" w:rsidP="002951B9">
            <w:pPr>
              <w:jc w:val="right"/>
              <w:rPr>
                <w:rFonts w:cs="Arial"/>
                <w:color w:val="7F7F7F"/>
                <w:szCs w:val="18"/>
                <w:lang w:eastAsia="en-AU"/>
              </w:rPr>
            </w:pPr>
            <w:r w:rsidRPr="00EF2945">
              <w:t xml:space="preserve"> 765 </w:t>
            </w:r>
          </w:p>
        </w:tc>
        <w:tc>
          <w:tcPr>
            <w:tcW w:w="921" w:type="dxa"/>
            <w:tcBorders>
              <w:top w:val="nil"/>
              <w:left w:val="nil"/>
              <w:bottom w:val="nil"/>
              <w:right w:val="nil"/>
            </w:tcBorders>
            <w:shd w:val="clear" w:color="auto" w:fill="auto"/>
            <w:noWrap/>
            <w:vAlign w:val="center"/>
          </w:tcPr>
          <w:p w:rsidR="002951B9" w:rsidRPr="007343D8" w:rsidRDefault="002951B9" w:rsidP="002951B9">
            <w:pPr>
              <w:jc w:val="right"/>
              <w:rPr>
                <w:rFonts w:cs="Arial"/>
                <w:color w:val="7F7F7F"/>
                <w:szCs w:val="18"/>
                <w:lang w:eastAsia="en-AU"/>
              </w:rPr>
            </w:pPr>
            <w:r w:rsidRPr="00EF2945">
              <w:t xml:space="preserve"> 339 </w:t>
            </w:r>
          </w:p>
        </w:tc>
        <w:tc>
          <w:tcPr>
            <w:tcW w:w="921" w:type="dxa"/>
            <w:tcBorders>
              <w:top w:val="nil"/>
              <w:left w:val="nil"/>
              <w:bottom w:val="nil"/>
              <w:right w:val="nil"/>
            </w:tcBorders>
            <w:shd w:val="clear" w:color="auto" w:fill="auto"/>
            <w:noWrap/>
            <w:vAlign w:val="center"/>
          </w:tcPr>
          <w:p w:rsidR="002951B9" w:rsidRPr="007343D8" w:rsidRDefault="002951B9" w:rsidP="002951B9">
            <w:pPr>
              <w:jc w:val="right"/>
              <w:rPr>
                <w:rFonts w:cs="Arial"/>
                <w:color w:val="7F7F7F"/>
                <w:szCs w:val="18"/>
                <w:lang w:eastAsia="en-AU"/>
              </w:rPr>
            </w:pPr>
            <w:r w:rsidRPr="00EF2945">
              <w:t xml:space="preserve"> 580 </w:t>
            </w:r>
          </w:p>
        </w:tc>
        <w:tc>
          <w:tcPr>
            <w:tcW w:w="922" w:type="dxa"/>
            <w:tcBorders>
              <w:top w:val="nil"/>
              <w:left w:val="nil"/>
              <w:bottom w:val="nil"/>
              <w:right w:val="nil"/>
            </w:tcBorders>
            <w:shd w:val="clear" w:color="auto" w:fill="auto"/>
            <w:noWrap/>
            <w:vAlign w:val="center"/>
          </w:tcPr>
          <w:p w:rsidR="002951B9" w:rsidRPr="007343D8" w:rsidRDefault="002951B9" w:rsidP="002951B9">
            <w:pPr>
              <w:jc w:val="right"/>
              <w:rPr>
                <w:rFonts w:cs="Arial"/>
                <w:color w:val="7F7F7F"/>
                <w:szCs w:val="18"/>
                <w:lang w:eastAsia="en-AU"/>
              </w:rPr>
            </w:pPr>
            <w:r w:rsidRPr="00EF2945">
              <w:t xml:space="preserve"> 1,433 </w:t>
            </w:r>
          </w:p>
        </w:tc>
      </w:tr>
      <w:tr w:rsidR="002951B9" w:rsidRPr="007343D8" w:rsidTr="00692A5D">
        <w:trPr>
          <w:trHeight w:hRule="exact" w:val="397"/>
        </w:trPr>
        <w:tc>
          <w:tcPr>
            <w:tcW w:w="2992" w:type="dxa"/>
            <w:tcBorders>
              <w:top w:val="nil"/>
              <w:left w:val="nil"/>
              <w:bottom w:val="nil"/>
              <w:right w:val="nil"/>
            </w:tcBorders>
            <w:shd w:val="clear" w:color="auto" w:fill="auto"/>
            <w:noWrap/>
            <w:vAlign w:val="center"/>
          </w:tcPr>
          <w:p w:rsidR="002951B9" w:rsidRPr="007343D8" w:rsidRDefault="002951B9" w:rsidP="002951B9">
            <w:pPr>
              <w:rPr>
                <w:rFonts w:cs="Arial"/>
                <w:color w:val="7F7F7F"/>
                <w:szCs w:val="18"/>
                <w:lang w:eastAsia="en-AU"/>
              </w:rPr>
            </w:pPr>
            <w:r w:rsidRPr="00900672">
              <w:t>Financial and Insurance Services</w:t>
            </w:r>
          </w:p>
        </w:tc>
        <w:tc>
          <w:tcPr>
            <w:tcW w:w="921" w:type="dxa"/>
            <w:tcBorders>
              <w:top w:val="nil"/>
              <w:left w:val="nil"/>
              <w:bottom w:val="nil"/>
              <w:right w:val="nil"/>
            </w:tcBorders>
            <w:shd w:val="clear" w:color="auto" w:fill="auto"/>
            <w:noWrap/>
            <w:vAlign w:val="center"/>
          </w:tcPr>
          <w:p w:rsidR="002951B9" w:rsidRPr="007343D8" w:rsidRDefault="002951B9" w:rsidP="002951B9">
            <w:pPr>
              <w:jc w:val="right"/>
              <w:rPr>
                <w:rFonts w:cs="Arial"/>
                <w:color w:val="7F7F7F"/>
                <w:szCs w:val="18"/>
                <w:lang w:eastAsia="en-AU"/>
              </w:rPr>
            </w:pPr>
            <w:r w:rsidRPr="00EF2945">
              <w:t xml:space="preserve"> 819 </w:t>
            </w:r>
          </w:p>
        </w:tc>
        <w:tc>
          <w:tcPr>
            <w:tcW w:w="921" w:type="dxa"/>
            <w:tcBorders>
              <w:top w:val="nil"/>
              <w:left w:val="nil"/>
              <w:bottom w:val="nil"/>
              <w:right w:val="nil"/>
            </w:tcBorders>
            <w:shd w:val="clear" w:color="auto" w:fill="auto"/>
            <w:noWrap/>
            <w:vAlign w:val="center"/>
          </w:tcPr>
          <w:p w:rsidR="002951B9" w:rsidRPr="007343D8" w:rsidRDefault="002951B9" w:rsidP="002951B9">
            <w:pPr>
              <w:jc w:val="right"/>
              <w:rPr>
                <w:rFonts w:cs="Arial"/>
                <w:color w:val="7F7F7F"/>
                <w:szCs w:val="18"/>
                <w:lang w:eastAsia="en-AU"/>
              </w:rPr>
            </w:pPr>
            <w:r w:rsidRPr="00EF2945">
              <w:t xml:space="preserve"> 2,320 </w:t>
            </w:r>
          </w:p>
        </w:tc>
        <w:tc>
          <w:tcPr>
            <w:tcW w:w="922" w:type="dxa"/>
            <w:tcBorders>
              <w:top w:val="nil"/>
              <w:left w:val="nil"/>
              <w:bottom w:val="nil"/>
              <w:right w:val="nil"/>
            </w:tcBorders>
            <w:shd w:val="clear" w:color="auto" w:fill="auto"/>
            <w:noWrap/>
            <w:vAlign w:val="center"/>
          </w:tcPr>
          <w:p w:rsidR="002951B9" w:rsidRPr="007343D8" w:rsidRDefault="002951B9" w:rsidP="002951B9">
            <w:pPr>
              <w:jc w:val="right"/>
              <w:rPr>
                <w:rFonts w:cs="Arial"/>
                <w:color w:val="7F7F7F"/>
                <w:szCs w:val="18"/>
                <w:lang w:eastAsia="en-AU"/>
              </w:rPr>
            </w:pPr>
            <w:r w:rsidRPr="00EF2945">
              <w:t xml:space="preserve"> 5,264 </w:t>
            </w:r>
          </w:p>
        </w:tc>
        <w:tc>
          <w:tcPr>
            <w:tcW w:w="921" w:type="dxa"/>
            <w:tcBorders>
              <w:top w:val="nil"/>
              <w:left w:val="nil"/>
              <w:bottom w:val="nil"/>
              <w:right w:val="nil"/>
            </w:tcBorders>
            <w:shd w:val="clear" w:color="auto" w:fill="auto"/>
            <w:noWrap/>
            <w:vAlign w:val="center"/>
          </w:tcPr>
          <w:p w:rsidR="002951B9" w:rsidRPr="007343D8" w:rsidRDefault="002951B9" w:rsidP="002951B9">
            <w:pPr>
              <w:jc w:val="right"/>
              <w:rPr>
                <w:rFonts w:cs="Arial"/>
                <w:color w:val="7F7F7F"/>
                <w:szCs w:val="18"/>
                <w:lang w:eastAsia="en-AU"/>
              </w:rPr>
            </w:pPr>
            <w:r w:rsidRPr="00EF2945">
              <w:t xml:space="preserve"> 2,047 </w:t>
            </w:r>
          </w:p>
        </w:tc>
        <w:tc>
          <w:tcPr>
            <w:tcW w:w="921" w:type="dxa"/>
            <w:tcBorders>
              <w:top w:val="nil"/>
              <w:left w:val="nil"/>
              <w:bottom w:val="nil"/>
              <w:right w:val="nil"/>
            </w:tcBorders>
            <w:shd w:val="clear" w:color="auto" w:fill="auto"/>
            <w:noWrap/>
            <w:vAlign w:val="center"/>
          </w:tcPr>
          <w:p w:rsidR="002951B9" w:rsidRPr="007343D8" w:rsidRDefault="002951B9" w:rsidP="002951B9">
            <w:pPr>
              <w:jc w:val="right"/>
              <w:rPr>
                <w:rFonts w:cs="Arial"/>
                <w:color w:val="7F7F7F"/>
                <w:szCs w:val="18"/>
                <w:lang w:eastAsia="en-AU"/>
              </w:rPr>
            </w:pPr>
            <w:r w:rsidRPr="00EF2945">
              <w:t xml:space="preserve"> 2,163 </w:t>
            </w:r>
          </w:p>
        </w:tc>
        <w:tc>
          <w:tcPr>
            <w:tcW w:w="922" w:type="dxa"/>
            <w:tcBorders>
              <w:top w:val="nil"/>
              <w:left w:val="nil"/>
              <w:bottom w:val="nil"/>
              <w:right w:val="nil"/>
            </w:tcBorders>
            <w:shd w:val="clear" w:color="auto" w:fill="auto"/>
            <w:noWrap/>
            <w:vAlign w:val="center"/>
          </w:tcPr>
          <w:p w:rsidR="002951B9" w:rsidRPr="007343D8" w:rsidRDefault="002951B9" w:rsidP="002951B9">
            <w:pPr>
              <w:jc w:val="right"/>
              <w:rPr>
                <w:rFonts w:cs="Arial"/>
                <w:color w:val="7F7F7F"/>
                <w:szCs w:val="18"/>
                <w:lang w:eastAsia="en-AU"/>
              </w:rPr>
            </w:pPr>
            <w:r w:rsidRPr="00EF2945">
              <w:t xml:space="preserve"> 1,279 </w:t>
            </w:r>
          </w:p>
        </w:tc>
      </w:tr>
      <w:tr w:rsidR="002951B9" w:rsidRPr="007343D8" w:rsidTr="00692A5D">
        <w:trPr>
          <w:trHeight w:hRule="exact" w:val="397"/>
        </w:trPr>
        <w:tc>
          <w:tcPr>
            <w:tcW w:w="2992" w:type="dxa"/>
            <w:tcBorders>
              <w:top w:val="nil"/>
              <w:left w:val="nil"/>
              <w:bottom w:val="nil"/>
              <w:right w:val="nil"/>
            </w:tcBorders>
            <w:shd w:val="clear" w:color="auto" w:fill="auto"/>
            <w:noWrap/>
            <w:vAlign w:val="center"/>
          </w:tcPr>
          <w:p w:rsidR="002951B9" w:rsidRPr="007343D8" w:rsidRDefault="002951B9" w:rsidP="002951B9">
            <w:pPr>
              <w:rPr>
                <w:rFonts w:cs="Arial"/>
                <w:color w:val="7F7F7F"/>
                <w:szCs w:val="18"/>
                <w:lang w:eastAsia="en-AU"/>
              </w:rPr>
            </w:pPr>
            <w:r w:rsidRPr="00900672">
              <w:t>Health Care and Social Assistance</w:t>
            </w:r>
          </w:p>
        </w:tc>
        <w:tc>
          <w:tcPr>
            <w:tcW w:w="921" w:type="dxa"/>
            <w:tcBorders>
              <w:top w:val="nil"/>
              <w:left w:val="nil"/>
              <w:bottom w:val="nil"/>
              <w:right w:val="nil"/>
            </w:tcBorders>
            <w:shd w:val="clear" w:color="auto" w:fill="auto"/>
            <w:noWrap/>
            <w:vAlign w:val="center"/>
          </w:tcPr>
          <w:p w:rsidR="002951B9" w:rsidRPr="007343D8" w:rsidRDefault="002951B9" w:rsidP="002951B9">
            <w:pPr>
              <w:jc w:val="right"/>
              <w:rPr>
                <w:rFonts w:cs="Arial"/>
                <w:color w:val="7F7F7F"/>
                <w:szCs w:val="18"/>
                <w:lang w:eastAsia="en-AU"/>
              </w:rPr>
            </w:pPr>
            <w:r w:rsidRPr="00EF2945">
              <w:t xml:space="preserve"> 30,030 </w:t>
            </w:r>
          </w:p>
        </w:tc>
        <w:tc>
          <w:tcPr>
            <w:tcW w:w="921" w:type="dxa"/>
            <w:tcBorders>
              <w:top w:val="nil"/>
              <w:left w:val="nil"/>
              <w:bottom w:val="nil"/>
              <w:right w:val="nil"/>
            </w:tcBorders>
            <w:shd w:val="clear" w:color="auto" w:fill="auto"/>
            <w:noWrap/>
            <w:vAlign w:val="center"/>
          </w:tcPr>
          <w:p w:rsidR="002951B9" w:rsidRPr="007343D8" w:rsidRDefault="002951B9" w:rsidP="002951B9">
            <w:pPr>
              <w:jc w:val="right"/>
              <w:rPr>
                <w:rFonts w:cs="Arial"/>
                <w:color w:val="7F7F7F"/>
                <w:szCs w:val="18"/>
                <w:lang w:eastAsia="en-AU"/>
              </w:rPr>
            </w:pPr>
            <w:r w:rsidRPr="00EF2945">
              <w:t xml:space="preserve"> 39,951 </w:t>
            </w:r>
          </w:p>
        </w:tc>
        <w:tc>
          <w:tcPr>
            <w:tcW w:w="922" w:type="dxa"/>
            <w:tcBorders>
              <w:top w:val="nil"/>
              <w:left w:val="nil"/>
              <w:bottom w:val="nil"/>
              <w:right w:val="nil"/>
            </w:tcBorders>
            <w:shd w:val="clear" w:color="auto" w:fill="auto"/>
            <w:noWrap/>
            <w:vAlign w:val="center"/>
          </w:tcPr>
          <w:p w:rsidR="002951B9" w:rsidRPr="007343D8" w:rsidRDefault="002951B9" w:rsidP="002951B9">
            <w:pPr>
              <w:jc w:val="right"/>
              <w:rPr>
                <w:rFonts w:cs="Arial"/>
                <w:color w:val="7F7F7F"/>
                <w:szCs w:val="18"/>
                <w:lang w:eastAsia="en-AU"/>
              </w:rPr>
            </w:pPr>
            <w:r w:rsidRPr="00EF2945">
              <w:t xml:space="preserve"> 54,076 </w:t>
            </w:r>
          </w:p>
        </w:tc>
        <w:tc>
          <w:tcPr>
            <w:tcW w:w="921" w:type="dxa"/>
            <w:tcBorders>
              <w:top w:val="nil"/>
              <w:left w:val="nil"/>
              <w:bottom w:val="nil"/>
              <w:right w:val="nil"/>
            </w:tcBorders>
            <w:shd w:val="clear" w:color="auto" w:fill="auto"/>
            <w:noWrap/>
            <w:vAlign w:val="center"/>
          </w:tcPr>
          <w:p w:rsidR="002951B9" w:rsidRPr="007343D8" w:rsidRDefault="002951B9" w:rsidP="002951B9">
            <w:pPr>
              <w:jc w:val="right"/>
              <w:rPr>
                <w:rFonts w:cs="Arial"/>
                <w:color w:val="7F7F7F"/>
                <w:szCs w:val="18"/>
                <w:lang w:eastAsia="en-AU"/>
              </w:rPr>
            </w:pPr>
            <w:r w:rsidRPr="00EF2945">
              <w:t xml:space="preserve"> 56,348 </w:t>
            </w:r>
          </w:p>
        </w:tc>
        <w:tc>
          <w:tcPr>
            <w:tcW w:w="921" w:type="dxa"/>
            <w:tcBorders>
              <w:top w:val="nil"/>
              <w:left w:val="nil"/>
              <w:bottom w:val="nil"/>
              <w:right w:val="nil"/>
            </w:tcBorders>
            <w:shd w:val="clear" w:color="auto" w:fill="auto"/>
            <w:noWrap/>
            <w:vAlign w:val="center"/>
          </w:tcPr>
          <w:p w:rsidR="002951B9" w:rsidRPr="007343D8" w:rsidRDefault="002951B9" w:rsidP="002951B9">
            <w:pPr>
              <w:jc w:val="right"/>
              <w:rPr>
                <w:rFonts w:cs="Arial"/>
                <w:color w:val="7F7F7F"/>
                <w:szCs w:val="18"/>
                <w:lang w:eastAsia="en-AU"/>
              </w:rPr>
            </w:pPr>
            <w:r w:rsidRPr="00EF2945">
              <w:t xml:space="preserve"> 71,209 </w:t>
            </w:r>
          </w:p>
        </w:tc>
        <w:tc>
          <w:tcPr>
            <w:tcW w:w="922" w:type="dxa"/>
            <w:tcBorders>
              <w:top w:val="nil"/>
              <w:left w:val="nil"/>
              <w:bottom w:val="nil"/>
              <w:right w:val="nil"/>
            </w:tcBorders>
            <w:shd w:val="clear" w:color="auto" w:fill="auto"/>
            <w:noWrap/>
            <w:vAlign w:val="center"/>
          </w:tcPr>
          <w:p w:rsidR="002951B9" w:rsidRPr="007343D8" w:rsidRDefault="002951B9" w:rsidP="002951B9">
            <w:pPr>
              <w:jc w:val="right"/>
              <w:rPr>
                <w:rFonts w:cs="Arial"/>
                <w:color w:val="7F7F7F"/>
                <w:szCs w:val="18"/>
                <w:lang w:eastAsia="en-AU"/>
              </w:rPr>
            </w:pPr>
            <w:r w:rsidRPr="00EF2945">
              <w:t xml:space="preserve"> 69,302 </w:t>
            </w:r>
          </w:p>
        </w:tc>
      </w:tr>
      <w:tr w:rsidR="002951B9" w:rsidRPr="007343D8" w:rsidTr="00692A5D">
        <w:trPr>
          <w:trHeight w:hRule="exact" w:val="397"/>
        </w:trPr>
        <w:tc>
          <w:tcPr>
            <w:tcW w:w="2992" w:type="dxa"/>
            <w:tcBorders>
              <w:top w:val="nil"/>
              <w:left w:val="nil"/>
              <w:bottom w:val="nil"/>
              <w:right w:val="nil"/>
            </w:tcBorders>
            <w:shd w:val="clear" w:color="auto" w:fill="auto"/>
            <w:noWrap/>
            <w:vAlign w:val="center"/>
          </w:tcPr>
          <w:p w:rsidR="002951B9" w:rsidRPr="007343D8" w:rsidRDefault="002951B9" w:rsidP="002951B9">
            <w:pPr>
              <w:rPr>
                <w:rFonts w:cs="Arial"/>
                <w:color w:val="7F7F7F"/>
                <w:szCs w:val="18"/>
                <w:lang w:eastAsia="en-AU"/>
              </w:rPr>
            </w:pPr>
            <w:r w:rsidRPr="00900672">
              <w:t>Information Media and Telecommunications</w:t>
            </w:r>
          </w:p>
        </w:tc>
        <w:tc>
          <w:tcPr>
            <w:tcW w:w="921" w:type="dxa"/>
            <w:tcBorders>
              <w:top w:val="nil"/>
              <w:left w:val="nil"/>
              <w:bottom w:val="nil"/>
              <w:right w:val="nil"/>
            </w:tcBorders>
            <w:shd w:val="clear" w:color="auto" w:fill="auto"/>
            <w:noWrap/>
            <w:vAlign w:val="center"/>
          </w:tcPr>
          <w:p w:rsidR="002951B9" w:rsidRPr="007343D8" w:rsidRDefault="002951B9" w:rsidP="002951B9">
            <w:pPr>
              <w:jc w:val="right"/>
              <w:rPr>
                <w:rFonts w:cs="Arial"/>
                <w:color w:val="7F7F7F"/>
                <w:szCs w:val="18"/>
                <w:lang w:eastAsia="en-AU"/>
              </w:rPr>
            </w:pPr>
            <w:r w:rsidRPr="00EF2945">
              <w:t xml:space="preserve"> 2,680 </w:t>
            </w:r>
          </w:p>
        </w:tc>
        <w:tc>
          <w:tcPr>
            <w:tcW w:w="921" w:type="dxa"/>
            <w:tcBorders>
              <w:top w:val="nil"/>
              <w:left w:val="nil"/>
              <w:bottom w:val="nil"/>
              <w:right w:val="nil"/>
            </w:tcBorders>
            <w:shd w:val="clear" w:color="auto" w:fill="auto"/>
            <w:noWrap/>
            <w:vAlign w:val="center"/>
          </w:tcPr>
          <w:p w:rsidR="002951B9" w:rsidRPr="007343D8" w:rsidRDefault="002951B9" w:rsidP="002951B9">
            <w:pPr>
              <w:jc w:val="right"/>
              <w:rPr>
                <w:rFonts w:cs="Arial"/>
                <w:color w:val="7F7F7F"/>
                <w:szCs w:val="18"/>
                <w:lang w:eastAsia="en-AU"/>
              </w:rPr>
            </w:pPr>
            <w:r w:rsidRPr="00EF2945">
              <w:t xml:space="preserve"> 3,022 </w:t>
            </w:r>
          </w:p>
        </w:tc>
        <w:tc>
          <w:tcPr>
            <w:tcW w:w="922" w:type="dxa"/>
            <w:tcBorders>
              <w:top w:val="nil"/>
              <w:left w:val="nil"/>
              <w:bottom w:val="nil"/>
              <w:right w:val="nil"/>
            </w:tcBorders>
            <w:shd w:val="clear" w:color="auto" w:fill="auto"/>
            <w:noWrap/>
            <w:vAlign w:val="center"/>
          </w:tcPr>
          <w:p w:rsidR="002951B9" w:rsidRPr="007343D8" w:rsidRDefault="002951B9" w:rsidP="002951B9">
            <w:pPr>
              <w:jc w:val="right"/>
              <w:rPr>
                <w:rFonts w:cs="Arial"/>
                <w:color w:val="7F7F7F"/>
                <w:szCs w:val="18"/>
                <w:lang w:eastAsia="en-AU"/>
              </w:rPr>
            </w:pPr>
            <w:r w:rsidRPr="00EF2945">
              <w:t xml:space="preserve"> 3,457 </w:t>
            </w:r>
          </w:p>
        </w:tc>
        <w:tc>
          <w:tcPr>
            <w:tcW w:w="921" w:type="dxa"/>
            <w:tcBorders>
              <w:top w:val="nil"/>
              <w:left w:val="nil"/>
              <w:bottom w:val="nil"/>
              <w:right w:val="nil"/>
            </w:tcBorders>
            <w:shd w:val="clear" w:color="auto" w:fill="auto"/>
            <w:noWrap/>
            <w:vAlign w:val="center"/>
          </w:tcPr>
          <w:p w:rsidR="002951B9" w:rsidRPr="007343D8" w:rsidRDefault="002951B9" w:rsidP="002951B9">
            <w:pPr>
              <w:jc w:val="right"/>
              <w:rPr>
                <w:rFonts w:cs="Arial"/>
                <w:color w:val="7F7F7F"/>
                <w:szCs w:val="18"/>
                <w:lang w:eastAsia="en-AU"/>
              </w:rPr>
            </w:pPr>
            <w:r w:rsidRPr="00EF2945">
              <w:t xml:space="preserve"> 2,573 </w:t>
            </w:r>
          </w:p>
        </w:tc>
        <w:tc>
          <w:tcPr>
            <w:tcW w:w="921" w:type="dxa"/>
            <w:tcBorders>
              <w:top w:val="nil"/>
              <w:left w:val="nil"/>
              <w:bottom w:val="nil"/>
              <w:right w:val="nil"/>
            </w:tcBorders>
            <w:shd w:val="clear" w:color="auto" w:fill="auto"/>
            <w:noWrap/>
            <w:vAlign w:val="center"/>
          </w:tcPr>
          <w:p w:rsidR="002951B9" w:rsidRPr="007343D8" w:rsidRDefault="002951B9" w:rsidP="002951B9">
            <w:pPr>
              <w:jc w:val="right"/>
              <w:rPr>
                <w:rFonts w:cs="Arial"/>
                <w:color w:val="7F7F7F"/>
                <w:szCs w:val="18"/>
                <w:lang w:eastAsia="en-AU"/>
              </w:rPr>
            </w:pPr>
            <w:r w:rsidRPr="00EF2945">
              <w:t xml:space="preserve"> 2,562 </w:t>
            </w:r>
          </w:p>
        </w:tc>
        <w:tc>
          <w:tcPr>
            <w:tcW w:w="922" w:type="dxa"/>
            <w:tcBorders>
              <w:top w:val="nil"/>
              <w:left w:val="nil"/>
              <w:bottom w:val="nil"/>
              <w:right w:val="nil"/>
            </w:tcBorders>
            <w:shd w:val="clear" w:color="auto" w:fill="auto"/>
            <w:noWrap/>
            <w:vAlign w:val="center"/>
          </w:tcPr>
          <w:p w:rsidR="002951B9" w:rsidRPr="007343D8" w:rsidRDefault="002951B9" w:rsidP="002951B9">
            <w:pPr>
              <w:jc w:val="right"/>
              <w:rPr>
                <w:rFonts w:cs="Arial"/>
                <w:color w:val="7F7F7F"/>
                <w:szCs w:val="18"/>
                <w:lang w:eastAsia="en-AU"/>
              </w:rPr>
            </w:pPr>
            <w:r w:rsidRPr="00EF2945">
              <w:t xml:space="preserve"> 2,640 </w:t>
            </w:r>
          </w:p>
        </w:tc>
      </w:tr>
      <w:tr w:rsidR="002951B9" w:rsidRPr="007343D8" w:rsidTr="00692A5D">
        <w:trPr>
          <w:trHeight w:hRule="exact" w:val="397"/>
        </w:trPr>
        <w:tc>
          <w:tcPr>
            <w:tcW w:w="2992" w:type="dxa"/>
            <w:tcBorders>
              <w:top w:val="nil"/>
              <w:left w:val="nil"/>
              <w:bottom w:val="nil"/>
              <w:right w:val="nil"/>
            </w:tcBorders>
            <w:shd w:val="clear" w:color="auto" w:fill="auto"/>
            <w:noWrap/>
            <w:vAlign w:val="center"/>
          </w:tcPr>
          <w:p w:rsidR="002951B9" w:rsidRPr="007343D8" w:rsidRDefault="002951B9" w:rsidP="002951B9">
            <w:pPr>
              <w:rPr>
                <w:rFonts w:cs="Arial"/>
                <w:color w:val="7F7F7F"/>
                <w:szCs w:val="18"/>
                <w:lang w:eastAsia="en-AU"/>
              </w:rPr>
            </w:pPr>
            <w:r w:rsidRPr="00900672">
              <w:t>Manufacturing</w:t>
            </w:r>
          </w:p>
        </w:tc>
        <w:tc>
          <w:tcPr>
            <w:tcW w:w="921" w:type="dxa"/>
            <w:tcBorders>
              <w:top w:val="nil"/>
              <w:left w:val="nil"/>
              <w:bottom w:val="nil"/>
              <w:right w:val="nil"/>
            </w:tcBorders>
            <w:shd w:val="clear" w:color="auto" w:fill="auto"/>
            <w:noWrap/>
            <w:vAlign w:val="center"/>
          </w:tcPr>
          <w:p w:rsidR="002951B9" w:rsidRPr="007343D8" w:rsidRDefault="002951B9" w:rsidP="002951B9">
            <w:pPr>
              <w:jc w:val="right"/>
              <w:rPr>
                <w:rFonts w:cs="Arial"/>
                <w:color w:val="7F7F7F"/>
                <w:szCs w:val="18"/>
                <w:lang w:eastAsia="en-AU"/>
              </w:rPr>
            </w:pPr>
            <w:r w:rsidRPr="00EF2945">
              <w:t xml:space="preserve"> 15,472 </w:t>
            </w:r>
          </w:p>
        </w:tc>
        <w:tc>
          <w:tcPr>
            <w:tcW w:w="921" w:type="dxa"/>
            <w:tcBorders>
              <w:top w:val="nil"/>
              <w:left w:val="nil"/>
              <w:bottom w:val="nil"/>
              <w:right w:val="nil"/>
            </w:tcBorders>
            <w:shd w:val="clear" w:color="auto" w:fill="auto"/>
            <w:noWrap/>
            <w:vAlign w:val="center"/>
          </w:tcPr>
          <w:p w:rsidR="002951B9" w:rsidRPr="007343D8" w:rsidRDefault="002951B9" w:rsidP="002951B9">
            <w:pPr>
              <w:jc w:val="right"/>
              <w:rPr>
                <w:rFonts w:cs="Arial"/>
                <w:color w:val="7F7F7F"/>
                <w:szCs w:val="18"/>
                <w:lang w:eastAsia="en-AU"/>
              </w:rPr>
            </w:pPr>
            <w:r w:rsidRPr="00EF2945">
              <w:t xml:space="preserve"> 20,028 </w:t>
            </w:r>
          </w:p>
        </w:tc>
        <w:tc>
          <w:tcPr>
            <w:tcW w:w="922" w:type="dxa"/>
            <w:tcBorders>
              <w:top w:val="nil"/>
              <w:left w:val="nil"/>
              <w:bottom w:val="nil"/>
              <w:right w:val="nil"/>
            </w:tcBorders>
            <w:shd w:val="clear" w:color="auto" w:fill="auto"/>
            <w:noWrap/>
            <w:vAlign w:val="center"/>
          </w:tcPr>
          <w:p w:rsidR="002951B9" w:rsidRPr="007343D8" w:rsidRDefault="002951B9" w:rsidP="002951B9">
            <w:pPr>
              <w:jc w:val="right"/>
              <w:rPr>
                <w:rFonts w:cs="Arial"/>
                <w:color w:val="7F7F7F"/>
                <w:szCs w:val="18"/>
                <w:lang w:eastAsia="en-AU"/>
              </w:rPr>
            </w:pPr>
            <w:r w:rsidRPr="00EF2945">
              <w:t xml:space="preserve"> 26,880 </w:t>
            </w:r>
          </w:p>
        </w:tc>
        <w:tc>
          <w:tcPr>
            <w:tcW w:w="921" w:type="dxa"/>
            <w:tcBorders>
              <w:top w:val="nil"/>
              <w:left w:val="nil"/>
              <w:bottom w:val="nil"/>
              <w:right w:val="nil"/>
            </w:tcBorders>
            <w:shd w:val="clear" w:color="auto" w:fill="auto"/>
            <w:noWrap/>
            <w:vAlign w:val="center"/>
          </w:tcPr>
          <w:p w:rsidR="002951B9" w:rsidRPr="007343D8" w:rsidRDefault="002951B9" w:rsidP="002951B9">
            <w:pPr>
              <w:jc w:val="right"/>
              <w:rPr>
                <w:rFonts w:cs="Arial"/>
                <w:color w:val="7F7F7F"/>
                <w:szCs w:val="18"/>
                <w:lang w:eastAsia="en-AU"/>
              </w:rPr>
            </w:pPr>
            <w:r w:rsidRPr="00EF2945">
              <w:t xml:space="preserve"> 26,347 </w:t>
            </w:r>
          </w:p>
        </w:tc>
        <w:tc>
          <w:tcPr>
            <w:tcW w:w="921" w:type="dxa"/>
            <w:tcBorders>
              <w:top w:val="nil"/>
              <w:left w:val="nil"/>
              <w:bottom w:val="nil"/>
              <w:right w:val="nil"/>
            </w:tcBorders>
            <w:shd w:val="clear" w:color="auto" w:fill="auto"/>
            <w:noWrap/>
            <w:vAlign w:val="center"/>
          </w:tcPr>
          <w:p w:rsidR="002951B9" w:rsidRPr="007343D8" w:rsidRDefault="002951B9" w:rsidP="002951B9">
            <w:pPr>
              <w:jc w:val="right"/>
              <w:rPr>
                <w:rFonts w:cs="Arial"/>
                <w:color w:val="7F7F7F"/>
                <w:szCs w:val="18"/>
                <w:lang w:eastAsia="en-AU"/>
              </w:rPr>
            </w:pPr>
            <w:r w:rsidRPr="00EF2945">
              <w:t xml:space="preserve"> 33,084 </w:t>
            </w:r>
          </w:p>
        </w:tc>
        <w:tc>
          <w:tcPr>
            <w:tcW w:w="922" w:type="dxa"/>
            <w:tcBorders>
              <w:top w:val="nil"/>
              <w:left w:val="nil"/>
              <w:bottom w:val="nil"/>
              <w:right w:val="nil"/>
            </w:tcBorders>
            <w:shd w:val="clear" w:color="auto" w:fill="auto"/>
            <w:noWrap/>
            <w:vAlign w:val="center"/>
          </w:tcPr>
          <w:p w:rsidR="002951B9" w:rsidRPr="007343D8" w:rsidRDefault="002951B9" w:rsidP="002951B9">
            <w:pPr>
              <w:jc w:val="right"/>
              <w:rPr>
                <w:rFonts w:cs="Arial"/>
                <w:color w:val="7F7F7F"/>
                <w:szCs w:val="18"/>
                <w:lang w:eastAsia="en-AU"/>
              </w:rPr>
            </w:pPr>
            <w:r w:rsidRPr="00EF2945">
              <w:t xml:space="preserve"> 27,086 </w:t>
            </w:r>
          </w:p>
        </w:tc>
      </w:tr>
      <w:tr w:rsidR="002951B9" w:rsidRPr="007343D8" w:rsidTr="00692A5D">
        <w:trPr>
          <w:trHeight w:hRule="exact" w:val="397"/>
        </w:trPr>
        <w:tc>
          <w:tcPr>
            <w:tcW w:w="2992" w:type="dxa"/>
            <w:tcBorders>
              <w:top w:val="nil"/>
              <w:left w:val="nil"/>
              <w:bottom w:val="nil"/>
              <w:right w:val="nil"/>
            </w:tcBorders>
            <w:shd w:val="clear" w:color="auto" w:fill="auto"/>
            <w:noWrap/>
            <w:vAlign w:val="center"/>
          </w:tcPr>
          <w:p w:rsidR="002951B9" w:rsidRPr="007343D8" w:rsidRDefault="002951B9" w:rsidP="002951B9">
            <w:pPr>
              <w:rPr>
                <w:rFonts w:cs="Arial"/>
                <w:color w:val="7F7F7F"/>
                <w:szCs w:val="18"/>
                <w:lang w:eastAsia="en-AU"/>
              </w:rPr>
            </w:pPr>
            <w:r w:rsidRPr="00900672">
              <w:t>Mining</w:t>
            </w:r>
          </w:p>
        </w:tc>
        <w:tc>
          <w:tcPr>
            <w:tcW w:w="921" w:type="dxa"/>
            <w:tcBorders>
              <w:top w:val="nil"/>
              <w:left w:val="nil"/>
              <w:bottom w:val="nil"/>
              <w:right w:val="nil"/>
            </w:tcBorders>
            <w:shd w:val="clear" w:color="auto" w:fill="auto"/>
            <w:noWrap/>
            <w:vAlign w:val="center"/>
          </w:tcPr>
          <w:p w:rsidR="002951B9" w:rsidRPr="007343D8" w:rsidRDefault="002951B9" w:rsidP="002951B9">
            <w:pPr>
              <w:jc w:val="right"/>
              <w:rPr>
                <w:rFonts w:cs="Arial"/>
                <w:color w:val="7F7F7F"/>
                <w:szCs w:val="18"/>
                <w:lang w:eastAsia="en-AU"/>
              </w:rPr>
            </w:pPr>
            <w:r w:rsidRPr="00EF2945">
              <w:t xml:space="preserve"> 167 </w:t>
            </w:r>
          </w:p>
        </w:tc>
        <w:tc>
          <w:tcPr>
            <w:tcW w:w="921" w:type="dxa"/>
            <w:tcBorders>
              <w:top w:val="nil"/>
              <w:left w:val="nil"/>
              <w:bottom w:val="nil"/>
              <w:right w:val="nil"/>
            </w:tcBorders>
            <w:shd w:val="clear" w:color="auto" w:fill="auto"/>
            <w:noWrap/>
            <w:vAlign w:val="center"/>
          </w:tcPr>
          <w:p w:rsidR="002951B9" w:rsidRPr="007343D8" w:rsidRDefault="002951B9" w:rsidP="002951B9">
            <w:pPr>
              <w:jc w:val="right"/>
              <w:rPr>
                <w:rFonts w:cs="Arial"/>
                <w:color w:val="7F7F7F"/>
                <w:szCs w:val="18"/>
                <w:lang w:eastAsia="en-AU"/>
              </w:rPr>
            </w:pPr>
            <w:r w:rsidRPr="00EF2945">
              <w:t xml:space="preserve"> 107 </w:t>
            </w:r>
          </w:p>
        </w:tc>
        <w:tc>
          <w:tcPr>
            <w:tcW w:w="922" w:type="dxa"/>
            <w:tcBorders>
              <w:top w:val="nil"/>
              <w:left w:val="nil"/>
              <w:bottom w:val="nil"/>
              <w:right w:val="nil"/>
            </w:tcBorders>
            <w:shd w:val="clear" w:color="auto" w:fill="auto"/>
            <w:noWrap/>
            <w:vAlign w:val="center"/>
          </w:tcPr>
          <w:p w:rsidR="002951B9" w:rsidRPr="007343D8" w:rsidRDefault="002951B9" w:rsidP="002951B9">
            <w:pPr>
              <w:jc w:val="right"/>
              <w:rPr>
                <w:rFonts w:cs="Arial"/>
                <w:color w:val="7F7F7F"/>
                <w:szCs w:val="18"/>
                <w:lang w:eastAsia="en-AU"/>
              </w:rPr>
            </w:pPr>
            <w:r w:rsidRPr="00EF2945">
              <w:t xml:space="preserve"> 277 </w:t>
            </w:r>
          </w:p>
        </w:tc>
        <w:tc>
          <w:tcPr>
            <w:tcW w:w="921" w:type="dxa"/>
            <w:tcBorders>
              <w:top w:val="nil"/>
              <w:left w:val="nil"/>
              <w:bottom w:val="nil"/>
              <w:right w:val="nil"/>
            </w:tcBorders>
            <w:shd w:val="clear" w:color="auto" w:fill="auto"/>
            <w:noWrap/>
            <w:vAlign w:val="center"/>
          </w:tcPr>
          <w:p w:rsidR="002951B9" w:rsidRPr="007343D8" w:rsidRDefault="002951B9" w:rsidP="002951B9">
            <w:pPr>
              <w:jc w:val="right"/>
              <w:rPr>
                <w:rFonts w:cs="Arial"/>
                <w:color w:val="7F7F7F"/>
                <w:szCs w:val="18"/>
                <w:lang w:eastAsia="en-AU"/>
              </w:rPr>
            </w:pPr>
            <w:r w:rsidRPr="00EF2945">
              <w:t xml:space="preserve"> 236 </w:t>
            </w:r>
          </w:p>
        </w:tc>
        <w:tc>
          <w:tcPr>
            <w:tcW w:w="921" w:type="dxa"/>
            <w:tcBorders>
              <w:top w:val="nil"/>
              <w:left w:val="nil"/>
              <w:bottom w:val="nil"/>
              <w:right w:val="nil"/>
            </w:tcBorders>
            <w:shd w:val="clear" w:color="auto" w:fill="auto"/>
            <w:noWrap/>
            <w:vAlign w:val="center"/>
          </w:tcPr>
          <w:p w:rsidR="002951B9" w:rsidRPr="007343D8" w:rsidRDefault="002951B9" w:rsidP="002951B9">
            <w:pPr>
              <w:jc w:val="right"/>
              <w:rPr>
                <w:rFonts w:cs="Arial"/>
                <w:color w:val="7F7F7F"/>
                <w:szCs w:val="18"/>
                <w:lang w:eastAsia="en-AU"/>
              </w:rPr>
            </w:pPr>
            <w:r w:rsidRPr="00EF2945">
              <w:t xml:space="preserve"> 219 </w:t>
            </w:r>
          </w:p>
        </w:tc>
        <w:tc>
          <w:tcPr>
            <w:tcW w:w="922" w:type="dxa"/>
            <w:tcBorders>
              <w:top w:val="nil"/>
              <w:left w:val="nil"/>
              <w:bottom w:val="nil"/>
              <w:right w:val="nil"/>
            </w:tcBorders>
            <w:shd w:val="clear" w:color="auto" w:fill="auto"/>
            <w:noWrap/>
            <w:vAlign w:val="center"/>
          </w:tcPr>
          <w:p w:rsidR="002951B9" w:rsidRPr="007343D8" w:rsidRDefault="002951B9" w:rsidP="002951B9">
            <w:pPr>
              <w:jc w:val="right"/>
              <w:rPr>
                <w:rFonts w:cs="Arial"/>
                <w:color w:val="7F7F7F"/>
                <w:szCs w:val="18"/>
                <w:lang w:eastAsia="en-AU"/>
              </w:rPr>
            </w:pPr>
            <w:r w:rsidRPr="00EF2945">
              <w:t xml:space="preserve"> 55 </w:t>
            </w:r>
          </w:p>
        </w:tc>
      </w:tr>
      <w:tr w:rsidR="002951B9" w:rsidRPr="007343D8" w:rsidTr="00692A5D">
        <w:trPr>
          <w:trHeight w:hRule="exact" w:val="397"/>
        </w:trPr>
        <w:tc>
          <w:tcPr>
            <w:tcW w:w="2992" w:type="dxa"/>
            <w:tcBorders>
              <w:top w:val="nil"/>
              <w:left w:val="nil"/>
              <w:bottom w:val="nil"/>
              <w:right w:val="nil"/>
            </w:tcBorders>
            <w:shd w:val="clear" w:color="auto" w:fill="auto"/>
            <w:noWrap/>
            <w:vAlign w:val="center"/>
          </w:tcPr>
          <w:p w:rsidR="002951B9" w:rsidRPr="007343D8" w:rsidRDefault="002951B9" w:rsidP="002951B9">
            <w:pPr>
              <w:rPr>
                <w:rFonts w:cs="Arial"/>
                <w:color w:val="7F7F7F"/>
                <w:szCs w:val="18"/>
                <w:lang w:eastAsia="en-AU"/>
              </w:rPr>
            </w:pPr>
            <w:r w:rsidRPr="00900672">
              <w:t>Other Services</w:t>
            </w:r>
          </w:p>
        </w:tc>
        <w:tc>
          <w:tcPr>
            <w:tcW w:w="921" w:type="dxa"/>
            <w:tcBorders>
              <w:top w:val="nil"/>
              <w:left w:val="nil"/>
              <w:bottom w:val="nil"/>
              <w:right w:val="nil"/>
            </w:tcBorders>
            <w:shd w:val="clear" w:color="auto" w:fill="auto"/>
            <w:noWrap/>
            <w:vAlign w:val="center"/>
          </w:tcPr>
          <w:p w:rsidR="002951B9" w:rsidRPr="007343D8" w:rsidRDefault="002951B9" w:rsidP="002951B9">
            <w:pPr>
              <w:jc w:val="right"/>
              <w:rPr>
                <w:rFonts w:cs="Arial"/>
                <w:color w:val="7F7F7F"/>
                <w:szCs w:val="18"/>
                <w:lang w:eastAsia="en-AU"/>
              </w:rPr>
            </w:pPr>
            <w:r w:rsidRPr="00EF2945">
              <w:t xml:space="preserve"> 11,928 </w:t>
            </w:r>
          </w:p>
        </w:tc>
        <w:tc>
          <w:tcPr>
            <w:tcW w:w="921" w:type="dxa"/>
            <w:tcBorders>
              <w:top w:val="nil"/>
              <w:left w:val="nil"/>
              <w:bottom w:val="nil"/>
              <w:right w:val="nil"/>
            </w:tcBorders>
            <w:shd w:val="clear" w:color="auto" w:fill="auto"/>
            <w:noWrap/>
            <w:vAlign w:val="center"/>
          </w:tcPr>
          <w:p w:rsidR="002951B9" w:rsidRPr="007343D8" w:rsidRDefault="002951B9" w:rsidP="002951B9">
            <w:pPr>
              <w:jc w:val="right"/>
              <w:rPr>
                <w:rFonts w:cs="Arial"/>
                <w:color w:val="7F7F7F"/>
                <w:szCs w:val="18"/>
                <w:lang w:eastAsia="en-AU"/>
              </w:rPr>
            </w:pPr>
            <w:r w:rsidRPr="00EF2945">
              <w:t xml:space="preserve"> 13,717 </w:t>
            </w:r>
          </w:p>
        </w:tc>
        <w:tc>
          <w:tcPr>
            <w:tcW w:w="922" w:type="dxa"/>
            <w:tcBorders>
              <w:top w:val="nil"/>
              <w:left w:val="nil"/>
              <w:bottom w:val="nil"/>
              <w:right w:val="nil"/>
            </w:tcBorders>
            <w:shd w:val="clear" w:color="auto" w:fill="auto"/>
            <w:noWrap/>
            <w:vAlign w:val="center"/>
          </w:tcPr>
          <w:p w:rsidR="002951B9" w:rsidRPr="007343D8" w:rsidRDefault="002951B9" w:rsidP="002951B9">
            <w:pPr>
              <w:jc w:val="right"/>
              <w:rPr>
                <w:rFonts w:cs="Arial"/>
                <w:color w:val="7F7F7F"/>
                <w:szCs w:val="18"/>
                <w:lang w:eastAsia="en-AU"/>
              </w:rPr>
            </w:pPr>
            <w:r w:rsidRPr="00EF2945">
              <w:t xml:space="preserve"> 15,255 </w:t>
            </w:r>
          </w:p>
        </w:tc>
        <w:tc>
          <w:tcPr>
            <w:tcW w:w="921" w:type="dxa"/>
            <w:tcBorders>
              <w:top w:val="nil"/>
              <w:left w:val="nil"/>
              <w:bottom w:val="nil"/>
              <w:right w:val="nil"/>
            </w:tcBorders>
            <w:shd w:val="clear" w:color="auto" w:fill="auto"/>
            <w:noWrap/>
            <w:vAlign w:val="center"/>
          </w:tcPr>
          <w:p w:rsidR="002951B9" w:rsidRPr="007343D8" w:rsidRDefault="002951B9" w:rsidP="002951B9">
            <w:pPr>
              <w:jc w:val="right"/>
              <w:rPr>
                <w:rFonts w:cs="Arial"/>
                <w:color w:val="7F7F7F"/>
                <w:szCs w:val="18"/>
                <w:lang w:eastAsia="en-AU"/>
              </w:rPr>
            </w:pPr>
            <w:r w:rsidRPr="00EF2945">
              <w:t xml:space="preserve"> 14,466 </w:t>
            </w:r>
          </w:p>
        </w:tc>
        <w:tc>
          <w:tcPr>
            <w:tcW w:w="921" w:type="dxa"/>
            <w:tcBorders>
              <w:top w:val="nil"/>
              <w:left w:val="nil"/>
              <w:bottom w:val="nil"/>
              <w:right w:val="nil"/>
            </w:tcBorders>
            <w:shd w:val="clear" w:color="auto" w:fill="auto"/>
            <w:noWrap/>
            <w:vAlign w:val="center"/>
          </w:tcPr>
          <w:p w:rsidR="002951B9" w:rsidRPr="007343D8" w:rsidRDefault="002951B9" w:rsidP="002951B9">
            <w:pPr>
              <w:jc w:val="right"/>
              <w:rPr>
                <w:rFonts w:cs="Arial"/>
                <w:color w:val="7F7F7F"/>
                <w:szCs w:val="18"/>
                <w:lang w:eastAsia="en-AU"/>
              </w:rPr>
            </w:pPr>
            <w:r w:rsidRPr="00EF2945">
              <w:t xml:space="preserve"> 14,475 </w:t>
            </w:r>
          </w:p>
        </w:tc>
        <w:tc>
          <w:tcPr>
            <w:tcW w:w="922" w:type="dxa"/>
            <w:tcBorders>
              <w:top w:val="nil"/>
              <w:left w:val="nil"/>
              <w:bottom w:val="nil"/>
              <w:right w:val="nil"/>
            </w:tcBorders>
            <w:shd w:val="clear" w:color="auto" w:fill="auto"/>
            <w:noWrap/>
            <w:vAlign w:val="center"/>
          </w:tcPr>
          <w:p w:rsidR="002951B9" w:rsidRPr="007343D8" w:rsidRDefault="002951B9" w:rsidP="002951B9">
            <w:pPr>
              <w:jc w:val="right"/>
              <w:rPr>
                <w:rFonts w:cs="Arial"/>
                <w:color w:val="7F7F7F"/>
                <w:szCs w:val="18"/>
                <w:lang w:eastAsia="en-AU"/>
              </w:rPr>
            </w:pPr>
            <w:r w:rsidRPr="00EF2945">
              <w:t xml:space="preserve"> 14,607 </w:t>
            </w:r>
          </w:p>
        </w:tc>
      </w:tr>
      <w:tr w:rsidR="002951B9" w:rsidRPr="007343D8" w:rsidTr="00692A5D">
        <w:trPr>
          <w:trHeight w:hRule="exact" w:val="397"/>
        </w:trPr>
        <w:tc>
          <w:tcPr>
            <w:tcW w:w="2992" w:type="dxa"/>
            <w:tcBorders>
              <w:top w:val="nil"/>
              <w:left w:val="nil"/>
              <w:bottom w:val="nil"/>
              <w:right w:val="nil"/>
            </w:tcBorders>
            <w:shd w:val="clear" w:color="auto" w:fill="auto"/>
            <w:noWrap/>
            <w:vAlign w:val="center"/>
          </w:tcPr>
          <w:p w:rsidR="002951B9" w:rsidRPr="007343D8" w:rsidRDefault="002951B9" w:rsidP="002951B9">
            <w:pPr>
              <w:rPr>
                <w:rFonts w:cs="Arial"/>
                <w:color w:val="7F7F7F"/>
                <w:szCs w:val="18"/>
                <w:lang w:eastAsia="en-AU"/>
              </w:rPr>
            </w:pPr>
            <w:r w:rsidRPr="00900672">
              <w:t>Professional, Scientific and Technical Services</w:t>
            </w:r>
          </w:p>
        </w:tc>
        <w:tc>
          <w:tcPr>
            <w:tcW w:w="921" w:type="dxa"/>
            <w:tcBorders>
              <w:top w:val="nil"/>
              <w:left w:val="nil"/>
              <w:bottom w:val="nil"/>
              <w:right w:val="nil"/>
            </w:tcBorders>
            <w:shd w:val="clear" w:color="auto" w:fill="auto"/>
            <w:noWrap/>
            <w:vAlign w:val="center"/>
          </w:tcPr>
          <w:p w:rsidR="002951B9" w:rsidRPr="007343D8" w:rsidRDefault="002951B9" w:rsidP="002951B9">
            <w:pPr>
              <w:jc w:val="right"/>
              <w:rPr>
                <w:rFonts w:cs="Arial"/>
                <w:color w:val="7F7F7F"/>
                <w:szCs w:val="18"/>
                <w:lang w:eastAsia="en-AU"/>
              </w:rPr>
            </w:pPr>
            <w:r w:rsidRPr="00EF2945">
              <w:t xml:space="preserve"> 10,535 </w:t>
            </w:r>
          </w:p>
        </w:tc>
        <w:tc>
          <w:tcPr>
            <w:tcW w:w="921" w:type="dxa"/>
            <w:tcBorders>
              <w:top w:val="nil"/>
              <w:left w:val="nil"/>
              <w:bottom w:val="nil"/>
              <w:right w:val="nil"/>
            </w:tcBorders>
            <w:shd w:val="clear" w:color="auto" w:fill="auto"/>
            <w:noWrap/>
            <w:vAlign w:val="center"/>
          </w:tcPr>
          <w:p w:rsidR="002951B9" w:rsidRPr="007343D8" w:rsidRDefault="002951B9" w:rsidP="002951B9">
            <w:pPr>
              <w:jc w:val="right"/>
              <w:rPr>
                <w:rFonts w:cs="Arial"/>
                <w:color w:val="7F7F7F"/>
                <w:szCs w:val="18"/>
                <w:lang w:eastAsia="en-AU"/>
              </w:rPr>
            </w:pPr>
            <w:r w:rsidRPr="00EF2945">
              <w:t xml:space="preserve"> 10,315 </w:t>
            </w:r>
          </w:p>
        </w:tc>
        <w:tc>
          <w:tcPr>
            <w:tcW w:w="922" w:type="dxa"/>
            <w:tcBorders>
              <w:top w:val="nil"/>
              <w:left w:val="nil"/>
              <w:bottom w:val="nil"/>
              <w:right w:val="nil"/>
            </w:tcBorders>
            <w:shd w:val="clear" w:color="auto" w:fill="auto"/>
            <w:noWrap/>
            <w:vAlign w:val="center"/>
          </w:tcPr>
          <w:p w:rsidR="002951B9" w:rsidRPr="007343D8" w:rsidRDefault="002951B9" w:rsidP="002951B9">
            <w:pPr>
              <w:jc w:val="right"/>
              <w:rPr>
                <w:rFonts w:cs="Arial"/>
                <w:color w:val="7F7F7F"/>
                <w:szCs w:val="18"/>
                <w:lang w:eastAsia="en-AU"/>
              </w:rPr>
            </w:pPr>
            <w:r w:rsidRPr="00EF2945">
              <w:t xml:space="preserve"> 10,564 </w:t>
            </w:r>
          </w:p>
        </w:tc>
        <w:tc>
          <w:tcPr>
            <w:tcW w:w="921" w:type="dxa"/>
            <w:tcBorders>
              <w:top w:val="nil"/>
              <w:left w:val="nil"/>
              <w:bottom w:val="nil"/>
              <w:right w:val="nil"/>
            </w:tcBorders>
            <w:shd w:val="clear" w:color="auto" w:fill="auto"/>
            <w:noWrap/>
            <w:vAlign w:val="center"/>
          </w:tcPr>
          <w:p w:rsidR="002951B9" w:rsidRPr="007343D8" w:rsidRDefault="002951B9" w:rsidP="002951B9">
            <w:pPr>
              <w:jc w:val="right"/>
              <w:rPr>
                <w:rFonts w:cs="Arial"/>
                <w:color w:val="7F7F7F"/>
                <w:szCs w:val="18"/>
                <w:lang w:eastAsia="en-AU"/>
              </w:rPr>
            </w:pPr>
            <w:r w:rsidRPr="00EF2945">
              <w:t xml:space="preserve"> 8,641 </w:t>
            </w:r>
          </w:p>
        </w:tc>
        <w:tc>
          <w:tcPr>
            <w:tcW w:w="921" w:type="dxa"/>
            <w:tcBorders>
              <w:top w:val="nil"/>
              <w:left w:val="nil"/>
              <w:bottom w:val="nil"/>
              <w:right w:val="nil"/>
            </w:tcBorders>
            <w:shd w:val="clear" w:color="auto" w:fill="auto"/>
            <w:noWrap/>
            <w:vAlign w:val="center"/>
          </w:tcPr>
          <w:p w:rsidR="002951B9" w:rsidRPr="007343D8" w:rsidRDefault="002951B9" w:rsidP="002951B9">
            <w:pPr>
              <w:jc w:val="right"/>
              <w:rPr>
                <w:rFonts w:cs="Arial"/>
                <w:color w:val="7F7F7F"/>
                <w:szCs w:val="18"/>
                <w:lang w:eastAsia="en-AU"/>
              </w:rPr>
            </w:pPr>
            <w:r w:rsidRPr="00EF2945">
              <w:t xml:space="preserve"> 8,360 </w:t>
            </w:r>
          </w:p>
        </w:tc>
        <w:tc>
          <w:tcPr>
            <w:tcW w:w="922" w:type="dxa"/>
            <w:tcBorders>
              <w:top w:val="nil"/>
              <w:left w:val="nil"/>
              <w:bottom w:val="nil"/>
              <w:right w:val="nil"/>
            </w:tcBorders>
            <w:shd w:val="clear" w:color="auto" w:fill="auto"/>
            <w:noWrap/>
            <w:vAlign w:val="center"/>
          </w:tcPr>
          <w:p w:rsidR="002951B9" w:rsidRPr="007343D8" w:rsidRDefault="002951B9" w:rsidP="002951B9">
            <w:pPr>
              <w:jc w:val="right"/>
              <w:rPr>
                <w:rFonts w:cs="Arial"/>
                <w:color w:val="7F7F7F"/>
                <w:szCs w:val="18"/>
                <w:lang w:eastAsia="en-AU"/>
              </w:rPr>
            </w:pPr>
            <w:r w:rsidRPr="00EF2945">
              <w:t xml:space="preserve"> 9,038 </w:t>
            </w:r>
          </w:p>
        </w:tc>
      </w:tr>
      <w:tr w:rsidR="002951B9" w:rsidRPr="007343D8" w:rsidTr="00692A5D">
        <w:trPr>
          <w:trHeight w:hRule="exact" w:val="397"/>
        </w:trPr>
        <w:tc>
          <w:tcPr>
            <w:tcW w:w="2992" w:type="dxa"/>
            <w:tcBorders>
              <w:top w:val="nil"/>
              <w:left w:val="nil"/>
              <w:bottom w:val="nil"/>
              <w:right w:val="nil"/>
            </w:tcBorders>
            <w:shd w:val="clear" w:color="auto" w:fill="auto"/>
            <w:noWrap/>
            <w:vAlign w:val="center"/>
          </w:tcPr>
          <w:p w:rsidR="002951B9" w:rsidRPr="007343D8" w:rsidRDefault="002951B9" w:rsidP="002951B9">
            <w:pPr>
              <w:rPr>
                <w:rFonts w:cs="Arial"/>
                <w:color w:val="7F7F7F"/>
                <w:szCs w:val="18"/>
                <w:lang w:eastAsia="en-AU"/>
              </w:rPr>
            </w:pPr>
            <w:r w:rsidRPr="00900672">
              <w:t>Public Administration and Safety</w:t>
            </w:r>
          </w:p>
        </w:tc>
        <w:tc>
          <w:tcPr>
            <w:tcW w:w="921" w:type="dxa"/>
            <w:tcBorders>
              <w:top w:val="nil"/>
              <w:left w:val="nil"/>
              <w:bottom w:val="nil"/>
              <w:right w:val="nil"/>
            </w:tcBorders>
            <w:shd w:val="clear" w:color="auto" w:fill="auto"/>
            <w:noWrap/>
            <w:vAlign w:val="center"/>
          </w:tcPr>
          <w:p w:rsidR="002951B9" w:rsidRPr="007343D8" w:rsidRDefault="002951B9" w:rsidP="002951B9">
            <w:pPr>
              <w:jc w:val="right"/>
              <w:rPr>
                <w:rFonts w:cs="Arial"/>
                <w:color w:val="7F7F7F"/>
                <w:szCs w:val="18"/>
                <w:lang w:eastAsia="en-AU"/>
              </w:rPr>
            </w:pPr>
            <w:r w:rsidRPr="00EF2945">
              <w:t xml:space="preserve"> 2,783 </w:t>
            </w:r>
          </w:p>
        </w:tc>
        <w:tc>
          <w:tcPr>
            <w:tcW w:w="921" w:type="dxa"/>
            <w:tcBorders>
              <w:top w:val="nil"/>
              <w:left w:val="nil"/>
              <w:bottom w:val="nil"/>
              <w:right w:val="nil"/>
            </w:tcBorders>
            <w:shd w:val="clear" w:color="auto" w:fill="auto"/>
            <w:noWrap/>
            <w:vAlign w:val="center"/>
          </w:tcPr>
          <w:p w:rsidR="002951B9" w:rsidRPr="007343D8" w:rsidRDefault="002951B9" w:rsidP="002951B9">
            <w:pPr>
              <w:jc w:val="right"/>
              <w:rPr>
                <w:rFonts w:cs="Arial"/>
                <w:color w:val="7F7F7F"/>
                <w:szCs w:val="18"/>
                <w:lang w:eastAsia="en-AU"/>
              </w:rPr>
            </w:pPr>
            <w:r w:rsidRPr="00EF2945">
              <w:t xml:space="preserve"> 3,616 </w:t>
            </w:r>
          </w:p>
        </w:tc>
        <w:tc>
          <w:tcPr>
            <w:tcW w:w="922" w:type="dxa"/>
            <w:tcBorders>
              <w:top w:val="nil"/>
              <w:left w:val="nil"/>
              <w:bottom w:val="nil"/>
              <w:right w:val="nil"/>
            </w:tcBorders>
            <w:shd w:val="clear" w:color="auto" w:fill="auto"/>
            <w:noWrap/>
            <w:vAlign w:val="center"/>
          </w:tcPr>
          <w:p w:rsidR="002951B9" w:rsidRPr="007343D8" w:rsidRDefault="002951B9" w:rsidP="002951B9">
            <w:pPr>
              <w:jc w:val="right"/>
              <w:rPr>
                <w:rFonts w:cs="Arial"/>
                <w:color w:val="7F7F7F"/>
                <w:szCs w:val="18"/>
                <w:lang w:eastAsia="en-AU"/>
              </w:rPr>
            </w:pPr>
            <w:r w:rsidRPr="00EF2945">
              <w:t xml:space="preserve"> 5,266 </w:t>
            </w:r>
          </w:p>
        </w:tc>
        <w:tc>
          <w:tcPr>
            <w:tcW w:w="921" w:type="dxa"/>
            <w:tcBorders>
              <w:top w:val="nil"/>
              <w:left w:val="nil"/>
              <w:bottom w:val="nil"/>
              <w:right w:val="nil"/>
            </w:tcBorders>
            <w:shd w:val="clear" w:color="auto" w:fill="auto"/>
            <w:noWrap/>
            <w:vAlign w:val="center"/>
          </w:tcPr>
          <w:p w:rsidR="002951B9" w:rsidRPr="007343D8" w:rsidRDefault="002951B9" w:rsidP="002951B9">
            <w:pPr>
              <w:jc w:val="right"/>
              <w:rPr>
                <w:rFonts w:cs="Arial"/>
                <w:color w:val="7F7F7F"/>
                <w:szCs w:val="18"/>
                <w:lang w:eastAsia="en-AU"/>
              </w:rPr>
            </w:pPr>
            <w:r w:rsidRPr="00EF2945">
              <w:t xml:space="preserve"> 4,497 </w:t>
            </w:r>
          </w:p>
        </w:tc>
        <w:tc>
          <w:tcPr>
            <w:tcW w:w="921" w:type="dxa"/>
            <w:tcBorders>
              <w:top w:val="nil"/>
              <w:left w:val="nil"/>
              <w:bottom w:val="nil"/>
              <w:right w:val="nil"/>
            </w:tcBorders>
            <w:shd w:val="clear" w:color="auto" w:fill="auto"/>
            <w:noWrap/>
            <w:vAlign w:val="center"/>
          </w:tcPr>
          <w:p w:rsidR="002951B9" w:rsidRPr="007343D8" w:rsidRDefault="002951B9" w:rsidP="002951B9">
            <w:pPr>
              <w:jc w:val="right"/>
              <w:rPr>
                <w:rFonts w:cs="Arial"/>
                <w:color w:val="7F7F7F"/>
                <w:szCs w:val="18"/>
                <w:lang w:eastAsia="en-AU"/>
              </w:rPr>
            </w:pPr>
            <w:r w:rsidRPr="00EF2945">
              <w:t xml:space="preserve"> 5,130 </w:t>
            </w:r>
          </w:p>
        </w:tc>
        <w:tc>
          <w:tcPr>
            <w:tcW w:w="922" w:type="dxa"/>
            <w:tcBorders>
              <w:top w:val="nil"/>
              <w:left w:val="nil"/>
              <w:bottom w:val="nil"/>
              <w:right w:val="nil"/>
            </w:tcBorders>
            <w:shd w:val="clear" w:color="auto" w:fill="auto"/>
            <w:noWrap/>
            <w:vAlign w:val="center"/>
          </w:tcPr>
          <w:p w:rsidR="002951B9" w:rsidRPr="007343D8" w:rsidRDefault="002951B9" w:rsidP="002951B9">
            <w:pPr>
              <w:jc w:val="right"/>
              <w:rPr>
                <w:rFonts w:cs="Arial"/>
                <w:color w:val="7F7F7F"/>
                <w:szCs w:val="18"/>
                <w:lang w:eastAsia="en-AU"/>
              </w:rPr>
            </w:pPr>
            <w:r w:rsidRPr="00EF2945">
              <w:t xml:space="preserve"> 5,148 </w:t>
            </w:r>
          </w:p>
        </w:tc>
      </w:tr>
      <w:tr w:rsidR="002951B9" w:rsidRPr="007343D8" w:rsidTr="00692A5D">
        <w:trPr>
          <w:trHeight w:hRule="exact" w:val="397"/>
        </w:trPr>
        <w:tc>
          <w:tcPr>
            <w:tcW w:w="2992" w:type="dxa"/>
            <w:tcBorders>
              <w:top w:val="nil"/>
              <w:left w:val="nil"/>
              <w:bottom w:val="nil"/>
              <w:right w:val="nil"/>
            </w:tcBorders>
            <w:shd w:val="clear" w:color="auto" w:fill="auto"/>
            <w:noWrap/>
            <w:vAlign w:val="center"/>
          </w:tcPr>
          <w:p w:rsidR="002951B9" w:rsidRPr="007343D8" w:rsidRDefault="002951B9" w:rsidP="002951B9">
            <w:pPr>
              <w:rPr>
                <w:rFonts w:cs="Arial"/>
                <w:color w:val="7F7F7F"/>
                <w:szCs w:val="18"/>
                <w:lang w:eastAsia="en-AU"/>
              </w:rPr>
            </w:pPr>
            <w:r w:rsidRPr="00900672">
              <w:t>Rental, Hiring and Real Estate Services</w:t>
            </w:r>
          </w:p>
        </w:tc>
        <w:tc>
          <w:tcPr>
            <w:tcW w:w="921" w:type="dxa"/>
            <w:tcBorders>
              <w:top w:val="nil"/>
              <w:left w:val="nil"/>
              <w:bottom w:val="nil"/>
              <w:right w:val="nil"/>
            </w:tcBorders>
            <w:shd w:val="clear" w:color="auto" w:fill="auto"/>
            <w:noWrap/>
            <w:vAlign w:val="center"/>
          </w:tcPr>
          <w:p w:rsidR="002951B9" w:rsidRPr="007343D8" w:rsidRDefault="002951B9" w:rsidP="002951B9">
            <w:pPr>
              <w:jc w:val="right"/>
              <w:rPr>
                <w:rFonts w:cs="Arial"/>
                <w:color w:val="7F7F7F"/>
                <w:szCs w:val="18"/>
                <w:lang w:eastAsia="en-AU"/>
              </w:rPr>
            </w:pPr>
            <w:r w:rsidRPr="00EF2945">
              <w:t xml:space="preserve"> 434 </w:t>
            </w:r>
          </w:p>
        </w:tc>
        <w:tc>
          <w:tcPr>
            <w:tcW w:w="921" w:type="dxa"/>
            <w:tcBorders>
              <w:top w:val="nil"/>
              <w:left w:val="nil"/>
              <w:bottom w:val="nil"/>
              <w:right w:val="nil"/>
            </w:tcBorders>
            <w:shd w:val="clear" w:color="auto" w:fill="auto"/>
            <w:noWrap/>
            <w:vAlign w:val="center"/>
          </w:tcPr>
          <w:p w:rsidR="002951B9" w:rsidRPr="007343D8" w:rsidRDefault="002951B9" w:rsidP="002951B9">
            <w:pPr>
              <w:jc w:val="right"/>
              <w:rPr>
                <w:rFonts w:cs="Arial"/>
                <w:color w:val="7F7F7F"/>
                <w:szCs w:val="18"/>
                <w:lang w:eastAsia="en-AU"/>
              </w:rPr>
            </w:pPr>
            <w:r w:rsidRPr="00EF2945">
              <w:t xml:space="preserve"> 882 </w:t>
            </w:r>
          </w:p>
        </w:tc>
        <w:tc>
          <w:tcPr>
            <w:tcW w:w="922" w:type="dxa"/>
            <w:tcBorders>
              <w:top w:val="nil"/>
              <w:left w:val="nil"/>
              <w:bottom w:val="nil"/>
              <w:right w:val="nil"/>
            </w:tcBorders>
            <w:shd w:val="clear" w:color="auto" w:fill="auto"/>
            <w:noWrap/>
            <w:vAlign w:val="center"/>
          </w:tcPr>
          <w:p w:rsidR="002951B9" w:rsidRPr="007343D8" w:rsidRDefault="002951B9" w:rsidP="002951B9">
            <w:pPr>
              <w:jc w:val="right"/>
              <w:rPr>
                <w:rFonts w:cs="Arial"/>
                <w:color w:val="7F7F7F"/>
                <w:szCs w:val="18"/>
                <w:lang w:eastAsia="en-AU"/>
              </w:rPr>
            </w:pPr>
            <w:r w:rsidRPr="00EF2945">
              <w:t xml:space="preserve"> 1,835 </w:t>
            </w:r>
          </w:p>
        </w:tc>
        <w:tc>
          <w:tcPr>
            <w:tcW w:w="921" w:type="dxa"/>
            <w:tcBorders>
              <w:top w:val="nil"/>
              <w:left w:val="nil"/>
              <w:bottom w:val="nil"/>
              <w:right w:val="nil"/>
            </w:tcBorders>
            <w:shd w:val="clear" w:color="auto" w:fill="auto"/>
            <w:noWrap/>
            <w:vAlign w:val="center"/>
          </w:tcPr>
          <w:p w:rsidR="002951B9" w:rsidRPr="007343D8" w:rsidRDefault="002951B9" w:rsidP="002951B9">
            <w:pPr>
              <w:jc w:val="right"/>
              <w:rPr>
                <w:rFonts w:cs="Arial"/>
                <w:color w:val="7F7F7F"/>
                <w:szCs w:val="18"/>
                <w:lang w:eastAsia="en-AU"/>
              </w:rPr>
            </w:pPr>
            <w:r w:rsidRPr="00EF2945">
              <w:t xml:space="preserve"> 1,235 </w:t>
            </w:r>
          </w:p>
        </w:tc>
        <w:tc>
          <w:tcPr>
            <w:tcW w:w="921" w:type="dxa"/>
            <w:tcBorders>
              <w:top w:val="nil"/>
              <w:left w:val="nil"/>
              <w:bottom w:val="nil"/>
              <w:right w:val="nil"/>
            </w:tcBorders>
            <w:shd w:val="clear" w:color="auto" w:fill="auto"/>
            <w:noWrap/>
            <w:vAlign w:val="center"/>
          </w:tcPr>
          <w:p w:rsidR="002951B9" w:rsidRPr="007343D8" w:rsidRDefault="002951B9" w:rsidP="002951B9">
            <w:pPr>
              <w:jc w:val="right"/>
              <w:rPr>
                <w:rFonts w:cs="Arial"/>
                <w:color w:val="7F7F7F"/>
                <w:szCs w:val="18"/>
                <w:lang w:eastAsia="en-AU"/>
              </w:rPr>
            </w:pPr>
            <w:r w:rsidRPr="00EF2945">
              <w:t xml:space="preserve"> 1,299 </w:t>
            </w:r>
          </w:p>
        </w:tc>
        <w:tc>
          <w:tcPr>
            <w:tcW w:w="922" w:type="dxa"/>
            <w:tcBorders>
              <w:top w:val="nil"/>
              <w:left w:val="nil"/>
              <w:bottom w:val="nil"/>
              <w:right w:val="nil"/>
            </w:tcBorders>
            <w:shd w:val="clear" w:color="auto" w:fill="auto"/>
            <w:noWrap/>
            <w:vAlign w:val="center"/>
          </w:tcPr>
          <w:p w:rsidR="002951B9" w:rsidRPr="007343D8" w:rsidRDefault="002951B9" w:rsidP="002951B9">
            <w:pPr>
              <w:jc w:val="right"/>
              <w:rPr>
                <w:rFonts w:cs="Arial"/>
                <w:color w:val="7F7F7F"/>
                <w:szCs w:val="18"/>
                <w:lang w:eastAsia="en-AU"/>
              </w:rPr>
            </w:pPr>
            <w:r w:rsidRPr="00EF2945">
              <w:t xml:space="preserve"> 1,478 </w:t>
            </w:r>
          </w:p>
        </w:tc>
      </w:tr>
      <w:tr w:rsidR="002951B9" w:rsidRPr="007343D8" w:rsidTr="00692A5D">
        <w:trPr>
          <w:trHeight w:hRule="exact" w:val="397"/>
        </w:trPr>
        <w:tc>
          <w:tcPr>
            <w:tcW w:w="2992" w:type="dxa"/>
            <w:tcBorders>
              <w:top w:val="nil"/>
              <w:left w:val="nil"/>
              <w:bottom w:val="nil"/>
              <w:right w:val="nil"/>
            </w:tcBorders>
            <w:shd w:val="clear" w:color="auto" w:fill="auto"/>
            <w:noWrap/>
            <w:vAlign w:val="center"/>
          </w:tcPr>
          <w:p w:rsidR="002951B9" w:rsidRPr="007343D8" w:rsidRDefault="002951B9" w:rsidP="002951B9">
            <w:pPr>
              <w:rPr>
                <w:rFonts w:cs="Arial"/>
                <w:color w:val="7F7F7F"/>
                <w:szCs w:val="18"/>
                <w:lang w:eastAsia="en-AU"/>
              </w:rPr>
            </w:pPr>
            <w:r w:rsidRPr="00900672">
              <w:t>Retail Trade</w:t>
            </w:r>
          </w:p>
        </w:tc>
        <w:tc>
          <w:tcPr>
            <w:tcW w:w="921" w:type="dxa"/>
            <w:tcBorders>
              <w:top w:val="nil"/>
              <w:left w:val="nil"/>
              <w:bottom w:val="nil"/>
              <w:right w:val="nil"/>
            </w:tcBorders>
            <w:shd w:val="clear" w:color="auto" w:fill="auto"/>
            <w:noWrap/>
            <w:vAlign w:val="center"/>
          </w:tcPr>
          <w:p w:rsidR="002951B9" w:rsidRPr="007343D8" w:rsidRDefault="002951B9" w:rsidP="002951B9">
            <w:pPr>
              <w:jc w:val="right"/>
              <w:rPr>
                <w:rFonts w:cs="Arial"/>
                <w:color w:val="7F7F7F"/>
                <w:szCs w:val="18"/>
                <w:lang w:eastAsia="en-AU"/>
              </w:rPr>
            </w:pPr>
            <w:r w:rsidRPr="00EF2945">
              <w:t xml:space="preserve"> 13,090 </w:t>
            </w:r>
          </w:p>
        </w:tc>
        <w:tc>
          <w:tcPr>
            <w:tcW w:w="921" w:type="dxa"/>
            <w:tcBorders>
              <w:top w:val="nil"/>
              <w:left w:val="nil"/>
              <w:bottom w:val="nil"/>
              <w:right w:val="nil"/>
            </w:tcBorders>
            <w:shd w:val="clear" w:color="auto" w:fill="auto"/>
            <w:noWrap/>
            <w:vAlign w:val="center"/>
          </w:tcPr>
          <w:p w:rsidR="002951B9" w:rsidRPr="007343D8" w:rsidRDefault="002951B9" w:rsidP="002951B9">
            <w:pPr>
              <w:jc w:val="right"/>
              <w:rPr>
                <w:rFonts w:cs="Arial"/>
                <w:color w:val="7F7F7F"/>
                <w:szCs w:val="18"/>
                <w:lang w:eastAsia="en-AU"/>
              </w:rPr>
            </w:pPr>
            <w:r w:rsidRPr="00EF2945">
              <w:t xml:space="preserve"> 17,815 </w:t>
            </w:r>
          </w:p>
        </w:tc>
        <w:tc>
          <w:tcPr>
            <w:tcW w:w="922" w:type="dxa"/>
            <w:tcBorders>
              <w:top w:val="nil"/>
              <w:left w:val="nil"/>
              <w:bottom w:val="nil"/>
              <w:right w:val="nil"/>
            </w:tcBorders>
            <w:shd w:val="clear" w:color="auto" w:fill="auto"/>
            <w:noWrap/>
            <w:vAlign w:val="center"/>
          </w:tcPr>
          <w:p w:rsidR="002951B9" w:rsidRPr="007343D8" w:rsidRDefault="002951B9" w:rsidP="002951B9">
            <w:pPr>
              <w:jc w:val="right"/>
              <w:rPr>
                <w:rFonts w:cs="Arial"/>
                <w:color w:val="7F7F7F"/>
                <w:szCs w:val="18"/>
                <w:lang w:eastAsia="en-AU"/>
              </w:rPr>
            </w:pPr>
            <w:r w:rsidRPr="00EF2945">
              <w:t xml:space="preserve"> 26,057 </w:t>
            </w:r>
          </w:p>
        </w:tc>
        <w:tc>
          <w:tcPr>
            <w:tcW w:w="921" w:type="dxa"/>
            <w:tcBorders>
              <w:top w:val="nil"/>
              <w:left w:val="nil"/>
              <w:bottom w:val="nil"/>
              <w:right w:val="nil"/>
            </w:tcBorders>
            <w:shd w:val="clear" w:color="auto" w:fill="auto"/>
            <w:noWrap/>
            <w:vAlign w:val="center"/>
          </w:tcPr>
          <w:p w:rsidR="002951B9" w:rsidRPr="007343D8" w:rsidRDefault="002951B9" w:rsidP="002951B9">
            <w:pPr>
              <w:jc w:val="right"/>
              <w:rPr>
                <w:rFonts w:cs="Arial"/>
                <w:color w:val="7F7F7F"/>
                <w:szCs w:val="18"/>
                <w:lang w:eastAsia="en-AU"/>
              </w:rPr>
            </w:pPr>
            <w:r w:rsidRPr="00EF2945">
              <w:t xml:space="preserve"> 10,931 </w:t>
            </w:r>
          </w:p>
        </w:tc>
        <w:tc>
          <w:tcPr>
            <w:tcW w:w="921" w:type="dxa"/>
            <w:tcBorders>
              <w:top w:val="nil"/>
              <w:left w:val="nil"/>
              <w:bottom w:val="nil"/>
              <w:right w:val="nil"/>
            </w:tcBorders>
            <w:shd w:val="clear" w:color="auto" w:fill="auto"/>
            <w:noWrap/>
            <w:vAlign w:val="center"/>
          </w:tcPr>
          <w:p w:rsidR="002951B9" w:rsidRPr="007343D8" w:rsidRDefault="002951B9" w:rsidP="002951B9">
            <w:pPr>
              <w:jc w:val="right"/>
              <w:rPr>
                <w:rFonts w:cs="Arial"/>
                <w:color w:val="7F7F7F"/>
                <w:szCs w:val="18"/>
                <w:lang w:eastAsia="en-AU"/>
              </w:rPr>
            </w:pPr>
            <w:r w:rsidRPr="00EF2945">
              <w:t xml:space="preserve"> 7,380 </w:t>
            </w:r>
          </w:p>
        </w:tc>
        <w:tc>
          <w:tcPr>
            <w:tcW w:w="922" w:type="dxa"/>
            <w:tcBorders>
              <w:top w:val="nil"/>
              <w:left w:val="nil"/>
              <w:bottom w:val="nil"/>
              <w:right w:val="nil"/>
            </w:tcBorders>
            <w:shd w:val="clear" w:color="auto" w:fill="auto"/>
            <w:noWrap/>
            <w:vAlign w:val="center"/>
          </w:tcPr>
          <w:p w:rsidR="002951B9" w:rsidRPr="007343D8" w:rsidRDefault="002951B9" w:rsidP="002951B9">
            <w:pPr>
              <w:jc w:val="right"/>
              <w:rPr>
                <w:rFonts w:cs="Arial"/>
                <w:color w:val="7F7F7F"/>
                <w:szCs w:val="18"/>
                <w:lang w:eastAsia="en-AU"/>
              </w:rPr>
            </w:pPr>
            <w:r w:rsidRPr="00EF2945">
              <w:t xml:space="preserve"> 5,572 </w:t>
            </w:r>
          </w:p>
        </w:tc>
      </w:tr>
      <w:tr w:rsidR="002951B9" w:rsidRPr="007343D8" w:rsidTr="00692A5D">
        <w:trPr>
          <w:trHeight w:hRule="exact" w:val="397"/>
        </w:trPr>
        <w:tc>
          <w:tcPr>
            <w:tcW w:w="2992" w:type="dxa"/>
            <w:tcBorders>
              <w:top w:val="nil"/>
              <w:left w:val="nil"/>
              <w:bottom w:val="nil"/>
              <w:right w:val="nil"/>
            </w:tcBorders>
            <w:shd w:val="clear" w:color="auto" w:fill="auto"/>
            <w:noWrap/>
            <w:vAlign w:val="center"/>
          </w:tcPr>
          <w:p w:rsidR="002951B9" w:rsidRPr="007343D8" w:rsidRDefault="002951B9" w:rsidP="002951B9">
            <w:pPr>
              <w:rPr>
                <w:rFonts w:cs="Arial"/>
                <w:color w:val="7F7F7F"/>
                <w:szCs w:val="18"/>
                <w:lang w:eastAsia="en-AU"/>
              </w:rPr>
            </w:pPr>
            <w:r w:rsidRPr="00900672">
              <w:t>Transport, Postal and Warehousing</w:t>
            </w:r>
          </w:p>
        </w:tc>
        <w:tc>
          <w:tcPr>
            <w:tcW w:w="921" w:type="dxa"/>
            <w:tcBorders>
              <w:top w:val="nil"/>
              <w:left w:val="nil"/>
              <w:bottom w:val="nil"/>
              <w:right w:val="nil"/>
            </w:tcBorders>
            <w:shd w:val="clear" w:color="auto" w:fill="auto"/>
            <w:noWrap/>
            <w:vAlign w:val="center"/>
          </w:tcPr>
          <w:p w:rsidR="002951B9" w:rsidRPr="007343D8" w:rsidRDefault="002951B9" w:rsidP="002951B9">
            <w:pPr>
              <w:jc w:val="right"/>
              <w:rPr>
                <w:rFonts w:cs="Arial"/>
                <w:color w:val="7F7F7F"/>
                <w:szCs w:val="18"/>
                <w:lang w:eastAsia="en-AU"/>
              </w:rPr>
            </w:pPr>
            <w:r w:rsidRPr="00EF2945">
              <w:t xml:space="preserve"> 7,871 </w:t>
            </w:r>
          </w:p>
        </w:tc>
        <w:tc>
          <w:tcPr>
            <w:tcW w:w="921" w:type="dxa"/>
            <w:tcBorders>
              <w:top w:val="nil"/>
              <w:left w:val="nil"/>
              <w:bottom w:val="nil"/>
              <w:right w:val="nil"/>
            </w:tcBorders>
            <w:shd w:val="clear" w:color="auto" w:fill="auto"/>
            <w:noWrap/>
            <w:vAlign w:val="center"/>
          </w:tcPr>
          <w:p w:rsidR="002951B9" w:rsidRPr="007343D8" w:rsidRDefault="002951B9" w:rsidP="002951B9">
            <w:pPr>
              <w:jc w:val="right"/>
              <w:rPr>
                <w:rFonts w:cs="Arial"/>
                <w:color w:val="7F7F7F"/>
                <w:szCs w:val="18"/>
                <w:lang w:eastAsia="en-AU"/>
              </w:rPr>
            </w:pPr>
            <w:r w:rsidRPr="00EF2945">
              <w:t xml:space="preserve"> 12,086 </w:t>
            </w:r>
          </w:p>
        </w:tc>
        <w:tc>
          <w:tcPr>
            <w:tcW w:w="922" w:type="dxa"/>
            <w:tcBorders>
              <w:top w:val="nil"/>
              <w:left w:val="nil"/>
              <w:bottom w:val="nil"/>
              <w:right w:val="nil"/>
            </w:tcBorders>
            <w:shd w:val="clear" w:color="auto" w:fill="auto"/>
            <w:noWrap/>
            <w:vAlign w:val="center"/>
          </w:tcPr>
          <w:p w:rsidR="002951B9" w:rsidRPr="007343D8" w:rsidRDefault="002951B9" w:rsidP="002951B9">
            <w:pPr>
              <w:jc w:val="right"/>
              <w:rPr>
                <w:rFonts w:cs="Arial"/>
                <w:color w:val="7F7F7F"/>
                <w:szCs w:val="18"/>
                <w:lang w:eastAsia="en-AU"/>
              </w:rPr>
            </w:pPr>
            <w:r w:rsidRPr="00EF2945">
              <w:t xml:space="preserve"> 20,920 </w:t>
            </w:r>
          </w:p>
        </w:tc>
        <w:tc>
          <w:tcPr>
            <w:tcW w:w="921" w:type="dxa"/>
            <w:tcBorders>
              <w:top w:val="nil"/>
              <w:left w:val="nil"/>
              <w:bottom w:val="nil"/>
              <w:right w:val="nil"/>
            </w:tcBorders>
            <w:shd w:val="clear" w:color="auto" w:fill="auto"/>
            <w:noWrap/>
            <w:vAlign w:val="center"/>
          </w:tcPr>
          <w:p w:rsidR="002951B9" w:rsidRPr="007343D8" w:rsidRDefault="002951B9" w:rsidP="002951B9">
            <w:pPr>
              <w:jc w:val="right"/>
              <w:rPr>
                <w:rFonts w:cs="Arial"/>
                <w:color w:val="7F7F7F"/>
                <w:szCs w:val="18"/>
                <w:lang w:eastAsia="en-AU"/>
              </w:rPr>
            </w:pPr>
            <w:r w:rsidRPr="00EF2945">
              <w:t xml:space="preserve"> 20,872 </w:t>
            </w:r>
          </w:p>
        </w:tc>
        <w:tc>
          <w:tcPr>
            <w:tcW w:w="921" w:type="dxa"/>
            <w:tcBorders>
              <w:top w:val="nil"/>
              <w:left w:val="nil"/>
              <w:bottom w:val="nil"/>
              <w:right w:val="nil"/>
            </w:tcBorders>
            <w:shd w:val="clear" w:color="auto" w:fill="auto"/>
            <w:noWrap/>
            <w:vAlign w:val="center"/>
          </w:tcPr>
          <w:p w:rsidR="002951B9" w:rsidRPr="007343D8" w:rsidRDefault="002951B9" w:rsidP="002951B9">
            <w:pPr>
              <w:jc w:val="right"/>
              <w:rPr>
                <w:rFonts w:cs="Arial"/>
                <w:color w:val="7F7F7F"/>
                <w:szCs w:val="18"/>
                <w:lang w:eastAsia="en-AU"/>
              </w:rPr>
            </w:pPr>
            <w:r w:rsidRPr="00EF2945">
              <w:t xml:space="preserve"> 27,629 </w:t>
            </w:r>
          </w:p>
        </w:tc>
        <w:tc>
          <w:tcPr>
            <w:tcW w:w="922" w:type="dxa"/>
            <w:tcBorders>
              <w:top w:val="nil"/>
              <w:left w:val="nil"/>
              <w:bottom w:val="nil"/>
              <w:right w:val="nil"/>
            </w:tcBorders>
            <w:shd w:val="clear" w:color="auto" w:fill="auto"/>
            <w:noWrap/>
            <w:vAlign w:val="center"/>
          </w:tcPr>
          <w:p w:rsidR="002951B9" w:rsidRPr="007343D8" w:rsidRDefault="002951B9" w:rsidP="002951B9">
            <w:pPr>
              <w:jc w:val="right"/>
              <w:rPr>
                <w:rFonts w:cs="Arial"/>
                <w:color w:val="7F7F7F"/>
                <w:szCs w:val="18"/>
                <w:lang w:eastAsia="en-AU"/>
              </w:rPr>
            </w:pPr>
            <w:r w:rsidRPr="00EF2945">
              <w:t xml:space="preserve"> 15,073 </w:t>
            </w:r>
          </w:p>
        </w:tc>
      </w:tr>
      <w:tr w:rsidR="002951B9" w:rsidRPr="007343D8" w:rsidTr="00692A5D">
        <w:trPr>
          <w:trHeight w:hRule="exact" w:val="397"/>
        </w:trPr>
        <w:tc>
          <w:tcPr>
            <w:tcW w:w="2992" w:type="dxa"/>
            <w:tcBorders>
              <w:top w:val="nil"/>
              <w:left w:val="nil"/>
              <w:bottom w:val="nil"/>
              <w:right w:val="nil"/>
            </w:tcBorders>
            <w:shd w:val="clear" w:color="auto" w:fill="auto"/>
            <w:noWrap/>
            <w:vAlign w:val="center"/>
          </w:tcPr>
          <w:p w:rsidR="002951B9" w:rsidRPr="007343D8" w:rsidRDefault="002951B9" w:rsidP="002951B9">
            <w:pPr>
              <w:rPr>
                <w:rFonts w:cs="Arial"/>
                <w:color w:val="7F7F7F"/>
                <w:szCs w:val="18"/>
                <w:lang w:eastAsia="en-AU"/>
              </w:rPr>
            </w:pPr>
            <w:r w:rsidRPr="00900672">
              <w:t>Wholesale Trade</w:t>
            </w:r>
          </w:p>
        </w:tc>
        <w:tc>
          <w:tcPr>
            <w:tcW w:w="921" w:type="dxa"/>
            <w:tcBorders>
              <w:top w:val="nil"/>
              <w:left w:val="nil"/>
              <w:bottom w:val="nil"/>
              <w:right w:val="nil"/>
            </w:tcBorders>
            <w:shd w:val="clear" w:color="auto" w:fill="auto"/>
            <w:noWrap/>
            <w:vAlign w:val="center"/>
          </w:tcPr>
          <w:p w:rsidR="002951B9" w:rsidRPr="007343D8" w:rsidRDefault="002951B9" w:rsidP="002951B9">
            <w:pPr>
              <w:jc w:val="right"/>
              <w:rPr>
                <w:rFonts w:cs="Arial"/>
                <w:color w:val="7F7F7F"/>
                <w:szCs w:val="18"/>
                <w:lang w:eastAsia="en-AU"/>
              </w:rPr>
            </w:pPr>
            <w:r w:rsidRPr="00EF2945">
              <w:t xml:space="preserve"> 305 </w:t>
            </w:r>
          </w:p>
        </w:tc>
        <w:tc>
          <w:tcPr>
            <w:tcW w:w="921" w:type="dxa"/>
            <w:tcBorders>
              <w:top w:val="nil"/>
              <w:left w:val="nil"/>
              <w:bottom w:val="nil"/>
              <w:right w:val="nil"/>
            </w:tcBorders>
            <w:shd w:val="clear" w:color="auto" w:fill="auto"/>
            <w:noWrap/>
            <w:vAlign w:val="center"/>
          </w:tcPr>
          <w:p w:rsidR="002951B9" w:rsidRPr="007343D8" w:rsidRDefault="002951B9" w:rsidP="002951B9">
            <w:pPr>
              <w:jc w:val="right"/>
              <w:rPr>
                <w:rFonts w:cs="Arial"/>
                <w:color w:val="7F7F7F"/>
                <w:szCs w:val="18"/>
                <w:lang w:eastAsia="en-AU"/>
              </w:rPr>
            </w:pPr>
            <w:r w:rsidRPr="00EF2945">
              <w:t xml:space="preserve"> 493 </w:t>
            </w:r>
          </w:p>
        </w:tc>
        <w:tc>
          <w:tcPr>
            <w:tcW w:w="922" w:type="dxa"/>
            <w:tcBorders>
              <w:top w:val="nil"/>
              <w:left w:val="nil"/>
              <w:bottom w:val="nil"/>
              <w:right w:val="nil"/>
            </w:tcBorders>
            <w:shd w:val="clear" w:color="auto" w:fill="auto"/>
            <w:noWrap/>
            <w:vAlign w:val="center"/>
          </w:tcPr>
          <w:p w:rsidR="002951B9" w:rsidRPr="007343D8" w:rsidRDefault="002951B9" w:rsidP="002951B9">
            <w:pPr>
              <w:jc w:val="right"/>
              <w:rPr>
                <w:rFonts w:cs="Arial"/>
                <w:color w:val="7F7F7F"/>
                <w:szCs w:val="18"/>
                <w:lang w:eastAsia="en-AU"/>
              </w:rPr>
            </w:pPr>
            <w:r w:rsidRPr="00EF2945">
              <w:t xml:space="preserve"> 662 </w:t>
            </w:r>
          </w:p>
        </w:tc>
        <w:tc>
          <w:tcPr>
            <w:tcW w:w="921" w:type="dxa"/>
            <w:tcBorders>
              <w:top w:val="nil"/>
              <w:left w:val="nil"/>
              <w:bottom w:val="nil"/>
              <w:right w:val="nil"/>
            </w:tcBorders>
            <w:shd w:val="clear" w:color="auto" w:fill="auto"/>
            <w:noWrap/>
            <w:vAlign w:val="center"/>
          </w:tcPr>
          <w:p w:rsidR="002951B9" w:rsidRPr="007343D8" w:rsidRDefault="002951B9" w:rsidP="002951B9">
            <w:pPr>
              <w:jc w:val="right"/>
              <w:rPr>
                <w:rFonts w:cs="Arial"/>
                <w:color w:val="7F7F7F"/>
                <w:szCs w:val="18"/>
                <w:lang w:eastAsia="en-AU"/>
              </w:rPr>
            </w:pPr>
            <w:r w:rsidRPr="00EF2945">
              <w:t xml:space="preserve"> 590 </w:t>
            </w:r>
          </w:p>
        </w:tc>
        <w:tc>
          <w:tcPr>
            <w:tcW w:w="921" w:type="dxa"/>
            <w:tcBorders>
              <w:top w:val="nil"/>
              <w:left w:val="nil"/>
              <w:bottom w:val="nil"/>
              <w:right w:val="nil"/>
            </w:tcBorders>
            <w:shd w:val="clear" w:color="auto" w:fill="auto"/>
            <w:noWrap/>
            <w:vAlign w:val="center"/>
          </w:tcPr>
          <w:p w:rsidR="002951B9" w:rsidRPr="007343D8" w:rsidRDefault="002951B9" w:rsidP="002951B9">
            <w:pPr>
              <w:jc w:val="right"/>
              <w:rPr>
                <w:rFonts w:cs="Arial"/>
                <w:color w:val="7F7F7F"/>
                <w:szCs w:val="18"/>
                <w:lang w:eastAsia="en-AU"/>
              </w:rPr>
            </w:pPr>
            <w:r w:rsidRPr="00EF2945">
              <w:t xml:space="preserve"> 685 </w:t>
            </w:r>
          </w:p>
        </w:tc>
        <w:tc>
          <w:tcPr>
            <w:tcW w:w="922" w:type="dxa"/>
            <w:tcBorders>
              <w:top w:val="nil"/>
              <w:left w:val="nil"/>
              <w:bottom w:val="nil"/>
              <w:right w:val="nil"/>
            </w:tcBorders>
            <w:shd w:val="clear" w:color="auto" w:fill="auto"/>
            <w:noWrap/>
            <w:vAlign w:val="center"/>
          </w:tcPr>
          <w:p w:rsidR="002951B9" w:rsidRPr="007343D8" w:rsidRDefault="002951B9" w:rsidP="002951B9">
            <w:pPr>
              <w:jc w:val="right"/>
              <w:rPr>
                <w:rFonts w:cs="Arial"/>
                <w:color w:val="7F7F7F"/>
                <w:szCs w:val="18"/>
                <w:lang w:eastAsia="en-AU"/>
              </w:rPr>
            </w:pPr>
            <w:r w:rsidRPr="00EF2945">
              <w:t xml:space="preserve"> 91 </w:t>
            </w:r>
          </w:p>
        </w:tc>
      </w:tr>
      <w:tr w:rsidR="002951B9" w:rsidRPr="007343D8" w:rsidTr="00692A5D">
        <w:trPr>
          <w:trHeight w:val="300"/>
        </w:trPr>
        <w:tc>
          <w:tcPr>
            <w:tcW w:w="2992" w:type="dxa"/>
            <w:tcBorders>
              <w:top w:val="nil"/>
              <w:left w:val="nil"/>
              <w:bottom w:val="nil"/>
              <w:right w:val="nil"/>
            </w:tcBorders>
            <w:shd w:val="clear" w:color="000000" w:fill="7F7F7F"/>
            <w:noWrap/>
            <w:vAlign w:val="center"/>
            <w:hideMark/>
          </w:tcPr>
          <w:p w:rsidR="002951B9" w:rsidRPr="007343D8" w:rsidRDefault="002951B9" w:rsidP="002951B9">
            <w:pPr>
              <w:rPr>
                <w:rFonts w:cs="Arial"/>
                <w:b/>
                <w:bCs/>
                <w:color w:val="FFFFFF"/>
                <w:szCs w:val="18"/>
                <w:lang w:eastAsia="en-AU"/>
              </w:rPr>
            </w:pPr>
            <w:r w:rsidRPr="007343D8">
              <w:rPr>
                <w:rFonts w:cs="Arial"/>
                <w:b/>
                <w:bCs/>
                <w:color w:val="FFFFFF"/>
                <w:szCs w:val="18"/>
                <w:lang w:eastAsia="en-AU"/>
              </w:rPr>
              <w:t>Total**</w:t>
            </w:r>
          </w:p>
        </w:tc>
        <w:tc>
          <w:tcPr>
            <w:tcW w:w="921" w:type="dxa"/>
            <w:tcBorders>
              <w:top w:val="nil"/>
              <w:left w:val="nil"/>
              <w:bottom w:val="nil"/>
              <w:right w:val="nil"/>
            </w:tcBorders>
            <w:shd w:val="clear" w:color="000000" w:fill="7F7F7F"/>
            <w:noWrap/>
            <w:vAlign w:val="center"/>
            <w:hideMark/>
          </w:tcPr>
          <w:p w:rsidR="002951B9" w:rsidRPr="005B52DD" w:rsidRDefault="002951B9" w:rsidP="002951B9">
            <w:pPr>
              <w:jc w:val="right"/>
              <w:rPr>
                <w:rFonts w:cs="Arial"/>
                <w:b/>
                <w:bCs/>
                <w:color w:val="FFFFFF" w:themeColor="background1"/>
                <w:szCs w:val="18"/>
                <w:lang w:eastAsia="en-AU"/>
              </w:rPr>
            </w:pPr>
            <w:r w:rsidRPr="005B52DD">
              <w:rPr>
                <w:b/>
                <w:color w:val="FFFFFF" w:themeColor="background1"/>
              </w:rPr>
              <w:t xml:space="preserve">205,378 </w:t>
            </w:r>
          </w:p>
        </w:tc>
        <w:tc>
          <w:tcPr>
            <w:tcW w:w="921" w:type="dxa"/>
            <w:tcBorders>
              <w:top w:val="nil"/>
              <w:left w:val="nil"/>
              <w:bottom w:val="nil"/>
              <w:right w:val="nil"/>
            </w:tcBorders>
            <w:shd w:val="clear" w:color="000000" w:fill="7F7F7F"/>
            <w:noWrap/>
            <w:vAlign w:val="center"/>
            <w:hideMark/>
          </w:tcPr>
          <w:p w:rsidR="002951B9" w:rsidRPr="005B52DD" w:rsidRDefault="002951B9" w:rsidP="002951B9">
            <w:pPr>
              <w:jc w:val="right"/>
              <w:rPr>
                <w:rFonts w:cs="Arial"/>
                <w:b/>
                <w:bCs/>
                <w:color w:val="FFFFFF" w:themeColor="background1"/>
                <w:szCs w:val="18"/>
                <w:lang w:eastAsia="en-AU"/>
              </w:rPr>
            </w:pPr>
            <w:r w:rsidRPr="005B52DD">
              <w:rPr>
                <w:b/>
                <w:color w:val="FFFFFF" w:themeColor="background1"/>
              </w:rPr>
              <w:t xml:space="preserve">262,741 </w:t>
            </w:r>
          </w:p>
        </w:tc>
        <w:tc>
          <w:tcPr>
            <w:tcW w:w="922" w:type="dxa"/>
            <w:tcBorders>
              <w:top w:val="nil"/>
              <w:left w:val="nil"/>
              <w:bottom w:val="nil"/>
              <w:right w:val="nil"/>
            </w:tcBorders>
            <w:shd w:val="clear" w:color="000000" w:fill="7F7F7F"/>
            <w:noWrap/>
            <w:vAlign w:val="center"/>
            <w:hideMark/>
          </w:tcPr>
          <w:p w:rsidR="002951B9" w:rsidRPr="005B52DD" w:rsidRDefault="002951B9" w:rsidP="002951B9">
            <w:pPr>
              <w:jc w:val="right"/>
              <w:rPr>
                <w:rFonts w:cs="Arial"/>
                <w:b/>
                <w:bCs/>
                <w:color w:val="FFFFFF" w:themeColor="background1"/>
                <w:szCs w:val="18"/>
                <w:lang w:eastAsia="en-AU"/>
              </w:rPr>
            </w:pPr>
            <w:r w:rsidRPr="005B52DD">
              <w:rPr>
                <w:b/>
                <w:color w:val="FFFFFF" w:themeColor="background1"/>
              </w:rPr>
              <w:t xml:space="preserve">360,978 </w:t>
            </w:r>
          </w:p>
        </w:tc>
        <w:tc>
          <w:tcPr>
            <w:tcW w:w="921" w:type="dxa"/>
            <w:tcBorders>
              <w:top w:val="nil"/>
              <w:left w:val="nil"/>
              <w:bottom w:val="nil"/>
              <w:right w:val="nil"/>
            </w:tcBorders>
            <w:shd w:val="clear" w:color="000000" w:fill="7F7F7F"/>
            <w:noWrap/>
            <w:vAlign w:val="center"/>
            <w:hideMark/>
          </w:tcPr>
          <w:p w:rsidR="002951B9" w:rsidRPr="005B52DD" w:rsidRDefault="002951B9" w:rsidP="002951B9">
            <w:pPr>
              <w:jc w:val="right"/>
              <w:rPr>
                <w:rFonts w:cs="Arial"/>
                <w:b/>
                <w:bCs/>
                <w:color w:val="FFFFFF" w:themeColor="background1"/>
                <w:szCs w:val="18"/>
                <w:lang w:eastAsia="en-AU"/>
              </w:rPr>
            </w:pPr>
            <w:r w:rsidRPr="005B52DD">
              <w:rPr>
                <w:b/>
                <w:color w:val="FFFFFF" w:themeColor="background1"/>
              </w:rPr>
              <w:t xml:space="preserve">279,536 </w:t>
            </w:r>
          </w:p>
        </w:tc>
        <w:tc>
          <w:tcPr>
            <w:tcW w:w="921" w:type="dxa"/>
            <w:tcBorders>
              <w:top w:val="nil"/>
              <w:left w:val="nil"/>
              <w:bottom w:val="nil"/>
              <w:right w:val="nil"/>
            </w:tcBorders>
            <w:shd w:val="clear" w:color="000000" w:fill="7F7F7F"/>
            <w:noWrap/>
            <w:vAlign w:val="center"/>
            <w:hideMark/>
          </w:tcPr>
          <w:p w:rsidR="002951B9" w:rsidRPr="005B52DD" w:rsidRDefault="002951B9" w:rsidP="002951B9">
            <w:pPr>
              <w:jc w:val="right"/>
              <w:rPr>
                <w:rFonts w:cs="Arial"/>
                <w:b/>
                <w:bCs/>
                <w:color w:val="FFFFFF" w:themeColor="background1"/>
                <w:szCs w:val="18"/>
                <w:lang w:eastAsia="en-AU"/>
              </w:rPr>
            </w:pPr>
            <w:r w:rsidRPr="005B52DD">
              <w:rPr>
                <w:b/>
                <w:color w:val="FFFFFF" w:themeColor="background1"/>
              </w:rPr>
              <w:t xml:space="preserve">301,860 </w:t>
            </w:r>
          </w:p>
        </w:tc>
        <w:tc>
          <w:tcPr>
            <w:tcW w:w="922" w:type="dxa"/>
            <w:tcBorders>
              <w:top w:val="nil"/>
              <w:left w:val="nil"/>
              <w:bottom w:val="nil"/>
              <w:right w:val="nil"/>
            </w:tcBorders>
            <w:shd w:val="clear" w:color="000000" w:fill="7F7F7F"/>
            <w:noWrap/>
            <w:vAlign w:val="center"/>
            <w:hideMark/>
          </w:tcPr>
          <w:p w:rsidR="002951B9" w:rsidRPr="005B52DD" w:rsidRDefault="002951B9" w:rsidP="002951B9">
            <w:pPr>
              <w:jc w:val="right"/>
              <w:rPr>
                <w:rFonts w:cs="Arial"/>
                <w:b/>
                <w:bCs/>
                <w:color w:val="FFFFFF" w:themeColor="background1"/>
                <w:szCs w:val="18"/>
                <w:lang w:eastAsia="en-AU"/>
              </w:rPr>
            </w:pPr>
            <w:r w:rsidRPr="005B52DD">
              <w:rPr>
                <w:b/>
                <w:color w:val="FFFFFF" w:themeColor="background1"/>
              </w:rPr>
              <w:t xml:space="preserve">270,340 </w:t>
            </w:r>
          </w:p>
        </w:tc>
      </w:tr>
    </w:tbl>
    <w:p w:rsidR="002951B9" w:rsidRPr="00B15FE6" w:rsidRDefault="002951B9" w:rsidP="004F7D8A">
      <w:pPr>
        <w:rPr>
          <w:sz w:val="6"/>
        </w:rPr>
      </w:pP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1"/>
        <w:gridCol w:w="7649"/>
      </w:tblGrid>
      <w:tr w:rsidR="00B15FE6" w:rsidRPr="00913551" w:rsidTr="007B068B">
        <w:trPr>
          <w:trHeight w:val="336"/>
        </w:trPr>
        <w:tc>
          <w:tcPr>
            <w:tcW w:w="431" w:type="dxa"/>
            <w:tcMar>
              <w:left w:w="0" w:type="dxa"/>
              <w:right w:w="28" w:type="dxa"/>
            </w:tcMar>
          </w:tcPr>
          <w:p w:rsidR="00B15FE6" w:rsidRPr="00913551" w:rsidRDefault="00B15FE6" w:rsidP="007B068B">
            <w:pPr>
              <w:spacing w:after="0" w:line="240" w:lineRule="auto"/>
              <w:jc w:val="right"/>
              <w:rPr>
                <w:color w:val="7F7F7F" w:themeColor="text2"/>
                <w:sz w:val="16"/>
                <w:szCs w:val="16"/>
              </w:rPr>
            </w:pPr>
            <w:r w:rsidRPr="00913551">
              <w:rPr>
                <w:color w:val="7F7F7F" w:themeColor="text2"/>
                <w:sz w:val="16"/>
                <w:szCs w:val="16"/>
              </w:rPr>
              <w:t xml:space="preserve">* </w:t>
            </w:r>
          </w:p>
        </w:tc>
        <w:tc>
          <w:tcPr>
            <w:tcW w:w="7649" w:type="dxa"/>
            <w:tcMar>
              <w:left w:w="0" w:type="dxa"/>
              <w:right w:w="28" w:type="dxa"/>
            </w:tcMar>
          </w:tcPr>
          <w:p w:rsidR="00B15FE6" w:rsidRPr="00913551" w:rsidRDefault="00B15FE6" w:rsidP="007B068B">
            <w:pPr>
              <w:spacing w:after="0" w:line="240" w:lineRule="auto"/>
              <w:rPr>
                <w:i/>
                <w:color w:val="7F7F7F" w:themeColor="text2"/>
                <w:sz w:val="16"/>
                <w:szCs w:val="16"/>
              </w:rPr>
            </w:pPr>
            <w:r w:rsidRPr="00913551">
              <w:rPr>
                <w:i/>
                <w:sz w:val="16"/>
                <w:szCs w:val="16"/>
              </w:rPr>
              <w:t xml:space="preserve">Cross-industry includes those </w:t>
            </w:r>
            <w:proofErr w:type="gramStart"/>
            <w:r w:rsidRPr="00913551">
              <w:rPr>
                <w:i/>
                <w:sz w:val="16"/>
                <w:szCs w:val="16"/>
              </w:rPr>
              <w:t>qualifications which</w:t>
            </w:r>
            <w:proofErr w:type="gramEnd"/>
            <w:r w:rsidRPr="00913551">
              <w:rPr>
                <w:i/>
                <w:sz w:val="16"/>
                <w:szCs w:val="16"/>
              </w:rPr>
              <w:t xml:space="preserve"> are considered to be relevant across all industries, for example business administration or project management.</w:t>
            </w:r>
          </w:p>
        </w:tc>
      </w:tr>
      <w:tr w:rsidR="00B15FE6" w:rsidRPr="00913551" w:rsidTr="007B068B">
        <w:trPr>
          <w:trHeight w:val="454"/>
        </w:trPr>
        <w:tc>
          <w:tcPr>
            <w:tcW w:w="431" w:type="dxa"/>
            <w:tcMar>
              <w:left w:w="0" w:type="dxa"/>
              <w:right w:w="28" w:type="dxa"/>
            </w:tcMar>
          </w:tcPr>
          <w:p w:rsidR="00B15FE6" w:rsidRPr="00913551" w:rsidRDefault="00B15FE6" w:rsidP="007B068B">
            <w:pPr>
              <w:spacing w:after="0" w:line="240" w:lineRule="auto"/>
              <w:jc w:val="right"/>
              <w:rPr>
                <w:color w:val="7F7F7F" w:themeColor="text2"/>
                <w:sz w:val="16"/>
                <w:szCs w:val="16"/>
              </w:rPr>
            </w:pPr>
            <w:r w:rsidRPr="00913551">
              <w:rPr>
                <w:color w:val="7F7F7F" w:themeColor="text2"/>
                <w:sz w:val="16"/>
                <w:szCs w:val="16"/>
              </w:rPr>
              <w:t>**</w:t>
            </w:r>
          </w:p>
        </w:tc>
        <w:tc>
          <w:tcPr>
            <w:tcW w:w="7649" w:type="dxa"/>
            <w:tcMar>
              <w:left w:w="0" w:type="dxa"/>
              <w:right w:w="28" w:type="dxa"/>
            </w:tcMar>
          </w:tcPr>
          <w:p w:rsidR="00B15FE6" w:rsidRPr="00913551" w:rsidRDefault="00B15FE6" w:rsidP="007B068B">
            <w:pPr>
              <w:pStyle w:val="Note"/>
              <w:rPr>
                <w:i w:val="0"/>
              </w:rPr>
            </w:pPr>
            <w:r w:rsidRPr="00913551">
              <w:t>Totals exclude training in foundation skills, education pathways and low-level courses in languages other than English.</w:t>
            </w:r>
          </w:p>
        </w:tc>
      </w:tr>
    </w:tbl>
    <w:p w:rsidR="00B15FE6" w:rsidRDefault="00B15FE6" w:rsidP="004F7D8A"/>
    <w:p w:rsidR="002951B9" w:rsidRDefault="002951B9" w:rsidP="004F7D8A"/>
    <w:p w:rsidR="00364BE7" w:rsidRDefault="00364BE7">
      <w:r>
        <w:rPr>
          <w:b/>
        </w:rPr>
        <w:br w:type="page"/>
      </w:r>
    </w:p>
    <w:tbl>
      <w:tblPr>
        <w:tblStyle w:val="TableGrid"/>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230"/>
      </w:tblGrid>
      <w:tr w:rsidR="00364BE7" w:rsidTr="00364BE7">
        <w:tc>
          <w:tcPr>
            <w:tcW w:w="1134" w:type="dxa"/>
            <w:tcMar>
              <w:left w:w="0" w:type="dxa"/>
              <w:right w:w="0" w:type="dxa"/>
            </w:tcMar>
          </w:tcPr>
          <w:p w:rsidR="00364BE7" w:rsidRDefault="00364BE7" w:rsidP="0005261F">
            <w:pPr>
              <w:pStyle w:val="Quote"/>
              <w:tabs>
                <w:tab w:val="left" w:pos="1134"/>
              </w:tabs>
              <w:rPr>
                <w:b w:val="0"/>
                <w:color w:val="B41F22" w:themeColor="accent1"/>
              </w:rPr>
            </w:pPr>
            <w:r>
              <w:rPr>
                <w:b w:val="0"/>
                <w:color w:val="B41F22" w:themeColor="accent1"/>
              </w:rPr>
              <w:lastRenderedPageBreak/>
              <w:t xml:space="preserve">Table </w:t>
            </w:r>
            <w:r w:rsidR="0005261F">
              <w:rPr>
                <w:b w:val="0"/>
                <w:color w:val="B41F22" w:themeColor="accent1"/>
              </w:rPr>
              <w:t>4</w:t>
            </w:r>
            <w:r>
              <w:rPr>
                <w:b w:val="0"/>
                <w:color w:val="B41F22" w:themeColor="accent1"/>
              </w:rPr>
              <w:t>.1.2:</w:t>
            </w:r>
          </w:p>
        </w:tc>
        <w:tc>
          <w:tcPr>
            <w:tcW w:w="7230" w:type="dxa"/>
            <w:tcMar>
              <w:left w:w="0" w:type="dxa"/>
              <w:right w:w="0" w:type="dxa"/>
            </w:tcMar>
          </w:tcPr>
          <w:p w:rsidR="00364BE7" w:rsidRDefault="00364BE7" w:rsidP="00364BE7">
            <w:pPr>
              <w:pStyle w:val="Quote"/>
              <w:tabs>
                <w:tab w:val="left" w:pos="1134"/>
              </w:tabs>
              <w:rPr>
                <w:b w:val="0"/>
                <w:color w:val="B41F22" w:themeColor="accent1"/>
              </w:rPr>
            </w:pPr>
            <w:r w:rsidRPr="00B24EDC">
              <w:rPr>
                <w:b w:val="0"/>
                <w:color w:val="B41F22" w:themeColor="accent1"/>
              </w:rPr>
              <w:t xml:space="preserve">Change in number of </w:t>
            </w:r>
            <w:r>
              <w:rPr>
                <w:b w:val="0"/>
                <w:color w:val="B41F22" w:themeColor="accent1"/>
              </w:rPr>
              <w:t xml:space="preserve">government subsidised </w:t>
            </w:r>
            <w:r w:rsidRPr="007343D8">
              <w:rPr>
                <w:b w:val="0"/>
                <w:color w:val="B41F22" w:themeColor="accent1"/>
              </w:rPr>
              <w:t xml:space="preserve">course enrolments in </w:t>
            </w:r>
            <w:r>
              <w:rPr>
                <w:b w:val="0"/>
                <w:color w:val="B41F22" w:themeColor="accent1"/>
              </w:rPr>
              <w:t xml:space="preserve">industry-aligned </w:t>
            </w:r>
            <w:r w:rsidRPr="007343D8">
              <w:rPr>
                <w:b w:val="0"/>
                <w:color w:val="B41F22" w:themeColor="accent1"/>
              </w:rPr>
              <w:t xml:space="preserve">training by </w:t>
            </w:r>
            <w:r>
              <w:rPr>
                <w:b w:val="0"/>
                <w:color w:val="B41F22" w:themeColor="accent1"/>
              </w:rPr>
              <w:t>industry</w:t>
            </w:r>
            <w:r w:rsidRPr="007343D8">
              <w:rPr>
                <w:b w:val="0"/>
                <w:color w:val="B41F22" w:themeColor="accent1"/>
              </w:rPr>
              <w:t>, 2010 to 2015 (half year)</w:t>
            </w:r>
          </w:p>
        </w:tc>
      </w:tr>
    </w:tbl>
    <w:tbl>
      <w:tblPr>
        <w:tblW w:w="8379" w:type="dxa"/>
        <w:tblInd w:w="93" w:type="dxa"/>
        <w:tblLayout w:type="fixed"/>
        <w:tblLook w:val="04A0" w:firstRow="1" w:lastRow="0" w:firstColumn="1" w:lastColumn="0" w:noHBand="0" w:noVBand="1"/>
      </w:tblPr>
      <w:tblGrid>
        <w:gridCol w:w="2992"/>
        <w:gridCol w:w="1077"/>
        <w:gridCol w:w="1077"/>
        <w:gridCol w:w="1078"/>
        <w:gridCol w:w="1077"/>
        <w:gridCol w:w="1078"/>
      </w:tblGrid>
      <w:tr w:rsidR="00364BE7" w:rsidRPr="007343D8" w:rsidTr="00692A5D">
        <w:trPr>
          <w:trHeight w:val="300"/>
        </w:trPr>
        <w:tc>
          <w:tcPr>
            <w:tcW w:w="2992" w:type="dxa"/>
            <w:tcBorders>
              <w:top w:val="nil"/>
              <w:left w:val="nil"/>
              <w:bottom w:val="nil"/>
              <w:right w:val="nil"/>
            </w:tcBorders>
            <w:shd w:val="clear" w:color="000000" w:fill="7F7F7F"/>
            <w:noWrap/>
            <w:vAlign w:val="center"/>
            <w:hideMark/>
          </w:tcPr>
          <w:p w:rsidR="00364BE7" w:rsidRPr="007343D8" w:rsidRDefault="00364BE7" w:rsidP="00364BE7">
            <w:pPr>
              <w:rPr>
                <w:rFonts w:cs="Arial"/>
                <w:color w:val="FFFFFF"/>
                <w:szCs w:val="18"/>
                <w:lang w:eastAsia="en-AU"/>
              </w:rPr>
            </w:pPr>
            <w:r w:rsidRPr="007343D8">
              <w:rPr>
                <w:rFonts w:cs="Arial"/>
                <w:color w:val="FFFFFF"/>
                <w:szCs w:val="18"/>
                <w:lang w:eastAsia="en-AU"/>
              </w:rPr>
              <w:t> </w:t>
            </w:r>
          </w:p>
        </w:tc>
        <w:tc>
          <w:tcPr>
            <w:tcW w:w="1077" w:type="dxa"/>
            <w:tcBorders>
              <w:top w:val="nil"/>
              <w:left w:val="nil"/>
              <w:bottom w:val="nil"/>
              <w:right w:val="nil"/>
            </w:tcBorders>
            <w:shd w:val="clear" w:color="000000" w:fill="7F7F7F"/>
            <w:noWrap/>
            <w:vAlign w:val="center"/>
            <w:hideMark/>
          </w:tcPr>
          <w:p w:rsidR="00364BE7" w:rsidRPr="007343D8" w:rsidRDefault="00364BE7" w:rsidP="00364BE7">
            <w:pPr>
              <w:jc w:val="right"/>
              <w:rPr>
                <w:rFonts w:cs="Arial"/>
                <w:b/>
                <w:bCs/>
                <w:color w:val="FFFFFF"/>
                <w:szCs w:val="18"/>
                <w:lang w:eastAsia="en-AU"/>
              </w:rPr>
            </w:pPr>
            <w:r w:rsidRPr="00435C8F">
              <w:rPr>
                <w:rFonts w:cs="Arial"/>
                <w:b/>
                <w:bCs/>
                <w:color w:val="FFFFFF"/>
                <w:szCs w:val="18"/>
                <w:lang w:eastAsia="en-AU"/>
              </w:rPr>
              <w:t>% change 2010 to 2015</w:t>
            </w:r>
          </w:p>
        </w:tc>
        <w:tc>
          <w:tcPr>
            <w:tcW w:w="1077" w:type="dxa"/>
            <w:tcBorders>
              <w:top w:val="nil"/>
              <w:left w:val="nil"/>
              <w:bottom w:val="nil"/>
              <w:right w:val="nil"/>
            </w:tcBorders>
            <w:shd w:val="clear" w:color="000000" w:fill="7F7F7F"/>
            <w:noWrap/>
            <w:vAlign w:val="center"/>
            <w:hideMark/>
          </w:tcPr>
          <w:p w:rsidR="00364BE7" w:rsidRPr="007343D8" w:rsidRDefault="00364BE7" w:rsidP="00364BE7">
            <w:pPr>
              <w:jc w:val="right"/>
              <w:rPr>
                <w:rFonts w:cs="Arial"/>
                <w:b/>
                <w:bCs/>
                <w:color w:val="FFFFFF"/>
                <w:szCs w:val="18"/>
                <w:lang w:eastAsia="en-AU"/>
              </w:rPr>
            </w:pPr>
            <w:r w:rsidRPr="00435C8F">
              <w:rPr>
                <w:rFonts w:cs="Arial"/>
                <w:b/>
                <w:bCs/>
                <w:color w:val="FFFFFF"/>
                <w:szCs w:val="18"/>
                <w:lang w:eastAsia="en-AU"/>
              </w:rPr>
              <w:t>% change 2011 to 2015</w:t>
            </w:r>
          </w:p>
        </w:tc>
        <w:tc>
          <w:tcPr>
            <w:tcW w:w="1078" w:type="dxa"/>
            <w:tcBorders>
              <w:top w:val="nil"/>
              <w:left w:val="nil"/>
              <w:bottom w:val="nil"/>
              <w:right w:val="nil"/>
            </w:tcBorders>
            <w:shd w:val="clear" w:color="000000" w:fill="7F7F7F"/>
            <w:noWrap/>
            <w:vAlign w:val="center"/>
            <w:hideMark/>
          </w:tcPr>
          <w:p w:rsidR="00364BE7" w:rsidRPr="007343D8" w:rsidRDefault="00364BE7" w:rsidP="00364BE7">
            <w:pPr>
              <w:jc w:val="right"/>
              <w:rPr>
                <w:rFonts w:cs="Arial"/>
                <w:b/>
                <w:bCs/>
                <w:color w:val="FFFFFF"/>
                <w:szCs w:val="18"/>
                <w:lang w:eastAsia="en-AU"/>
              </w:rPr>
            </w:pPr>
            <w:r w:rsidRPr="00435C8F">
              <w:rPr>
                <w:rFonts w:cs="Arial"/>
                <w:b/>
                <w:bCs/>
                <w:color w:val="FFFFFF"/>
                <w:szCs w:val="18"/>
                <w:lang w:eastAsia="en-AU"/>
              </w:rPr>
              <w:t>% change 2012 to 2015</w:t>
            </w:r>
          </w:p>
        </w:tc>
        <w:tc>
          <w:tcPr>
            <w:tcW w:w="1077" w:type="dxa"/>
            <w:tcBorders>
              <w:top w:val="nil"/>
              <w:left w:val="nil"/>
              <w:bottom w:val="nil"/>
              <w:right w:val="nil"/>
            </w:tcBorders>
            <w:shd w:val="clear" w:color="000000" w:fill="7F7F7F"/>
            <w:noWrap/>
            <w:vAlign w:val="center"/>
            <w:hideMark/>
          </w:tcPr>
          <w:p w:rsidR="00364BE7" w:rsidRPr="007343D8" w:rsidRDefault="00364BE7" w:rsidP="00364BE7">
            <w:pPr>
              <w:jc w:val="right"/>
              <w:rPr>
                <w:rFonts w:cs="Arial"/>
                <w:b/>
                <w:bCs/>
                <w:color w:val="FFFFFF"/>
                <w:szCs w:val="18"/>
                <w:lang w:eastAsia="en-AU"/>
              </w:rPr>
            </w:pPr>
            <w:r w:rsidRPr="00435C8F">
              <w:rPr>
                <w:rFonts w:cs="Arial"/>
                <w:b/>
                <w:bCs/>
                <w:color w:val="FFFFFF"/>
                <w:szCs w:val="18"/>
                <w:lang w:eastAsia="en-AU"/>
              </w:rPr>
              <w:t>% change 2013 to 2015</w:t>
            </w:r>
          </w:p>
        </w:tc>
        <w:tc>
          <w:tcPr>
            <w:tcW w:w="1078" w:type="dxa"/>
            <w:tcBorders>
              <w:top w:val="nil"/>
              <w:left w:val="nil"/>
              <w:bottom w:val="nil"/>
              <w:right w:val="nil"/>
            </w:tcBorders>
            <w:shd w:val="clear" w:color="000000" w:fill="7F7F7F"/>
            <w:noWrap/>
            <w:vAlign w:val="center"/>
            <w:hideMark/>
          </w:tcPr>
          <w:p w:rsidR="00364BE7" w:rsidRPr="007343D8" w:rsidRDefault="00364BE7" w:rsidP="00364BE7">
            <w:pPr>
              <w:jc w:val="right"/>
              <w:rPr>
                <w:rFonts w:cs="Arial"/>
                <w:b/>
                <w:bCs/>
                <w:color w:val="FFFFFF"/>
                <w:szCs w:val="18"/>
                <w:lang w:eastAsia="en-AU"/>
              </w:rPr>
            </w:pPr>
            <w:r w:rsidRPr="00435C8F">
              <w:rPr>
                <w:rFonts w:cs="Arial"/>
                <w:b/>
                <w:bCs/>
                <w:color w:val="FFFFFF"/>
                <w:szCs w:val="18"/>
                <w:lang w:eastAsia="en-AU"/>
              </w:rPr>
              <w:t>% change 2014 to 2015</w:t>
            </w:r>
          </w:p>
        </w:tc>
      </w:tr>
      <w:tr w:rsidR="00364BE7" w:rsidRPr="007343D8" w:rsidTr="00692A5D">
        <w:trPr>
          <w:trHeight w:hRule="exact" w:val="397"/>
        </w:trPr>
        <w:tc>
          <w:tcPr>
            <w:tcW w:w="2992" w:type="dxa"/>
            <w:tcBorders>
              <w:top w:val="nil"/>
              <w:left w:val="nil"/>
              <w:bottom w:val="nil"/>
              <w:right w:val="nil"/>
            </w:tcBorders>
            <w:shd w:val="clear" w:color="auto" w:fill="auto"/>
            <w:noWrap/>
            <w:vAlign w:val="center"/>
            <w:hideMark/>
          </w:tcPr>
          <w:p w:rsidR="00364BE7" w:rsidRPr="007343D8" w:rsidRDefault="00364BE7" w:rsidP="00364BE7">
            <w:pPr>
              <w:rPr>
                <w:rFonts w:cs="Arial"/>
                <w:color w:val="7F7F7F"/>
                <w:szCs w:val="18"/>
                <w:lang w:eastAsia="en-AU"/>
              </w:rPr>
            </w:pPr>
            <w:r w:rsidRPr="00900672">
              <w:t>Accommodation and Food Services</w:t>
            </w:r>
          </w:p>
        </w:tc>
        <w:tc>
          <w:tcPr>
            <w:tcW w:w="1077" w:type="dxa"/>
            <w:tcBorders>
              <w:top w:val="nil"/>
              <w:left w:val="nil"/>
              <w:bottom w:val="nil"/>
              <w:right w:val="nil"/>
            </w:tcBorders>
            <w:shd w:val="clear" w:color="auto" w:fill="auto"/>
            <w:noWrap/>
            <w:vAlign w:val="center"/>
            <w:hideMark/>
          </w:tcPr>
          <w:p w:rsidR="00364BE7" w:rsidRPr="007343D8" w:rsidRDefault="00364BE7" w:rsidP="00364BE7">
            <w:pPr>
              <w:jc w:val="right"/>
              <w:rPr>
                <w:rFonts w:cs="Arial"/>
                <w:color w:val="7F7F7F"/>
                <w:szCs w:val="18"/>
                <w:lang w:eastAsia="en-AU"/>
              </w:rPr>
            </w:pPr>
            <w:r w:rsidRPr="00252909">
              <w:t>-8%</w:t>
            </w:r>
          </w:p>
        </w:tc>
        <w:tc>
          <w:tcPr>
            <w:tcW w:w="1077" w:type="dxa"/>
            <w:tcBorders>
              <w:top w:val="nil"/>
              <w:left w:val="nil"/>
              <w:bottom w:val="nil"/>
              <w:right w:val="nil"/>
            </w:tcBorders>
            <w:shd w:val="clear" w:color="auto" w:fill="auto"/>
            <w:noWrap/>
            <w:vAlign w:val="center"/>
            <w:hideMark/>
          </w:tcPr>
          <w:p w:rsidR="00364BE7" w:rsidRPr="007343D8" w:rsidRDefault="00364BE7" w:rsidP="00364BE7">
            <w:pPr>
              <w:jc w:val="right"/>
              <w:rPr>
                <w:rFonts w:cs="Arial"/>
                <w:color w:val="7F7F7F"/>
                <w:szCs w:val="18"/>
                <w:lang w:eastAsia="en-AU"/>
              </w:rPr>
            </w:pPr>
            <w:r w:rsidRPr="00252909">
              <w:t>-30%</w:t>
            </w:r>
          </w:p>
        </w:tc>
        <w:tc>
          <w:tcPr>
            <w:tcW w:w="1078" w:type="dxa"/>
            <w:tcBorders>
              <w:top w:val="nil"/>
              <w:left w:val="nil"/>
              <w:bottom w:val="nil"/>
              <w:right w:val="nil"/>
            </w:tcBorders>
            <w:shd w:val="clear" w:color="auto" w:fill="auto"/>
            <w:noWrap/>
            <w:vAlign w:val="center"/>
            <w:hideMark/>
          </w:tcPr>
          <w:p w:rsidR="00364BE7" w:rsidRPr="007343D8" w:rsidRDefault="00364BE7" w:rsidP="00364BE7">
            <w:pPr>
              <w:jc w:val="right"/>
              <w:rPr>
                <w:rFonts w:cs="Arial"/>
                <w:color w:val="7F7F7F"/>
                <w:szCs w:val="18"/>
                <w:lang w:eastAsia="en-AU"/>
              </w:rPr>
            </w:pPr>
            <w:r w:rsidRPr="00252909">
              <w:t>-53%</w:t>
            </w:r>
          </w:p>
        </w:tc>
        <w:tc>
          <w:tcPr>
            <w:tcW w:w="1077" w:type="dxa"/>
            <w:tcBorders>
              <w:top w:val="nil"/>
              <w:left w:val="nil"/>
              <w:bottom w:val="nil"/>
              <w:right w:val="nil"/>
            </w:tcBorders>
            <w:shd w:val="clear" w:color="auto" w:fill="auto"/>
            <w:noWrap/>
            <w:vAlign w:val="center"/>
            <w:hideMark/>
          </w:tcPr>
          <w:p w:rsidR="00364BE7" w:rsidRPr="007343D8" w:rsidRDefault="00364BE7" w:rsidP="00364BE7">
            <w:pPr>
              <w:jc w:val="right"/>
              <w:rPr>
                <w:rFonts w:cs="Arial"/>
                <w:color w:val="7F7F7F"/>
                <w:szCs w:val="18"/>
                <w:lang w:eastAsia="en-AU"/>
              </w:rPr>
            </w:pPr>
            <w:r w:rsidRPr="00252909">
              <w:t>-16%</w:t>
            </w:r>
          </w:p>
        </w:tc>
        <w:tc>
          <w:tcPr>
            <w:tcW w:w="1078" w:type="dxa"/>
            <w:tcBorders>
              <w:top w:val="nil"/>
              <w:left w:val="nil"/>
              <w:bottom w:val="nil"/>
              <w:right w:val="nil"/>
            </w:tcBorders>
            <w:shd w:val="clear" w:color="auto" w:fill="auto"/>
            <w:noWrap/>
            <w:vAlign w:val="center"/>
            <w:hideMark/>
          </w:tcPr>
          <w:p w:rsidR="00364BE7" w:rsidRPr="007343D8" w:rsidRDefault="00364BE7" w:rsidP="00364BE7">
            <w:pPr>
              <w:jc w:val="right"/>
              <w:rPr>
                <w:rFonts w:cs="Arial"/>
                <w:color w:val="7F7F7F"/>
                <w:szCs w:val="18"/>
                <w:lang w:eastAsia="en-AU"/>
              </w:rPr>
            </w:pPr>
            <w:r w:rsidRPr="00252909">
              <w:t>-25%</w:t>
            </w:r>
          </w:p>
        </w:tc>
      </w:tr>
      <w:tr w:rsidR="00364BE7" w:rsidRPr="007343D8" w:rsidTr="00692A5D">
        <w:trPr>
          <w:trHeight w:hRule="exact" w:val="397"/>
        </w:trPr>
        <w:tc>
          <w:tcPr>
            <w:tcW w:w="2992" w:type="dxa"/>
            <w:tcBorders>
              <w:top w:val="nil"/>
              <w:left w:val="nil"/>
              <w:bottom w:val="nil"/>
              <w:right w:val="nil"/>
            </w:tcBorders>
            <w:shd w:val="clear" w:color="auto" w:fill="auto"/>
            <w:noWrap/>
            <w:vAlign w:val="center"/>
            <w:hideMark/>
          </w:tcPr>
          <w:p w:rsidR="00364BE7" w:rsidRPr="007343D8" w:rsidRDefault="00364BE7" w:rsidP="00364BE7">
            <w:pPr>
              <w:rPr>
                <w:rFonts w:cs="Arial"/>
                <w:color w:val="7F7F7F"/>
                <w:szCs w:val="18"/>
                <w:lang w:eastAsia="en-AU"/>
              </w:rPr>
            </w:pPr>
            <w:r w:rsidRPr="00900672">
              <w:t>Administrative and Support Services</w:t>
            </w:r>
          </w:p>
        </w:tc>
        <w:tc>
          <w:tcPr>
            <w:tcW w:w="1077" w:type="dxa"/>
            <w:tcBorders>
              <w:top w:val="nil"/>
              <w:left w:val="nil"/>
              <w:bottom w:val="nil"/>
              <w:right w:val="nil"/>
            </w:tcBorders>
            <w:shd w:val="clear" w:color="auto" w:fill="auto"/>
            <w:noWrap/>
            <w:vAlign w:val="center"/>
            <w:hideMark/>
          </w:tcPr>
          <w:p w:rsidR="00364BE7" w:rsidRPr="007343D8" w:rsidRDefault="00364BE7" w:rsidP="00364BE7">
            <w:pPr>
              <w:jc w:val="right"/>
              <w:rPr>
                <w:rFonts w:cs="Arial"/>
                <w:color w:val="7F7F7F"/>
                <w:szCs w:val="18"/>
                <w:lang w:eastAsia="en-AU"/>
              </w:rPr>
            </w:pPr>
            <w:r w:rsidRPr="00252909">
              <w:t>-32%</w:t>
            </w:r>
          </w:p>
        </w:tc>
        <w:tc>
          <w:tcPr>
            <w:tcW w:w="1077" w:type="dxa"/>
            <w:tcBorders>
              <w:top w:val="nil"/>
              <w:left w:val="nil"/>
              <w:bottom w:val="nil"/>
              <w:right w:val="nil"/>
            </w:tcBorders>
            <w:shd w:val="clear" w:color="auto" w:fill="auto"/>
            <w:noWrap/>
            <w:vAlign w:val="center"/>
            <w:hideMark/>
          </w:tcPr>
          <w:p w:rsidR="00364BE7" w:rsidRPr="007343D8" w:rsidRDefault="00364BE7" w:rsidP="00364BE7">
            <w:pPr>
              <w:jc w:val="right"/>
              <w:rPr>
                <w:rFonts w:cs="Arial"/>
                <w:color w:val="7F7F7F"/>
                <w:szCs w:val="18"/>
                <w:lang w:eastAsia="en-AU"/>
              </w:rPr>
            </w:pPr>
            <w:r w:rsidRPr="00252909">
              <w:t>-52%</w:t>
            </w:r>
          </w:p>
        </w:tc>
        <w:tc>
          <w:tcPr>
            <w:tcW w:w="1078" w:type="dxa"/>
            <w:tcBorders>
              <w:top w:val="nil"/>
              <w:left w:val="nil"/>
              <w:bottom w:val="nil"/>
              <w:right w:val="nil"/>
            </w:tcBorders>
            <w:shd w:val="clear" w:color="auto" w:fill="auto"/>
            <w:noWrap/>
            <w:vAlign w:val="center"/>
            <w:hideMark/>
          </w:tcPr>
          <w:p w:rsidR="00364BE7" w:rsidRPr="007343D8" w:rsidRDefault="00364BE7" w:rsidP="00364BE7">
            <w:pPr>
              <w:jc w:val="right"/>
              <w:rPr>
                <w:rFonts w:cs="Arial"/>
                <w:color w:val="7F7F7F"/>
                <w:szCs w:val="18"/>
                <w:lang w:eastAsia="en-AU"/>
              </w:rPr>
            </w:pPr>
            <w:r w:rsidRPr="00252909">
              <w:t>-68%</w:t>
            </w:r>
          </w:p>
        </w:tc>
        <w:tc>
          <w:tcPr>
            <w:tcW w:w="1077" w:type="dxa"/>
            <w:tcBorders>
              <w:top w:val="nil"/>
              <w:left w:val="nil"/>
              <w:bottom w:val="nil"/>
              <w:right w:val="nil"/>
            </w:tcBorders>
            <w:shd w:val="clear" w:color="auto" w:fill="auto"/>
            <w:noWrap/>
            <w:vAlign w:val="center"/>
            <w:hideMark/>
          </w:tcPr>
          <w:p w:rsidR="00364BE7" w:rsidRPr="007343D8" w:rsidRDefault="00364BE7" w:rsidP="00364BE7">
            <w:pPr>
              <w:jc w:val="right"/>
              <w:rPr>
                <w:rFonts w:cs="Arial"/>
                <w:color w:val="7F7F7F"/>
                <w:szCs w:val="18"/>
                <w:lang w:eastAsia="en-AU"/>
              </w:rPr>
            </w:pPr>
            <w:r w:rsidRPr="00252909">
              <w:t>-44%</w:t>
            </w:r>
          </w:p>
        </w:tc>
        <w:tc>
          <w:tcPr>
            <w:tcW w:w="1078" w:type="dxa"/>
            <w:tcBorders>
              <w:top w:val="nil"/>
              <w:left w:val="nil"/>
              <w:bottom w:val="nil"/>
              <w:right w:val="nil"/>
            </w:tcBorders>
            <w:shd w:val="clear" w:color="auto" w:fill="auto"/>
            <w:noWrap/>
            <w:vAlign w:val="center"/>
            <w:hideMark/>
          </w:tcPr>
          <w:p w:rsidR="00364BE7" w:rsidRPr="007343D8" w:rsidRDefault="00364BE7" w:rsidP="00364BE7">
            <w:pPr>
              <w:jc w:val="right"/>
              <w:rPr>
                <w:rFonts w:cs="Arial"/>
                <w:color w:val="7F7F7F"/>
                <w:szCs w:val="18"/>
                <w:lang w:eastAsia="en-AU"/>
              </w:rPr>
            </w:pPr>
            <w:r w:rsidRPr="00252909">
              <w:t>-31%</w:t>
            </w:r>
          </w:p>
        </w:tc>
      </w:tr>
      <w:tr w:rsidR="00364BE7" w:rsidRPr="007343D8" w:rsidTr="00692A5D">
        <w:trPr>
          <w:trHeight w:hRule="exact" w:val="397"/>
        </w:trPr>
        <w:tc>
          <w:tcPr>
            <w:tcW w:w="2992" w:type="dxa"/>
            <w:tcBorders>
              <w:top w:val="nil"/>
              <w:left w:val="nil"/>
              <w:bottom w:val="nil"/>
              <w:right w:val="nil"/>
            </w:tcBorders>
            <w:shd w:val="clear" w:color="auto" w:fill="auto"/>
            <w:noWrap/>
            <w:vAlign w:val="center"/>
            <w:hideMark/>
          </w:tcPr>
          <w:p w:rsidR="00364BE7" w:rsidRPr="007343D8" w:rsidRDefault="00364BE7" w:rsidP="00364BE7">
            <w:pPr>
              <w:rPr>
                <w:rFonts w:cs="Arial"/>
                <w:color w:val="7F7F7F"/>
                <w:szCs w:val="18"/>
                <w:lang w:eastAsia="en-AU"/>
              </w:rPr>
            </w:pPr>
            <w:r w:rsidRPr="00900672">
              <w:t>Agriculture, Forestry and Fishing</w:t>
            </w:r>
          </w:p>
        </w:tc>
        <w:tc>
          <w:tcPr>
            <w:tcW w:w="1077" w:type="dxa"/>
            <w:tcBorders>
              <w:top w:val="nil"/>
              <w:left w:val="nil"/>
              <w:bottom w:val="nil"/>
              <w:right w:val="nil"/>
            </w:tcBorders>
            <w:shd w:val="clear" w:color="auto" w:fill="auto"/>
            <w:noWrap/>
            <w:vAlign w:val="center"/>
            <w:hideMark/>
          </w:tcPr>
          <w:p w:rsidR="00364BE7" w:rsidRPr="007343D8" w:rsidRDefault="00364BE7" w:rsidP="00364BE7">
            <w:pPr>
              <w:jc w:val="right"/>
              <w:rPr>
                <w:rFonts w:cs="Arial"/>
                <w:color w:val="7F7F7F"/>
                <w:szCs w:val="18"/>
                <w:lang w:eastAsia="en-AU"/>
              </w:rPr>
            </w:pPr>
            <w:r w:rsidRPr="00252909">
              <w:t>21%</w:t>
            </w:r>
          </w:p>
        </w:tc>
        <w:tc>
          <w:tcPr>
            <w:tcW w:w="1077" w:type="dxa"/>
            <w:tcBorders>
              <w:top w:val="nil"/>
              <w:left w:val="nil"/>
              <w:bottom w:val="nil"/>
              <w:right w:val="nil"/>
            </w:tcBorders>
            <w:shd w:val="clear" w:color="auto" w:fill="auto"/>
            <w:noWrap/>
            <w:vAlign w:val="center"/>
            <w:hideMark/>
          </w:tcPr>
          <w:p w:rsidR="00364BE7" w:rsidRPr="007343D8" w:rsidRDefault="00364BE7" w:rsidP="00364BE7">
            <w:pPr>
              <w:jc w:val="right"/>
              <w:rPr>
                <w:rFonts w:cs="Arial"/>
                <w:color w:val="7F7F7F"/>
                <w:szCs w:val="18"/>
                <w:lang w:eastAsia="en-AU"/>
              </w:rPr>
            </w:pPr>
            <w:r w:rsidRPr="00252909">
              <w:t>10%</w:t>
            </w:r>
          </w:p>
        </w:tc>
        <w:tc>
          <w:tcPr>
            <w:tcW w:w="1078" w:type="dxa"/>
            <w:tcBorders>
              <w:top w:val="nil"/>
              <w:left w:val="nil"/>
              <w:bottom w:val="nil"/>
              <w:right w:val="nil"/>
            </w:tcBorders>
            <w:shd w:val="clear" w:color="auto" w:fill="auto"/>
            <w:noWrap/>
            <w:vAlign w:val="center"/>
            <w:hideMark/>
          </w:tcPr>
          <w:p w:rsidR="00364BE7" w:rsidRPr="007343D8" w:rsidRDefault="00364BE7" w:rsidP="00364BE7">
            <w:pPr>
              <w:jc w:val="right"/>
              <w:rPr>
                <w:rFonts w:cs="Arial"/>
                <w:color w:val="7F7F7F"/>
                <w:szCs w:val="18"/>
                <w:lang w:eastAsia="en-AU"/>
              </w:rPr>
            </w:pPr>
            <w:r w:rsidRPr="00252909">
              <w:t>-21%</w:t>
            </w:r>
          </w:p>
        </w:tc>
        <w:tc>
          <w:tcPr>
            <w:tcW w:w="1077" w:type="dxa"/>
            <w:tcBorders>
              <w:top w:val="nil"/>
              <w:left w:val="nil"/>
              <w:bottom w:val="nil"/>
              <w:right w:val="nil"/>
            </w:tcBorders>
            <w:shd w:val="clear" w:color="auto" w:fill="auto"/>
            <w:noWrap/>
            <w:vAlign w:val="center"/>
            <w:hideMark/>
          </w:tcPr>
          <w:p w:rsidR="00364BE7" w:rsidRPr="007343D8" w:rsidRDefault="00364BE7" w:rsidP="00364BE7">
            <w:pPr>
              <w:jc w:val="right"/>
              <w:rPr>
                <w:rFonts w:cs="Arial"/>
                <w:color w:val="7F7F7F"/>
                <w:szCs w:val="18"/>
                <w:lang w:eastAsia="en-AU"/>
              </w:rPr>
            </w:pPr>
            <w:r w:rsidRPr="00252909">
              <w:t>23%</w:t>
            </w:r>
          </w:p>
        </w:tc>
        <w:tc>
          <w:tcPr>
            <w:tcW w:w="1078" w:type="dxa"/>
            <w:tcBorders>
              <w:top w:val="nil"/>
              <w:left w:val="nil"/>
              <w:bottom w:val="nil"/>
              <w:right w:val="nil"/>
            </w:tcBorders>
            <w:shd w:val="clear" w:color="auto" w:fill="auto"/>
            <w:noWrap/>
            <w:vAlign w:val="center"/>
            <w:hideMark/>
          </w:tcPr>
          <w:p w:rsidR="00364BE7" w:rsidRPr="007343D8" w:rsidRDefault="00364BE7" w:rsidP="00364BE7">
            <w:pPr>
              <w:jc w:val="right"/>
              <w:rPr>
                <w:rFonts w:cs="Arial"/>
                <w:color w:val="7F7F7F"/>
                <w:szCs w:val="18"/>
                <w:lang w:eastAsia="en-AU"/>
              </w:rPr>
            </w:pPr>
            <w:r w:rsidRPr="00252909">
              <w:t>-28%</w:t>
            </w:r>
          </w:p>
        </w:tc>
      </w:tr>
      <w:tr w:rsidR="00364BE7" w:rsidRPr="007343D8" w:rsidTr="00692A5D">
        <w:trPr>
          <w:trHeight w:hRule="exact" w:val="397"/>
        </w:trPr>
        <w:tc>
          <w:tcPr>
            <w:tcW w:w="2992" w:type="dxa"/>
            <w:tcBorders>
              <w:top w:val="nil"/>
              <w:left w:val="nil"/>
              <w:bottom w:val="nil"/>
              <w:right w:val="nil"/>
            </w:tcBorders>
            <w:shd w:val="clear" w:color="auto" w:fill="auto"/>
            <w:noWrap/>
            <w:vAlign w:val="center"/>
            <w:hideMark/>
          </w:tcPr>
          <w:p w:rsidR="00364BE7" w:rsidRPr="007343D8" w:rsidRDefault="00364BE7" w:rsidP="00364BE7">
            <w:pPr>
              <w:rPr>
                <w:rFonts w:cs="Arial"/>
                <w:color w:val="7F7F7F"/>
                <w:szCs w:val="18"/>
                <w:lang w:eastAsia="en-AU"/>
              </w:rPr>
            </w:pPr>
            <w:r w:rsidRPr="00900672">
              <w:t>Arts and Recreation Services</w:t>
            </w:r>
          </w:p>
        </w:tc>
        <w:tc>
          <w:tcPr>
            <w:tcW w:w="1077" w:type="dxa"/>
            <w:tcBorders>
              <w:top w:val="nil"/>
              <w:left w:val="nil"/>
              <w:bottom w:val="nil"/>
              <w:right w:val="nil"/>
            </w:tcBorders>
            <w:shd w:val="clear" w:color="auto" w:fill="auto"/>
            <w:noWrap/>
            <w:vAlign w:val="center"/>
            <w:hideMark/>
          </w:tcPr>
          <w:p w:rsidR="00364BE7" w:rsidRPr="007343D8" w:rsidRDefault="00364BE7" w:rsidP="00364BE7">
            <w:pPr>
              <w:jc w:val="right"/>
              <w:rPr>
                <w:rFonts w:cs="Arial"/>
                <w:color w:val="7F7F7F"/>
                <w:szCs w:val="18"/>
                <w:lang w:eastAsia="en-AU"/>
              </w:rPr>
            </w:pPr>
            <w:r w:rsidRPr="00252909">
              <w:t>-29%</w:t>
            </w:r>
          </w:p>
        </w:tc>
        <w:tc>
          <w:tcPr>
            <w:tcW w:w="1077" w:type="dxa"/>
            <w:tcBorders>
              <w:top w:val="nil"/>
              <w:left w:val="nil"/>
              <w:bottom w:val="nil"/>
              <w:right w:val="nil"/>
            </w:tcBorders>
            <w:shd w:val="clear" w:color="auto" w:fill="auto"/>
            <w:noWrap/>
            <w:vAlign w:val="center"/>
            <w:hideMark/>
          </w:tcPr>
          <w:p w:rsidR="00364BE7" w:rsidRPr="007343D8" w:rsidRDefault="00364BE7" w:rsidP="00364BE7">
            <w:pPr>
              <w:jc w:val="right"/>
              <w:rPr>
                <w:rFonts w:cs="Arial"/>
                <w:color w:val="7F7F7F"/>
                <w:szCs w:val="18"/>
                <w:lang w:eastAsia="en-AU"/>
              </w:rPr>
            </w:pPr>
            <w:r w:rsidRPr="00252909">
              <w:t>-45%</w:t>
            </w:r>
          </w:p>
        </w:tc>
        <w:tc>
          <w:tcPr>
            <w:tcW w:w="1078" w:type="dxa"/>
            <w:tcBorders>
              <w:top w:val="nil"/>
              <w:left w:val="nil"/>
              <w:bottom w:val="nil"/>
              <w:right w:val="nil"/>
            </w:tcBorders>
            <w:shd w:val="clear" w:color="auto" w:fill="auto"/>
            <w:noWrap/>
            <w:vAlign w:val="center"/>
            <w:hideMark/>
          </w:tcPr>
          <w:p w:rsidR="00364BE7" w:rsidRPr="007343D8" w:rsidRDefault="00364BE7" w:rsidP="00364BE7">
            <w:pPr>
              <w:jc w:val="right"/>
              <w:rPr>
                <w:rFonts w:cs="Arial"/>
                <w:color w:val="7F7F7F"/>
                <w:szCs w:val="18"/>
                <w:lang w:eastAsia="en-AU"/>
              </w:rPr>
            </w:pPr>
            <w:r w:rsidRPr="00252909">
              <w:t>-56%</w:t>
            </w:r>
          </w:p>
        </w:tc>
        <w:tc>
          <w:tcPr>
            <w:tcW w:w="1077" w:type="dxa"/>
            <w:tcBorders>
              <w:top w:val="nil"/>
              <w:left w:val="nil"/>
              <w:bottom w:val="nil"/>
              <w:right w:val="nil"/>
            </w:tcBorders>
            <w:shd w:val="clear" w:color="auto" w:fill="auto"/>
            <w:noWrap/>
            <w:vAlign w:val="center"/>
            <w:hideMark/>
          </w:tcPr>
          <w:p w:rsidR="00364BE7" w:rsidRPr="007343D8" w:rsidRDefault="00364BE7" w:rsidP="00364BE7">
            <w:pPr>
              <w:jc w:val="right"/>
              <w:rPr>
                <w:rFonts w:cs="Arial"/>
                <w:color w:val="7F7F7F"/>
                <w:szCs w:val="18"/>
                <w:lang w:eastAsia="en-AU"/>
              </w:rPr>
            </w:pPr>
            <w:r w:rsidRPr="00252909">
              <w:t>-16%</w:t>
            </w:r>
          </w:p>
        </w:tc>
        <w:tc>
          <w:tcPr>
            <w:tcW w:w="1078" w:type="dxa"/>
            <w:tcBorders>
              <w:top w:val="nil"/>
              <w:left w:val="nil"/>
              <w:bottom w:val="nil"/>
              <w:right w:val="nil"/>
            </w:tcBorders>
            <w:shd w:val="clear" w:color="auto" w:fill="auto"/>
            <w:noWrap/>
            <w:vAlign w:val="center"/>
            <w:hideMark/>
          </w:tcPr>
          <w:p w:rsidR="00364BE7" w:rsidRPr="007343D8" w:rsidRDefault="00364BE7" w:rsidP="00364BE7">
            <w:pPr>
              <w:jc w:val="right"/>
              <w:rPr>
                <w:rFonts w:cs="Arial"/>
                <w:color w:val="7F7F7F"/>
                <w:szCs w:val="18"/>
                <w:lang w:eastAsia="en-AU"/>
              </w:rPr>
            </w:pPr>
            <w:r w:rsidRPr="00252909">
              <w:t>3%</w:t>
            </w:r>
          </w:p>
        </w:tc>
      </w:tr>
      <w:tr w:rsidR="00364BE7" w:rsidRPr="007343D8" w:rsidTr="00692A5D">
        <w:trPr>
          <w:trHeight w:hRule="exact" w:val="397"/>
        </w:trPr>
        <w:tc>
          <w:tcPr>
            <w:tcW w:w="2992" w:type="dxa"/>
            <w:tcBorders>
              <w:top w:val="nil"/>
              <w:left w:val="nil"/>
              <w:bottom w:val="nil"/>
              <w:right w:val="nil"/>
            </w:tcBorders>
            <w:shd w:val="clear" w:color="auto" w:fill="auto"/>
            <w:noWrap/>
            <w:vAlign w:val="center"/>
            <w:hideMark/>
          </w:tcPr>
          <w:p w:rsidR="00364BE7" w:rsidRPr="007343D8" w:rsidRDefault="00364BE7" w:rsidP="00364BE7">
            <w:pPr>
              <w:rPr>
                <w:rFonts w:cs="Arial"/>
                <w:color w:val="7F7F7F"/>
                <w:szCs w:val="18"/>
                <w:lang w:eastAsia="en-AU"/>
              </w:rPr>
            </w:pPr>
            <w:r w:rsidRPr="00900672">
              <w:t>Construction</w:t>
            </w:r>
          </w:p>
        </w:tc>
        <w:tc>
          <w:tcPr>
            <w:tcW w:w="1077" w:type="dxa"/>
            <w:tcBorders>
              <w:top w:val="nil"/>
              <w:left w:val="nil"/>
              <w:bottom w:val="nil"/>
              <w:right w:val="nil"/>
            </w:tcBorders>
            <w:shd w:val="clear" w:color="auto" w:fill="auto"/>
            <w:noWrap/>
            <w:vAlign w:val="center"/>
            <w:hideMark/>
          </w:tcPr>
          <w:p w:rsidR="00364BE7" w:rsidRPr="007343D8" w:rsidRDefault="00364BE7" w:rsidP="00364BE7">
            <w:pPr>
              <w:jc w:val="right"/>
              <w:rPr>
                <w:rFonts w:cs="Arial"/>
                <w:color w:val="7F7F7F"/>
                <w:szCs w:val="18"/>
                <w:lang w:eastAsia="en-AU"/>
              </w:rPr>
            </w:pPr>
            <w:r w:rsidRPr="00252909">
              <w:t>61%</w:t>
            </w:r>
          </w:p>
        </w:tc>
        <w:tc>
          <w:tcPr>
            <w:tcW w:w="1077" w:type="dxa"/>
            <w:tcBorders>
              <w:top w:val="nil"/>
              <w:left w:val="nil"/>
              <w:bottom w:val="nil"/>
              <w:right w:val="nil"/>
            </w:tcBorders>
            <w:shd w:val="clear" w:color="auto" w:fill="auto"/>
            <w:noWrap/>
            <w:vAlign w:val="center"/>
            <w:hideMark/>
          </w:tcPr>
          <w:p w:rsidR="00364BE7" w:rsidRPr="007343D8" w:rsidRDefault="00364BE7" w:rsidP="00364BE7">
            <w:pPr>
              <w:jc w:val="right"/>
              <w:rPr>
                <w:rFonts w:cs="Arial"/>
                <w:color w:val="7F7F7F"/>
                <w:szCs w:val="18"/>
                <w:lang w:eastAsia="en-AU"/>
              </w:rPr>
            </w:pPr>
            <w:r w:rsidRPr="00252909">
              <w:t>36%</w:t>
            </w:r>
          </w:p>
        </w:tc>
        <w:tc>
          <w:tcPr>
            <w:tcW w:w="1078" w:type="dxa"/>
            <w:tcBorders>
              <w:top w:val="nil"/>
              <w:left w:val="nil"/>
              <w:bottom w:val="nil"/>
              <w:right w:val="nil"/>
            </w:tcBorders>
            <w:shd w:val="clear" w:color="auto" w:fill="auto"/>
            <w:noWrap/>
            <w:vAlign w:val="center"/>
            <w:hideMark/>
          </w:tcPr>
          <w:p w:rsidR="00364BE7" w:rsidRPr="007343D8" w:rsidRDefault="00364BE7" w:rsidP="00364BE7">
            <w:pPr>
              <w:jc w:val="right"/>
              <w:rPr>
                <w:rFonts w:cs="Arial"/>
                <w:color w:val="7F7F7F"/>
                <w:szCs w:val="18"/>
                <w:lang w:eastAsia="en-AU"/>
              </w:rPr>
            </w:pPr>
            <w:r w:rsidRPr="00252909">
              <w:t>24%</w:t>
            </w:r>
          </w:p>
        </w:tc>
        <w:tc>
          <w:tcPr>
            <w:tcW w:w="1077" w:type="dxa"/>
            <w:tcBorders>
              <w:top w:val="nil"/>
              <w:left w:val="nil"/>
              <w:bottom w:val="nil"/>
              <w:right w:val="nil"/>
            </w:tcBorders>
            <w:shd w:val="clear" w:color="auto" w:fill="auto"/>
            <w:noWrap/>
            <w:vAlign w:val="center"/>
            <w:hideMark/>
          </w:tcPr>
          <w:p w:rsidR="00364BE7" w:rsidRPr="007343D8" w:rsidRDefault="00364BE7" w:rsidP="00364BE7">
            <w:pPr>
              <w:jc w:val="right"/>
              <w:rPr>
                <w:rFonts w:cs="Arial"/>
                <w:color w:val="7F7F7F"/>
                <w:szCs w:val="18"/>
                <w:lang w:eastAsia="en-AU"/>
              </w:rPr>
            </w:pPr>
            <w:r w:rsidRPr="00252909">
              <w:t>21%</w:t>
            </w:r>
          </w:p>
        </w:tc>
        <w:tc>
          <w:tcPr>
            <w:tcW w:w="1078" w:type="dxa"/>
            <w:tcBorders>
              <w:top w:val="nil"/>
              <w:left w:val="nil"/>
              <w:bottom w:val="nil"/>
              <w:right w:val="nil"/>
            </w:tcBorders>
            <w:shd w:val="clear" w:color="auto" w:fill="auto"/>
            <w:noWrap/>
            <w:vAlign w:val="center"/>
            <w:hideMark/>
          </w:tcPr>
          <w:p w:rsidR="00364BE7" w:rsidRPr="007343D8" w:rsidRDefault="00364BE7" w:rsidP="00364BE7">
            <w:pPr>
              <w:jc w:val="right"/>
              <w:rPr>
                <w:rFonts w:cs="Arial"/>
                <w:color w:val="7F7F7F"/>
                <w:szCs w:val="18"/>
                <w:lang w:eastAsia="en-AU"/>
              </w:rPr>
            </w:pPr>
            <w:r w:rsidRPr="00252909">
              <w:t>17%</w:t>
            </w:r>
          </w:p>
        </w:tc>
      </w:tr>
      <w:tr w:rsidR="00364BE7" w:rsidRPr="007343D8" w:rsidTr="00692A5D">
        <w:trPr>
          <w:trHeight w:hRule="exact" w:val="397"/>
        </w:trPr>
        <w:tc>
          <w:tcPr>
            <w:tcW w:w="2992" w:type="dxa"/>
            <w:tcBorders>
              <w:top w:val="nil"/>
              <w:left w:val="nil"/>
              <w:bottom w:val="nil"/>
              <w:right w:val="nil"/>
            </w:tcBorders>
            <w:shd w:val="clear" w:color="auto" w:fill="auto"/>
            <w:noWrap/>
            <w:vAlign w:val="center"/>
            <w:hideMark/>
          </w:tcPr>
          <w:p w:rsidR="00364BE7" w:rsidRPr="007343D8" w:rsidRDefault="00364BE7" w:rsidP="00364BE7">
            <w:pPr>
              <w:rPr>
                <w:rFonts w:cs="Arial"/>
                <w:color w:val="7F7F7F"/>
                <w:szCs w:val="18"/>
                <w:lang w:eastAsia="en-AU"/>
              </w:rPr>
            </w:pPr>
            <w:r w:rsidRPr="00900672">
              <w:t>Cross-industry</w:t>
            </w:r>
            <w:r>
              <w:t>*</w:t>
            </w:r>
          </w:p>
        </w:tc>
        <w:tc>
          <w:tcPr>
            <w:tcW w:w="1077" w:type="dxa"/>
            <w:tcBorders>
              <w:top w:val="nil"/>
              <w:left w:val="nil"/>
              <w:bottom w:val="nil"/>
              <w:right w:val="nil"/>
            </w:tcBorders>
            <w:shd w:val="clear" w:color="auto" w:fill="auto"/>
            <w:noWrap/>
            <w:vAlign w:val="center"/>
            <w:hideMark/>
          </w:tcPr>
          <w:p w:rsidR="00364BE7" w:rsidRPr="007343D8" w:rsidRDefault="00364BE7" w:rsidP="00364BE7">
            <w:pPr>
              <w:jc w:val="right"/>
              <w:rPr>
                <w:rFonts w:cs="Arial"/>
                <w:color w:val="7F7F7F"/>
                <w:szCs w:val="18"/>
                <w:lang w:eastAsia="en-AU"/>
              </w:rPr>
            </w:pPr>
            <w:r w:rsidRPr="00252909">
              <w:t>-6%</w:t>
            </w:r>
          </w:p>
        </w:tc>
        <w:tc>
          <w:tcPr>
            <w:tcW w:w="1077" w:type="dxa"/>
            <w:tcBorders>
              <w:top w:val="nil"/>
              <w:left w:val="nil"/>
              <w:bottom w:val="nil"/>
              <w:right w:val="nil"/>
            </w:tcBorders>
            <w:shd w:val="clear" w:color="auto" w:fill="auto"/>
            <w:noWrap/>
            <w:vAlign w:val="center"/>
            <w:hideMark/>
          </w:tcPr>
          <w:p w:rsidR="00364BE7" w:rsidRPr="007343D8" w:rsidRDefault="00364BE7" w:rsidP="00364BE7">
            <w:pPr>
              <w:jc w:val="right"/>
              <w:rPr>
                <w:rFonts w:cs="Arial"/>
                <w:color w:val="7F7F7F"/>
                <w:szCs w:val="18"/>
                <w:lang w:eastAsia="en-AU"/>
              </w:rPr>
            </w:pPr>
            <w:r w:rsidRPr="00252909">
              <w:t>-26%</w:t>
            </w:r>
          </w:p>
        </w:tc>
        <w:tc>
          <w:tcPr>
            <w:tcW w:w="1078" w:type="dxa"/>
            <w:tcBorders>
              <w:top w:val="nil"/>
              <w:left w:val="nil"/>
              <w:bottom w:val="nil"/>
              <w:right w:val="nil"/>
            </w:tcBorders>
            <w:shd w:val="clear" w:color="auto" w:fill="auto"/>
            <w:noWrap/>
            <w:vAlign w:val="center"/>
            <w:hideMark/>
          </w:tcPr>
          <w:p w:rsidR="00364BE7" w:rsidRPr="007343D8" w:rsidRDefault="00364BE7" w:rsidP="00364BE7">
            <w:pPr>
              <w:jc w:val="right"/>
              <w:rPr>
                <w:rFonts w:cs="Arial"/>
                <w:color w:val="7F7F7F"/>
                <w:szCs w:val="18"/>
                <w:lang w:eastAsia="en-AU"/>
              </w:rPr>
            </w:pPr>
            <w:r w:rsidRPr="00252909">
              <w:t>-54%</w:t>
            </w:r>
          </w:p>
        </w:tc>
        <w:tc>
          <w:tcPr>
            <w:tcW w:w="1077" w:type="dxa"/>
            <w:tcBorders>
              <w:top w:val="nil"/>
              <w:left w:val="nil"/>
              <w:bottom w:val="nil"/>
              <w:right w:val="nil"/>
            </w:tcBorders>
            <w:shd w:val="clear" w:color="auto" w:fill="auto"/>
            <w:noWrap/>
            <w:vAlign w:val="center"/>
            <w:hideMark/>
          </w:tcPr>
          <w:p w:rsidR="00364BE7" w:rsidRPr="007343D8" w:rsidRDefault="00364BE7" w:rsidP="00364BE7">
            <w:pPr>
              <w:jc w:val="right"/>
              <w:rPr>
                <w:rFonts w:cs="Arial"/>
                <w:color w:val="7F7F7F"/>
                <w:szCs w:val="18"/>
                <w:lang w:eastAsia="en-AU"/>
              </w:rPr>
            </w:pPr>
            <w:r w:rsidRPr="00252909">
              <w:t>-25%</w:t>
            </w:r>
          </w:p>
        </w:tc>
        <w:tc>
          <w:tcPr>
            <w:tcW w:w="1078" w:type="dxa"/>
            <w:tcBorders>
              <w:top w:val="nil"/>
              <w:left w:val="nil"/>
              <w:bottom w:val="nil"/>
              <w:right w:val="nil"/>
            </w:tcBorders>
            <w:shd w:val="clear" w:color="auto" w:fill="auto"/>
            <w:noWrap/>
            <w:vAlign w:val="center"/>
            <w:hideMark/>
          </w:tcPr>
          <w:p w:rsidR="00364BE7" w:rsidRPr="007343D8" w:rsidRDefault="00364BE7" w:rsidP="00364BE7">
            <w:pPr>
              <w:jc w:val="right"/>
              <w:rPr>
                <w:rFonts w:cs="Arial"/>
                <w:color w:val="7F7F7F"/>
                <w:szCs w:val="18"/>
                <w:lang w:eastAsia="en-AU"/>
              </w:rPr>
            </w:pPr>
            <w:r w:rsidRPr="00252909">
              <w:t>-17%</w:t>
            </w:r>
          </w:p>
        </w:tc>
      </w:tr>
      <w:tr w:rsidR="00364BE7" w:rsidRPr="007343D8" w:rsidTr="00692A5D">
        <w:trPr>
          <w:trHeight w:hRule="exact" w:val="397"/>
        </w:trPr>
        <w:tc>
          <w:tcPr>
            <w:tcW w:w="2992" w:type="dxa"/>
            <w:tcBorders>
              <w:top w:val="nil"/>
              <w:left w:val="nil"/>
              <w:bottom w:val="nil"/>
              <w:right w:val="nil"/>
            </w:tcBorders>
            <w:shd w:val="clear" w:color="auto" w:fill="auto"/>
            <w:noWrap/>
            <w:vAlign w:val="center"/>
          </w:tcPr>
          <w:p w:rsidR="00364BE7" w:rsidRPr="007343D8" w:rsidRDefault="00364BE7" w:rsidP="00364BE7">
            <w:pPr>
              <w:rPr>
                <w:rFonts w:cs="Arial"/>
                <w:color w:val="7F7F7F"/>
                <w:szCs w:val="18"/>
                <w:lang w:eastAsia="en-AU"/>
              </w:rPr>
            </w:pPr>
            <w:r w:rsidRPr="00900672">
              <w:t>Education and Training</w:t>
            </w:r>
          </w:p>
        </w:tc>
        <w:tc>
          <w:tcPr>
            <w:tcW w:w="1077" w:type="dxa"/>
            <w:tcBorders>
              <w:top w:val="nil"/>
              <w:left w:val="nil"/>
              <w:bottom w:val="nil"/>
              <w:right w:val="nil"/>
            </w:tcBorders>
            <w:shd w:val="clear" w:color="auto" w:fill="auto"/>
            <w:noWrap/>
            <w:vAlign w:val="center"/>
          </w:tcPr>
          <w:p w:rsidR="00364BE7" w:rsidRPr="007343D8" w:rsidRDefault="00364BE7" w:rsidP="00364BE7">
            <w:pPr>
              <w:jc w:val="right"/>
              <w:rPr>
                <w:rFonts w:cs="Arial"/>
                <w:color w:val="7F7F7F"/>
                <w:szCs w:val="18"/>
                <w:lang w:eastAsia="en-AU"/>
              </w:rPr>
            </w:pPr>
            <w:r w:rsidRPr="00252909">
              <w:t>18%</w:t>
            </w:r>
          </w:p>
        </w:tc>
        <w:tc>
          <w:tcPr>
            <w:tcW w:w="1077" w:type="dxa"/>
            <w:tcBorders>
              <w:top w:val="nil"/>
              <w:left w:val="nil"/>
              <w:bottom w:val="nil"/>
              <w:right w:val="nil"/>
            </w:tcBorders>
            <w:shd w:val="clear" w:color="auto" w:fill="auto"/>
            <w:noWrap/>
            <w:vAlign w:val="center"/>
          </w:tcPr>
          <w:p w:rsidR="00364BE7" w:rsidRPr="007343D8" w:rsidRDefault="00364BE7" w:rsidP="00364BE7">
            <w:pPr>
              <w:jc w:val="right"/>
              <w:rPr>
                <w:rFonts w:cs="Arial"/>
                <w:color w:val="7F7F7F"/>
                <w:szCs w:val="18"/>
                <w:lang w:eastAsia="en-AU"/>
              </w:rPr>
            </w:pPr>
            <w:r w:rsidRPr="00252909">
              <w:t>-18%</w:t>
            </w:r>
          </w:p>
        </w:tc>
        <w:tc>
          <w:tcPr>
            <w:tcW w:w="1078" w:type="dxa"/>
            <w:tcBorders>
              <w:top w:val="nil"/>
              <w:left w:val="nil"/>
              <w:bottom w:val="nil"/>
              <w:right w:val="nil"/>
            </w:tcBorders>
            <w:shd w:val="clear" w:color="auto" w:fill="auto"/>
            <w:noWrap/>
            <w:vAlign w:val="center"/>
          </w:tcPr>
          <w:p w:rsidR="00364BE7" w:rsidRPr="007343D8" w:rsidRDefault="00364BE7" w:rsidP="00364BE7">
            <w:pPr>
              <w:jc w:val="right"/>
              <w:rPr>
                <w:rFonts w:cs="Arial"/>
                <w:color w:val="7F7F7F"/>
                <w:szCs w:val="18"/>
                <w:lang w:eastAsia="en-AU"/>
              </w:rPr>
            </w:pPr>
            <w:r w:rsidRPr="00252909">
              <w:t>-23%</w:t>
            </w:r>
          </w:p>
        </w:tc>
        <w:tc>
          <w:tcPr>
            <w:tcW w:w="1077" w:type="dxa"/>
            <w:tcBorders>
              <w:top w:val="nil"/>
              <w:left w:val="nil"/>
              <w:bottom w:val="nil"/>
              <w:right w:val="nil"/>
            </w:tcBorders>
            <w:shd w:val="clear" w:color="auto" w:fill="auto"/>
            <w:noWrap/>
            <w:vAlign w:val="center"/>
          </w:tcPr>
          <w:p w:rsidR="00364BE7" w:rsidRPr="007343D8" w:rsidRDefault="00364BE7" w:rsidP="00364BE7">
            <w:pPr>
              <w:jc w:val="right"/>
              <w:rPr>
                <w:rFonts w:cs="Arial"/>
                <w:color w:val="7F7F7F"/>
                <w:szCs w:val="18"/>
                <w:lang w:eastAsia="en-AU"/>
              </w:rPr>
            </w:pPr>
            <w:r w:rsidRPr="00252909">
              <w:t>-30%</w:t>
            </w:r>
          </w:p>
        </w:tc>
        <w:tc>
          <w:tcPr>
            <w:tcW w:w="1078" w:type="dxa"/>
            <w:tcBorders>
              <w:top w:val="nil"/>
              <w:left w:val="nil"/>
              <w:bottom w:val="nil"/>
              <w:right w:val="nil"/>
            </w:tcBorders>
            <w:shd w:val="clear" w:color="auto" w:fill="auto"/>
            <w:noWrap/>
            <w:vAlign w:val="center"/>
          </w:tcPr>
          <w:p w:rsidR="00364BE7" w:rsidRPr="007343D8" w:rsidRDefault="00364BE7" w:rsidP="00364BE7">
            <w:pPr>
              <w:jc w:val="right"/>
              <w:rPr>
                <w:rFonts w:cs="Arial"/>
                <w:color w:val="7F7F7F"/>
                <w:szCs w:val="18"/>
                <w:lang w:eastAsia="en-AU"/>
              </w:rPr>
            </w:pPr>
            <w:r w:rsidRPr="00252909">
              <w:t>-16%</w:t>
            </w:r>
          </w:p>
        </w:tc>
      </w:tr>
      <w:tr w:rsidR="00364BE7" w:rsidRPr="007343D8" w:rsidTr="00692A5D">
        <w:trPr>
          <w:trHeight w:hRule="exact" w:val="397"/>
        </w:trPr>
        <w:tc>
          <w:tcPr>
            <w:tcW w:w="2992" w:type="dxa"/>
            <w:tcBorders>
              <w:top w:val="nil"/>
              <w:left w:val="nil"/>
              <w:bottom w:val="nil"/>
              <w:right w:val="nil"/>
            </w:tcBorders>
            <w:shd w:val="clear" w:color="auto" w:fill="auto"/>
            <w:noWrap/>
            <w:vAlign w:val="center"/>
          </w:tcPr>
          <w:p w:rsidR="00364BE7" w:rsidRPr="007343D8" w:rsidRDefault="00364BE7" w:rsidP="00364BE7">
            <w:pPr>
              <w:rPr>
                <w:rFonts w:cs="Arial"/>
                <w:color w:val="7F7F7F"/>
                <w:szCs w:val="18"/>
                <w:lang w:eastAsia="en-AU"/>
              </w:rPr>
            </w:pPr>
            <w:r w:rsidRPr="00900672">
              <w:t>Electricity, Gas, Water and Waste Services</w:t>
            </w:r>
          </w:p>
        </w:tc>
        <w:tc>
          <w:tcPr>
            <w:tcW w:w="1077" w:type="dxa"/>
            <w:tcBorders>
              <w:top w:val="nil"/>
              <w:left w:val="nil"/>
              <w:bottom w:val="nil"/>
              <w:right w:val="nil"/>
            </w:tcBorders>
            <w:shd w:val="clear" w:color="auto" w:fill="auto"/>
            <w:noWrap/>
            <w:vAlign w:val="center"/>
          </w:tcPr>
          <w:p w:rsidR="00364BE7" w:rsidRPr="007343D8" w:rsidRDefault="00364BE7" w:rsidP="00364BE7">
            <w:pPr>
              <w:jc w:val="right"/>
              <w:rPr>
                <w:rFonts w:cs="Arial"/>
                <w:color w:val="7F7F7F"/>
                <w:szCs w:val="18"/>
                <w:lang w:eastAsia="en-AU"/>
              </w:rPr>
            </w:pPr>
            <w:r w:rsidRPr="00252909">
              <w:t>129%</w:t>
            </w:r>
          </w:p>
        </w:tc>
        <w:tc>
          <w:tcPr>
            <w:tcW w:w="1077" w:type="dxa"/>
            <w:tcBorders>
              <w:top w:val="nil"/>
              <w:left w:val="nil"/>
              <w:bottom w:val="nil"/>
              <w:right w:val="nil"/>
            </w:tcBorders>
            <w:shd w:val="clear" w:color="auto" w:fill="auto"/>
            <w:noWrap/>
            <w:vAlign w:val="center"/>
          </w:tcPr>
          <w:p w:rsidR="00364BE7" w:rsidRPr="007343D8" w:rsidRDefault="00364BE7" w:rsidP="00364BE7">
            <w:pPr>
              <w:jc w:val="right"/>
              <w:rPr>
                <w:rFonts w:cs="Arial"/>
                <w:color w:val="7F7F7F"/>
                <w:szCs w:val="18"/>
                <w:lang w:eastAsia="en-AU"/>
              </w:rPr>
            </w:pPr>
            <w:r w:rsidRPr="00252909">
              <w:t>133%</w:t>
            </w:r>
          </w:p>
        </w:tc>
        <w:tc>
          <w:tcPr>
            <w:tcW w:w="1078" w:type="dxa"/>
            <w:tcBorders>
              <w:top w:val="nil"/>
              <w:left w:val="nil"/>
              <w:bottom w:val="nil"/>
              <w:right w:val="nil"/>
            </w:tcBorders>
            <w:shd w:val="clear" w:color="auto" w:fill="auto"/>
            <w:noWrap/>
            <w:vAlign w:val="center"/>
          </w:tcPr>
          <w:p w:rsidR="00364BE7" w:rsidRPr="007343D8" w:rsidRDefault="00364BE7" w:rsidP="00364BE7">
            <w:pPr>
              <w:jc w:val="right"/>
              <w:rPr>
                <w:rFonts w:cs="Arial"/>
                <w:color w:val="7F7F7F"/>
                <w:szCs w:val="18"/>
                <w:lang w:eastAsia="en-AU"/>
              </w:rPr>
            </w:pPr>
            <w:r w:rsidRPr="00252909">
              <w:t>87%</w:t>
            </w:r>
          </w:p>
        </w:tc>
        <w:tc>
          <w:tcPr>
            <w:tcW w:w="1077" w:type="dxa"/>
            <w:tcBorders>
              <w:top w:val="nil"/>
              <w:left w:val="nil"/>
              <w:bottom w:val="nil"/>
              <w:right w:val="nil"/>
            </w:tcBorders>
            <w:shd w:val="clear" w:color="auto" w:fill="auto"/>
            <w:noWrap/>
            <w:vAlign w:val="center"/>
          </w:tcPr>
          <w:p w:rsidR="00364BE7" w:rsidRPr="007343D8" w:rsidRDefault="00364BE7" w:rsidP="00364BE7">
            <w:pPr>
              <w:jc w:val="right"/>
              <w:rPr>
                <w:rFonts w:cs="Arial"/>
                <w:color w:val="7F7F7F"/>
                <w:szCs w:val="18"/>
                <w:lang w:eastAsia="en-AU"/>
              </w:rPr>
            </w:pPr>
            <w:r w:rsidRPr="00252909">
              <w:t>323%</w:t>
            </w:r>
          </w:p>
        </w:tc>
        <w:tc>
          <w:tcPr>
            <w:tcW w:w="1078" w:type="dxa"/>
            <w:tcBorders>
              <w:top w:val="nil"/>
              <w:left w:val="nil"/>
              <w:bottom w:val="nil"/>
              <w:right w:val="nil"/>
            </w:tcBorders>
            <w:shd w:val="clear" w:color="auto" w:fill="auto"/>
            <w:noWrap/>
            <w:vAlign w:val="center"/>
          </w:tcPr>
          <w:p w:rsidR="00364BE7" w:rsidRPr="007343D8" w:rsidRDefault="00364BE7" w:rsidP="00364BE7">
            <w:pPr>
              <w:jc w:val="right"/>
              <w:rPr>
                <w:rFonts w:cs="Arial"/>
                <w:color w:val="7F7F7F"/>
                <w:szCs w:val="18"/>
                <w:lang w:eastAsia="en-AU"/>
              </w:rPr>
            </w:pPr>
            <w:r w:rsidRPr="00252909">
              <w:t>147%</w:t>
            </w:r>
          </w:p>
        </w:tc>
      </w:tr>
      <w:tr w:rsidR="00364BE7" w:rsidRPr="007343D8" w:rsidTr="00692A5D">
        <w:trPr>
          <w:trHeight w:hRule="exact" w:val="397"/>
        </w:trPr>
        <w:tc>
          <w:tcPr>
            <w:tcW w:w="2992" w:type="dxa"/>
            <w:tcBorders>
              <w:top w:val="nil"/>
              <w:left w:val="nil"/>
              <w:bottom w:val="nil"/>
              <w:right w:val="nil"/>
            </w:tcBorders>
            <w:shd w:val="clear" w:color="auto" w:fill="auto"/>
            <w:noWrap/>
            <w:vAlign w:val="center"/>
          </w:tcPr>
          <w:p w:rsidR="00364BE7" w:rsidRPr="007343D8" w:rsidRDefault="00364BE7" w:rsidP="00364BE7">
            <w:pPr>
              <w:rPr>
                <w:rFonts w:cs="Arial"/>
                <w:color w:val="7F7F7F"/>
                <w:szCs w:val="18"/>
                <w:lang w:eastAsia="en-AU"/>
              </w:rPr>
            </w:pPr>
            <w:r w:rsidRPr="00900672">
              <w:t>Financial and Insurance Services</w:t>
            </w:r>
          </w:p>
        </w:tc>
        <w:tc>
          <w:tcPr>
            <w:tcW w:w="1077" w:type="dxa"/>
            <w:tcBorders>
              <w:top w:val="nil"/>
              <w:left w:val="nil"/>
              <w:bottom w:val="nil"/>
              <w:right w:val="nil"/>
            </w:tcBorders>
            <w:shd w:val="clear" w:color="auto" w:fill="auto"/>
            <w:noWrap/>
            <w:vAlign w:val="center"/>
          </w:tcPr>
          <w:p w:rsidR="00364BE7" w:rsidRPr="007343D8" w:rsidRDefault="00364BE7" w:rsidP="00364BE7">
            <w:pPr>
              <w:jc w:val="right"/>
              <w:rPr>
                <w:rFonts w:cs="Arial"/>
                <w:color w:val="7F7F7F"/>
                <w:szCs w:val="18"/>
                <w:lang w:eastAsia="en-AU"/>
              </w:rPr>
            </w:pPr>
            <w:r w:rsidRPr="00252909">
              <w:t>56%</w:t>
            </w:r>
          </w:p>
        </w:tc>
        <w:tc>
          <w:tcPr>
            <w:tcW w:w="1077" w:type="dxa"/>
            <w:tcBorders>
              <w:top w:val="nil"/>
              <w:left w:val="nil"/>
              <w:bottom w:val="nil"/>
              <w:right w:val="nil"/>
            </w:tcBorders>
            <w:shd w:val="clear" w:color="auto" w:fill="auto"/>
            <w:noWrap/>
            <w:vAlign w:val="center"/>
          </w:tcPr>
          <w:p w:rsidR="00364BE7" w:rsidRPr="007343D8" w:rsidRDefault="00364BE7" w:rsidP="00364BE7">
            <w:pPr>
              <w:jc w:val="right"/>
              <w:rPr>
                <w:rFonts w:cs="Arial"/>
                <w:color w:val="7F7F7F"/>
                <w:szCs w:val="18"/>
                <w:lang w:eastAsia="en-AU"/>
              </w:rPr>
            </w:pPr>
            <w:r w:rsidRPr="00252909">
              <w:t>-45%</w:t>
            </w:r>
          </w:p>
        </w:tc>
        <w:tc>
          <w:tcPr>
            <w:tcW w:w="1078" w:type="dxa"/>
            <w:tcBorders>
              <w:top w:val="nil"/>
              <w:left w:val="nil"/>
              <w:bottom w:val="nil"/>
              <w:right w:val="nil"/>
            </w:tcBorders>
            <w:shd w:val="clear" w:color="auto" w:fill="auto"/>
            <w:noWrap/>
            <w:vAlign w:val="center"/>
          </w:tcPr>
          <w:p w:rsidR="00364BE7" w:rsidRPr="007343D8" w:rsidRDefault="00364BE7" w:rsidP="00364BE7">
            <w:pPr>
              <w:jc w:val="right"/>
              <w:rPr>
                <w:rFonts w:cs="Arial"/>
                <w:color w:val="7F7F7F"/>
                <w:szCs w:val="18"/>
                <w:lang w:eastAsia="en-AU"/>
              </w:rPr>
            </w:pPr>
            <w:r w:rsidRPr="00252909">
              <w:t>-76%</w:t>
            </w:r>
          </w:p>
        </w:tc>
        <w:tc>
          <w:tcPr>
            <w:tcW w:w="1077" w:type="dxa"/>
            <w:tcBorders>
              <w:top w:val="nil"/>
              <w:left w:val="nil"/>
              <w:bottom w:val="nil"/>
              <w:right w:val="nil"/>
            </w:tcBorders>
            <w:shd w:val="clear" w:color="auto" w:fill="auto"/>
            <w:noWrap/>
            <w:vAlign w:val="center"/>
          </w:tcPr>
          <w:p w:rsidR="00364BE7" w:rsidRPr="007343D8" w:rsidRDefault="00364BE7" w:rsidP="00364BE7">
            <w:pPr>
              <w:jc w:val="right"/>
              <w:rPr>
                <w:rFonts w:cs="Arial"/>
                <w:color w:val="7F7F7F"/>
                <w:szCs w:val="18"/>
                <w:lang w:eastAsia="en-AU"/>
              </w:rPr>
            </w:pPr>
            <w:r w:rsidRPr="00252909">
              <w:t>-38%</w:t>
            </w:r>
          </w:p>
        </w:tc>
        <w:tc>
          <w:tcPr>
            <w:tcW w:w="1078" w:type="dxa"/>
            <w:tcBorders>
              <w:top w:val="nil"/>
              <w:left w:val="nil"/>
              <w:bottom w:val="nil"/>
              <w:right w:val="nil"/>
            </w:tcBorders>
            <w:shd w:val="clear" w:color="auto" w:fill="auto"/>
            <w:noWrap/>
            <w:vAlign w:val="center"/>
          </w:tcPr>
          <w:p w:rsidR="00364BE7" w:rsidRPr="007343D8" w:rsidRDefault="00364BE7" w:rsidP="00364BE7">
            <w:pPr>
              <w:jc w:val="right"/>
              <w:rPr>
                <w:rFonts w:cs="Arial"/>
                <w:color w:val="7F7F7F"/>
                <w:szCs w:val="18"/>
                <w:lang w:eastAsia="en-AU"/>
              </w:rPr>
            </w:pPr>
            <w:r w:rsidRPr="00252909">
              <w:t>-41%</w:t>
            </w:r>
          </w:p>
        </w:tc>
      </w:tr>
      <w:tr w:rsidR="00364BE7" w:rsidRPr="007343D8" w:rsidTr="00692A5D">
        <w:trPr>
          <w:trHeight w:hRule="exact" w:val="397"/>
        </w:trPr>
        <w:tc>
          <w:tcPr>
            <w:tcW w:w="2992" w:type="dxa"/>
            <w:tcBorders>
              <w:top w:val="nil"/>
              <w:left w:val="nil"/>
              <w:bottom w:val="nil"/>
              <w:right w:val="nil"/>
            </w:tcBorders>
            <w:shd w:val="clear" w:color="auto" w:fill="auto"/>
            <w:noWrap/>
            <w:vAlign w:val="center"/>
          </w:tcPr>
          <w:p w:rsidR="00364BE7" w:rsidRPr="007343D8" w:rsidRDefault="00364BE7" w:rsidP="00364BE7">
            <w:pPr>
              <w:rPr>
                <w:rFonts w:cs="Arial"/>
                <w:color w:val="7F7F7F"/>
                <w:szCs w:val="18"/>
                <w:lang w:eastAsia="en-AU"/>
              </w:rPr>
            </w:pPr>
            <w:r w:rsidRPr="00900672">
              <w:t>Health Care and Social Assistance</w:t>
            </w:r>
          </w:p>
        </w:tc>
        <w:tc>
          <w:tcPr>
            <w:tcW w:w="1077" w:type="dxa"/>
            <w:tcBorders>
              <w:top w:val="nil"/>
              <w:left w:val="nil"/>
              <w:bottom w:val="nil"/>
              <w:right w:val="nil"/>
            </w:tcBorders>
            <w:shd w:val="clear" w:color="auto" w:fill="auto"/>
            <w:noWrap/>
            <w:vAlign w:val="center"/>
          </w:tcPr>
          <w:p w:rsidR="00364BE7" w:rsidRPr="007343D8" w:rsidRDefault="00364BE7" w:rsidP="00364BE7">
            <w:pPr>
              <w:jc w:val="right"/>
              <w:rPr>
                <w:rFonts w:cs="Arial"/>
                <w:color w:val="7F7F7F"/>
                <w:szCs w:val="18"/>
                <w:lang w:eastAsia="en-AU"/>
              </w:rPr>
            </w:pPr>
            <w:r w:rsidRPr="00252909">
              <w:t>131%</w:t>
            </w:r>
          </w:p>
        </w:tc>
        <w:tc>
          <w:tcPr>
            <w:tcW w:w="1077" w:type="dxa"/>
            <w:tcBorders>
              <w:top w:val="nil"/>
              <w:left w:val="nil"/>
              <w:bottom w:val="nil"/>
              <w:right w:val="nil"/>
            </w:tcBorders>
            <w:shd w:val="clear" w:color="auto" w:fill="auto"/>
            <w:noWrap/>
            <w:vAlign w:val="center"/>
          </w:tcPr>
          <w:p w:rsidR="00364BE7" w:rsidRPr="007343D8" w:rsidRDefault="00364BE7" w:rsidP="00364BE7">
            <w:pPr>
              <w:jc w:val="right"/>
              <w:rPr>
                <w:rFonts w:cs="Arial"/>
                <w:color w:val="7F7F7F"/>
                <w:szCs w:val="18"/>
                <w:lang w:eastAsia="en-AU"/>
              </w:rPr>
            </w:pPr>
            <w:r w:rsidRPr="00252909">
              <w:t>73%</w:t>
            </w:r>
          </w:p>
        </w:tc>
        <w:tc>
          <w:tcPr>
            <w:tcW w:w="1078" w:type="dxa"/>
            <w:tcBorders>
              <w:top w:val="nil"/>
              <w:left w:val="nil"/>
              <w:bottom w:val="nil"/>
              <w:right w:val="nil"/>
            </w:tcBorders>
            <w:shd w:val="clear" w:color="auto" w:fill="auto"/>
            <w:noWrap/>
            <w:vAlign w:val="center"/>
          </w:tcPr>
          <w:p w:rsidR="00364BE7" w:rsidRPr="007343D8" w:rsidRDefault="00364BE7" w:rsidP="00364BE7">
            <w:pPr>
              <w:jc w:val="right"/>
              <w:rPr>
                <w:rFonts w:cs="Arial"/>
                <w:color w:val="7F7F7F"/>
                <w:szCs w:val="18"/>
                <w:lang w:eastAsia="en-AU"/>
              </w:rPr>
            </w:pPr>
            <w:r w:rsidRPr="00252909">
              <w:t>28%</w:t>
            </w:r>
          </w:p>
        </w:tc>
        <w:tc>
          <w:tcPr>
            <w:tcW w:w="1077" w:type="dxa"/>
            <w:tcBorders>
              <w:top w:val="nil"/>
              <w:left w:val="nil"/>
              <w:bottom w:val="nil"/>
              <w:right w:val="nil"/>
            </w:tcBorders>
            <w:shd w:val="clear" w:color="auto" w:fill="auto"/>
            <w:noWrap/>
            <w:vAlign w:val="center"/>
          </w:tcPr>
          <w:p w:rsidR="00364BE7" w:rsidRPr="007343D8" w:rsidRDefault="00364BE7" w:rsidP="00364BE7">
            <w:pPr>
              <w:jc w:val="right"/>
              <w:rPr>
                <w:rFonts w:cs="Arial"/>
                <w:color w:val="7F7F7F"/>
                <w:szCs w:val="18"/>
                <w:lang w:eastAsia="en-AU"/>
              </w:rPr>
            </w:pPr>
            <w:r w:rsidRPr="00252909">
              <w:t>23%</w:t>
            </w:r>
          </w:p>
        </w:tc>
        <w:tc>
          <w:tcPr>
            <w:tcW w:w="1078" w:type="dxa"/>
            <w:tcBorders>
              <w:top w:val="nil"/>
              <w:left w:val="nil"/>
              <w:bottom w:val="nil"/>
              <w:right w:val="nil"/>
            </w:tcBorders>
            <w:shd w:val="clear" w:color="auto" w:fill="auto"/>
            <w:noWrap/>
            <w:vAlign w:val="center"/>
          </w:tcPr>
          <w:p w:rsidR="00364BE7" w:rsidRPr="007343D8" w:rsidRDefault="00364BE7" w:rsidP="00364BE7">
            <w:pPr>
              <w:jc w:val="right"/>
              <w:rPr>
                <w:rFonts w:cs="Arial"/>
                <w:color w:val="7F7F7F"/>
                <w:szCs w:val="18"/>
                <w:lang w:eastAsia="en-AU"/>
              </w:rPr>
            </w:pPr>
            <w:r w:rsidRPr="00252909">
              <w:t>-3%</w:t>
            </w:r>
          </w:p>
        </w:tc>
      </w:tr>
      <w:tr w:rsidR="00364BE7" w:rsidRPr="007343D8" w:rsidTr="00692A5D">
        <w:trPr>
          <w:trHeight w:hRule="exact" w:val="397"/>
        </w:trPr>
        <w:tc>
          <w:tcPr>
            <w:tcW w:w="2992" w:type="dxa"/>
            <w:tcBorders>
              <w:top w:val="nil"/>
              <w:left w:val="nil"/>
              <w:bottom w:val="nil"/>
              <w:right w:val="nil"/>
            </w:tcBorders>
            <w:shd w:val="clear" w:color="auto" w:fill="auto"/>
            <w:noWrap/>
            <w:vAlign w:val="center"/>
          </w:tcPr>
          <w:p w:rsidR="00364BE7" w:rsidRPr="007343D8" w:rsidRDefault="00364BE7" w:rsidP="00364BE7">
            <w:pPr>
              <w:rPr>
                <w:rFonts w:cs="Arial"/>
                <w:color w:val="7F7F7F"/>
                <w:szCs w:val="18"/>
                <w:lang w:eastAsia="en-AU"/>
              </w:rPr>
            </w:pPr>
            <w:r w:rsidRPr="00900672">
              <w:t>Information Media and Telecommunications</w:t>
            </w:r>
          </w:p>
        </w:tc>
        <w:tc>
          <w:tcPr>
            <w:tcW w:w="1077" w:type="dxa"/>
            <w:tcBorders>
              <w:top w:val="nil"/>
              <w:left w:val="nil"/>
              <w:bottom w:val="nil"/>
              <w:right w:val="nil"/>
            </w:tcBorders>
            <w:shd w:val="clear" w:color="auto" w:fill="auto"/>
            <w:noWrap/>
            <w:vAlign w:val="center"/>
          </w:tcPr>
          <w:p w:rsidR="00364BE7" w:rsidRPr="007343D8" w:rsidRDefault="00364BE7" w:rsidP="00364BE7">
            <w:pPr>
              <w:jc w:val="right"/>
              <w:rPr>
                <w:rFonts w:cs="Arial"/>
                <w:color w:val="7F7F7F"/>
                <w:szCs w:val="18"/>
                <w:lang w:eastAsia="en-AU"/>
              </w:rPr>
            </w:pPr>
            <w:r w:rsidRPr="00252909">
              <w:t>-1%</w:t>
            </w:r>
          </w:p>
        </w:tc>
        <w:tc>
          <w:tcPr>
            <w:tcW w:w="1077" w:type="dxa"/>
            <w:tcBorders>
              <w:top w:val="nil"/>
              <w:left w:val="nil"/>
              <w:bottom w:val="nil"/>
              <w:right w:val="nil"/>
            </w:tcBorders>
            <w:shd w:val="clear" w:color="auto" w:fill="auto"/>
            <w:noWrap/>
            <w:vAlign w:val="center"/>
          </w:tcPr>
          <w:p w:rsidR="00364BE7" w:rsidRPr="007343D8" w:rsidRDefault="00364BE7" w:rsidP="00364BE7">
            <w:pPr>
              <w:jc w:val="right"/>
              <w:rPr>
                <w:rFonts w:cs="Arial"/>
                <w:color w:val="7F7F7F"/>
                <w:szCs w:val="18"/>
                <w:lang w:eastAsia="en-AU"/>
              </w:rPr>
            </w:pPr>
            <w:r w:rsidRPr="00252909">
              <w:t>-13%</w:t>
            </w:r>
          </w:p>
        </w:tc>
        <w:tc>
          <w:tcPr>
            <w:tcW w:w="1078" w:type="dxa"/>
            <w:tcBorders>
              <w:top w:val="nil"/>
              <w:left w:val="nil"/>
              <w:bottom w:val="nil"/>
              <w:right w:val="nil"/>
            </w:tcBorders>
            <w:shd w:val="clear" w:color="auto" w:fill="auto"/>
            <w:noWrap/>
            <w:vAlign w:val="center"/>
          </w:tcPr>
          <w:p w:rsidR="00364BE7" w:rsidRPr="007343D8" w:rsidRDefault="00364BE7" w:rsidP="00364BE7">
            <w:pPr>
              <w:jc w:val="right"/>
              <w:rPr>
                <w:rFonts w:cs="Arial"/>
                <w:color w:val="7F7F7F"/>
                <w:szCs w:val="18"/>
                <w:lang w:eastAsia="en-AU"/>
              </w:rPr>
            </w:pPr>
            <w:r w:rsidRPr="00252909">
              <w:t>-24%</w:t>
            </w:r>
          </w:p>
        </w:tc>
        <w:tc>
          <w:tcPr>
            <w:tcW w:w="1077" w:type="dxa"/>
            <w:tcBorders>
              <w:top w:val="nil"/>
              <w:left w:val="nil"/>
              <w:bottom w:val="nil"/>
              <w:right w:val="nil"/>
            </w:tcBorders>
            <w:shd w:val="clear" w:color="auto" w:fill="auto"/>
            <w:noWrap/>
            <w:vAlign w:val="center"/>
          </w:tcPr>
          <w:p w:rsidR="00364BE7" w:rsidRPr="007343D8" w:rsidRDefault="00364BE7" w:rsidP="00364BE7">
            <w:pPr>
              <w:jc w:val="right"/>
              <w:rPr>
                <w:rFonts w:cs="Arial"/>
                <w:color w:val="7F7F7F"/>
                <w:szCs w:val="18"/>
                <w:lang w:eastAsia="en-AU"/>
              </w:rPr>
            </w:pPr>
            <w:r w:rsidRPr="00252909">
              <w:t>3%</w:t>
            </w:r>
          </w:p>
        </w:tc>
        <w:tc>
          <w:tcPr>
            <w:tcW w:w="1078" w:type="dxa"/>
            <w:tcBorders>
              <w:top w:val="nil"/>
              <w:left w:val="nil"/>
              <w:bottom w:val="nil"/>
              <w:right w:val="nil"/>
            </w:tcBorders>
            <w:shd w:val="clear" w:color="auto" w:fill="auto"/>
            <w:noWrap/>
            <w:vAlign w:val="center"/>
          </w:tcPr>
          <w:p w:rsidR="00364BE7" w:rsidRPr="007343D8" w:rsidRDefault="00364BE7" w:rsidP="00364BE7">
            <w:pPr>
              <w:jc w:val="right"/>
              <w:rPr>
                <w:rFonts w:cs="Arial"/>
                <w:color w:val="7F7F7F"/>
                <w:szCs w:val="18"/>
                <w:lang w:eastAsia="en-AU"/>
              </w:rPr>
            </w:pPr>
            <w:r w:rsidRPr="00252909">
              <w:t>3%</w:t>
            </w:r>
          </w:p>
        </w:tc>
      </w:tr>
      <w:tr w:rsidR="00364BE7" w:rsidRPr="007343D8" w:rsidTr="00692A5D">
        <w:trPr>
          <w:trHeight w:hRule="exact" w:val="397"/>
        </w:trPr>
        <w:tc>
          <w:tcPr>
            <w:tcW w:w="2992" w:type="dxa"/>
            <w:tcBorders>
              <w:top w:val="nil"/>
              <w:left w:val="nil"/>
              <w:bottom w:val="nil"/>
              <w:right w:val="nil"/>
            </w:tcBorders>
            <w:shd w:val="clear" w:color="auto" w:fill="auto"/>
            <w:noWrap/>
            <w:vAlign w:val="center"/>
          </w:tcPr>
          <w:p w:rsidR="00364BE7" w:rsidRPr="007343D8" w:rsidRDefault="00364BE7" w:rsidP="00364BE7">
            <w:pPr>
              <w:rPr>
                <w:rFonts w:cs="Arial"/>
                <w:color w:val="7F7F7F"/>
                <w:szCs w:val="18"/>
                <w:lang w:eastAsia="en-AU"/>
              </w:rPr>
            </w:pPr>
            <w:r w:rsidRPr="00900672">
              <w:t>Manufacturing</w:t>
            </w:r>
          </w:p>
        </w:tc>
        <w:tc>
          <w:tcPr>
            <w:tcW w:w="1077" w:type="dxa"/>
            <w:tcBorders>
              <w:top w:val="nil"/>
              <w:left w:val="nil"/>
              <w:bottom w:val="nil"/>
              <w:right w:val="nil"/>
            </w:tcBorders>
            <w:shd w:val="clear" w:color="auto" w:fill="auto"/>
            <w:noWrap/>
            <w:vAlign w:val="center"/>
          </w:tcPr>
          <w:p w:rsidR="00364BE7" w:rsidRPr="007343D8" w:rsidRDefault="00364BE7" w:rsidP="00364BE7">
            <w:pPr>
              <w:jc w:val="right"/>
              <w:rPr>
                <w:rFonts w:cs="Arial"/>
                <w:color w:val="7F7F7F"/>
                <w:szCs w:val="18"/>
                <w:lang w:eastAsia="en-AU"/>
              </w:rPr>
            </w:pPr>
            <w:r w:rsidRPr="00252909">
              <w:t>75%</w:t>
            </w:r>
          </w:p>
        </w:tc>
        <w:tc>
          <w:tcPr>
            <w:tcW w:w="1077" w:type="dxa"/>
            <w:tcBorders>
              <w:top w:val="nil"/>
              <w:left w:val="nil"/>
              <w:bottom w:val="nil"/>
              <w:right w:val="nil"/>
            </w:tcBorders>
            <w:shd w:val="clear" w:color="auto" w:fill="auto"/>
            <w:noWrap/>
            <w:vAlign w:val="center"/>
          </w:tcPr>
          <w:p w:rsidR="00364BE7" w:rsidRPr="007343D8" w:rsidRDefault="00364BE7" w:rsidP="00364BE7">
            <w:pPr>
              <w:jc w:val="right"/>
              <w:rPr>
                <w:rFonts w:cs="Arial"/>
                <w:color w:val="7F7F7F"/>
                <w:szCs w:val="18"/>
                <w:lang w:eastAsia="en-AU"/>
              </w:rPr>
            </w:pPr>
            <w:r w:rsidRPr="00252909">
              <w:t>35%</w:t>
            </w:r>
          </w:p>
        </w:tc>
        <w:tc>
          <w:tcPr>
            <w:tcW w:w="1078" w:type="dxa"/>
            <w:tcBorders>
              <w:top w:val="nil"/>
              <w:left w:val="nil"/>
              <w:bottom w:val="nil"/>
              <w:right w:val="nil"/>
            </w:tcBorders>
            <w:shd w:val="clear" w:color="auto" w:fill="auto"/>
            <w:noWrap/>
            <w:vAlign w:val="center"/>
          </w:tcPr>
          <w:p w:rsidR="00364BE7" w:rsidRPr="007343D8" w:rsidRDefault="00364BE7" w:rsidP="00364BE7">
            <w:pPr>
              <w:jc w:val="right"/>
              <w:rPr>
                <w:rFonts w:cs="Arial"/>
                <w:color w:val="7F7F7F"/>
                <w:szCs w:val="18"/>
                <w:lang w:eastAsia="en-AU"/>
              </w:rPr>
            </w:pPr>
            <w:r w:rsidRPr="00252909">
              <w:t>1%</w:t>
            </w:r>
          </w:p>
        </w:tc>
        <w:tc>
          <w:tcPr>
            <w:tcW w:w="1077" w:type="dxa"/>
            <w:tcBorders>
              <w:top w:val="nil"/>
              <w:left w:val="nil"/>
              <w:bottom w:val="nil"/>
              <w:right w:val="nil"/>
            </w:tcBorders>
            <w:shd w:val="clear" w:color="auto" w:fill="auto"/>
            <w:noWrap/>
            <w:vAlign w:val="center"/>
          </w:tcPr>
          <w:p w:rsidR="00364BE7" w:rsidRPr="007343D8" w:rsidRDefault="00364BE7" w:rsidP="00364BE7">
            <w:pPr>
              <w:jc w:val="right"/>
              <w:rPr>
                <w:rFonts w:cs="Arial"/>
                <w:color w:val="7F7F7F"/>
                <w:szCs w:val="18"/>
                <w:lang w:eastAsia="en-AU"/>
              </w:rPr>
            </w:pPr>
            <w:r w:rsidRPr="00252909">
              <w:t>3%</w:t>
            </w:r>
          </w:p>
        </w:tc>
        <w:tc>
          <w:tcPr>
            <w:tcW w:w="1078" w:type="dxa"/>
            <w:tcBorders>
              <w:top w:val="nil"/>
              <w:left w:val="nil"/>
              <w:bottom w:val="nil"/>
              <w:right w:val="nil"/>
            </w:tcBorders>
            <w:shd w:val="clear" w:color="auto" w:fill="auto"/>
            <w:noWrap/>
            <w:vAlign w:val="center"/>
          </w:tcPr>
          <w:p w:rsidR="00364BE7" w:rsidRPr="007343D8" w:rsidRDefault="00364BE7" w:rsidP="00364BE7">
            <w:pPr>
              <w:jc w:val="right"/>
              <w:rPr>
                <w:rFonts w:cs="Arial"/>
                <w:color w:val="7F7F7F"/>
                <w:szCs w:val="18"/>
                <w:lang w:eastAsia="en-AU"/>
              </w:rPr>
            </w:pPr>
            <w:r w:rsidRPr="00252909">
              <w:t>-18%</w:t>
            </w:r>
          </w:p>
        </w:tc>
      </w:tr>
      <w:tr w:rsidR="00364BE7" w:rsidRPr="007343D8" w:rsidTr="00692A5D">
        <w:trPr>
          <w:trHeight w:hRule="exact" w:val="397"/>
        </w:trPr>
        <w:tc>
          <w:tcPr>
            <w:tcW w:w="2992" w:type="dxa"/>
            <w:tcBorders>
              <w:top w:val="nil"/>
              <w:left w:val="nil"/>
              <w:bottom w:val="nil"/>
              <w:right w:val="nil"/>
            </w:tcBorders>
            <w:shd w:val="clear" w:color="auto" w:fill="auto"/>
            <w:noWrap/>
            <w:vAlign w:val="center"/>
          </w:tcPr>
          <w:p w:rsidR="00364BE7" w:rsidRPr="007343D8" w:rsidRDefault="00364BE7" w:rsidP="00364BE7">
            <w:pPr>
              <w:rPr>
                <w:rFonts w:cs="Arial"/>
                <w:color w:val="7F7F7F"/>
                <w:szCs w:val="18"/>
                <w:lang w:eastAsia="en-AU"/>
              </w:rPr>
            </w:pPr>
            <w:r w:rsidRPr="00900672">
              <w:t>Mining</w:t>
            </w:r>
          </w:p>
        </w:tc>
        <w:tc>
          <w:tcPr>
            <w:tcW w:w="1077" w:type="dxa"/>
            <w:tcBorders>
              <w:top w:val="nil"/>
              <w:left w:val="nil"/>
              <w:bottom w:val="nil"/>
              <w:right w:val="nil"/>
            </w:tcBorders>
            <w:shd w:val="clear" w:color="auto" w:fill="auto"/>
            <w:noWrap/>
            <w:vAlign w:val="center"/>
          </w:tcPr>
          <w:p w:rsidR="00364BE7" w:rsidRPr="007343D8" w:rsidRDefault="00364BE7" w:rsidP="00364BE7">
            <w:pPr>
              <w:jc w:val="right"/>
              <w:rPr>
                <w:rFonts w:cs="Arial"/>
                <w:color w:val="7F7F7F"/>
                <w:szCs w:val="18"/>
                <w:lang w:eastAsia="en-AU"/>
              </w:rPr>
            </w:pPr>
            <w:r w:rsidRPr="00252909">
              <w:t>-67%</w:t>
            </w:r>
          </w:p>
        </w:tc>
        <w:tc>
          <w:tcPr>
            <w:tcW w:w="1077" w:type="dxa"/>
            <w:tcBorders>
              <w:top w:val="nil"/>
              <w:left w:val="nil"/>
              <w:bottom w:val="nil"/>
              <w:right w:val="nil"/>
            </w:tcBorders>
            <w:shd w:val="clear" w:color="auto" w:fill="auto"/>
            <w:noWrap/>
            <w:vAlign w:val="center"/>
          </w:tcPr>
          <w:p w:rsidR="00364BE7" w:rsidRPr="007343D8" w:rsidRDefault="00364BE7" w:rsidP="00364BE7">
            <w:pPr>
              <w:jc w:val="right"/>
              <w:rPr>
                <w:rFonts w:cs="Arial"/>
                <w:color w:val="7F7F7F"/>
                <w:szCs w:val="18"/>
                <w:lang w:eastAsia="en-AU"/>
              </w:rPr>
            </w:pPr>
            <w:r w:rsidRPr="00252909">
              <w:t>-49%</w:t>
            </w:r>
          </w:p>
        </w:tc>
        <w:tc>
          <w:tcPr>
            <w:tcW w:w="1078" w:type="dxa"/>
            <w:tcBorders>
              <w:top w:val="nil"/>
              <w:left w:val="nil"/>
              <w:bottom w:val="nil"/>
              <w:right w:val="nil"/>
            </w:tcBorders>
            <w:shd w:val="clear" w:color="auto" w:fill="auto"/>
            <w:noWrap/>
            <w:vAlign w:val="center"/>
          </w:tcPr>
          <w:p w:rsidR="00364BE7" w:rsidRPr="007343D8" w:rsidRDefault="00364BE7" w:rsidP="00364BE7">
            <w:pPr>
              <w:jc w:val="right"/>
              <w:rPr>
                <w:rFonts w:cs="Arial"/>
                <w:color w:val="7F7F7F"/>
                <w:szCs w:val="18"/>
                <w:lang w:eastAsia="en-AU"/>
              </w:rPr>
            </w:pPr>
            <w:r w:rsidRPr="00252909">
              <w:t>-80%</w:t>
            </w:r>
          </w:p>
        </w:tc>
        <w:tc>
          <w:tcPr>
            <w:tcW w:w="1077" w:type="dxa"/>
            <w:tcBorders>
              <w:top w:val="nil"/>
              <w:left w:val="nil"/>
              <w:bottom w:val="nil"/>
              <w:right w:val="nil"/>
            </w:tcBorders>
            <w:shd w:val="clear" w:color="auto" w:fill="auto"/>
            <w:noWrap/>
            <w:vAlign w:val="center"/>
          </w:tcPr>
          <w:p w:rsidR="00364BE7" w:rsidRPr="007343D8" w:rsidRDefault="00364BE7" w:rsidP="00364BE7">
            <w:pPr>
              <w:jc w:val="right"/>
              <w:rPr>
                <w:rFonts w:cs="Arial"/>
                <w:color w:val="7F7F7F"/>
                <w:szCs w:val="18"/>
                <w:lang w:eastAsia="en-AU"/>
              </w:rPr>
            </w:pPr>
            <w:r w:rsidRPr="00252909">
              <w:t>-77%</w:t>
            </w:r>
          </w:p>
        </w:tc>
        <w:tc>
          <w:tcPr>
            <w:tcW w:w="1078" w:type="dxa"/>
            <w:tcBorders>
              <w:top w:val="nil"/>
              <w:left w:val="nil"/>
              <w:bottom w:val="nil"/>
              <w:right w:val="nil"/>
            </w:tcBorders>
            <w:shd w:val="clear" w:color="auto" w:fill="auto"/>
            <w:noWrap/>
            <w:vAlign w:val="center"/>
          </w:tcPr>
          <w:p w:rsidR="00364BE7" w:rsidRPr="007343D8" w:rsidRDefault="00364BE7" w:rsidP="00364BE7">
            <w:pPr>
              <w:jc w:val="right"/>
              <w:rPr>
                <w:rFonts w:cs="Arial"/>
                <w:color w:val="7F7F7F"/>
                <w:szCs w:val="18"/>
                <w:lang w:eastAsia="en-AU"/>
              </w:rPr>
            </w:pPr>
            <w:r w:rsidRPr="00252909">
              <w:t>-75%</w:t>
            </w:r>
          </w:p>
        </w:tc>
      </w:tr>
      <w:tr w:rsidR="00364BE7" w:rsidRPr="007343D8" w:rsidTr="00692A5D">
        <w:trPr>
          <w:trHeight w:hRule="exact" w:val="397"/>
        </w:trPr>
        <w:tc>
          <w:tcPr>
            <w:tcW w:w="2992" w:type="dxa"/>
            <w:tcBorders>
              <w:top w:val="nil"/>
              <w:left w:val="nil"/>
              <w:bottom w:val="nil"/>
              <w:right w:val="nil"/>
            </w:tcBorders>
            <w:shd w:val="clear" w:color="auto" w:fill="auto"/>
            <w:noWrap/>
            <w:vAlign w:val="center"/>
          </w:tcPr>
          <w:p w:rsidR="00364BE7" w:rsidRPr="007343D8" w:rsidRDefault="00364BE7" w:rsidP="00364BE7">
            <w:pPr>
              <w:rPr>
                <w:rFonts w:cs="Arial"/>
                <w:color w:val="7F7F7F"/>
                <w:szCs w:val="18"/>
                <w:lang w:eastAsia="en-AU"/>
              </w:rPr>
            </w:pPr>
            <w:r w:rsidRPr="00900672">
              <w:t>Other Services</w:t>
            </w:r>
          </w:p>
        </w:tc>
        <w:tc>
          <w:tcPr>
            <w:tcW w:w="1077" w:type="dxa"/>
            <w:tcBorders>
              <w:top w:val="nil"/>
              <w:left w:val="nil"/>
              <w:bottom w:val="nil"/>
              <w:right w:val="nil"/>
            </w:tcBorders>
            <w:shd w:val="clear" w:color="auto" w:fill="auto"/>
            <w:noWrap/>
            <w:vAlign w:val="center"/>
          </w:tcPr>
          <w:p w:rsidR="00364BE7" w:rsidRPr="007343D8" w:rsidRDefault="00364BE7" w:rsidP="00364BE7">
            <w:pPr>
              <w:jc w:val="right"/>
              <w:rPr>
                <w:rFonts w:cs="Arial"/>
                <w:color w:val="7F7F7F"/>
                <w:szCs w:val="18"/>
                <w:lang w:eastAsia="en-AU"/>
              </w:rPr>
            </w:pPr>
            <w:r w:rsidRPr="00252909">
              <w:t>22%</w:t>
            </w:r>
          </w:p>
        </w:tc>
        <w:tc>
          <w:tcPr>
            <w:tcW w:w="1077" w:type="dxa"/>
            <w:tcBorders>
              <w:top w:val="nil"/>
              <w:left w:val="nil"/>
              <w:bottom w:val="nil"/>
              <w:right w:val="nil"/>
            </w:tcBorders>
            <w:shd w:val="clear" w:color="auto" w:fill="auto"/>
            <w:noWrap/>
            <w:vAlign w:val="center"/>
          </w:tcPr>
          <w:p w:rsidR="00364BE7" w:rsidRPr="007343D8" w:rsidRDefault="00364BE7" w:rsidP="00364BE7">
            <w:pPr>
              <w:jc w:val="right"/>
              <w:rPr>
                <w:rFonts w:cs="Arial"/>
                <w:color w:val="7F7F7F"/>
                <w:szCs w:val="18"/>
                <w:lang w:eastAsia="en-AU"/>
              </w:rPr>
            </w:pPr>
            <w:r w:rsidRPr="00252909">
              <w:t>6%</w:t>
            </w:r>
          </w:p>
        </w:tc>
        <w:tc>
          <w:tcPr>
            <w:tcW w:w="1078" w:type="dxa"/>
            <w:tcBorders>
              <w:top w:val="nil"/>
              <w:left w:val="nil"/>
              <w:bottom w:val="nil"/>
              <w:right w:val="nil"/>
            </w:tcBorders>
            <w:shd w:val="clear" w:color="auto" w:fill="auto"/>
            <w:noWrap/>
            <w:vAlign w:val="center"/>
          </w:tcPr>
          <w:p w:rsidR="00364BE7" w:rsidRPr="007343D8" w:rsidRDefault="00364BE7" w:rsidP="00364BE7">
            <w:pPr>
              <w:jc w:val="right"/>
              <w:rPr>
                <w:rFonts w:cs="Arial"/>
                <w:color w:val="7F7F7F"/>
                <w:szCs w:val="18"/>
                <w:lang w:eastAsia="en-AU"/>
              </w:rPr>
            </w:pPr>
            <w:r w:rsidRPr="00252909">
              <w:t>-4%</w:t>
            </w:r>
          </w:p>
        </w:tc>
        <w:tc>
          <w:tcPr>
            <w:tcW w:w="1077" w:type="dxa"/>
            <w:tcBorders>
              <w:top w:val="nil"/>
              <w:left w:val="nil"/>
              <w:bottom w:val="nil"/>
              <w:right w:val="nil"/>
            </w:tcBorders>
            <w:shd w:val="clear" w:color="auto" w:fill="auto"/>
            <w:noWrap/>
            <w:vAlign w:val="center"/>
          </w:tcPr>
          <w:p w:rsidR="00364BE7" w:rsidRPr="007343D8" w:rsidRDefault="00364BE7" w:rsidP="00364BE7">
            <w:pPr>
              <w:jc w:val="right"/>
              <w:rPr>
                <w:rFonts w:cs="Arial"/>
                <w:color w:val="7F7F7F"/>
                <w:szCs w:val="18"/>
                <w:lang w:eastAsia="en-AU"/>
              </w:rPr>
            </w:pPr>
            <w:r w:rsidRPr="00252909">
              <w:t>1%</w:t>
            </w:r>
          </w:p>
        </w:tc>
        <w:tc>
          <w:tcPr>
            <w:tcW w:w="1078" w:type="dxa"/>
            <w:tcBorders>
              <w:top w:val="nil"/>
              <w:left w:val="nil"/>
              <w:bottom w:val="nil"/>
              <w:right w:val="nil"/>
            </w:tcBorders>
            <w:shd w:val="clear" w:color="auto" w:fill="auto"/>
            <w:noWrap/>
            <w:vAlign w:val="center"/>
          </w:tcPr>
          <w:p w:rsidR="00364BE7" w:rsidRPr="007343D8" w:rsidRDefault="00364BE7" w:rsidP="00364BE7">
            <w:pPr>
              <w:jc w:val="right"/>
              <w:rPr>
                <w:rFonts w:cs="Arial"/>
                <w:color w:val="7F7F7F"/>
                <w:szCs w:val="18"/>
                <w:lang w:eastAsia="en-AU"/>
              </w:rPr>
            </w:pPr>
            <w:r w:rsidRPr="00252909">
              <w:t>1%</w:t>
            </w:r>
          </w:p>
        </w:tc>
      </w:tr>
      <w:tr w:rsidR="00364BE7" w:rsidRPr="007343D8" w:rsidTr="00692A5D">
        <w:trPr>
          <w:trHeight w:hRule="exact" w:val="397"/>
        </w:trPr>
        <w:tc>
          <w:tcPr>
            <w:tcW w:w="2992" w:type="dxa"/>
            <w:tcBorders>
              <w:top w:val="nil"/>
              <w:left w:val="nil"/>
              <w:bottom w:val="nil"/>
              <w:right w:val="nil"/>
            </w:tcBorders>
            <w:shd w:val="clear" w:color="auto" w:fill="auto"/>
            <w:noWrap/>
            <w:vAlign w:val="center"/>
          </w:tcPr>
          <w:p w:rsidR="00364BE7" w:rsidRPr="007343D8" w:rsidRDefault="00364BE7" w:rsidP="00364BE7">
            <w:pPr>
              <w:rPr>
                <w:rFonts w:cs="Arial"/>
                <w:color w:val="7F7F7F"/>
                <w:szCs w:val="18"/>
                <w:lang w:eastAsia="en-AU"/>
              </w:rPr>
            </w:pPr>
            <w:r w:rsidRPr="00900672">
              <w:t>Professional, Scientific and Technical Services</w:t>
            </w:r>
          </w:p>
        </w:tc>
        <w:tc>
          <w:tcPr>
            <w:tcW w:w="1077" w:type="dxa"/>
            <w:tcBorders>
              <w:top w:val="nil"/>
              <w:left w:val="nil"/>
              <w:bottom w:val="nil"/>
              <w:right w:val="nil"/>
            </w:tcBorders>
            <w:shd w:val="clear" w:color="auto" w:fill="auto"/>
            <w:noWrap/>
            <w:vAlign w:val="center"/>
          </w:tcPr>
          <w:p w:rsidR="00364BE7" w:rsidRPr="007343D8" w:rsidRDefault="00364BE7" w:rsidP="00364BE7">
            <w:pPr>
              <w:jc w:val="right"/>
              <w:rPr>
                <w:rFonts w:cs="Arial"/>
                <w:color w:val="7F7F7F"/>
                <w:szCs w:val="18"/>
                <w:lang w:eastAsia="en-AU"/>
              </w:rPr>
            </w:pPr>
            <w:r w:rsidRPr="00252909">
              <w:t>-14%</w:t>
            </w:r>
          </w:p>
        </w:tc>
        <w:tc>
          <w:tcPr>
            <w:tcW w:w="1077" w:type="dxa"/>
            <w:tcBorders>
              <w:top w:val="nil"/>
              <w:left w:val="nil"/>
              <w:bottom w:val="nil"/>
              <w:right w:val="nil"/>
            </w:tcBorders>
            <w:shd w:val="clear" w:color="auto" w:fill="auto"/>
            <w:noWrap/>
            <w:vAlign w:val="center"/>
          </w:tcPr>
          <w:p w:rsidR="00364BE7" w:rsidRPr="007343D8" w:rsidRDefault="00364BE7" w:rsidP="00364BE7">
            <w:pPr>
              <w:jc w:val="right"/>
              <w:rPr>
                <w:rFonts w:cs="Arial"/>
                <w:color w:val="7F7F7F"/>
                <w:szCs w:val="18"/>
                <w:lang w:eastAsia="en-AU"/>
              </w:rPr>
            </w:pPr>
            <w:r w:rsidRPr="00252909">
              <w:t>-12%</w:t>
            </w:r>
          </w:p>
        </w:tc>
        <w:tc>
          <w:tcPr>
            <w:tcW w:w="1078" w:type="dxa"/>
            <w:tcBorders>
              <w:top w:val="nil"/>
              <w:left w:val="nil"/>
              <w:bottom w:val="nil"/>
              <w:right w:val="nil"/>
            </w:tcBorders>
            <w:shd w:val="clear" w:color="auto" w:fill="auto"/>
            <w:noWrap/>
            <w:vAlign w:val="center"/>
          </w:tcPr>
          <w:p w:rsidR="00364BE7" w:rsidRPr="007343D8" w:rsidRDefault="00364BE7" w:rsidP="00364BE7">
            <w:pPr>
              <w:jc w:val="right"/>
              <w:rPr>
                <w:rFonts w:cs="Arial"/>
                <w:color w:val="7F7F7F"/>
                <w:szCs w:val="18"/>
                <w:lang w:eastAsia="en-AU"/>
              </w:rPr>
            </w:pPr>
            <w:r w:rsidRPr="00252909">
              <w:t>-14%</w:t>
            </w:r>
          </w:p>
        </w:tc>
        <w:tc>
          <w:tcPr>
            <w:tcW w:w="1077" w:type="dxa"/>
            <w:tcBorders>
              <w:top w:val="nil"/>
              <w:left w:val="nil"/>
              <w:bottom w:val="nil"/>
              <w:right w:val="nil"/>
            </w:tcBorders>
            <w:shd w:val="clear" w:color="auto" w:fill="auto"/>
            <w:noWrap/>
            <w:vAlign w:val="center"/>
          </w:tcPr>
          <w:p w:rsidR="00364BE7" w:rsidRPr="007343D8" w:rsidRDefault="00364BE7" w:rsidP="00364BE7">
            <w:pPr>
              <w:jc w:val="right"/>
              <w:rPr>
                <w:rFonts w:cs="Arial"/>
                <w:color w:val="7F7F7F"/>
                <w:szCs w:val="18"/>
                <w:lang w:eastAsia="en-AU"/>
              </w:rPr>
            </w:pPr>
            <w:r w:rsidRPr="00252909">
              <w:t>5%</w:t>
            </w:r>
          </w:p>
        </w:tc>
        <w:tc>
          <w:tcPr>
            <w:tcW w:w="1078" w:type="dxa"/>
            <w:tcBorders>
              <w:top w:val="nil"/>
              <w:left w:val="nil"/>
              <w:bottom w:val="nil"/>
              <w:right w:val="nil"/>
            </w:tcBorders>
            <w:shd w:val="clear" w:color="auto" w:fill="auto"/>
            <w:noWrap/>
            <w:vAlign w:val="center"/>
          </w:tcPr>
          <w:p w:rsidR="00364BE7" w:rsidRPr="007343D8" w:rsidRDefault="00364BE7" w:rsidP="00364BE7">
            <w:pPr>
              <w:jc w:val="right"/>
              <w:rPr>
                <w:rFonts w:cs="Arial"/>
                <w:color w:val="7F7F7F"/>
                <w:szCs w:val="18"/>
                <w:lang w:eastAsia="en-AU"/>
              </w:rPr>
            </w:pPr>
            <w:r w:rsidRPr="00252909">
              <w:t>8%</w:t>
            </w:r>
          </w:p>
        </w:tc>
      </w:tr>
      <w:tr w:rsidR="00364BE7" w:rsidRPr="007343D8" w:rsidTr="00692A5D">
        <w:trPr>
          <w:trHeight w:hRule="exact" w:val="397"/>
        </w:trPr>
        <w:tc>
          <w:tcPr>
            <w:tcW w:w="2992" w:type="dxa"/>
            <w:tcBorders>
              <w:top w:val="nil"/>
              <w:left w:val="nil"/>
              <w:bottom w:val="nil"/>
              <w:right w:val="nil"/>
            </w:tcBorders>
            <w:shd w:val="clear" w:color="auto" w:fill="auto"/>
            <w:noWrap/>
            <w:vAlign w:val="center"/>
          </w:tcPr>
          <w:p w:rsidR="00364BE7" w:rsidRPr="007343D8" w:rsidRDefault="00364BE7" w:rsidP="00364BE7">
            <w:pPr>
              <w:rPr>
                <w:rFonts w:cs="Arial"/>
                <w:color w:val="7F7F7F"/>
                <w:szCs w:val="18"/>
                <w:lang w:eastAsia="en-AU"/>
              </w:rPr>
            </w:pPr>
            <w:r w:rsidRPr="00900672">
              <w:t>Public Administration and Safety</w:t>
            </w:r>
          </w:p>
        </w:tc>
        <w:tc>
          <w:tcPr>
            <w:tcW w:w="1077" w:type="dxa"/>
            <w:tcBorders>
              <w:top w:val="nil"/>
              <w:left w:val="nil"/>
              <w:bottom w:val="nil"/>
              <w:right w:val="nil"/>
            </w:tcBorders>
            <w:shd w:val="clear" w:color="auto" w:fill="auto"/>
            <w:noWrap/>
            <w:vAlign w:val="center"/>
          </w:tcPr>
          <w:p w:rsidR="00364BE7" w:rsidRPr="007343D8" w:rsidRDefault="00364BE7" w:rsidP="00364BE7">
            <w:pPr>
              <w:jc w:val="right"/>
              <w:rPr>
                <w:rFonts w:cs="Arial"/>
                <w:color w:val="7F7F7F"/>
                <w:szCs w:val="18"/>
                <w:lang w:eastAsia="en-AU"/>
              </w:rPr>
            </w:pPr>
            <w:r w:rsidRPr="00252909">
              <w:t>85%</w:t>
            </w:r>
          </w:p>
        </w:tc>
        <w:tc>
          <w:tcPr>
            <w:tcW w:w="1077" w:type="dxa"/>
            <w:tcBorders>
              <w:top w:val="nil"/>
              <w:left w:val="nil"/>
              <w:bottom w:val="nil"/>
              <w:right w:val="nil"/>
            </w:tcBorders>
            <w:shd w:val="clear" w:color="auto" w:fill="auto"/>
            <w:noWrap/>
            <w:vAlign w:val="center"/>
          </w:tcPr>
          <w:p w:rsidR="00364BE7" w:rsidRPr="007343D8" w:rsidRDefault="00364BE7" w:rsidP="00364BE7">
            <w:pPr>
              <w:jc w:val="right"/>
              <w:rPr>
                <w:rFonts w:cs="Arial"/>
                <w:color w:val="7F7F7F"/>
                <w:szCs w:val="18"/>
                <w:lang w:eastAsia="en-AU"/>
              </w:rPr>
            </w:pPr>
            <w:r w:rsidRPr="00252909">
              <w:t>42%</w:t>
            </w:r>
          </w:p>
        </w:tc>
        <w:tc>
          <w:tcPr>
            <w:tcW w:w="1078" w:type="dxa"/>
            <w:tcBorders>
              <w:top w:val="nil"/>
              <w:left w:val="nil"/>
              <w:bottom w:val="nil"/>
              <w:right w:val="nil"/>
            </w:tcBorders>
            <w:shd w:val="clear" w:color="auto" w:fill="auto"/>
            <w:noWrap/>
            <w:vAlign w:val="center"/>
          </w:tcPr>
          <w:p w:rsidR="00364BE7" w:rsidRPr="007343D8" w:rsidRDefault="00364BE7" w:rsidP="00364BE7">
            <w:pPr>
              <w:jc w:val="right"/>
              <w:rPr>
                <w:rFonts w:cs="Arial"/>
                <w:color w:val="7F7F7F"/>
                <w:szCs w:val="18"/>
                <w:lang w:eastAsia="en-AU"/>
              </w:rPr>
            </w:pPr>
            <w:r w:rsidRPr="00252909">
              <w:t>-2%</w:t>
            </w:r>
          </w:p>
        </w:tc>
        <w:tc>
          <w:tcPr>
            <w:tcW w:w="1077" w:type="dxa"/>
            <w:tcBorders>
              <w:top w:val="nil"/>
              <w:left w:val="nil"/>
              <w:bottom w:val="nil"/>
              <w:right w:val="nil"/>
            </w:tcBorders>
            <w:shd w:val="clear" w:color="auto" w:fill="auto"/>
            <w:noWrap/>
            <w:vAlign w:val="center"/>
          </w:tcPr>
          <w:p w:rsidR="00364BE7" w:rsidRPr="007343D8" w:rsidRDefault="00364BE7" w:rsidP="00364BE7">
            <w:pPr>
              <w:jc w:val="right"/>
              <w:rPr>
                <w:rFonts w:cs="Arial"/>
                <w:color w:val="7F7F7F"/>
                <w:szCs w:val="18"/>
                <w:lang w:eastAsia="en-AU"/>
              </w:rPr>
            </w:pPr>
            <w:r w:rsidRPr="00252909">
              <w:t>14%</w:t>
            </w:r>
          </w:p>
        </w:tc>
        <w:tc>
          <w:tcPr>
            <w:tcW w:w="1078" w:type="dxa"/>
            <w:tcBorders>
              <w:top w:val="nil"/>
              <w:left w:val="nil"/>
              <w:bottom w:val="nil"/>
              <w:right w:val="nil"/>
            </w:tcBorders>
            <w:shd w:val="clear" w:color="auto" w:fill="auto"/>
            <w:noWrap/>
            <w:vAlign w:val="center"/>
          </w:tcPr>
          <w:p w:rsidR="00364BE7" w:rsidRPr="007343D8" w:rsidRDefault="00364BE7" w:rsidP="00364BE7">
            <w:pPr>
              <w:jc w:val="right"/>
              <w:rPr>
                <w:rFonts w:cs="Arial"/>
                <w:color w:val="7F7F7F"/>
                <w:szCs w:val="18"/>
                <w:lang w:eastAsia="en-AU"/>
              </w:rPr>
            </w:pPr>
            <w:r w:rsidRPr="00252909">
              <w:t>0%</w:t>
            </w:r>
          </w:p>
        </w:tc>
      </w:tr>
      <w:tr w:rsidR="00364BE7" w:rsidRPr="007343D8" w:rsidTr="00692A5D">
        <w:trPr>
          <w:trHeight w:hRule="exact" w:val="397"/>
        </w:trPr>
        <w:tc>
          <w:tcPr>
            <w:tcW w:w="2992" w:type="dxa"/>
            <w:tcBorders>
              <w:top w:val="nil"/>
              <w:left w:val="nil"/>
              <w:bottom w:val="nil"/>
              <w:right w:val="nil"/>
            </w:tcBorders>
            <w:shd w:val="clear" w:color="auto" w:fill="auto"/>
            <w:noWrap/>
            <w:vAlign w:val="center"/>
          </w:tcPr>
          <w:p w:rsidR="00364BE7" w:rsidRPr="007343D8" w:rsidRDefault="00364BE7" w:rsidP="00364BE7">
            <w:pPr>
              <w:rPr>
                <w:rFonts w:cs="Arial"/>
                <w:color w:val="7F7F7F"/>
                <w:szCs w:val="18"/>
                <w:lang w:eastAsia="en-AU"/>
              </w:rPr>
            </w:pPr>
            <w:r w:rsidRPr="00900672">
              <w:t>Rental, Hiring and Real Estate Services</w:t>
            </w:r>
          </w:p>
        </w:tc>
        <w:tc>
          <w:tcPr>
            <w:tcW w:w="1077" w:type="dxa"/>
            <w:tcBorders>
              <w:top w:val="nil"/>
              <w:left w:val="nil"/>
              <w:bottom w:val="nil"/>
              <w:right w:val="nil"/>
            </w:tcBorders>
            <w:shd w:val="clear" w:color="auto" w:fill="auto"/>
            <w:noWrap/>
            <w:vAlign w:val="center"/>
          </w:tcPr>
          <w:p w:rsidR="00364BE7" w:rsidRPr="007343D8" w:rsidRDefault="00364BE7" w:rsidP="00364BE7">
            <w:pPr>
              <w:jc w:val="right"/>
              <w:rPr>
                <w:rFonts w:cs="Arial"/>
                <w:color w:val="7F7F7F"/>
                <w:szCs w:val="18"/>
                <w:lang w:eastAsia="en-AU"/>
              </w:rPr>
            </w:pPr>
            <w:r w:rsidRPr="00252909">
              <w:t>241%</w:t>
            </w:r>
          </w:p>
        </w:tc>
        <w:tc>
          <w:tcPr>
            <w:tcW w:w="1077" w:type="dxa"/>
            <w:tcBorders>
              <w:top w:val="nil"/>
              <w:left w:val="nil"/>
              <w:bottom w:val="nil"/>
              <w:right w:val="nil"/>
            </w:tcBorders>
            <w:shd w:val="clear" w:color="auto" w:fill="auto"/>
            <w:noWrap/>
            <w:vAlign w:val="center"/>
          </w:tcPr>
          <w:p w:rsidR="00364BE7" w:rsidRPr="007343D8" w:rsidRDefault="00364BE7" w:rsidP="00364BE7">
            <w:pPr>
              <w:jc w:val="right"/>
              <w:rPr>
                <w:rFonts w:cs="Arial"/>
                <w:color w:val="7F7F7F"/>
                <w:szCs w:val="18"/>
                <w:lang w:eastAsia="en-AU"/>
              </w:rPr>
            </w:pPr>
            <w:r w:rsidRPr="00252909">
              <w:t>68%</w:t>
            </w:r>
          </w:p>
        </w:tc>
        <w:tc>
          <w:tcPr>
            <w:tcW w:w="1078" w:type="dxa"/>
            <w:tcBorders>
              <w:top w:val="nil"/>
              <w:left w:val="nil"/>
              <w:bottom w:val="nil"/>
              <w:right w:val="nil"/>
            </w:tcBorders>
            <w:shd w:val="clear" w:color="auto" w:fill="auto"/>
            <w:noWrap/>
            <w:vAlign w:val="center"/>
          </w:tcPr>
          <w:p w:rsidR="00364BE7" w:rsidRPr="007343D8" w:rsidRDefault="00364BE7" w:rsidP="00364BE7">
            <w:pPr>
              <w:jc w:val="right"/>
              <w:rPr>
                <w:rFonts w:cs="Arial"/>
                <w:color w:val="7F7F7F"/>
                <w:szCs w:val="18"/>
                <w:lang w:eastAsia="en-AU"/>
              </w:rPr>
            </w:pPr>
            <w:r w:rsidRPr="00252909">
              <w:t>-19%</w:t>
            </w:r>
          </w:p>
        </w:tc>
        <w:tc>
          <w:tcPr>
            <w:tcW w:w="1077" w:type="dxa"/>
            <w:tcBorders>
              <w:top w:val="nil"/>
              <w:left w:val="nil"/>
              <w:bottom w:val="nil"/>
              <w:right w:val="nil"/>
            </w:tcBorders>
            <w:shd w:val="clear" w:color="auto" w:fill="auto"/>
            <w:noWrap/>
            <w:vAlign w:val="center"/>
          </w:tcPr>
          <w:p w:rsidR="00364BE7" w:rsidRPr="007343D8" w:rsidRDefault="00364BE7" w:rsidP="00364BE7">
            <w:pPr>
              <w:jc w:val="right"/>
              <w:rPr>
                <w:rFonts w:cs="Arial"/>
                <w:color w:val="7F7F7F"/>
                <w:szCs w:val="18"/>
                <w:lang w:eastAsia="en-AU"/>
              </w:rPr>
            </w:pPr>
            <w:r w:rsidRPr="00252909">
              <w:t>20%</w:t>
            </w:r>
          </w:p>
        </w:tc>
        <w:tc>
          <w:tcPr>
            <w:tcW w:w="1078" w:type="dxa"/>
            <w:tcBorders>
              <w:top w:val="nil"/>
              <w:left w:val="nil"/>
              <w:bottom w:val="nil"/>
              <w:right w:val="nil"/>
            </w:tcBorders>
            <w:shd w:val="clear" w:color="auto" w:fill="auto"/>
            <w:noWrap/>
            <w:vAlign w:val="center"/>
          </w:tcPr>
          <w:p w:rsidR="00364BE7" w:rsidRPr="007343D8" w:rsidRDefault="00364BE7" w:rsidP="00364BE7">
            <w:pPr>
              <w:jc w:val="right"/>
              <w:rPr>
                <w:rFonts w:cs="Arial"/>
                <w:color w:val="7F7F7F"/>
                <w:szCs w:val="18"/>
                <w:lang w:eastAsia="en-AU"/>
              </w:rPr>
            </w:pPr>
            <w:r w:rsidRPr="00252909">
              <w:t>14%</w:t>
            </w:r>
          </w:p>
        </w:tc>
      </w:tr>
      <w:tr w:rsidR="00364BE7" w:rsidRPr="007343D8" w:rsidTr="00692A5D">
        <w:trPr>
          <w:trHeight w:hRule="exact" w:val="397"/>
        </w:trPr>
        <w:tc>
          <w:tcPr>
            <w:tcW w:w="2992" w:type="dxa"/>
            <w:tcBorders>
              <w:top w:val="nil"/>
              <w:left w:val="nil"/>
              <w:bottom w:val="nil"/>
              <w:right w:val="nil"/>
            </w:tcBorders>
            <w:shd w:val="clear" w:color="auto" w:fill="auto"/>
            <w:noWrap/>
            <w:vAlign w:val="center"/>
          </w:tcPr>
          <w:p w:rsidR="00364BE7" w:rsidRPr="007343D8" w:rsidRDefault="00364BE7" w:rsidP="00364BE7">
            <w:pPr>
              <w:rPr>
                <w:rFonts w:cs="Arial"/>
                <w:color w:val="7F7F7F"/>
                <w:szCs w:val="18"/>
                <w:lang w:eastAsia="en-AU"/>
              </w:rPr>
            </w:pPr>
            <w:r w:rsidRPr="00900672">
              <w:t>Retail Trade</w:t>
            </w:r>
          </w:p>
        </w:tc>
        <w:tc>
          <w:tcPr>
            <w:tcW w:w="1077" w:type="dxa"/>
            <w:tcBorders>
              <w:top w:val="nil"/>
              <w:left w:val="nil"/>
              <w:bottom w:val="nil"/>
              <w:right w:val="nil"/>
            </w:tcBorders>
            <w:shd w:val="clear" w:color="auto" w:fill="auto"/>
            <w:noWrap/>
            <w:vAlign w:val="center"/>
          </w:tcPr>
          <w:p w:rsidR="00364BE7" w:rsidRPr="007343D8" w:rsidRDefault="00364BE7" w:rsidP="00364BE7">
            <w:pPr>
              <w:jc w:val="right"/>
              <w:rPr>
                <w:rFonts w:cs="Arial"/>
                <w:color w:val="7F7F7F"/>
                <w:szCs w:val="18"/>
                <w:lang w:eastAsia="en-AU"/>
              </w:rPr>
            </w:pPr>
            <w:r w:rsidRPr="00252909">
              <w:t>-57%</w:t>
            </w:r>
          </w:p>
        </w:tc>
        <w:tc>
          <w:tcPr>
            <w:tcW w:w="1077" w:type="dxa"/>
            <w:tcBorders>
              <w:top w:val="nil"/>
              <w:left w:val="nil"/>
              <w:bottom w:val="nil"/>
              <w:right w:val="nil"/>
            </w:tcBorders>
            <w:shd w:val="clear" w:color="auto" w:fill="auto"/>
            <w:noWrap/>
            <w:vAlign w:val="center"/>
          </w:tcPr>
          <w:p w:rsidR="00364BE7" w:rsidRPr="007343D8" w:rsidRDefault="00364BE7" w:rsidP="00364BE7">
            <w:pPr>
              <w:jc w:val="right"/>
              <w:rPr>
                <w:rFonts w:cs="Arial"/>
                <w:color w:val="7F7F7F"/>
                <w:szCs w:val="18"/>
                <w:lang w:eastAsia="en-AU"/>
              </w:rPr>
            </w:pPr>
            <w:r w:rsidRPr="00252909">
              <w:t>-69%</w:t>
            </w:r>
          </w:p>
        </w:tc>
        <w:tc>
          <w:tcPr>
            <w:tcW w:w="1078" w:type="dxa"/>
            <w:tcBorders>
              <w:top w:val="nil"/>
              <w:left w:val="nil"/>
              <w:bottom w:val="nil"/>
              <w:right w:val="nil"/>
            </w:tcBorders>
            <w:shd w:val="clear" w:color="auto" w:fill="auto"/>
            <w:noWrap/>
            <w:vAlign w:val="center"/>
          </w:tcPr>
          <w:p w:rsidR="00364BE7" w:rsidRPr="007343D8" w:rsidRDefault="00364BE7" w:rsidP="00364BE7">
            <w:pPr>
              <w:jc w:val="right"/>
              <w:rPr>
                <w:rFonts w:cs="Arial"/>
                <w:color w:val="7F7F7F"/>
                <w:szCs w:val="18"/>
                <w:lang w:eastAsia="en-AU"/>
              </w:rPr>
            </w:pPr>
            <w:r w:rsidRPr="00252909">
              <w:t>-79%</w:t>
            </w:r>
          </w:p>
        </w:tc>
        <w:tc>
          <w:tcPr>
            <w:tcW w:w="1077" w:type="dxa"/>
            <w:tcBorders>
              <w:top w:val="nil"/>
              <w:left w:val="nil"/>
              <w:bottom w:val="nil"/>
              <w:right w:val="nil"/>
            </w:tcBorders>
            <w:shd w:val="clear" w:color="auto" w:fill="auto"/>
            <w:noWrap/>
            <w:vAlign w:val="center"/>
          </w:tcPr>
          <w:p w:rsidR="00364BE7" w:rsidRPr="007343D8" w:rsidRDefault="00364BE7" w:rsidP="00364BE7">
            <w:pPr>
              <w:jc w:val="right"/>
              <w:rPr>
                <w:rFonts w:cs="Arial"/>
                <w:color w:val="7F7F7F"/>
                <w:szCs w:val="18"/>
                <w:lang w:eastAsia="en-AU"/>
              </w:rPr>
            </w:pPr>
            <w:r w:rsidRPr="00252909">
              <w:t>-49%</w:t>
            </w:r>
          </w:p>
        </w:tc>
        <w:tc>
          <w:tcPr>
            <w:tcW w:w="1078" w:type="dxa"/>
            <w:tcBorders>
              <w:top w:val="nil"/>
              <w:left w:val="nil"/>
              <w:bottom w:val="nil"/>
              <w:right w:val="nil"/>
            </w:tcBorders>
            <w:shd w:val="clear" w:color="auto" w:fill="auto"/>
            <w:noWrap/>
            <w:vAlign w:val="center"/>
          </w:tcPr>
          <w:p w:rsidR="00364BE7" w:rsidRPr="007343D8" w:rsidRDefault="00364BE7" w:rsidP="00364BE7">
            <w:pPr>
              <w:jc w:val="right"/>
              <w:rPr>
                <w:rFonts w:cs="Arial"/>
                <w:color w:val="7F7F7F"/>
                <w:szCs w:val="18"/>
                <w:lang w:eastAsia="en-AU"/>
              </w:rPr>
            </w:pPr>
            <w:r w:rsidRPr="00252909">
              <w:t>-24%</w:t>
            </w:r>
          </w:p>
        </w:tc>
      </w:tr>
      <w:tr w:rsidR="00364BE7" w:rsidRPr="007343D8" w:rsidTr="00692A5D">
        <w:trPr>
          <w:trHeight w:hRule="exact" w:val="397"/>
        </w:trPr>
        <w:tc>
          <w:tcPr>
            <w:tcW w:w="2992" w:type="dxa"/>
            <w:tcBorders>
              <w:top w:val="nil"/>
              <w:left w:val="nil"/>
              <w:bottom w:val="nil"/>
              <w:right w:val="nil"/>
            </w:tcBorders>
            <w:shd w:val="clear" w:color="auto" w:fill="auto"/>
            <w:noWrap/>
            <w:vAlign w:val="center"/>
          </w:tcPr>
          <w:p w:rsidR="00364BE7" w:rsidRPr="007343D8" w:rsidRDefault="00364BE7" w:rsidP="00364BE7">
            <w:pPr>
              <w:rPr>
                <w:rFonts w:cs="Arial"/>
                <w:color w:val="7F7F7F"/>
                <w:szCs w:val="18"/>
                <w:lang w:eastAsia="en-AU"/>
              </w:rPr>
            </w:pPr>
            <w:r w:rsidRPr="00900672">
              <w:t>Transport, Postal and Warehousing</w:t>
            </w:r>
          </w:p>
        </w:tc>
        <w:tc>
          <w:tcPr>
            <w:tcW w:w="1077" w:type="dxa"/>
            <w:tcBorders>
              <w:top w:val="nil"/>
              <w:left w:val="nil"/>
              <w:bottom w:val="nil"/>
              <w:right w:val="nil"/>
            </w:tcBorders>
            <w:shd w:val="clear" w:color="auto" w:fill="auto"/>
            <w:noWrap/>
            <w:vAlign w:val="center"/>
          </w:tcPr>
          <w:p w:rsidR="00364BE7" w:rsidRPr="007343D8" w:rsidRDefault="00364BE7" w:rsidP="00364BE7">
            <w:pPr>
              <w:jc w:val="right"/>
              <w:rPr>
                <w:rFonts w:cs="Arial"/>
                <w:color w:val="7F7F7F"/>
                <w:szCs w:val="18"/>
                <w:lang w:eastAsia="en-AU"/>
              </w:rPr>
            </w:pPr>
            <w:r w:rsidRPr="00252909">
              <w:t>92%</w:t>
            </w:r>
          </w:p>
        </w:tc>
        <w:tc>
          <w:tcPr>
            <w:tcW w:w="1077" w:type="dxa"/>
            <w:tcBorders>
              <w:top w:val="nil"/>
              <w:left w:val="nil"/>
              <w:bottom w:val="nil"/>
              <w:right w:val="nil"/>
            </w:tcBorders>
            <w:shd w:val="clear" w:color="auto" w:fill="auto"/>
            <w:noWrap/>
            <w:vAlign w:val="center"/>
          </w:tcPr>
          <w:p w:rsidR="00364BE7" w:rsidRPr="007343D8" w:rsidRDefault="00364BE7" w:rsidP="00364BE7">
            <w:pPr>
              <w:jc w:val="right"/>
              <w:rPr>
                <w:rFonts w:cs="Arial"/>
                <w:color w:val="7F7F7F"/>
                <w:szCs w:val="18"/>
                <w:lang w:eastAsia="en-AU"/>
              </w:rPr>
            </w:pPr>
            <w:r w:rsidRPr="00252909">
              <w:t>25%</w:t>
            </w:r>
          </w:p>
        </w:tc>
        <w:tc>
          <w:tcPr>
            <w:tcW w:w="1078" w:type="dxa"/>
            <w:tcBorders>
              <w:top w:val="nil"/>
              <w:left w:val="nil"/>
              <w:bottom w:val="nil"/>
              <w:right w:val="nil"/>
            </w:tcBorders>
            <w:shd w:val="clear" w:color="auto" w:fill="auto"/>
            <w:noWrap/>
            <w:vAlign w:val="center"/>
          </w:tcPr>
          <w:p w:rsidR="00364BE7" w:rsidRPr="007343D8" w:rsidRDefault="00364BE7" w:rsidP="00364BE7">
            <w:pPr>
              <w:jc w:val="right"/>
              <w:rPr>
                <w:rFonts w:cs="Arial"/>
                <w:color w:val="7F7F7F"/>
                <w:szCs w:val="18"/>
                <w:lang w:eastAsia="en-AU"/>
              </w:rPr>
            </w:pPr>
            <w:r w:rsidRPr="00252909">
              <w:t>-28%</w:t>
            </w:r>
          </w:p>
        </w:tc>
        <w:tc>
          <w:tcPr>
            <w:tcW w:w="1077" w:type="dxa"/>
            <w:tcBorders>
              <w:top w:val="nil"/>
              <w:left w:val="nil"/>
              <w:bottom w:val="nil"/>
              <w:right w:val="nil"/>
            </w:tcBorders>
            <w:shd w:val="clear" w:color="auto" w:fill="auto"/>
            <w:noWrap/>
            <w:vAlign w:val="center"/>
          </w:tcPr>
          <w:p w:rsidR="00364BE7" w:rsidRPr="007343D8" w:rsidRDefault="00364BE7" w:rsidP="00364BE7">
            <w:pPr>
              <w:jc w:val="right"/>
              <w:rPr>
                <w:rFonts w:cs="Arial"/>
                <w:color w:val="7F7F7F"/>
                <w:szCs w:val="18"/>
                <w:lang w:eastAsia="en-AU"/>
              </w:rPr>
            </w:pPr>
            <w:r w:rsidRPr="00252909">
              <w:t>-28%</w:t>
            </w:r>
          </w:p>
        </w:tc>
        <w:tc>
          <w:tcPr>
            <w:tcW w:w="1078" w:type="dxa"/>
            <w:tcBorders>
              <w:top w:val="nil"/>
              <w:left w:val="nil"/>
              <w:bottom w:val="nil"/>
              <w:right w:val="nil"/>
            </w:tcBorders>
            <w:shd w:val="clear" w:color="auto" w:fill="auto"/>
            <w:noWrap/>
            <w:vAlign w:val="center"/>
          </w:tcPr>
          <w:p w:rsidR="00364BE7" w:rsidRPr="007343D8" w:rsidRDefault="00364BE7" w:rsidP="00364BE7">
            <w:pPr>
              <w:jc w:val="right"/>
              <w:rPr>
                <w:rFonts w:cs="Arial"/>
                <w:color w:val="7F7F7F"/>
                <w:szCs w:val="18"/>
                <w:lang w:eastAsia="en-AU"/>
              </w:rPr>
            </w:pPr>
            <w:r w:rsidRPr="00252909">
              <w:t>-45%</w:t>
            </w:r>
          </w:p>
        </w:tc>
      </w:tr>
      <w:tr w:rsidR="00364BE7" w:rsidRPr="007343D8" w:rsidTr="00692A5D">
        <w:trPr>
          <w:trHeight w:hRule="exact" w:val="397"/>
        </w:trPr>
        <w:tc>
          <w:tcPr>
            <w:tcW w:w="2992" w:type="dxa"/>
            <w:tcBorders>
              <w:top w:val="nil"/>
              <w:left w:val="nil"/>
              <w:bottom w:val="nil"/>
              <w:right w:val="nil"/>
            </w:tcBorders>
            <w:shd w:val="clear" w:color="auto" w:fill="auto"/>
            <w:noWrap/>
            <w:vAlign w:val="center"/>
          </w:tcPr>
          <w:p w:rsidR="00364BE7" w:rsidRPr="007343D8" w:rsidRDefault="00364BE7" w:rsidP="00364BE7">
            <w:pPr>
              <w:rPr>
                <w:rFonts w:cs="Arial"/>
                <w:color w:val="7F7F7F"/>
                <w:szCs w:val="18"/>
                <w:lang w:eastAsia="en-AU"/>
              </w:rPr>
            </w:pPr>
            <w:r w:rsidRPr="00900672">
              <w:t>Wholesale Trade</w:t>
            </w:r>
          </w:p>
        </w:tc>
        <w:tc>
          <w:tcPr>
            <w:tcW w:w="1077" w:type="dxa"/>
            <w:tcBorders>
              <w:top w:val="nil"/>
              <w:left w:val="nil"/>
              <w:bottom w:val="nil"/>
              <w:right w:val="nil"/>
            </w:tcBorders>
            <w:shd w:val="clear" w:color="auto" w:fill="auto"/>
            <w:noWrap/>
            <w:vAlign w:val="center"/>
          </w:tcPr>
          <w:p w:rsidR="00364BE7" w:rsidRPr="007343D8" w:rsidRDefault="00364BE7" w:rsidP="00364BE7">
            <w:pPr>
              <w:jc w:val="right"/>
              <w:rPr>
                <w:rFonts w:cs="Arial"/>
                <w:color w:val="7F7F7F"/>
                <w:szCs w:val="18"/>
                <w:lang w:eastAsia="en-AU"/>
              </w:rPr>
            </w:pPr>
            <w:r w:rsidRPr="00252909">
              <w:t>-70%</w:t>
            </w:r>
          </w:p>
        </w:tc>
        <w:tc>
          <w:tcPr>
            <w:tcW w:w="1077" w:type="dxa"/>
            <w:tcBorders>
              <w:top w:val="nil"/>
              <w:left w:val="nil"/>
              <w:bottom w:val="nil"/>
              <w:right w:val="nil"/>
            </w:tcBorders>
            <w:shd w:val="clear" w:color="auto" w:fill="auto"/>
            <w:noWrap/>
            <w:vAlign w:val="center"/>
          </w:tcPr>
          <w:p w:rsidR="00364BE7" w:rsidRPr="007343D8" w:rsidRDefault="00364BE7" w:rsidP="00364BE7">
            <w:pPr>
              <w:jc w:val="right"/>
              <w:rPr>
                <w:rFonts w:cs="Arial"/>
                <w:color w:val="7F7F7F"/>
                <w:szCs w:val="18"/>
                <w:lang w:eastAsia="en-AU"/>
              </w:rPr>
            </w:pPr>
            <w:r w:rsidRPr="00252909">
              <w:t>-82%</w:t>
            </w:r>
          </w:p>
        </w:tc>
        <w:tc>
          <w:tcPr>
            <w:tcW w:w="1078" w:type="dxa"/>
            <w:tcBorders>
              <w:top w:val="nil"/>
              <w:left w:val="nil"/>
              <w:bottom w:val="nil"/>
              <w:right w:val="nil"/>
            </w:tcBorders>
            <w:shd w:val="clear" w:color="auto" w:fill="auto"/>
            <w:noWrap/>
            <w:vAlign w:val="center"/>
          </w:tcPr>
          <w:p w:rsidR="00364BE7" w:rsidRPr="007343D8" w:rsidRDefault="00364BE7" w:rsidP="00364BE7">
            <w:pPr>
              <w:jc w:val="right"/>
              <w:rPr>
                <w:rFonts w:cs="Arial"/>
                <w:color w:val="7F7F7F"/>
                <w:szCs w:val="18"/>
                <w:lang w:eastAsia="en-AU"/>
              </w:rPr>
            </w:pPr>
            <w:r w:rsidRPr="00252909">
              <w:t>-86%</w:t>
            </w:r>
          </w:p>
        </w:tc>
        <w:tc>
          <w:tcPr>
            <w:tcW w:w="1077" w:type="dxa"/>
            <w:tcBorders>
              <w:top w:val="nil"/>
              <w:left w:val="nil"/>
              <w:bottom w:val="nil"/>
              <w:right w:val="nil"/>
            </w:tcBorders>
            <w:shd w:val="clear" w:color="auto" w:fill="auto"/>
            <w:noWrap/>
            <w:vAlign w:val="center"/>
          </w:tcPr>
          <w:p w:rsidR="00364BE7" w:rsidRPr="007343D8" w:rsidRDefault="00364BE7" w:rsidP="00364BE7">
            <w:pPr>
              <w:jc w:val="right"/>
              <w:rPr>
                <w:rFonts w:cs="Arial"/>
                <w:color w:val="7F7F7F"/>
                <w:szCs w:val="18"/>
                <w:lang w:eastAsia="en-AU"/>
              </w:rPr>
            </w:pPr>
            <w:r w:rsidRPr="00252909">
              <w:t>-85%</w:t>
            </w:r>
          </w:p>
        </w:tc>
        <w:tc>
          <w:tcPr>
            <w:tcW w:w="1078" w:type="dxa"/>
            <w:tcBorders>
              <w:top w:val="nil"/>
              <w:left w:val="nil"/>
              <w:bottom w:val="nil"/>
              <w:right w:val="nil"/>
            </w:tcBorders>
            <w:shd w:val="clear" w:color="auto" w:fill="auto"/>
            <w:noWrap/>
            <w:vAlign w:val="center"/>
          </w:tcPr>
          <w:p w:rsidR="00364BE7" w:rsidRPr="007343D8" w:rsidRDefault="00364BE7" w:rsidP="00364BE7">
            <w:pPr>
              <w:jc w:val="right"/>
              <w:rPr>
                <w:rFonts w:cs="Arial"/>
                <w:color w:val="7F7F7F"/>
                <w:szCs w:val="18"/>
                <w:lang w:eastAsia="en-AU"/>
              </w:rPr>
            </w:pPr>
            <w:r w:rsidRPr="00252909">
              <w:t>-87%</w:t>
            </w:r>
          </w:p>
        </w:tc>
      </w:tr>
      <w:tr w:rsidR="00364BE7" w:rsidRPr="007343D8" w:rsidTr="00692A5D">
        <w:trPr>
          <w:trHeight w:val="300"/>
        </w:trPr>
        <w:tc>
          <w:tcPr>
            <w:tcW w:w="2992" w:type="dxa"/>
            <w:tcBorders>
              <w:top w:val="nil"/>
              <w:left w:val="nil"/>
              <w:bottom w:val="nil"/>
              <w:right w:val="nil"/>
            </w:tcBorders>
            <w:shd w:val="clear" w:color="000000" w:fill="7F7F7F"/>
            <w:noWrap/>
            <w:vAlign w:val="center"/>
            <w:hideMark/>
          </w:tcPr>
          <w:p w:rsidR="00364BE7" w:rsidRPr="007343D8" w:rsidRDefault="00364BE7" w:rsidP="00364BE7">
            <w:pPr>
              <w:rPr>
                <w:rFonts w:cs="Arial"/>
                <w:b/>
                <w:bCs/>
                <w:color w:val="FFFFFF"/>
                <w:szCs w:val="18"/>
                <w:lang w:eastAsia="en-AU"/>
              </w:rPr>
            </w:pPr>
            <w:r w:rsidRPr="007343D8">
              <w:rPr>
                <w:rFonts w:cs="Arial"/>
                <w:b/>
                <w:bCs/>
                <w:color w:val="FFFFFF"/>
                <w:szCs w:val="18"/>
                <w:lang w:eastAsia="en-AU"/>
              </w:rPr>
              <w:t>Total**</w:t>
            </w:r>
          </w:p>
        </w:tc>
        <w:tc>
          <w:tcPr>
            <w:tcW w:w="1077" w:type="dxa"/>
            <w:tcBorders>
              <w:top w:val="nil"/>
              <w:left w:val="nil"/>
              <w:bottom w:val="nil"/>
              <w:right w:val="nil"/>
            </w:tcBorders>
            <w:shd w:val="clear" w:color="000000" w:fill="7F7F7F"/>
            <w:noWrap/>
            <w:vAlign w:val="center"/>
            <w:hideMark/>
          </w:tcPr>
          <w:p w:rsidR="00364BE7" w:rsidRPr="00635394" w:rsidRDefault="00364BE7" w:rsidP="00364BE7">
            <w:pPr>
              <w:jc w:val="right"/>
              <w:rPr>
                <w:rFonts w:cs="Arial"/>
                <w:b/>
                <w:bCs/>
                <w:color w:val="FFFFFF" w:themeColor="background1"/>
                <w:szCs w:val="18"/>
                <w:lang w:eastAsia="en-AU"/>
              </w:rPr>
            </w:pPr>
            <w:r w:rsidRPr="00635394">
              <w:rPr>
                <w:b/>
                <w:color w:val="FFFFFF" w:themeColor="background1"/>
              </w:rPr>
              <w:t>32%</w:t>
            </w:r>
          </w:p>
        </w:tc>
        <w:tc>
          <w:tcPr>
            <w:tcW w:w="1077" w:type="dxa"/>
            <w:tcBorders>
              <w:top w:val="nil"/>
              <w:left w:val="nil"/>
              <w:bottom w:val="nil"/>
              <w:right w:val="nil"/>
            </w:tcBorders>
            <w:shd w:val="clear" w:color="000000" w:fill="7F7F7F"/>
            <w:noWrap/>
            <w:vAlign w:val="center"/>
            <w:hideMark/>
          </w:tcPr>
          <w:p w:rsidR="00364BE7" w:rsidRPr="00635394" w:rsidRDefault="00364BE7" w:rsidP="00364BE7">
            <w:pPr>
              <w:jc w:val="right"/>
              <w:rPr>
                <w:rFonts w:cs="Arial"/>
                <w:b/>
                <w:bCs/>
                <w:color w:val="FFFFFF" w:themeColor="background1"/>
                <w:szCs w:val="18"/>
                <w:lang w:eastAsia="en-AU"/>
              </w:rPr>
            </w:pPr>
            <w:r w:rsidRPr="00635394">
              <w:rPr>
                <w:b/>
                <w:color w:val="FFFFFF" w:themeColor="background1"/>
              </w:rPr>
              <w:t>3%</w:t>
            </w:r>
          </w:p>
        </w:tc>
        <w:tc>
          <w:tcPr>
            <w:tcW w:w="1078" w:type="dxa"/>
            <w:tcBorders>
              <w:top w:val="nil"/>
              <w:left w:val="nil"/>
              <w:bottom w:val="nil"/>
              <w:right w:val="nil"/>
            </w:tcBorders>
            <w:shd w:val="clear" w:color="000000" w:fill="7F7F7F"/>
            <w:noWrap/>
            <w:vAlign w:val="center"/>
            <w:hideMark/>
          </w:tcPr>
          <w:p w:rsidR="00364BE7" w:rsidRPr="00635394" w:rsidRDefault="00364BE7" w:rsidP="00364BE7">
            <w:pPr>
              <w:jc w:val="right"/>
              <w:rPr>
                <w:rFonts w:cs="Arial"/>
                <w:b/>
                <w:bCs/>
                <w:color w:val="FFFFFF" w:themeColor="background1"/>
                <w:szCs w:val="18"/>
                <w:lang w:eastAsia="en-AU"/>
              </w:rPr>
            </w:pPr>
            <w:r w:rsidRPr="00635394">
              <w:rPr>
                <w:b/>
                <w:color w:val="FFFFFF" w:themeColor="background1"/>
              </w:rPr>
              <w:t>-25%</w:t>
            </w:r>
          </w:p>
        </w:tc>
        <w:tc>
          <w:tcPr>
            <w:tcW w:w="1077" w:type="dxa"/>
            <w:tcBorders>
              <w:top w:val="nil"/>
              <w:left w:val="nil"/>
              <w:bottom w:val="nil"/>
              <w:right w:val="nil"/>
            </w:tcBorders>
            <w:shd w:val="clear" w:color="000000" w:fill="7F7F7F"/>
            <w:noWrap/>
            <w:vAlign w:val="center"/>
            <w:hideMark/>
          </w:tcPr>
          <w:p w:rsidR="00364BE7" w:rsidRPr="00635394" w:rsidRDefault="00364BE7" w:rsidP="00364BE7">
            <w:pPr>
              <w:jc w:val="right"/>
              <w:rPr>
                <w:rFonts w:cs="Arial"/>
                <w:b/>
                <w:bCs/>
                <w:color w:val="FFFFFF" w:themeColor="background1"/>
                <w:szCs w:val="18"/>
                <w:lang w:eastAsia="en-AU"/>
              </w:rPr>
            </w:pPr>
            <w:r w:rsidRPr="00635394">
              <w:rPr>
                <w:b/>
                <w:color w:val="FFFFFF" w:themeColor="background1"/>
              </w:rPr>
              <w:t>-3%</w:t>
            </w:r>
          </w:p>
        </w:tc>
        <w:tc>
          <w:tcPr>
            <w:tcW w:w="1078" w:type="dxa"/>
            <w:tcBorders>
              <w:top w:val="nil"/>
              <w:left w:val="nil"/>
              <w:bottom w:val="nil"/>
              <w:right w:val="nil"/>
            </w:tcBorders>
            <w:shd w:val="clear" w:color="000000" w:fill="7F7F7F"/>
            <w:noWrap/>
            <w:vAlign w:val="center"/>
            <w:hideMark/>
          </w:tcPr>
          <w:p w:rsidR="00364BE7" w:rsidRPr="00635394" w:rsidRDefault="00364BE7" w:rsidP="00364BE7">
            <w:pPr>
              <w:jc w:val="right"/>
              <w:rPr>
                <w:rFonts w:cs="Arial"/>
                <w:b/>
                <w:bCs/>
                <w:color w:val="FFFFFF" w:themeColor="background1"/>
                <w:szCs w:val="18"/>
                <w:lang w:eastAsia="en-AU"/>
              </w:rPr>
            </w:pPr>
            <w:r w:rsidRPr="00635394">
              <w:rPr>
                <w:b/>
                <w:color w:val="FFFFFF" w:themeColor="background1"/>
              </w:rPr>
              <w:t>-10%</w:t>
            </w:r>
          </w:p>
        </w:tc>
      </w:tr>
    </w:tbl>
    <w:p w:rsidR="00B15FE6" w:rsidRPr="00B15FE6" w:rsidRDefault="00B15FE6" w:rsidP="00B15FE6">
      <w:pPr>
        <w:rPr>
          <w:sz w:val="6"/>
        </w:rPr>
      </w:pP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1"/>
        <w:gridCol w:w="7649"/>
      </w:tblGrid>
      <w:tr w:rsidR="00B15FE6" w:rsidRPr="00913551" w:rsidTr="007B068B">
        <w:trPr>
          <w:trHeight w:val="336"/>
        </w:trPr>
        <w:tc>
          <w:tcPr>
            <w:tcW w:w="431" w:type="dxa"/>
            <w:tcMar>
              <w:left w:w="0" w:type="dxa"/>
              <w:right w:w="28" w:type="dxa"/>
            </w:tcMar>
          </w:tcPr>
          <w:p w:rsidR="00B15FE6" w:rsidRPr="00913551" w:rsidRDefault="00B15FE6" w:rsidP="007B068B">
            <w:pPr>
              <w:spacing w:after="0" w:line="240" w:lineRule="auto"/>
              <w:jc w:val="right"/>
              <w:rPr>
                <w:color w:val="7F7F7F" w:themeColor="text2"/>
                <w:sz w:val="16"/>
                <w:szCs w:val="16"/>
              </w:rPr>
            </w:pPr>
            <w:r w:rsidRPr="00913551">
              <w:rPr>
                <w:color w:val="7F7F7F" w:themeColor="text2"/>
                <w:sz w:val="16"/>
                <w:szCs w:val="16"/>
              </w:rPr>
              <w:t xml:space="preserve">* </w:t>
            </w:r>
          </w:p>
        </w:tc>
        <w:tc>
          <w:tcPr>
            <w:tcW w:w="7649" w:type="dxa"/>
            <w:tcMar>
              <w:left w:w="0" w:type="dxa"/>
              <w:right w:w="28" w:type="dxa"/>
            </w:tcMar>
          </w:tcPr>
          <w:p w:rsidR="00B15FE6" w:rsidRPr="00913551" w:rsidRDefault="00B15FE6" w:rsidP="007B068B">
            <w:pPr>
              <w:spacing w:after="0" w:line="240" w:lineRule="auto"/>
              <w:rPr>
                <w:i/>
                <w:color w:val="7F7F7F" w:themeColor="text2"/>
                <w:sz w:val="16"/>
                <w:szCs w:val="16"/>
              </w:rPr>
            </w:pPr>
            <w:r w:rsidRPr="00913551">
              <w:rPr>
                <w:i/>
                <w:sz w:val="16"/>
                <w:szCs w:val="16"/>
              </w:rPr>
              <w:t xml:space="preserve">Cross-industry includes those </w:t>
            </w:r>
            <w:proofErr w:type="gramStart"/>
            <w:r w:rsidRPr="00913551">
              <w:rPr>
                <w:i/>
                <w:sz w:val="16"/>
                <w:szCs w:val="16"/>
              </w:rPr>
              <w:t>qualifications which</w:t>
            </w:r>
            <w:proofErr w:type="gramEnd"/>
            <w:r w:rsidRPr="00913551">
              <w:rPr>
                <w:i/>
                <w:sz w:val="16"/>
                <w:szCs w:val="16"/>
              </w:rPr>
              <w:t xml:space="preserve"> are considered to be relevant across all industries, for example business administration or project management.</w:t>
            </w:r>
          </w:p>
        </w:tc>
      </w:tr>
      <w:tr w:rsidR="00B15FE6" w:rsidRPr="00913551" w:rsidTr="007B068B">
        <w:trPr>
          <w:trHeight w:val="454"/>
        </w:trPr>
        <w:tc>
          <w:tcPr>
            <w:tcW w:w="431" w:type="dxa"/>
            <w:tcMar>
              <w:left w:w="0" w:type="dxa"/>
              <w:right w:w="28" w:type="dxa"/>
            </w:tcMar>
          </w:tcPr>
          <w:p w:rsidR="00B15FE6" w:rsidRPr="00913551" w:rsidRDefault="00B15FE6" w:rsidP="007B068B">
            <w:pPr>
              <w:spacing w:after="0" w:line="240" w:lineRule="auto"/>
              <w:jc w:val="right"/>
              <w:rPr>
                <w:color w:val="7F7F7F" w:themeColor="text2"/>
                <w:sz w:val="16"/>
                <w:szCs w:val="16"/>
              </w:rPr>
            </w:pPr>
            <w:r w:rsidRPr="00913551">
              <w:rPr>
                <w:color w:val="7F7F7F" w:themeColor="text2"/>
                <w:sz w:val="16"/>
                <w:szCs w:val="16"/>
              </w:rPr>
              <w:t>**</w:t>
            </w:r>
          </w:p>
        </w:tc>
        <w:tc>
          <w:tcPr>
            <w:tcW w:w="7649" w:type="dxa"/>
            <w:tcMar>
              <w:left w:w="0" w:type="dxa"/>
              <w:right w:w="28" w:type="dxa"/>
            </w:tcMar>
          </w:tcPr>
          <w:p w:rsidR="00B15FE6" w:rsidRPr="00913551" w:rsidRDefault="00B15FE6" w:rsidP="007B068B">
            <w:pPr>
              <w:pStyle w:val="Note"/>
              <w:rPr>
                <w:i w:val="0"/>
              </w:rPr>
            </w:pPr>
            <w:r w:rsidRPr="00913551">
              <w:t>Totals exclude training in foundation skills, education pathways and low-level courses in languages other than English.</w:t>
            </w:r>
          </w:p>
        </w:tc>
      </w:tr>
    </w:tbl>
    <w:p w:rsidR="00B15FE6" w:rsidRDefault="00B15FE6" w:rsidP="00B15FE6"/>
    <w:p w:rsidR="00B15FE6" w:rsidRDefault="00B15FE6" w:rsidP="004F7D8A"/>
    <w:p w:rsidR="003934C1" w:rsidRPr="003934C1" w:rsidRDefault="003934C1">
      <w:pPr>
        <w:rPr>
          <w:rFonts w:cs="Arial"/>
          <w:bCs/>
          <w:iCs/>
          <w:color w:val="7F7F7F" w:themeColor="text2"/>
          <w:szCs w:val="18"/>
        </w:rPr>
      </w:pPr>
      <w:r>
        <w:rPr>
          <w:color w:val="B41F22" w:themeColor="accent1"/>
        </w:rPr>
        <w:br w:type="page"/>
      </w:r>
    </w:p>
    <w:p w:rsidR="003934C1" w:rsidRPr="00612488" w:rsidRDefault="003934C1" w:rsidP="003934C1">
      <w:pPr>
        <w:pStyle w:val="Heading2"/>
        <w:rPr>
          <w:color w:val="B41F22" w:themeColor="accent1"/>
        </w:rPr>
      </w:pPr>
      <w:bookmarkStart w:id="34" w:name="_Toc432758342"/>
      <w:r w:rsidRPr="00612488">
        <w:rPr>
          <w:color w:val="B41F22" w:themeColor="accent1"/>
        </w:rPr>
        <w:lastRenderedPageBreak/>
        <w:t xml:space="preserve">Vocational Training </w:t>
      </w:r>
      <w:r>
        <w:rPr>
          <w:color w:val="B41F22" w:themeColor="accent1"/>
        </w:rPr>
        <w:t>to Support Critical Occupations</w:t>
      </w:r>
      <w:bookmarkEnd w:id="34"/>
    </w:p>
    <w:p w:rsidR="003934C1" w:rsidRDefault="003934C1" w:rsidP="003934C1">
      <w:pPr>
        <w:rPr>
          <w:highlight w:val="yellow"/>
        </w:rPr>
      </w:pPr>
    </w:p>
    <w:p w:rsidR="003934C1" w:rsidRDefault="003934C1" w:rsidP="003934C1">
      <w:pPr>
        <w:spacing w:after="120"/>
      </w:pPr>
      <w:r w:rsidRPr="00FE6DAA">
        <w:t xml:space="preserve">To operate efficiently the economy needs the right mix of skills. Enrolments aligned to </w:t>
      </w:r>
      <w:r>
        <w:t>critical</w:t>
      </w:r>
      <w:r w:rsidRPr="00FE6DAA">
        <w:t xml:space="preserve"> occupations </w:t>
      </w:r>
      <w:proofErr w:type="gramStart"/>
      <w:r w:rsidRPr="00FE6DAA">
        <w:t>are monitored</w:t>
      </w:r>
      <w:proofErr w:type="gramEnd"/>
      <w:r w:rsidRPr="00FE6DAA">
        <w:t xml:space="preserve"> in order to assess whether the vocational training system is delivering a pipeline of these skills.</w:t>
      </w:r>
    </w:p>
    <w:p w:rsidR="003934C1" w:rsidRDefault="003934C1" w:rsidP="003934C1">
      <w:pPr>
        <w:spacing w:after="120"/>
        <w:rPr>
          <w:highlight w:val="yellow"/>
        </w:rPr>
      </w:pPr>
      <w:r w:rsidRPr="001E07D2">
        <w:t>Occupations in demand are those in which employers are unable to fill or have considerable difficulty filling vacancies. Shortages in skills</w:t>
      </w:r>
      <w:r>
        <w:t xml:space="preserve"> and occupations</w:t>
      </w:r>
      <w:r w:rsidRPr="001E07D2">
        <w:t xml:space="preserve"> can limit production, increase workforce workloads, impact on safety and limit innovation. Occupations in demand </w:t>
      </w:r>
      <w:proofErr w:type="gramStart"/>
      <w:r w:rsidRPr="001E07D2">
        <w:t>are defined</w:t>
      </w:r>
      <w:proofErr w:type="gramEnd"/>
      <w:r w:rsidRPr="001E07D2">
        <w:t xml:space="preserve"> using the Department’s research into occupations experiencing skill need.</w:t>
      </w:r>
    </w:p>
    <w:p w:rsidR="003934C1" w:rsidRPr="00C83E5C" w:rsidRDefault="003934C1" w:rsidP="003934C1">
      <w:pPr>
        <w:spacing w:after="120"/>
      </w:pPr>
      <w:r w:rsidRPr="00C83E5C">
        <w:t xml:space="preserve">Specialised occupations </w:t>
      </w:r>
      <w:r>
        <w:t>have</w:t>
      </w:r>
      <w:r w:rsidRPr="00C83E5C">
        <w:t xml:space="preserve"> a long</w:t>
      </w:r>
      <w:r w:rsidR="004176AD">
        <w:t xml:space="preserve"> </w:t>
      </w:r>
      <w:r w:rsidRPr="00C83E5C">
        <w:t>lead</w:t>
      </w:r>
      <w:r w:rsidR="004176AD">
        <w:t>-</w:t>
      </w:r>
      <w:r w:rsidRPr="00C83E5C">
        <w:t xml:space="preserve">time for training, a high economic value and a significant match between training and employment. </w:t>
      </w:r>
      <w:r>
        <w:t xml:space="preserve">While these occupations are not necessarily in demand now, it is important to maintain a sufficient pipeline of these skills as firms </w:t>
      </w:r>
      <w:proofErr w:type="gramStart"/>
      <w:r>
        <w:t>would be significantly impacted</w:t>
      </w:r>
      <w:proofErr w:type="gramEnd"/>
      <w:r>
        <w:t xml:space="preserve"> should they</w:t>
      </w:r>
      <w:r w:rsidRPr="00C83E5C">
        <w:t xml:space="preserve"> become difficult to access. They </w:t>
      </w:r>
      <w:proofErr w:type="gramStart"/>
      <w:r w:rsidRPr="00C83E5C">
        <w:t>are defined</w:t>
      </w:r>
      <w:proofErr w:type="gramEnd"/>
      <w:r w:rsidRPr="00C83E5C">
        <w:t xml:space="preserve"> using the former Australian Workforce and Productivity Agency’s</w:t>
      </w:r>
      <w:r>
        <w:t xml:space="preserve"> (AWPA)</w:t>
      </w:r>
      <w:r w:rsidRPr="00C83E5C">
        <w:t xml:space="preserve"> li</w:t>
      </w:r>
      <w:r>
        <w:t>st of Specialised Occupations</w:t>
      </w:r>
      <w:r w:rsidRPr="00C83E5C">
        <w:t>.</w:t>
      </w:r>
    </w:p>
    <w:p w:rsidR="003934C1" w:rsidRPr="00C83E5C" w:rsidRDefault="003934C1" w:rsidP="003934C1">
      <w:pPr>
        <w:spacing w:after="120"/>
      </w:pPr>
      <w:proofErr w:type="gramStart"/>
      <w:r>
        <w:t>Occupations which</w:t>
      </w:r>
      <w:proofErr w:type="gramEnd"/>
      <w:r>
        <w:t xml:space="preserve"> are in demand and/or specialised can be considered critical to the economy. Note that an occupation in demand may also be specialised – for example Electrical </w:t>
      </w:r>
      <w:proofErr w:type="spellStart"/>
      <w:r>
        <w:t>Linesworker</w:t>
      </w:r>
      <w:proofErr w:type="spellEnd"/>
      <w:r>
        <w:t xml:space="preserve"> is both an in demand occupation and a specialised occupation.</w:t>
      </w:r>
    </w:p>
    <w:p w:rsidR="003934C1" w:rsidRPr="004447B8" w:rsidRDefault="003934C1" w:rsidP="003934C1">
      <w:pPr>
        <w:pStyle w:val="Quote"/>
        <w:pBdr>
          <w:top w:val="single" w:sz="4" w:space="1" w:color="7F7F7F" w:themeColor="text2"/>
          <w:left w:val="single" w:sz="4" w:space="4" w:color="7F7F7F" w:themeColor="text2"/>
          <w:bottom w:val="single" w:sz="4" w:space="1" w:color="7F7F7F" w:themeColor="text2"/>
          <w:right w:val="single" w:sz="4" w:space="4" w:color="7F7F7F" w:themeColor="text2"/>
        </w:pBdr>
        <w:spacing w:before="120" w:after="120"/>
      </w:pPr>
      <w:r w:rsidRPr="004447B8">
        <w:t>Key points</w:t>
      </w:r>
    </w:p>
    <w:p w:rsidR="003934C1" w:rsidRPr="004447B8" w:rsidRDefault="003934C1" w:rsidP="003934C1">
      <w:pPr>
        <w:pStyle w:val="Quote"/>
        <w:numPr>
          <w:ilvl w:val="0"/>
          <w:numId w:val="29"/>
        </w:numPr>
        <w:pBdr>
          <w:top w:val="single" w:sz="4" w:space="1" w:color="7F7F7F" w:themeColor="text2"/>
          <w:left w:val="single" w:sz="4" w:space="4" w:color="7F7F7F" w:themeColor="text2"/>
          <w:bottom w:val="single" w:sz="4" w:space="1" w:color="7F7F7F" w:themeColor="text2"/>
          <w:right w:val="single" w:sz="4" w:space="4" w:color="7F7F7F" w:themeColor="text2"/>
        </w:pBdr>
        <w:spacing w:before="120" w:after="120" w:line="220" w:lineRule="atLeast"/>
        <w:rPr>
          <w:sz w:val="18"/>
          <w:szCs w:val="18"/>
        </w:rPr>
      </w:pPr>
      <w:r w:rsidRPr="004447B8">
        <w:rPr>
          <w:b w:val="0"/>
          <w:sz w:val="18"/>
          <w:szCs w:val="18"/>
        </w:rPr>
        <w:t>Course enrolments aligned to occupations in demand have decreased by 5 per cent between 2014 and 2015 (half year), to 109,714 enrolments.</w:t>
      </w:r>
    </w:p>
    <w:p w:rsidR="003934C1" w:rsidRPr="004447B8" w:rsidRDefault="003934C1" w:rsidP="003934C1">
      <w:pPr>
        <w:pStyle w:val="Quote"/>
        <w:numPr>
          <w:ilvl w:val="0"/>
          <w:numId w:val="29"/>
        </w:numPr>
        <w:pBdr>
          <w:top w:val="single" w:sz="4" w:space="1" w:color="7F7F7F" w:themeColor="text2"/>
          <w:left w:val="single" w:sz="4" w:space="4" w:color="7F7F7F" w:themeColor="text2"/>
          <w:bottom w:val="single" w:sz="4" w:space="1" w:color="7F7F7F" w:themeColor="text2"/>
          <w:right w:val="single" w:sz="4" w:space="4" w:color="7F7F7F" w:themeColor="text2"/>
        </w:pBdr>
        <w:spacing w:before="120" w:after="120" w:line="220" w:lineRule="atLeast"/>
        <w:rPr>
          <w:sz w:val="18"/>
          <w:szCs w:val="18"/>
        </w:rPr>
      </w:pPr>
      <w:r w:rsidRPr="004447B8">
        <w:rPr>
          <w:b w:val="0"/>
          <w:sz w:val="18"/>
          <w:szCs w:val="18"/>
        </w:rPr>
        <w:t>There were 90,857 enrolments in qualifications associated with specialised occupations in 2015 (half year). This is 1 per cent lower than the same period in 2014.</w:t>
      </w:r>
    </w:p>
    <w:p w:rsidR="003934C1" w:rsidRPr="004447B8" w:rsidRDefault="003934C1" w:rsidP="003934C1">
      <w:pPr>
        <w:pStyle w:val="Quote"/>
        <w:numPr>
          <w:ilvl w:val="0"/>
          <w:numId w:val="29"/>
        </w:numPr>
        <w:pBdr>
          <w:top w:val="single" w:sz="4" w:space="1" w:color="7F7F7F" w:themeColor="text2"/>
          <w:left w:val="single" w:sz="4" w:space="4" w:color="7F7F7F" w:themeColor="text2"/>
          <w:bottom w:val="single" w:sz="4" w:space="1" w:color="7F7F7F" w:themeColor="text2"/>
          <w:right w:val="single" w:sz="4" w:space="4" w:color="7F7F7F" w:themeColor="text2"/>
        </w:pBdr>
        <w:spacing w:before="120" w:after="120" w:line="220" w:lineRule="atLeast"/>
        <w:rPr>
          <w:sz w:val="18"/>
          <w:szCs w:val="18"/>
        </w:rPr>
      </w:pPr>
      <w:r w:rsidRPr="004447B8">
        <w:rPr>
          <w:b w:val="0"/>
          <w:sz w:val="18"/>
          <w:szCs w:val="18"/>
        </w:rPr>
        <w:t>The number of government subsidised enrolments related to critical occupations (specialised and/or in demand) reported in 2015 (half year) was 135,666. This represents a 3 per cent decrease in enrolments compared with 2014 (half year).</w:t>
      </w:r>
    </w:p>
    <w:p w:rsidR="003934C1" w:rsidRPr="004176AD" w:rsidRDefault="003934C1" w:rsidP="003934C1">
      <w:pPr>
        <w:pStyle w:val="Quote"/>
        <w:numPr>
          <w:ilvl w:val="0"/>
          <w:numId w:val="29"/>
        </w:numPr>
        <w:pBdr>
          <w:top w:val="single" w:sz="4" w:space="1" w:color="7F7F7F" w:themeColor="text2"/>
          <w:left w:val="single" w:sz="4" w:space="4" w:color="7F7F7F" w:themeColor="text2"/>
          <w:bottom w:val="single" w:sz="4" w:space="1" w:color="7F7F7F" w:themeColor="text2"/>
          <w:right w:val="single" w:sz="4" w:space="4" w:color="7F7F7F" w:themeColor="text2"/>
        </w:pBdr>
        <w:spacing w:before="120" w:line="220" w:lineRule="atLeast"/>
        <w:ind w:left="357" w:hanging="357"/>
        <w:rPr>
          <w:b w:val="0"/>
          <w:sz w:val="18"/>
          <w:szCs w:val="18"/>
        </w:rPr>
      </w:pPr>
      <w:r w:rsidRPr="004447B8">
        <w:rPr>
          <w:b w:val="0"/>
          <w:sz w:val="18"/>
          <w:szCs w:val="18"/>
        </w:rPr>
        <w:t>The percentage share of industry-aligned enrolments related to critical occupations (specialised and/or in demand) was 50 per cent in 2015 (half year), up from 46 per cent in 2014 (half year).</w:t>
      </w:r>
    </w:p>
    <w:p w:rsidR="003934C1" w:rsidRPr="004176AD" w:rsidRDefault="003934C1" w:rsidP="003934C1">
      <w:pPr>
        <w:pStyle w:val="Quote"/>
        <w:pBdr>
          <w:top w:val="single" w:sz="4" w:space="1" w:color="7F7F7F" w:themeColor="text2"/>
          <w:left w:val="single" w:sz="4" w:space="4" w:color="7F7F7F" w:themeColor="text2"/>
          <w:bottom w:val="single" w:sz="4" w:space="1" w:color="7F7F7F" w:themeColor="text2"/>
          <w:right w:val="single" w:sz="4" w:space="4" w:color="7F7F7F" w:themeColor="text2"/>
        </w:pBdr>
        <w:rPr>
          <w:b w:val="0"/>
          <w:sz w:val="18"/>
          <w:szCs w:val="18"/>
        </w:rPr>
      </w:pPr>
    </w:p>
    <w:p w:rsidR="003934C1" w:rsidRDefault="003934C1" w:rsidP="003934C1"/>
    <w:p w:rsidR="00364BE7" w:rsidRDefault="00364BE7" w:rsidP="004F7D8A"/>
    <w:tbl>
      <w:tblPr>
        <w:tblStyle w:val="TableGrid"/>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230"/>
      </w:tblGrid>
      <w:tr w:rsidR="005F66C1" w:rsidTr="00A26E7A">
        <w:tc>
          <w:tcPr>
            <w:tcW w:w="1134" w:type="dxa"/>
            <w:tcMar>
              <w:left w:w="0" w:type="dxa"/>
              <w:right w:w="0" w:type="dxa"/>
            </w:tcMar>
          </w:tcPr>
          <w:p w:rsidR="005F66C1" w:rsidRDefault="0005261F" w:rsidP="005F66C1">
            <w:pPr>
              <w:pStyle w:val="Quote"/>
              <w:tabs>
                <w:tab w:val="left" w:pos="1134"/>
              </w:tabs>
              <w:rPr>
                <w:b w:val="0"/>
                <w:color w:val="B41F22" w:themeColor="accent1"/>
              </w:rPr>
            </w:pPr>
            <w:r>
              <w:rPr>
                <w:b w:val="0"/>
                <w:color w:val="B41F22" w:themeColor="accent1"/>
              </w:rPr>
              <w:t>Table 4</w:t>
            </w:r>
            <w:r w:rsidR="005F66C1">
              <w:rPr>
                <w:b w:val="0"/>
                <w:color w:val="B41F22" w:themeColor="accent1"/>
              </w:rPr>
              <w:t>.2.1:</w:t>
            </w:r>
          </w:p>
        </w:tc>
        <w:tc>
          <w:tcPr>
            <w:tcW w:w="7230" w:type="dxa"/>
            <w:tcMar>
              <w:left w:w="0" w:type="dxa"/>
              <w:right w:w="0" w:type="dxa"/>
            </w:tcMar>
          </w:tcPr>
          <w:p w:rsidR="005F66C1" w:rsidRDefault="005F66C1" w:rsidP="00A26E7A">
            <w:pPr>
              <w:pStyle w:val="Quote"/>
              <w:tabs>
                <w:tab w:val="left" w:pos="1134"/>
              </w:tabs>
              <w:rPr>
                <w:b w:val="0"/>
                <w:color w:val="B41F22" w:themeColor="accent1"/>
              </w:rPr>
            </w:pPr>
            <w:r w:rsidRPr="007343D8">
              <w:rPr>
                <w:b w:val="0"/>
                <w:color w:val="B41F22" w:themeColor="accent1"/>
              </w:rPr>
              <w:t>Government subsidised</w:t>
            </w:r>
            <w:r>
              <w:rPr>
                <w:b w:val="0"/>
                <w:color w:val="B41F22" w:themeColor="accent1"/>
              </w:rPr>
              <w:t xml:space="preserve"> industry-aligned</w:t>
            </w:r>
            <w:r w:rsidRPr="007343D8">
              <w:rPr>
                <w:b w:val="0"/>
                <w:color w:val="B41F22" w:themeColor="accent1"/>
              </w:rPr>
              <w:t xml:space="preserve"> course enrolments </w:t>
            </w:r>
            <w:r>
              <w:rPr>
                <w:b w:val="0"/>
                <w:color w:val="B41F22" w:themeColor="accent1"/>
              </w:rPr>
              <w:t>related to occupations in demand</w:t>
            </w:r>
            <w:r w:rsidRPr="007343D8">
              <w:rPr>
                <w:b w:val="0"/>
                <w:color w:val="B41F22" w:themeColor="accent1"/>
              </w:rPr>
              <w:t>, 2010 to 2015 (half year)</w:t>
            </w:r>
          </w:p>
        </w:tc>
      </w:tr>
    </w:tbl>
    <w:tbl>
      <w:tblPr>
        <w:tblW w:w="8379" w:type="dxa"/>
        <w:tblInd w:w="93" w:type="dxa"/>
        <w:tblLayout w:type="fixed"/>
        <w:tblLook w:val="04A0" w:firstRow="1" w:lastRow="0" w:firstColumn="1" w:lastColumn="0" w:noHBand="0" w:noVBand="1"/>
      </w:tblPr>
      <w:tblGrid>
        <w:gridCol w:w="1995"/>
        <w:gridCol w:w="994"/>
        <w:gridCol w:w="994"/>
        <w:gridCol w:w="994"/>
        <w:gridCol w:w="425"/>
        <w:gridCol w:w="992"/>
        <w:gridCol w:w="992"/>
        <w:gridCol w:w="993"/>
      </w:tblGrid>
      <w:tr w:rsidR="005F66C1" w:rsidRPr="007343D8" w:rsidTr="00692A5D">
        <w:trPr>
          <w:trHeight w:val="313"/>
        </w:trPr>
        <w:tc>
          <w:tcPr>
            <w:tcW w:w="1995" w:type="dxa"/>
            <w:tcBorders>
              <w:top w:val="nil"/>
              <w:left w:val="nil"/>
              <w:bottom w:val="nil"/>
              <w:right w:val="nil"/>
            </w:tcBorders>
            <w:shd w:val="clear" w:color="000000" w:fill="7F7F7F"/>
            <w:noWrap/>
            <w:vAlign w:val="center"/>
            <w:hideMark/>
          </w:tcPr>
          <w:p w:rsidR="005F66C1" w:rsidRPr="007343D8" w:rsidRDefault="005F66C1" w:rsidP="00A26E7A">
            <w:pPr>
              <w:rPr>
                <w:rFonts w:cs="Arial"/>
                <w:color w:val="FFFFFF"/>
                <w:szCs w:val="18"/>
                <w:lang w:eastAsia="en-AU"/>
              </w:rPr>
            </w:pPr>
            <w:r w:rsidRPr="007343D8">
              <w:rPr>
                <w:rFonts w:cs="Arial"/>
                <w:color w:val="FFFFFF"/>
                <w:szCs w:val="18"/>
                <w:lang w:eastAsia="en-AU"/>
              </w:rPr>
              <w:t> </w:t>
            </w:r>
          </w:p>
        </w:tc>
        <w:tc>
          <w:tcPr>
            <w:tcW w:w="994" w:type="dxa"/>
            <w:tcBorders>
              <w:top w:val="nil"/>
              <w:left w:val="nil"/>
              <w:bottom w:val="nil"/>
              <w:right w:val="nil"/>
            </w:tcBorders>
            <w:shd w:val="clear" w:color="000000" w:fill="7F7F7F"/>
            <w:noWrap/>
            <w:vAlign w:val="center"/>
            <w:hideMark/>
          </w:tcPr>
          <w:p w:rsidR="005F66C1" w:rsidRPr="007343D8" w:rsidRDefault="005F66C1" w:rsidP="00A26E7A">
            <w:pPr>
              <w:jc w:val="right"/>
              <w:rPr>
                <w:rFonts w:cs="Arial"/>
                <w:b/>
                <w:bCs/>
                <w:color w:val="FFFFFF"/>
                <w:szCs w:val="18"/>
                <w:lang w:eastAsia="en-AU"/>
              </w:rPr>
            </w:pPr>
            <w:r w:rsidRPr="007343D8">
              <w:rPr>
                <w:rFonts w:cs="Arial"/>
                <w:b/>
                <w:bCs/>
                <w:color w:val="FFFFFF"/>
                <w:szCs w:val="18"/>
                <w:lang w:eastAsia="en-AU"/>
              </w:rPr>
              <w:t>2010</w:t>
            </w:r>
          </w:p>
        </w:tc>
        <w:tc>
          <w:tcPr>
            <w:tcW w:w="994" w:type="dxa"/>
            <w:tcBorders>
              <w:top w:val="nil"/>
              <w:left w:val="nil"/>
              <w:bottom w:val="nil"/>
              <w:right w:val="nil"/>
            </w:tcBorders>
            <w:shd w:val="clear" w:color="000000" w:fill="7F7F7F"/>
            <w:noWrap/>
            <w:vAlign w:val="center"/>
            <w:hideMark/>
          </w:tcPr>
          <w:p w:rsidR="005F66C1" w:rsidRPr="007343D8" w:rsidRDefault="005F66C1" w:rsidP="00A26E7A">
            <w:pPr>
              <w:jc w:val="right"/>
              <w:rPr>
                <w:rFonts w:cs="Arial"/>
                <w:b/>
                <w:bCs/>
                <w:color w:val="FFFFFF"/>
                <w:szCs w:val="18"/>
                <w:lang w:eastAsia="en-AU"/>
              </w:rPr>
            </w:pPr>
            <w:r w:rsidRPr="007343D8">
              <w:rPr>
                <w:rFonts w:cs="Arial"/>
                <w:b/>
                <w:bCs/>
                <w:color w:val="FFFFFF"/>
                <w:szCs w:val="18"/>
                <w:lang w:eastAsia="en-AU"/>
              </w:rPr>
              <w:t>2011</w:t>
            </w:r>
          </w:p>
        </w:tc>
        <w:tc>
          <w:tcPr>
            <w:tcW w:w="994" w:type="dxa"/>
            <w:tcBorders>
              <w:top w:val="nil"/>
              <w:left w:val="nil"/>
              <w:bottom w:val="nil"/>
            </w:tcBorders>
            <w:shd w:val="clear" w:color="000000" w:fill="7F7F7F"/>
            <w:noWrap/>
            <w:vAlign w:val="center"/>
            <w:hideMark/>
          </w:tcPr>
          <w:p w:rsidR="005F66C1" w:rsidRPr="007343D8" w:rsidRDefault="005F66C1" w:rsidP="00A26E7A">
            <w:pPr>
              <w:jc w:val="right"/>
              <w:rPr>
                <w:rFonts w:cs="Arial"/>
                <w:b/>
                <w:bCs/>
                <w:color w:val="FFFFFF"/>
                <w:szCs w:val="18"/>
                <w:lang w:eastAsia="en-AU"/>
              </w:rPr>
            </w:pPr>
            <w:r w:rsidRPr="007343D8">
              <w:rPr>
                <w:rFonts w:cs="Arial"/>
                <w:b/>
                <w:bCs/>
                <w:color w:val="FFFFFF"/>
                <w:szCs w:val="18"/>
                <w:lang w:eastAsia="en-AU"/>
              </w:rPr>
              <w:t>2012</w:t>
            </w:r>
          </w:p>
        </w:tc>
        <w:tc>
          <w:tcPr>
            <w:tcW w:w="425" w:type="dxa"/>
            <w:tcBorders>
              <w:top w:val="nil"/>
              <w:left w:val="nil"/>
              <w:bottom w:val="nil"/>
              <w:right w:val="dashSmallGap" w:sz="4" w:space="0" w:color="7F7F7F" w:themeColor="text1" w:themeTint="80"/>
            </w:tcBorders>
            <w:shd w:val="clear" w:color="000000" w:fill="7F7F7F"/>
          </w:tcPr>
          <w:p w:rsidR="005F66C1" w:rsidRPr="007343D8" w:rsidRDefault="005F66C1" w:rsidP="00A26E7A">
            <w:pPr>
              <w:jc w:val="right"/>
              <w:rPr>
                <w:rFonts w:cs="Arial"/>
                <w:b/>
                <w:bCs/>
                <w:color w:val="FFFFFF"/>
                <w:szCs w:val="18"/>
                <w:lang w:eastAsia="en-AU"/>
              </w:rPr>
            </w:pPr>
          </w:p>
        </w:tc>
        <w:tc>
          <w:tcPr>
            <w:tcW w:w="992" w:type="dxa"/>
            <w:tcBorders>
              <w:top w:val="nil"/>
              <w:left w:val="dashSmallGap" w:sz="4" w:space="0" w:color="7F7F7F" w:themeColor="text1" w:themeTint="80"/>
              <w:bottom w:val="nil"/>
              <w:right w:val="nil"/>
            </w:tcBorders>
            <w:shd w:val="clear" w:color="000000" w:fill="7F7F7F"/>
            <w:noWrap/>
            <w:vAlign w:val="center"/>
            <w:hideMark/>
          </w:tcPr>
          <w:p w:rsidR="005F66C1" w:rsidRPr="007343D8" w:rsidRDefault="005F66C1" w:rsidP="00A26E7A">
            <w:pPr>
              <w:jc w:val="right"/>
              <w:rPr>
                <w:rFonts w:cs="Arial"/>
                <w:b/>
                <w:bCs/>
                <w:color w:val="FFFFFF"/>
                <w:szCs w:val="18"/>
                <w:lang w:eastAsia="en-AU"/>
              </w:rPr>
            </w:pPr>
            <w:r w:rsidRPr="007343D8">
              <w:rPr>
                <w:rFonts w:cs="Arial"/>
                <w:b/>
                <w:bCs/>
                <w:color w:val="FFFFFF"/>
                <w:szCs w:val="18"/>
                <w:lang w:eastAsia="en-AU"/>
              </w:rPr>
              <w:t>2013</w:t>
            </w:r>
          </w:p>
        </w:tc>
        <w:tc>
          <w:tcPr>
            <w:tcW w:w="992" w:type="dxa"/>
            <w:tcBorders>
              <w:top w:val="nil"/>
              <w:left w:val="nil"/>
              <w:bottom w:val="nil"/>
              <w:right w:val="nil"/>
            </w:tcBorders>
            <w:shd w:val="clear" w:color="000000" w:fill="7F7F7F"/>
            <w:noWrap/>
            <w:vAlign w:val="center"/>
            <w:hideMark/>
          </w:tcPr>
          <w:p w:rsidR="005F66C1" w:rsidRPr="007343D8" w:rsidRDefault="005F66C1" w:rsidP="00A26E7A">
            <w:pPr>
              <w:jc w:val="right"/>
              <w:rPr>
                <w:rFonts w:cs="Arial"/>
                <w:b/>
                <w:bCs/>
                <w:color w:val="FFFFFF"/>
                <w:szCs w:val="18"/>
                <w:lang w:eastAsia="en-AU"/>
              </w:rPr>
            </w:pPr>
            <w:r w:rsidRPr="007343D8">
              <w:rPr>
                <w:rFonts w:cs="Arial"/>
                <w:b/>
                <w:bCs/>
                <w:color w:val="FFFFFF"/>
                <w:szCs w:val="18"/>
                <w:lang w:eastAsia="en-AU"/>
              </w:rPr>
              <w:t>2014</w:t>
            </w:r>
          </w:p>
        </w:tc>
        <w:tc>
          <w:tcPr>
            <w:tcW w:w="993" w:type="dxa"/>
            <w:tcBorders>
              <w:top w:val="nil"/>
              <w:left w:val="nil"/>
              <w:bottom w:val="nil"/>
              <w:right w:val="nil"/>
            </w:tcBorders>
            <w:shd w:val="clear" w:color="000000" w:fill="7F7F7F"/>
            <w:noWrap/>
            <w:vAlign w:val="center"/>
            <w:hideMark/>
          </w:tcPr>
          <w:p w:rsidR="005F66C1" w:rsidRPr="007343D8" w:rsidRDefault="005F66C1" w:rsidP="00A26E7A">
            <w:pPr>
              <w:jc w:val="right"/>
              <w:rPr>
                <w:rFonts w:cs="Arial"/>
                <w:b/>
                <w:bCs/>
                <w:color w:val="FFFFFF"/>
                <w:szCs w:val="18"/>
                <w:lang w:eastAsia="en-AU"/>
              </w:rPr>
            </w:pPr>
            <w:r w:rsidRPr="007343D8">
              <w:rPr>
                <w:rFonts w:cs="Arial"/>
                <w:b/>
                <w:bCs/>
                <w:color w:val="FFFFFF"/>
                <w:szCs w:val="18"/>
                <w:lang w:eastAsia="en-AU"/>
              </w:rPr>
              <w:t>2015</w:t>
            </w:r>
          </w:p>
        </w:tc>
      </w:tr>
      <w:tr w:rsidR="005F66C1" w:rsidRPr="007343D8" w:rsidTr="00692A5D">
        <w:trPr>
          <w:trHeight w:val="313"/>
        </w:trPr>
        <w:tc>
          <w:tcPr>
            <w:tcW w:w="1995" w:type="dxa"/>
            <w:tcBorders>
              <w:top w:val="nil"/>
              <w:left w:val="nil"/>
              <w:bottom w:val="nil"/>
              <w:right w:val="nil"/>
            </w:tcBorders>
            <w:shd w:val="clear" w:color="auto" w:fill="auto"/>
            <w:noWrap/>
            <w:vAlign w:val="center"/>
            <w:hideMark/>
          </w:tcPr>
          <w:p w:rsidR="005F66C1" w:rsidRPr="007343D8" w:rsidRDefault="005F66C1" w:rsidP="00A26E7A">
            <w:pPr>
              <w:rPr>
                <w:rFonts w:cs="Arial"/>
                <w:color w:val="7F7F7F"/>
                <w:szCs w:val="18"/>
                <w:lang w:eastAsia="en-AU"/>
              </w:rPr>
            </w:pPr>
            <w:r>
              <w:rPr>
                <w:rFonts w:cs="Arial"/>
                <w:color w:val="7F7F7F"/>
                <w:szCs w:val="18"/>
                <w:lang w:eastAsia="en-AU"/>
              </w:rPr>
              <w:t>Occupations in demand*</w:t>
            </w:r>
          </w:p>
        </w:tc>
        <w:tc>
          <w:tcPr>
            <w:tcW w:w="994" w:type="dxa"/>
            <w:tcBorders>
              <w:top w:val="nil"/>
              <w:left w:val="nil"/>
              <w:bottom w:val="nil"/>
              <w:right w:val="nil"/>
            </w:tcBorders>
            <w:shd w:val="clear" w:color="auto" w:fill="auto"/>
            <w:noWrap/>
            <w:vAlign w:val="center"/>
            <w:hideMark/>
          </w:tcPr>
          <w:p w:rsidR="005F66C1" w:rsidRPr="007343D8" w:rsidRDefault="005F66C1" w:rsidP="00A26E7A">
            <w:pPr>
              <w:jc w:val="right"/>
              <w:rPr>
                <w:rFonts w:cs="Arial"/>
                <w:color w:val="7F7F7F"/>
                <w:szCs w:val="18"/>
                <w:lang w:eastAsia="en-AU"/>
              </w:rPr>
            </w:pPr>
            <w:r w:rsidRPr="00C25E53">
              <w:t>69,022</w:t>
            </w:r>
          </w:p>
        </w:tc>
        <w:tc>
          <w:tcPr>
            <w:tcW w:w="994" w:type="dxa"/>
            <w:tcBorders>
              <w:top w:val="nil"/>
              <w:left w:val="nil"/>
              <w:bottom w:val="nil"/>
              <w:right w:val="nil"/>
            </w:tcBorders>
            <w:shd w:val="clear" w:color="auto" w:fill="auto"/>
            <w:noWrap/>
            <w:vAlign w:val="center"/>
            <w:hideMark/>
          </w:tcPr>
          <w:p w:rsidR="005F66C1" w:rsidRPr="007343D8" w:rsidRDefault="005F66C1" w:rsidP="00A26E7A">
            <w:pPr>
              <w:jc w:val="right"/>
              <w:rPr>
                <w:rFonts w:cs="Arial"/>
                <w:color w:val="7F7F7F"/>
                <w:szCs w:val="18"/>
                <w:lang w:eastAsia="en-AU"/>
              </w:rPr>
            </w:pPr>
            <w:r w:rsidRPr="00C25E53">
              <w:t>87,290</w:t>
            </w:r>
          </w:p>
        </w:tc>
        <w:tc>
          <w:tcPr>
            <w:tcW w:w="994" w:type="dxa"/>
            <w:tcBorders>
              <w:top w:val="nil"/>
              <w:left w:val="nil"/>
              <w:bottom w:val="nil"/>
            </w:tcBorders>
            <w:shd w:val="clear" w:color="auto" w:fill="auto"/>
            <w:noWrap/>
            <w:vAlign w:val="center"/>
            <w:hideMark/>
          </w:tcPr>
          <w:p w:rsidR="005F66C1" w:rsidRPr="007343D8" w:rsidRDefault="005F66C1" w:rsidP="00A26E7A">
            <w:pPr>
              <w:jc w:val="right"/>
              <w:rPr>
                <w:rFonts w:cs="Arial"/>
                <w:color w:val="7F7F7F"/>
                <w:szCs w:val="18"/>
                <w:lang w:eastAsia="en-AU"/>
              </w:rPr>
            </w:pPr>
            <w:r w:rsidRPr="00C25E53">
              <w:t>105,452</w:t>
            </w:r>
          </w:p>
        </w:tc>
        <w:tc>
          <w:tcPr>
            <w:tcW w:w="425" w:type="dxa"/>
            <w:tcBorders>
              <w:top w:val="nil"/>
              <w:left w:val="nil"/>
              <w:bottom w:val="nil"/>
              <w:right w:val="dashSmallGap" w:sz="4" w:space="0" w:color="7F7F7F" w:themeColor="text1" w:themeTint="80"/>
            </w:tcBorders>
          </w:tcPr>
          <w:p w:rsidR="005F66C1" w:rsidRPr="00C25E53" w:rsidRDefault="005F66C1" w:rsidP="00A26E7A">
            <w:pPr>
              <w:jc w:val="right"/>
            </w:pPr>
          </w:p>
        </w:tc>
        <w:tc>
          <w:tcPr>
            <w:tcW w:w="992" w:type="dxa"/>
            <w:tcBorders>
              <w:top w:val="nil"/>
              <w:left w:val="dashSmallGap" w:sz="4" w:space="0" w:color="7F7F7F" w:themeColor="text1" w:themeTint="80"/>
              <w:bottom w:val="nil"/>
              <w:right w:val="nil"/>
            </w:tcBorders>
            <w:shd w:val="clear" w:color="auto" w:fill="auto"/>
            <w:noWrap/>
            <w:vAlign w:val="center"/>
            <w:hideMark/>
          </w:tcPr>
          <w:p w:rsidR="005F66C1" w:rsidRPr="007343D8" w:rsidRDefault="005F66C1" w:rsidP="00A26E7A">
            <w:pPr>
              <w:jc w:val="right"/>
              <w:rPr>
                <w:rFonts w:cs="Arial"/>
                <w:color w:val="7F7F7F"/>
                <w:szCs w:val="18"/>
                <w:lang w:eastAsia="en-AU"/>
              </w:rPr>
            </w:pPr>
            <w:r w:rsidRPr="00C25E53">
              <w:t>93,975</w:t>
            </w:r>
          </w:p>
        </w:tc>
        <w:tc>
          <w:tcPr>
            <w:tcW w:w="992" w:type="dxa"/>
            <w:tcBorders>
              <w:top w:val="nil"/>
              <w:left w:val="nil"/>
              <w:bottom w:val="nil"/>
              <w:right w:val="nil"/>
            </w:tcBorders>
            <w:shd w:val="clear" w:color="auto" w:fill="auto"/>
            <w:noWrap/>
            <w:vAlign w:val="center"/>
            <w:hideMark/>
          </w:tcPr>
          <w:p w:rsidR="005F66C1" w:rsidRPr="007343D8" w:rsidRDefault="005F66C1" w:rsidP="00A26E7A">
            <w:pPr>
              <w:jc w:val="right"/>
              <w:rPr>
                <w:rFonts w:cs="Arial"/>
                <w:color w:val="7F7F7F"/>
                <w:szCs w:val="18"/>
                <w:lang w:eastAsia="en-AU"/>
              </w:rPr>
            </w:pPr>
            <w:r w:rsidRPr="00C25E53">
              <w:t>114,919</w:t>
            </w:r>
          </w:p>
        </w:tc>
        <w:tc>
          <w:tcPr>
            <w:tcW w:w="993" w:type="dxa"/>
            <w:tcBorders>
              <w:top w:val="nil"/>
              <w:left w:val="nil"/>
              <w:bottom w:val="nil"/>
              <w:right w:val="nil"/>
            </w:tcBorders>
            <w:shd w:val="clear" w:color="auto" w:fill="auto"/>
            <w:noWrap/>
            <w:vAlign w:val="center"/>
            <w:hideMark/>
          </w:tcPr>
          <w:p w:rsidR="005F66C1" w:rsidRPr="007343D8" w:rsidRDefault="005F66C1" w:rsidP="00A26E7A">
            <w:pPr>
              <w:jc w:val="right"/>
              <w:rPr>
                <w:rFonts w:cs="Arial"/>
                <w:color w:val="7F7F7F"/>
                <w:szCs w:val="18"/>
                <w:lang w:eastAsia="en-AU"/>
              </w:rPr>
            </w:pPr>
            <w:r w:rsidRPr="00C25E53">
              <w:t>109,714</w:t>
            </w:r>
          </w:p>
        </w:tc>
      </w:tr>
      <w:tr w:rsidR="005F66C1" w:rsidRPr="007343D8" w:rsidTr="00692A5D">
        <w:trPr>
          <w:trHeight w:val="313"/>
        </w:trPr>
        <w:tc>
          <w:tcPr>
            <w:tcW w:w="1995" w:type="dxa"/>
            <w:tcBorders>
              <w:top w:val="nil"/>
              <w:left w:val="nil"/>
              <w:bottom w:val="nil"/>
              <w:right w:val="nil"/>
            </w:tcBorders>
            <w:shd w:val="clear" w:color="auto" w:fill="auto"/>
            <w:noWrap/>
            <w:vAlign w:val="center"/>
            <w:hideMark/>
          </w:tcPr>
          <w:p w:rsidR="005F66C1" w:rsidRPr="007343D8" w:rsidRDefault="005F66C1" w:rsidP="00A26E7A">
            <w:pPr>
              <w:rPr>
                <w:rFonts w:cs="Arial"/>
                <w:color w:val="7F7F7F"/>
                <w:szCs w:val="18"/>
                <w:lang w:eastAsia="en-AU"/>
              </w:rPr>
            </w:pPr>
            <w:r>
              <w:rPr>
                <w:rFonts w:cs="Arial"/>
                <w:color w:val="7F7F7F"/>
                <w:szCs w:val="18"/>
                <w:lang w:eastAsia="en-AU"/>
              </w:rPr>
              <w:t>Other occupations</w:t>
            </w:r>
          </w:p>
        </w:tc>
        <w:tc>
          <w:tcPr>
            <w:tcW w:w="994" w:type="dxa"/>
            <w:tcBorders>
              <w:top w:val="nil"/>
              <w:left w:val="nil"/>
              <w:bottom w:val="nil"/>
              <w:right w:val="nil"/>
            </w:tcBorders>
            <w:shd w:val="clear" w:color="auto" w:fill="auto"/>
            <w:noWrap/>
            <w:vAlign w:val="center"/>
            <w:hideMark/>
          </w:tcPr>
          <w:p w:rsidR="005F66C1" w:rsidRPr="007343D8" w:rsidRDefault="005F66C1" w:rsidP="00A26E7A">
            <w:pPr>
              <w:jc w:val="right"/>
              <w:rPr>
                <w:rFonts w:cs="Arial"/>
                <w:color w:val="7F7F7F"/>
                <w:szCs w:val="18"/>
                <w:lang w:eastAsia="en-AU"/>
              </w:rPr>
            </w:pPr>
            <w:r w:rsidRPr="00D14D49">
              <w:t>150,652</w:t>
            </w:r>
          </w:p>
        </w:tc>
        <w:tc>
          <w:tcPr>
            <w:tcW w:w="994" w:type="dxa"/>
            <w:tcBorders>
              <w:top w:val="nil"/>
              <w:left w:val="nil"/>
              <w:bottom w:val="nil"/>
              <w:right w:val="nil"/>
            </w:tcBorders>
            <w:shd w:val="clear" w:color="auto" w:fill="auto"/>
            <w:noWrap/>
            <w:vAlign w:val="center"/>
            <w:hideMark/>
          </w:tcPr>
          <w:p w:rsidR="005F66C1" w:rsidRPr="007343D8" w:rsidRDefault="005F66C1" w:rsidP="00A26E7A">
            <w:pPr>
              <w:jc w:val="right"/>
              <w:rPr>
                <w:rFonts w:cs="Arial"/>
                <w:color w:val="7F7F7F"/>
                <w:szCs w:val="18"/>
                <w:lang w:eastAsia="en-AU"/>
              </w:rPr>
            </w:pPr>
            <w:r w:rsidRPr="00D14D49">
              <w:t>191,016</w:t>
            </w:r>
          </w:p>
        </w:tc>
        <w:tc>
          <w:tcPr>
            <w:tcW w:w="994" w:type="dxa"/>
            <w:tcBorders>
              <w:top w:val="nil"/>
              <w:left w:val="nil"/>
              <w:bottom w:val="nil"/>
            </w:tcBorders>
            <w:shd w:val="clear" w:color="auto" w:fill="auto"/>
            <w:noWrap/>
            <w:vAlign w:val="center"/>
            <w:hideMark/>
          </w:tcPr>
          <w:p w:rsidR="005F66C1" w:rsidRPr="007343D8" w:rsidRDefault="005F66C1" w:rsidP="00A26E7A">
            <w:pPr>
              <w:jc w:val="right"/>
              <w:rPr>
                <w:rFonts w:cs="Arial"/>
                <w:color w:val="7F7F7F"/>
                <w:szCs w:val="18"/>
                <w:lang w:eastAsia="en-AU"/>
              </w:rPr>
            </w:pPr>
            <w:r w:rsidRPr="00D14D49">
              <w:t>270,773</w:t>
            </w:r>
          </w:p>
        </w:tc>
        <w:tc>
          <w:tcPr>
            <w:tcW w:w="425" w:type="dxa"/>
            <w:tcBorders>
              <w:top w:val="nil"/>
              <w:left w:val="nil"/>
              <w:bottom w:val="nil"/>
              <w:right w:val="dashSmallGap" w:sz="4" w:space="0" w:color="7F7F7F" w:themeColor="text1" w:themeTint="80"/>
            </w:tcBorders>
          </w:tcPr>
          <w:p w:rsidR="005F66C1" w:rsidRPr="00D14D49" w:rsidRDefault="005F66C1" w:rsidP="00A26E7A">
            <w:pPr>
              <w:jc w:val="right"/>
            </w:pPr>
          </w:p>
        </w:tc>
        <w:tc>
          <w:tcPr>
            <w:tcW w:w="992" w:type="dxa"/>
            <w:tcBorders>
              <w:top w:val="nil"/>
              <w:left w:val="dashSmallGap" w:sz="4" w:space="0" w:color="7F7F7F" w:themeColor="text1" w:themeTint="80"/>
              <w:bottom w:val="nil"/>
              <w:right w:val="nil"/>
            </w:tcBorders>
            <w:shd w:val="clear" w:color="auto" w:fill="auto"/>
            <w:noWrap/>
            <w:vAlign w:val="center"/>
            <w:hideMark/>
          </w:tcPr>
          <w:p w:rsidR="005F66C1" w:rsidRPr="007343D8" w:rsidRDefault="005F66C1" w:rsidP="00A26E7A">
            <w:pPr>
              <w:jc w:val="right"/>
              <w:rPr>
                <w:rFonts w:cs="Arial"/>
                <w:color w:val="7F7F7F"/>
                <w:szCs w:val="18"/>
                <w:lang w:eastAsia="en-AU"/>
              </w:rPr>
            </w:pPr>
            <w:r w:rsidRPr="00D14D49">
              <w:t>185,561</w:t>
            </w:r>
          </w:p>
        </w:tc>
        <w:tc>
          <w:tcPr>
            <w:tcW w:w="992" w:type="dxa"/>
            <w:tcBorders>
              <w:top w:val="nil"/>
              <w:left w:val="nil"/>
              <w:bottom w:val="nil"/>
              <w:right w:val="nil"/>
            </w:tcBorders>
            <w:shd w:val="clear" w:color="auto" w:fill="auto"/>
            <w:noWrap/>
            <w:vAlign w:val="center"/>
            <w:hideMark/>
          </w:tcPr>
          <w:p w:rsidR="005F66C1" w:rsidRPr="007343D8" w:rsidRDefault="005F66C1" w:rsidP="00A26E7A">
            <w:pPr>
              <w:jc w:val="right"/>
              <w:rPr>
                <w:rFonts w:cs="Arial"/>
                <w:color w:val="7F7F7F"/>
                <w:szCs w:val="18"/>
                <w:lang w:eastAsia="en-AU"/>
              </w:rPr>
            </w:pPr>
            <w:r w:rsidRPr="00D14D49">
              <w:t>186,941</w:t>
            </w:r>
          </w:p>
        </w:tc>
        <w:tc>
          <w:tcPr>
            <w:tcW w:w="993" w:type="dxa"/>
            <w:tcBorders>
              <w:top w:val="nil"/>
              <w:left w:val="nil"/>
              <w:bottom w:val="nil"/>
              <w:right w:val="nil"/>
            </w:tcBorders>
            <w:shd w:val="clear" w:color="auto" w:fill="auto"/>
            <w:noWrap/>
            <w:vAlign w:val="center"/>
            <w:hideMark/>
          </w:tcPr>
          <w:p w:rsidR="005F66C1" w:rsidRPr="007343D8" w:rsidRDefault="005F66C1" w:rsidP="00A26E7A">
            <w:pPr>
              <w:jc w:val="right"/>
              <w:rPr>
                <w:rFonts w:cs="Arial"/>
                <w:color w:val="7F7F7F"/>
                <w:szCs w:val="18"/>
                <w:lang w:eastAsia="en-AU"/>
              </w:rPr>
            </w:pPr>
            <w:r w:rsidRPr="00D14D49">
              <w:t>160,626</w:t>
            </w:r>
          </w:p>
        </w:tc>
      </w:tr>
      <w:tr w:rsidR="005F66C1" w:rsidRPr="007343D8" w:rsidTr="00692A5D">
        <w:trPr>
          <w:trHeight w:val="313"/>
        </w:trPr>
        <w:tc>
          <w:tcPr>
            <w:tcW w:w="1995" w:type="dxa"/>
            <w:tcBorders>
              <w:top w:val="nil"/>
              <w:left w:val="nil"/>
              <w:bottom w:val="nil"/>
              <w:right w:val="nil"/>
            </w:tcBorders>
            <w:shd w:val="clear" w:color="000000" w:fill="7F7F7F"/>
            <w:noWrap/>
            <w:vAlign w:val="center"/>
            <w:hideMark/>
          </w:tcPr>
          <w:p w:rsidR="005F66C1" w:rsidRPr="007343D8" w:rsidRDefault="005F66C1" w:rsidP="00A26E7A">
            <w:pPr>
              <w:rPr>
                <w:rFonts w:cs="Arial"/>
                <w:b/>
                <w:bCs/>
                <w:color w:val="FFFFFF"/>
                <w:szCs w:val="18"/>
                <w:lang w:eastAsia="en-AU"/>
              </w:rPr>
            </w:pPr>
            <w:r w:rsidRPr="007343D8">
              <w:rPr>
                <w:rFonts w:cs="Arial"/>
                <w:b/>
                <w:bCs/>
                <w:color w:val="FFFFFF"/>
                <w:szCs w:val="18"/>
                <w:lang w:eastAsia="en-AU"/>
              </w:rPr>
              <w:t>Total</w:t>
            </w:r>
            <w:r>
              <w:rPr>
                <w:rFonts w:cs="Arial"/>
                <w:b/>
                <w:bCs/>
                <w:color w:val="FFFFFF"/>
                <w:szCs w:val="18"/>
                <w:lang w:eastAsia="en-AU"/>
              </w:rPr>
              <w:t>**</w:t>
            </w:r>
          </w:p>
        </w:tc>
        <w:tc>
          <w:tcPr>
            <w:tcW w:w="994" w:type="dxa"/>
            <w:tcBorders>
              <w:top w:val="nil"/>
              <w:left w:val="nil"/>
              <w:bottom w:val="nil"/>
              <w:right w:val="nil"/>
            </w:tcBorders>
            <w:shd w:val="clear" w:color="000000" w:fill="7F7F7F"/>
            <w:noWrap/>
            <w:vAlign w:val="center"/>
            <w:hideMark/>
          </w:tcPr>
          <w:p w:rsidR="005F66C1" w:rsidRPr="007343D8" w:rsidRDefault="005F66C1" w:rsidP="00A26E7A">
            <w:pPr>
              <w:jc w:val="right"/>
              <w:rPr>
                <w:rFonts w:cs="Arial"/>
                <w:b/>
                <w:bCs/>
                <w:color w:val="FFFFFF"/>
                <w:szCs w:val="18"/>
                <w:lang w:eastAsia="en-AU"/>
              </w:rPr>
            </w:pPr>
            <w:r w:rsidRPr="005B52DD">
              <w:rPr>
                <w:b/>
                <w:color w:val="FFFFFF" w:themeColor="background1"/>
              </w:rPr>
              <w:t xml:space="preserve">205,378 </w:t>
            </w:r>
          </w:p>
        </w:tc>
        <w:tc>
          <w:tcPr>
            <w:tcW w:w="994" w:type="dxa"/>
            <w:tcBorders>
              <w:top w:val="nil"/>
              <w:left w:val="nil"/>
              <w:bottom w:val="nil"/>
              <w:right w:val="nil"/>
            </w:tcBorders>
            <w:shd w:val="clear" w:color="000000" w:fill="7F7F7F"/>
            <w:noWrap/>
            <w:vAlign w:val="center"/>
            <w:hideMark/>
          </w:tcPr>
          <w:p w:rsidR="005F66C1" w:rsidRPr="007343D8" w:rsidRDefault="005F66C1" w:rsidP="00A26E7A">
            <w:pPr>
              <w:jc w:val="right"/>
              <w:rPr>
                <w:rFonts w:cs="Arial"/>
                <w:b/>
                <w:bCs/>
                <w:color w:val="FFFFFF"/>
                <w:szCs w:val="18"/>
                <w:lang w:eastAsia="en-AU"/>
              </w:rPr>
            </w:pPr>
            <w:r w:rsidRPr="005B52DD">
              <w:rPr>
                <w:b/>
                <w:color w:val="FFFFFF" w:themeColor="background1"/>
              </w:rPr>
              <w:t xml:space="preserve">262,741 </w:t>
            </w:r>
          </w:p>
        </w:tc>
        <w:tc>
          <w:tcPr>
            <w:tcW w:w="994" w:type="dxa"/>
            <w:tcBorders>
              <w:top w:val="nil"/>
              <w:left w:val="nil"/>
              <w:bottom w:val="nil"/>
            </w:tcBorders>
            <w:shd w:val="clear" w:color="000000" w:fill="7F7F7F"/>
            <w:noWrap/>
            <w:vAlign w:val="center"/>
            <w:hideMark/>
          </w:tcPr>
          <w:p w:rsidR="005F66C1" w:rsidRPr="007343D8" w:rsidRDefault="005F66C1" w:rsidP="00A26E7A">
            <w:pPr>
              <w:jc w:val="right"/>
              <w:rPr>
                <w:rFonts w:cs="Arial"/>
                <w:b/>
                <w:bCs/>
                <w:color w:val="FFFFFF"/>
                <w:szCs w:val="18"/>
                <w:lang w:eastAsia="en-AU"/>
              </w:rPr>
            </w:pPr>
            <w:r w:rsidRPr="005B52DD">
              <w:rPr>
                <w:b/>
                <w:color w:val="FFFFFF" w:themeColor="background1"/>
              </w:rPr>
              <w:t xml:space="preserve">360,978 </w:t>
            </w:r>
          </w:p>
        </w:tc>
        <w:tc>
          <w:tcPr>
            <w:tcW w:w="425" w:type="dxa"/>
            <w:tcBorders>
              <w:top w:val="nil"/>
              <w:left w:val="nil"/>
              <w:bottom w:val="nil"/>
              <w:right w:val="dashSmallGap" w:sz="4" w:space="0" w:color="7F7F7F" w:themeColor="text1" w:themeTint="80"/>
            </w:tcBorders>
            <w:shd w:val="clear" w:color="000000" w:fill="7F7F7F"/>
          </w:tcPr>
          <w:p w:rsidR="005F66C1" w:rsidRPr="005B52DD" w:rsidRDefault="005F66C1" w:rsidP="00A26E7A">
            <w:pPr>
              <w:jc w:val="right"/>
              <w:rPr>
                <w:b/>
                <w:color w:val="FFFFFF" w:themeColor="background1"/>
              </w:rPr>
            </w:pPr>
          </w:p>
        </w:tc>
        <w:tc>
          <w:tcPr>
            <w:tcW w:w="992" w:type="dxa"/>
            <w:tcBorders>
              <w:top w:val="nil"/>
              <w:left w:val="dashSmallGap" w:sz="4" w:space="0" w:color="7F7F7F" w:themeColor="text1" w:themeTint="80"/>
              <w:bottom w:val="nil"/>
              <w:right w:val="nil"/>
            </w:tcBorders>
            <w:shd w:val="clear" w:color="000000" w:fill="7F7F7F"/>
            <w:noWrap/>
            <w:vAlign w:val="center"/>
            <w:hideMark/>
          </w:tcPr>
          <w:p w:rsidR="005F66C1" w:rsidRPr="007343D8" w:rsidRDefault="005F66C1" w:rsidP="00A26E7A">
            <w:pPr>
              <w:jc w:val="right"/>
              <w:rPr>
                <w:rFonts w:cs="Arial"/>
                <w:b/>
                <w:bCs/>
                <w:color w:val="FFFFFF"/>
                <w:szCs w:val="18"/>
                <w:lang w:eastAsia="en-AU"/>
              </w:rPr>
            </w:pPr>
            <w:r w:rsidRPr="005B52DD">
              <w:rPr>
                <w:b/>
                <w:color w:val="FFFFFF" w:themeColor="background1"/>
              </w:rPr>
              <w:t xml:space="preserve">279,536 </w:t>
            </w:r>
          </w:p>
        </w:tc>
        <w:tc>
          <w:tcPr>
            <w:tcW w:w="992" w:type="dxa"/>
            <w:tcBorders>
              <w:top w:val="nil"/>
              <w:left w:val="nil"/>
              <w:bottom w:val="nil"/>
              <w:right w:val="nil"/>
            </w:tcBorders>
            <w:shd w:val="clear" w:color="000000" w:fill="7F7F7F"/>
            <w:noWrap/>
            <w:vAlign w:val="center"/>
            <w:hideMark/>
          </w:tcPr>
          <w:p w:rsidR="005F66C1" w:rsidRPr="007343D8" w:rsidRDefault="005F66C1" w:rsidP="00A26E7A">
            <w:pPr>
              <w:jc w:val="right"/>
              <w:rPr>
                <w:rFonts w:cs="Arial"/>
                <w:b/>
                <w:bCs/>
                <w:color w:val="FFFFFF"/>
                <w:szCs w:val="18"/>
                <w:lang w:eastAsia="en-AU"/>
              </w:rPr>
            </w:pPr>
            <w:r w:rsidRPr="005B52DD">
              <w:rPr>
                <w:b/>
                <w:color w:val="FFFFFF" w:themeColor="background1"/>
              </w:rPr>
              <w:t xml:space="preserve">301,860 </w:t>
            </w:r>
          </w:p>
        </w:tc>
        <w:tc>
          <w:tcPr>
            <w:tcW w:w="993" w:type="dxa"/>
            <w:tcBorders>
              <w:top w:val="nil"/>
              <w:left w:val="nil"/>
              <w:bottom w:val="nil"/>
              <w:right w:val="nil"/>
            </w:tcBorders>
            <w:shd w:val="clear" w:color="000000" w:fill="7F7F7F"/>
            <w:noWrap/>
            <w:vAlign w:val="center"/>
            <w:hideMark/>
          </w:tcPr>
          <w:p w:rsidR="005F66C1" w:rsidRPr="007343D8" w:rsidRDefault="005F66C1" w:rsidP="00A26E7A">
            <w:pPr>
              <w:jc w:val="right"/>
              <w:rPr>
                <w:rFonts w:cs="Arial"/>
                <w:b/>
                <w:bCs/>
                <w:color w:val="FFFFFF"/>
                <w:szCs w:val="18"/>
                <w:lang w:eastAsia="en-AU"/>
              </w:rPr>
            </w:pPr>
            <w:r w:rsidRPr="005B52DD">
              <w:rPr>
                <w:b/>
                <w:color w:val="FFFFFF" w:themeColor="background1"/>
              </w:rPr>
              <w:t xml:space="preserve">270,340 </w:t>
            </w:r>
          </w:p>
        </w:tc>
      </w:tr>
    </w:tbl>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
        <w:gridCol w:w="7649"/>
      </w:tblGrid>
      <w:tr w:rsidR="005E4D75" w:rsidRPr="00913551" w:rsidTr="0033252C">
        <w:trPr>
          <w:trHeight w:val="227"/>
        </w:trPr>
        <w:tc>
          <w:tcPr>
            <w:tcW w:w="431" w:type="dxa"/>
            <w:tcMar>
              <w:top w:w="28" w:type="dxa"/>
              <w:left w:w="0" w:type="dxa"/>
              <w:right w:w="28" w:type="dxa"/>
            </w:tcMar>
          </w:tcPr>
          <w:p w:rsidR="005E4D75" w:rsidRPr="00913551" w:rsidRDefault="005E4D75" w:rsidP="00A26E7A">
            <w:pPr>
              <w:spacing w:after="0" w:line="240" w:lineRule="auto"/>
              <w:jc w:val="right"/>
              <w:rPr>
                <w:color w:val="7F7F7F" w:themeColor="text2"/>
                <w:sz w:val="16"/>
                <w:szCs w:val="16"/>
              </w:rPr>
            </w:pPr>
            <w:r w:rsidRPr="00913551">
              <w:rPr>
                <w:color w:val="7F7F7F" w:themeColor="text2"/>
                <w:sz w:val="16"/>
                <w:szCs w:val="16"/>
              </w:rPr>
              <w:t xml:space="preserve">* </w:t>
            </w:r>
          </w:p>
        </w:tc>
        <w:tc>
          <w:tcPr>
            <w:tcW w:w="7649" w:type="dxa"/>
            <w:tcMar>
              <w:top w:w="28" w:type="dxa"/>
              <w:left w:w="0" w:type="dxa"/>
              <w:right w:w="28" w:type="dxa"/>
            </w:tcMar>
          </w:tcPr>
          <w:p w:rsidR="005E4D75" w:rsidRPr="00913551" w:rsidRDefault="005E4D75" w:rsidP="00A26E7A">
            <w:pPr>
              <w:spacing w:after="0" w:line="240" w:lineRule="auto"/>
              <w:rPr>
                <w:i/>
                <w:color w:val="7F7F7F" w:themeColor="text2"/>
                <w:sz w:val="16"/>
                <w:szCs w:val="16"/>
              </w:rPr>
            </w:pPr>
            <w:r w:rsidRPr="00913551">
              <w:rPr>
                <w:i/>
                <w:sz w:val="16"/>
                <w:szCs w:val="16"/>
              </w:rPr>
              <w:t>Occupations in demand are as defined by the Department of Education &amp; Training.</w:t>
            </w:r>
          </w:p>
        </w:tc>
      </w:tr>
      <w:tr w:rsidR="005E4D75" w:rsidRPr="00913551" w:rsidTr="00A26E7A">
        <w:trPr>
          <w:trHeight w:val="454"/>
        </w:trPr>
        <w:tc>
          <w:tcPr>
            <w:tcW w:w="431" w:type="dxa"/>
            <w:tcMar>
              <w:left w:w="0" w:type="dxa"/>
              <w:right w:w="28" w:type="dxa"/>
            </w:tcMar>
          </w:tcPr>
          <w:p w:rsidR="005E4D75" w:rsidRPr="00913551" w:rsidRDefault="005E4D75" w:rsidP="00A26E7A">
            <w:pPr>
              <w:spacing w:after="0" w:line="240" w:lineRule="auto"/>
              <w:jc w:val="right"/>
              <w:rPr>
                <w:color w:val="7F7F7F" w:themeColor="text2"/>
                <w:sz w:val="16"/>
                <w:szCs w:val="16"/>
              </w:rPr>
            </w:pPr>
            <w:r w:rsidRPr="00913551">
              <w:rPr>
                <w:color w:val="7F7F7F" w:themeColor="text2"/>
                <w:sz w:val="16"/>
                <w:szCs w:val="16"/>
              </w:rPr>
              <w:t>**</w:t>
            </w:r>
          </w:p>
        </w:tc>
        <w:tc>
          <w:tcPr>
            <w:tcW w:w="7649" w:type="dxa"/>
            <w:tcMar>
              <w:left w:w="0" w:type="dxa"/>
              <w:right w:w="28" w:type="dxa"/>
            </w:tcMar>
          </w:tcPr>
          <w:p w:rsidR="005E4D75" w:rsidRPr="00913551" w:rsidRDefault="005E4D75" w:rsidP="00A26E7A">
            <w:pPr>
              <w:pStyle w:val="Note"/>
              <w:rPr>
                <w:i w:val="0"/>
              </w:rPr>
            </w:pPr>
            <w:r w:rsidRPr="00913551">
              <w:t>Totals exclude training in foundation skills, education pathways and low-level courses in languages other than English.</w:t>
            </w:r>
          </w:p>
        </w:tc>
      </w:tr>
    </w:tbl>
    <w:p w:rsidR="002951B9" w:rsidRPr="00A26E7A" w:rsidRDefault="00A26E7A" w:rsidP="004F7D8A">
      <w:pPr>
        <w:rPr>
          <w:i/>
        </w:rPr>
      </w:pPr>
      <w:r w:rsidRPr="00A26E7A">
        <w:rPr>
          <w:i/>
        </w:rPr>
        <w:t>Note there is a break in series between 2012 and 2013, in line with the Department’s update to its list of skill needs in 2013.</w:t>
      </w:r>
    </w:p>
    <w:p w:rsidR="005F66C1" w:rsidRDefault="005F66C1" w:rsidP="004F7D8A"/>
    <w:p w:rsidR="005F66C1" w:rsidRDefault="005F66C1" w:rsidP="004F7D8A"/>
    <w:p w:rsidR="00B15FE6" w:rsidRDefault="00B15FE6">
      <w:r>
        <w:rPr>
          <w:b/>
        </w:rPr>
        <w:br w:type="page"/>
      </w:r>
    </w:p>
    <w:tbl>
      <w:tblPr>
        <w:tblStyle w:val="TableGrid"/>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230"/>
      </w:tblGrid>
      <w:tr w:rsidR="00F14C53" w:rsidTr="004F03CC">
        <w:tc>
          <w:tcPr>
            <w:tcW w:w="1134" w:type="dxa"/>
            <w:tcMar>
              <w:left w:w="0" w:type="dxa"/>
              <w:right w:w="0" w:type="dxa"/>
            </w:tcMar>
          </w:tcPr>
          <w:p w:rsidR="00F14C53" w:rsidRDefault="00F14C53" w:rsidP="0005261F">
            <w:pPr>
              <w:pStyle w:val="Quote"/>
              <w:tabs>
                <w:tab w:val="left" w:pos="1134"/>
              </w:tabs>
              <w:rPr>
                <w:b w:val="0"/>
                <w:color w:val="B41F22" w:themeColor="accent1"/>
              </w:rPr>
            </w:pPr>
            <w:r>
              <w:rPr>
                <w:b w:val="0"/>
                <w:color w:val="B41F22" w:themeColor="accent1"/>
              </w:rPr>
              <w:lastRenderedPageBreak/>
              <w:t xml:space="preserve">Table </w:t>
            </w:r>
            <w:r w:rsidR="0005261F">
              <w:rPr>
                <w:b w:val="0"/>
                <w:color w:val="B41F22" w:themeColor="accent1"/>
              </w:rPr>
              <w:t>4</w:t>
            </w:r>
            <w:r>
              <w:rPr>
                <w:b w:val="0"/>
                <w:color w:val="B41F22" w:themeColor="accent1"/>
              </w:rPr>
              <w:t>.2.2:</w:t>
            </w:r>
          </w:p>
        </w:tc>
        <w:tc>
          <w:tcPr>
            <w:tcW w:w="7230" w:type="dxa"/>
            <w:tcMar>
              <w:left w:w="0" w:type="dxa"/>
              <w:right w:w="0" w:type="dxa"/>
            </w:tcMar>
          </w:tcPr>
          <w:p w:rsidR="00F14C53" w:rsidRDefault="00F14C53" w:rsidP="004F03CC">
            <w:pPr>
              <w:pStyle w:val="Quote"/>
              <w:tabs>
                <w:tab w:val="left" w:pos="1134"/>
              </w:tabs>
              <w:rPr>
                <w:b w:val="0"/>
                <w:color w:val="B41F22" w:themeColor="accent1"/>
              </w:rPr>
            </w:pPr>
            <w:r w:rsidRPr="007343D8">
              <w:rPr>
                <w:b w:val="0"/>
                <w:color w:val="B41F22" w:themeColor="accent1"/>
              </w:rPr>
              <w:t>Government subsidised</w:t>
            </w:r>
            <w:r>
              <w:rPr>
                <w:b w:val="0"/>
                <w:color w:val="B41F22" w:themeColor="accent1"/>
              </w:rPr>
              <w:t xml:space="preserve"> industry-aligned</w:t>
            </w:r>
            <w:r w:rsidRPr="007343D8">
              <w:rPr>
                <w:b w:val="0"/>
                <w:color w:val="B41F22" w:themeColor="accent1"/>
              </w:rPr>
              <w:t xml:space="preserve"> course enrolments </w:t>
            </w:r>
            <w:r>
              <w:rPr>
                <w:b w:val="0"/>
                <w:color w:val="B41F22" w:themeColor="accent1"/>
              </w:rPr>
              <w:t>related to specialised occupations</w:t>
            </w:r>
            <w:r w:rsidRPr="007343D8">
              <w:rPr>
                <w:b w:val="0"/>
                <w:color w:val="B41F22" w:themeColor="accent1"/>
              </w:rPr>
              <w:t>, 2010 to 2015 (half year)</w:t>
            </w:r>
          </w:p>
        </w:tc>
      </w:tr>
    </w:tbl>
    <w:tbl>
      <w:tblPr>
        <w:tblW w:w="8115" w:type="dxa"/>
        <w:tblInd w:w="93" w:type="dxa"/>
        <w:tblLayout w:type="fixed"/>
        <w:tblLook w:val="04A0" w:firstRow="1" w:lastRow="0" w:firstColumn="1" w:lastColumn="0" w:noHBand="0" w:noVBand="1"/>
      </w:tblPr>
      <w:tblGrid>
        <w:gridCol w:w="1910"/>
        <w:gridCol w:w="979"/>
        <w:gridCol w:w="980"/>
        <w:gridCol w:w="979"/>
        <w:gridCol w:w="980"/>
        <w:gridCol w:w="283"/>
        <w:gridCol w:w="1073"/>
        <w:gridCol w:w="931"/>
      </w:tblGrid>
      <w:tr w:rsidR="00090D3D" w:rsidRPr="007343D8" w:rsidTr="00090D3D">
        <w:trPr>
          <w:trHeight w:val="307"/>
        </w:trPr>
        <w:tc>
          <w:tcPr>
            <w:tcW w:w="1910" w:type="dxa"/>
            <w:tcBorders>
              <w:top w:val="nil"/>
              <w:left w:val="nil"/>
              <w:bottom w:val="nil"/>
              <w:right w:val="nil"/>
            </w:tcBorders>
            <w:shd w:val="clear" w:color="000000" w:fill="7F7F7F"/>
            <w:noWrap/>
            <w:vAlign w:val="center"/>
            <w:hideMark/>
          </w:tcPr>
          <w:p w:rsidR="00090D3D" w:rsidRPr="007343D8" w:rsidRDefault="00090D3D" w:rsidP="004F03CC">
            <w:pPr>
              <w:rPr>
                <w:rFonts w:cs="Arial"/>
                <w:color w:val="FFFFFF"/>
                <w:szCs w:val="18"/>
                <w:lang w:eastAsia="en-AU"/>
              </w:rPr>
            </w:pPr>
            <w:r w:rsidRPr="007343D8">
              <w:rPr>
                <w:rFonts w:cs="Arial"/>
                <w:color w:val="FFFFFF"/>
                <w:szCs w:val="18"/>
                <w:lang w:eastAsia="en-AU"/>
              </w:rPr>
              <w:t> </w:t>
            </w:r>
          </w:p>
        </w:tc>
        <w:tc>
          <w:tcPr>
            <w:tcW w:w="979" w:type="dxa"/>
            <w:tcBorders>
              <w:top w:val="nil"/>
              <w:left w:val="nil"/>
              <w:bottom w:val="nil"/>
              <w:right w:val="nil"/>
            </w:tcBorders>
            <w:shd w:val="clear" w:color="000000" w:fill="7F7F7F"/>
            <w:noWrap/>
            <w:vAlign w:val="center"/>
            <w:hideMark/>
          </w:tcPr>
          <w:p w:rsidR="00090D3D" w:rsidRPr="007343D8" w:rsidRDefault="00090D3D" w:rsidP="004F03CC">
            <w:pPr>
              <w:jc w:val="right"/>
              <w:rPr>
                <w:rFonts w:cs="Arial"/>
                <w:b/>
                <w:bCs/>
                <w:color w:val="FFFFFF"/>
                <w:szCs w:val="18"/>
                <w:lang w:eastAsia="en-AU"/>
              </w:rPr>
            </w:pPr>
            <w:r w:rsidRPr="007343D8">
              <w:rPr>
                <w:rFonts w:cs="Arial"/>
                <w:b/>
                <w:bCs/>
                <w:color w:val="FFFFFF"/>
                <w:szCs w:val="18"/>
                <w:lang w:eastAsia="en-AU"/>
              </w:rPr>
              <w:t>2010</w:t>
            </w:r>
          </w:p>
        </w:tc>
        <w:tc>
          <w:tcPr>
            <w:tcW w:w="980" w:type="dxa"/>
            <w:tcBorders>
              <w:top w:val="nil"/>
              <w:left w:val="nil"/>
              <w:bottom w:val="nil"/>
              <w:right w:val="nil"/>
            </w:tcBorders>
            <w:shd w:val="clear" w:color="000000" w:fill="7F7F7F"/>
            <w:noWrap/>
            <w:vAlign w:val="center"/>
            <w:hideMark/>
          </w:tcPr>
          <w:p w:rsidR="00090D3D" w:rsidRPr="007343D8" w:rsidRDefault="00090D3D" w:rsidP="004F03CC">
            <w:pPr>
              <w:jc w:val="right"/>
              <w:rPr>
                <w:rFonts w:cs="Arial"/>
                <w:b/>
                <w:bCs/>
                <w:color w:val="FFFFFF"/>
                <w:szCs w:val="18"/>
                <w:lang w:eastAsia="en-AU"/>
              </w:rPr>
            </w:pPr>
            <w:r w:rsidRPr="007343D8">
              <w:rPr>
                <w:rFonts w:cs="Arial"/>
                <w:b/>
                <w:bCs/>
                <w:color w:val="FFFFFF"/>
                <w:szCs w:val="18"/>
                <w:lang w:eastAsia="en-AU"/>
              </w:rPr>
              <w:t>2011</w:t>
            </w:r>
          </w:p>
        </w:tc>
        <w:tc>
          <w:tcPr>
            <w:tcW w:w="979" w:type="dxa"/>
            <w:tcBorders>
              <w:top w:val="nil"/>
              <w:left w:val="nil"/>
              <w:bottom w:val="nil"/>
              <w:right w:val="nil"/>
            </w:tcBorders>
            <w:shd w:val="clear" w:color="000000" w:fill="7F7F7F"/>
            <w:noWrap/>
            <w:vAlign w:val="center"/>
            <w:hideMark/>
          </w:tcPr>
          <w:p w:rsidR="00090D3D" w:rsidRPr="007343D8" w:rsidRDefault="00090D3D" w:rsidP="004F03CC">
            <w:pPr>
              <w:jc w:val="right"/>
              <w:rPr>
                <w:rFonts w:cs="Arial"/>
                <w:b/>
                <w:bCs/>
                <w:color w:val="FFFFFF"/>
                <w:szCs w:val="18"/>
                <w:lang w:eastAsia="en-AU"/>
              </w:rPr>
            </w:pPr>
            <w:r w:rsidRPr="007343D8">
              <w:rPr>
                <w:rFonts w:cs="Arial"/>
                <w:b/>
                <w:bCs/>
                <w:color w:val="FFFFFF"/>
                <w:szCs w:val="18"/>
                <w:lang w:eastAsia="en-AU"/>
              </w:rPr>
              <w:t>2012</w:t>
            </w:r>
          </w:p>
        </w:tc>
        <w:tc>
          <w:tcPr>
            <w:tcW w:w="980" w:type="dxa"/>
            <w:tcBorders>
              <w:top w:val="nil"/>
              <w:left w:val="nil"/>
              <w:bottom w:val="nil"/>
            </w:tcBorders>
            <w:shd w:val="clear" w:color="000000" w:fill="7F7F7F"/>
            <w:noWrap/>
            <w:vAlign w:val="center"/>
            <w:hideMark/>
          </w:tcPr>
          <w:p w:rsidR="00090D3D" w:rsidRPr="007343D8" w:rsidRDefault="00090D3D" w:rsidP="004F03CC">
            <w:pPr>
              <w:jc w:val="right"/>
              <w:rPr>
                <w:rFonts w:cs="Arial"/>
                <w:b/>
                <w:bCs/>
                <w:color w:val="FFFFFF"/>
                <w:szCs w:val="18"/>
                <w:lang w:eastAsia="en-AU"/>
              </w:rPr>
            </w:pPr>
            <w:r w:rsidRPr="007343D8">
              <w:rPr>
                <w:rFonts w:cs="Arial"/>
                <w:b/>
                <w:bCs/>
                <w:color w:val="FFFFFF"/>
                <w:szCs w:val="18"/>
                <w:lang w:eastAsia="en-AU"/>
              </w:rPr>
              <w:t>2013</w:t>
            </w:r>
          </w:p>
        </w:tc>
        <w:tc>
          <w:tcPr>
            <w:tcW w:w="283" w:type="dxa"/>
            <w:tcBorders>
              <w:top w:val="nil"/>
              <w:left w:val="nil"/>
              <w:bottom w:val="nil"/>
              <w:right w:val="dashSmallGap" w:sz="4" w:space="0" w:color="7F7F7F" w:themeColor="text1" w:themeTint="80"/>
            </w:tcBorders>
            <w:shd w:val="clear" w:color="000000" w:fill="7F7F7F"/>
          </w:tcPr>
          <w:p w:rsidR="00090D3D" w:rsidRPr="007343D8" w:rsidRDefault="00090D3D" w:rsidP="004F03CC">
            <w:pPr>
              <w:jc w:val="right"/>
              <w:rPr>
                <w:rFonts w:cs="Arial"/>
                <w:b/>
                <w:bCs/>
                <w:color w:val="FFFFFF"/>
                <w:szCs w:val="18"/>
                <w:lang w:eastAsia="en-AU"/>
              </w:rPr>
            </w:pPr>
          </w:p>
        </w:tc>
        <w:tc>
          <w:tcPr>
            <w:tcW w:w="1073" w:type="dxa"/>
            <w:tcBorders>
              <w:top w:val="nil"/>
              <w:left w:val="dashSmallGap" w:sz="4" w:space="0" w:color="7F7F7F" w:themeColor="text1" w:themeTint="80"/>
              <w:bottom w:val="nil"/>
              <w:right w:val="nil"/>
            </w:tcBorders>
            <w:shd w:val="clear" w:color="000000" w:fill="7F7F7F"/>
            <w:noWrap/>
            <w:vAlign w:val="center"/>
            <w:hideMark/>
          </w:tcPr>
          <w:p w:rsidR="00090D3D" w:rsidRPr="007343D8" w:rsidRDefault="00090D3D" w:rsidP="004F03CC">
            <w:pPr>
              <w:jc w:val="right"/>
              <w:rPr>
                <w:rFonts w:cs="Arial"/>
                <w:b/>
                <w:bCs/>
                <w:color w:val="FFFFFF"/>
                <w:szCs w:val="18"/>
                <w:lang w:eastAsia="en-AU"/>
              </w:rPr>
            </w:pPr>
            <w:r w:rsidRPr="007343D8">
              <w:rPr>
                <w:rFonts w:cs="Arial"/>
                <w:b/>
                <w:bCs/>
                <w:color w:val="FFFFFF"/>
                <w:szCs w:val="18"/>
                <w:lang w:eastAsia="en-AU"/>
              </w:rPr>
              <w:t>2014</w:t>
            </w:r>
          </w:p>
        </w:tc>
        <w:tc>
          <w:tcPr>
            <w:tcW w:w="931" w:type="dxa"/>
            <w:tcBorders>
              <w:top w:val="nil"/>
              <w:left w:val="nil"/>
              <w:bottom w:val="nil"/>
              <w:right w:val="nil"/>
            </w:tcBorders>
            <w:shd w:val="clear" w:color="000000" w:fill="7F7F7F"/>
            <w:noWrap/>
            <w:vAlign w:val="center"/>
            <w:hideMark/>
          </w:tcPr>
          <w:p w:rsidR="00090D3D" w:rsidRPr="007343D8" w:rsidRDefault="00090D3D" w:rsidP="004F03CC">
            <w:pPr>
              <w:jc w:val="right"/>
              <w:rPr>
                <w:rFonts w:cs="Arial"/>
                <w:b/>
                <w:bCs/>
                <w:color w:val="FFFFFF"/>
                <w:szCs w:val="18"/>
                <w:lang w:eastAsia="en-AU"/>
              </w:rPr>
            </w:pPr>
            <w:r w:rsidRPr="007343D8">
              <w:rPr>
                <w:rFonts w:cs="Arial"/>
                <w:b/>
                <w:bCs/>
                <w:color w:val="FFFFFF"/>
                <w:szCs w:val="18"/>
                <w:lang w:eastAsia="en-AU"/>
              </w:rPr>
              <w:t>2015</w:t>
            </w:r>
          </w:p>
        </w:tc>
      </w:tr>
      <w:tr w:rsidR="00090D3D" w:rsidRPr="007343D8" w:rsidTr="00090D3D">
        <w:trPr>
          <w:trHeight w:val="307"/>
        </w:trPr>
        <w:tc>
          <w:tcPr>
            <w:tcW w:w="1910" w:type="dxa"/>
            <w:tcBorders>
              <w:top w:val="nil"/>
              <w:left w:val="nil"/>
              <w:bottom w:val="nil"/>
              <w:right w:val="nil"/>
            </w:tcBorders>
            <w:shd w:val="clear" w:color="auto" w:fill="auto"/>
            <w:noWrap/>
            <w:vAlign w:val="center"/>
            <w:hideMark/>
          </w:tcPr>
          <w:p w:rsidR="00090D3D" w:rsidRPr="007343D8" w:rsidRDefault="00090D3D" w:rsidP="004F03CC">
            <w:pPr>
              <w:rPr>
                <w:rFonts w:cs="Arial"/>
                <w:color w:val="7F7F7F"/>
                <w:szCs w:val="18"/>
                <w:lang w:eastAsia="en-AU"/>
              </w:rPr>
            </w:pPr>
            <w:r>
              <w:rPr>
                <w:rFonts w:cs="Arial"/>
                <w:color w:val="7F7F7F"/>
                <w:szCs w:val="18"/>
                <w:lang w:eastAsia="en-AU"/>
              </w:rPr>
              <w:t>Specialised occupations*</w:t>
            </w:r>
          </w:p>
        </w:tc>
        <w:tc>
          <w:tcPr>
            <w:tcW w:w="979" w:type="dxa"/>
            <w:tcBorders>
              <w:top w:val="nil"/>
              <w:left w:val="nil"/>
              <w:bottom w:val="nil"/>
              <w:right w:val="nil"/>
            </w:tcBorders>
            <w:shd w:val="clear" w:color="auto" w:fill="auto"/>
            <w:noWrap/>
            <w:vAlign w:val="center"/>
            <w:hideMark/>
          </w:tcPr>
          <w:p w:rsidR="00090D3D" w:rsidRPr="007343D8" w:rsidRDefault="00090D3D" w:rsidP="004F03CC">
            <w:pPr>
              <w:jc w:val="right"/>
              <w:rPr>
                <w:rFonts w:cs="Arial"/>
                <w:color w:val="7F7F7F"/>
                <w:szCs w:val="18"/>
                <w:lang w:eastAsia="en-AU"/>
              </w:rPr>
            </w:pPr>
            <w:r w:rsidRPr="00D65D3A">
              <w:t xml:space="preserve"> 44,849 </w:t>
            </w:r>
          </w:p>
        </w:tc>
        <w:tc>
          <w:tcPr>
            <w:tcW w:w="980" w:type="dxa"/>
            <w:tcBorders>
              <w:top w:val="nil"/>
              <w:left w:val="nil"/>
              <w:bottom w:val="nil"/>
              <w:right w:val="nil"/>
            </w:tcBorders>
            <w:shd w:val="clear" w:color="auto" w:fill="auto"/>
            <w:noWrap/>
            <w:vAlign w:val="center"/>
            <w:hideMark/>
          </w:tcPr>
          <w:p w:rsidR="00090D3D" w:rsidRPr="007343D8" w:rsidRDefault="00090D3D" w:rsidP="004F03CC">
            <w:pPr>
              <w:jc w:val="right"/>
              <w:rPr>
                <w:rFonts w:cs="Arial"/>
                <w:color w:val="7F7F7F"/>
                <w:szCs w:val="18"/>
                <w:lang w:eastAsia="en-AU"/>
              </w:rPr>
            </w:pPr>
            <w:r w:rsidRPr="00D65D3A">
              <w:t xml:space="preserve"> 50,024 </w:t>
            </w:r>
          </w:p>
        </w:tc>
        <w:tc>
          <w:tcPr>
            <w:tcW w:w="979" w:type="dxa"/>
            <w:tcBorders>
              <w:top w:val="nil"/>
              <w:left w:val="nil"/>
              <w:bottom w:val="nil"/>
              <w:right w:val="nil"/>
            </w:tcBorders>
            <w:shd w:val="clear" w:color="auto" w:fill="auto"/>
            <w:noWrap/>
            <w:vAlign w:val="center"/>
            <w:hideMark/>
          </w:tcPr>
          <w:p w:rsidR="00090D3D" w:rsidRPr="007343D8" w:rsidRDefault="00090D3D" w:rsidP="004F03CC">
            <w:pPr>
              <w:jc w:val="right"/>
              <w:rPr>
                <w:rFonts w:cs="Arial"/>
                <w:color w:val="7F7F7F"/>
                <w:szCs w:val="18"/>
                <w:lang w:eastAsia="en-AU"/>
              </w:rPr>
            </w:pPr>
            <w:r w:rsidRPr="00D65D3A">
              <w:t xml:space="preserve"> 57,020 </w:t>
            </w:r>
          </w:p>
        </w:tc>
        <w:tc>
          <w:tcPr>
            <w:tcW w:w="980" w:type="dxa"/>
            <w:tcBorders>
              <w:top w:val="nil"/>
              <w:left w:val="nil"/>
              <w:bottom w:val="nil"/>
            </w:tcBorders>
            <w:shd w:val="clear" w:color="auto" w:fill="auto"/>
            <w:noWrap/>
            <w:vAlign w:val="center"/>
            <w:hideMark/>
          </w:tcPr>
          <w:p w:rsidR="00090D3D" w:rsidRPr="007343D8" w:rsidRDefault="00090D3D" w:rsidP="004F03CC">
            <w:pPr>
              <w:jc w:val="right"/>
              <w:rPr>
                <w:rFonts w:cs="Arial"/>
                <w:color w:val="7F7F7F"/>
                <w:szCs w:val="18"/>
                <w:lang w:eastAsia="en-AU"/>
              </w:rPr>
            </w:pPr>
            <w:r w:rsidRPr="00D65D3A">
              <w:t xml:space="preserve"> 57,980 </w:t>
            </w:r>
          </w:p>
        </w:tc>
        <w:tc>
          <w:tcPr>
            <w:tcW w:w="283" w:type="dxa"/>
            <w:tcBorders>
              <w:top w:val="nil"/>
              <w:left w:val="nil"/>
              <w:bottom w:val="nil"/>
              <w:right w:val="dashSmallGap" w:sz="4" w:space="0" w:color="7F7F7F" w:themeColor="text1" w:themeTint="80"/>
            </w:tcBorders>
          </w:tcPr>
          <w:p w:rsidR="00090D3D" w:rsidRPr="00D65D3A" w:rsidRDefault="00090D3D" w:rsidP="004F03CC">
            <w:pPr>
              <w:jc w:val="right"/>
            </w:pPr>
          </w:p>
        </w:tc>
        <w:tc>
          <w:tcPr>
            <w:tcW w:w="1073" w:type="dxa"/>
            <w:tcBorders>
              <w:top w:val="nil"/>
              <w:left w:val="dashSmallGap" w:sz="4" w:space="0" w:color="7F7F7F" w:themeColor="text1" w:themeTint="80"/>
              <w:bottom w:val="nil"/>
              <w:right w:val="nil"/>
            </w:tcBorders>
            <w:shd w:val="clear" w:color="auto" w:fill="auto"/>
            <w:noWrap/>
            <w:vAlign w:val="center"/>
            <w:hideMark/>
          </w:tcPr>
          <w:p w:rsidR="00090D3D" w:rsidRPr="007343D8" w:rsidRDefault="00090D3D" w:rsidP="004F03CC">
            <w:pPr>
              <w:jc w:val="right"/>
              <w:rPr>
                <w:rFonts w:cs="Arial"/>
                <w:color w:val="7F7F7F"/>
                <w:szCs w:val="18"/>
                <w:lang w:eastAsia="en-AU"/>
              </w:rPr>
            </w:pPr>
            <w:r w:rsidRPr="00D65D3A">
              <w:t xml:space="preserve"> 92,058 </w:t>
            </w:r>
          </w:p>
        </w:tc>
        <w:tc>
          <w:tcPr>
            <w:tcW w:w="931" w:type="dxa"/>
            <w:tcBorders>
              <w:top w:val="nil"/>
              <w:left w:val="nil"/>
              <w:bottom w:val="nil"/>
              <w:right w:val="nil"/>
            </w:tcBorders>
            <w:shd w:val="clear" w:color="auto" w:fill="auto"/>
            <w:noWrap/>
            <w:vAlign w:val="center"/>
            <w:hideMark/>
          </w:tcPr>
          <w:p w:rsidR="00090D3D" w:rsidRPr="007343D8" w:rsidRDefault="00090D3D" w:rsidP="004F03CC">
            <w:pPr>
              <w:jc w:val="right"/>
              <w:rPr>
                <w:rFonts w:cs="Arial"/>
                <w:color w:val="7F7F7F"/>
                <w:szCs w:val="18"/>
                <w:lang w:eastAsia="en-AU"/>
              </w:rPr>
            </w:pPr>
            <w:r w:rsidRPr="00D65D3A">
              <w:t xml:space="preserve"> 90,857 </w:t>
            </w:r>
          </w:p>
        </w:tc>
      </w:tr>
      <w:tr w:rsidR="00090D3D" w:rsidRPr="007343D8" w:rsidTr="00090D3D">
        <w:trPr>
          <w:trHeight w:val="307"/>
        </w:trPr>
        <w:tc>
          <w:tcPr>
            <w:tcW w:w="1910" w:type="dxa"/>
            <w:tcBorders>
              <w:top w:val="nil"/>
              <w:left w:val="nil"/>
              <w:bottom w:val="nil"/>
              <w:right w:val="nil"/>
            </w:tcBorders>
            <w:shd w:val="clear" w:color="auto" w:fill="auto"/>
            <w:noWrap/>
            <w:vAlign w:val="center"/>
            <w:hideMark/>
          </w:tcPr>
          <w:p w:rsidR="00090D3D" w:rsidRPr="007343D8" w:rsidRDefault="00090D3D" w:rsidP="004F03CC">
            <w:pPr>
              <w:rPr>
                <w:rFonts w:cs="Arial"/>
                <w:color w:val="7F7F7F"/>
                <w:szCs w:val="18"/>
                <w:lang w:eastAsia="en-AU"/>
              </w:rPr>
            </w:pPr>
            <w:r>
              <w:rPr>
                <w:rFonts w:cs="Arial"/>
                <w:color w:val="7F7F7F"/>
                <w:szCs w:val="18"/>
                <w:lang w:eastAsia="en-AU"/>
              </w:rPr>
              <w:t>Other occupations</w:t>
            </w:r>
          </w:p>
        </w:tc>
        <w:tc>
          <w:tcPr>
            <w:tcW w:w="979" w:type="dxa"/>
            <w:tcBorders>
              <w:top w:val="nil"/>
              <w:left w:val="nil"/>
              <w:bottom w:val="nil"/>
              <w:right w:val="nil"/>
            </w:tcBorders>
            <w:shd w:val="clear" w:color="auto" w:fill="auto"/>
            <w:noWrap/>
            <w:vAlign w:val="center"/>
            <w:hideMark/>
          </w:tcPr>
          <w:p w:rsidR="00090D3D" w:rsidRPr="007343D8" w:rsidRDefault="00090D3D" w:rsidP="004F03CC">
            <w:pPr>
              <w:jc w:val="right"/>
              <w:rPr>
                <w:rFonts w:cs="Arial"/>
                <w:color w:val="7F7F7F"/>
                <w:szCs w:val="18"/>
                <w:lang w:eastAsia="en-AU"/>
              </w:rPr>
            </w:pPr>
            <w:r w:rsidRPr="00E06A8D">
              <w:t>160,529</w:t>
            </w:r>
          </w:p>
        </w:tc>
        <w:tc>
          <w:tcPr>
            <w:tcW w:w="980" w:type="dxa"/>
            <w:tcBorders>
              <w:top w:val="nil"/>
              <w:left w:val="nil"/>
              <w:bottom w:val="nil"/>
              <w:right w:val="nil"/>
            </w:tcBorders>
            <w:shd w:val="clear" w:color="auto" w:fill="auto"/>
            <w:noWrap/>
            <w:vAlign w:val="center"/>
            <w:hideMark/>
          </w:tcPr>
          <w:p w:rsidR="00090D3D" w:rsidRPr="007343D8" w:rsidRDefault="00090D3D" w:rsidP="004F03CC">
            <w:pPr>
              <w:jc w:val="right"/>
              <w:rPr>
                <w:rFonts w:cs="Arial"/>
                <w:color w:val="7F7F7F"/>
                <w:szCs w:val="18"/>
                <w:lang w:eastAsia="en-AU"/>
              </w:rPr>
            </w:pPr>
            <w:r w:rsidRPr="00E06A8D">
              <w:t>212,717</w:t>
            </w:r>
          </w:p>
        </w:tc>
        <w:tc>
          <w:tcPr>
            <w:tcW w:w="979" w:type="dxa"/>
            <w:tcBorders>
              <w:top w:val="nil"/>
              <w:left w:val="nil"/>
              <w:bottom w:val="nil"/>
              <w:right w:val="nil"/>
            </w:tcBorders>
            <w:shd w:val="clear" w:color="auto" w:fill="auto"/>
            <w:noWrap/>
            <w:vAlign w:val="center"/>
            <w:hideMark/>
          </w:tcPr>
          <w:p w:rsidR="00090D3D" w:rsidRPr="007343D8" w:rsidRDefault="00090D3D" w:rsidP="004F03CC">
            <w:pPr>
              <w:jc w:val="right"/>
              <w:rPr>
                <w:rFonts w:cs="Arial"/>
                <w:color w:val="7F7F7F"/>
                <w:szCs w:val="18"/>
                <w:lang w:eastAsia="en-AU"/>
              </w:rPr>
            </w:pPr>
            <w:r w:rsidRPr="00E06A8D">
              <w:t>303,958</w:t>
            </w:r>
          </w:p>
        </w:tc>
        <w:tc>
          <w:tcPr>
            <w:tcW w:w="980" w:type="dxa"/>
            <w:tcBorders>
              <w:top w:val="nil"/>
              <w:left w:val="nil"/>
            </w:tcBorders>
            <w:shd w:val="clear" w:color="auto" w:fill="auto"/>
            <w:noWrap/>
            <w:vAlign w:val="center"/>
            <w:hideMark/>
          </w:tcPr>
          <w:p w:rsidR="00090D3D" w:rsidRPr="007343D8" w:rsidRDefault="00090D3D" w:rsidP="004F03CC">
            <w:pPr>
              <w:jc w:val="right"/>
              <w:rPr>
                <w:rFonts w:cs="Arial"/>
                <w:color w:val="7F7F7F"/>
                <w:szCs w:val="18"/>
                <w:lang w:eastAsia="en-AU"/>
              </w:rPr>
            </w:pPr>
            <w:r w:rsidRPr="00E06A8D">
              <w:t>221,556</w:t>
            </w:r>
          </w:p>
        </w:tc>
        <w:tc>
          <w:tcPr>
            <w:tcW w:w="283" w:type="dxa"/>
            <w:tcBorders>
              <w:top w:val="nil"/>
              <w:left w:val="nil"/>
              <w:right w:val="dashSmallGap" w:sz="4" w:space="0" w:color="7F7F7F" w:themeColor="text1" w:themeTint="80"/>
            </w:tcBorders>
          </w:tcPr>
          <w:p w:rsidR="00090D3D" w:rsidRPr="00E06A8D" w:rsidRDefault="00090D3D" w:rsidP="004F03CC">
            <w:pPr>
              <w:jc w:val="right"/>
            </w:pPr>
          </w:p>
        </w:tc>
        <w:tc>
          <w:tcPr>
            <w:tcW w:w="1073" w:type="dxa"/>
            <w:tcBorders>
              <w:top w:val="nil"/>
              <w:left w:val="dashSmallGap" w:sz="4" w:space="0" w:color="7F7F7F" w:themeColor="text1" w:themeTint="80"/>
              <w:right w:val="nil"/>
            </w:tcBorders>
            <w:shd w:val="clear" w:color="auto" w:fill="auto"/>
            <w:noWrap/>
            <w:vAlign w:val="center"/>
            <w:hideMark/>
          </w:tcPr>
          <w:p w:rsidR="00090D3D" w:rsidRPr="007343D8" w:rsidRDefault="00090D3D" w:rsidP="004F03CC">
            <w:pPr>
              <w:jc w:val="right"/>
              <w:rPr>
                <w:rFonts w:cs="Arial"/>
                <w:color w:val="7F7F7F"/>
                <w:szCs w:val="18"/>
                <w:lang w:eastAsia="en-AU"/>
              </w:rPr>
            </w:pPr>
            <w:r w:rsidRPr="00E06A8D">
              <w:t>239,126</w:t>
            </w:r>
          </w:p>
        </w:tc>
        <w:tc>
          <w:tcPr>
            <w:tcW w:w="931" w:type="dxa"/>
            <w:tcBorders>
              <w:top w:val="nil"/>
              <w:left w:val="nil"/>
              <w:bottom w:val="nil"/>
              <w:right w:val="nil"/>
            </w:tcBorders>
            <w:shd w:val="clear" w:color="auto" w:fill="auto"/>
            <w:noWrap/>
            <w:vAlign w:val="center"/>
            <w:hideMark/>
          </w:tcPr>
          <w:p w:rsidR="00090D3D" w:rsidRPr="007343D8" w:rsidRDefault="00090D3D" w:rsidP="004F03CC">
            <w:pPr>
              <w:jc w:val="right"/>
              <w:rPr>
                <w:rFonts w:cs="Arial"/>
                <w:color w:val="7F7F7F"/>
                <w:szCs w:val="18"/>
                <w:lang w:eastAsia="en-AU"/>
              </w:rPr>
            </w:pPr>
            <w:r w:rsidRPr="00E06A8D">
              <w:t>205,918</w:t>
            </w:r>
          </w:p>
        </w:tc>
      </w:tr>
      <w:tr w:rsidR="00090D3D" w:rsidRPr="007343D8" w:rsidTr="00090D3D">
        <w:trPr>
          <w:trHeight w:val="307"/>
        </w:trPr>
        <w:tc>
          <w:tcPr>
            <w:tcW w:w="1910" w:type="dxa"/>
            <w:tcBorders>
              <w:top w:val="nil"/>
              <w:left w:val="nil"/>
              <w:bottom w:val="nil"/>
              <w:right w:val="nil"/>
            </w:tcBorders>
            <w:shd w:val="clear" w:color="000000" w:fill="7F7F7F"/>
            <w:noWrap/>
            <w:vAlign w:val="center"/>
            <w:hideMark/>
          </w:tcPr>
          <w:p w:rsidR="00090D3D" w:rsidRPr="007343D8" w:rsidRDefault="00090D3D" w:rsidP="004F03CC">
            <w:pPr>
              <w:rPr>
                <w:rFonts w:cs="Arial"/>
                <w:b/>
                <w:bCs/>
                <w:color w:val="FFFFFF"/>
                <w:szCs w:val="18"/>
                <w:lang w:eastAsia="en-AU"/>
              </w:rPr>
            </w:pPr>
            <w:r w:rsidRPr="007343D8">
              <w:rPr>
                <w:rFonts w:cs="Arial"/>
                <w:b/>
                <w:bCs/>
                <w:color w:val="FFFFFF"/>
                <w:szCs w:val="18"/>
                <w:lang w:eastAsia="en-AU"/>
              </w:rPr>
              <w:t>Total</w:t>
            </w:r>
            <w:r>
              <w:rPr>
                <w:rFonts w:cs="Arial"/>
                <w:b/>
                <w:bCs/>
                <w:color w:val="FFFFFF"/>
                <w:szCs w:val="18"/>
                <w:lang w:eastAsia="en-AU"/>
              </w:rPr>
              <w:t>**</w:t>
            </w:r>
          </w:p>
        </w:tc>
        <w:tc>
          <w:tcPr>
            <w:tcW w:w="979" w:type="dxa"/>
            <w:tcBorders>
              <w:top w:val="nil"/>
              <w:left w:val="nil"/>
              <w:bottom w:val="nil"/>
              <w:right w:val="nil"/>
            </w:tcBorders>
            <w:shd w:val="clear" w:color="000000" w:fill="7F7F7F"/>
            <w:noWrap/>
            <w:vAlign w:val="center"/>
            <w:hideMark/>
          </w:tcPr>
          <w:p w:rsidR="00090D3D" w:rsidRPr="007343D8" w:rsidRDefault="00090D3D" w:rsidP="004F03CC">
            <w:pPr>
              <w:jc w:val="right"/>
              <w:rPr>
                <w:rFonts w:cs="Arial"/>
                <w:b/>
                <w:bCs/>
                <w:color w:val="FFFFFF"/>
                <w:szCs w:val="18"/>
                <w:lang w:eastAsia="en-AU"/>
              </w:rPr>
            </w:pPr>
            <w:r w:rsidRPr="005B52DD">
              <w:rPr>
                <w:b/>
                <w:color w:val="FFFFFF" w:themeColor="background1"/>
              </w:rPr>
              <w:t xml:space="preserve">205,378 </w:t>
            </w:r>
          </w:p>
        </w:tc>
        <w:tc>
          <w:tcPr>
            <w:tcW w:w="980" w:type="dxa"/>
            <w:tcBorders>
              <w:top w:val="nil"/>
              <w:left w:val="nil"/>
              <w:bottom w:val="nil"/>
              <w:right w:val="nil"/>
            </w:tcBorders>
            <w:shd w:val="clear" w:color="000000" w:fill="7F7F7F"/>
            <w:noWrap/>
            <w:vAlign w:val="center"/>
            <w:hideMark/>
          </w:tcPr>
          <w:p w:rsidR="00090D3D" w:rsidRPr="007343D8" w:rsidRDefault="00090D3D" w:rsidP="004F03CC">
            <w:pPr>
              <w:jc w:val="right"/>
              <w:rPr>
                <w:rFonts w:cs="Arial"/>
                <w:b/>
                <w:bCs/>
                <w:color w:val="FFFFFF"/>
                <w:szCs w:val="18"/>
                <w:lang w:eastAsia="en-AU"/>
              </w:rPr>
            </w:pPr>
            <w:r w:rsidRPr="005B52DD">
              <w:rPr>
                <w:b/>
                <w:color w:val="FFFFFF" w:themeColor="background1"/>
              </w:rPr>
              <w:t xml:space="preserve">262,741 </w:t>
            </w:r>
          </w:p>
        </w:tc>
        <w:tc>
          <w:tcPr>
            <w:tcW w:w="979" w:type="dxa"/>
            <w:tcBorders>
              <w:top w:val="nil"/>
              <w:left w:val="nil"/>
              <w:bottom w:val="nil"/>
              <w:right w:val="nil"/>
            </w:tcBorders>
            <w:shd w:val="clear" w:color="000000" w:fill="7F7F7F"/>
            <w:noWrap/>
            <w:vAlign w:val="center"/>
            <w:hideMark/>
          </w:tcPr>
          <w:p w:rsidR="00090D3D" w:rsidRPr="007343D8" w:rsidRDefault="00090D3D" w:rsidP="004F03CC">
            <w:pPr>
              <w:jc w:val="right"/>
              <w:rPr>
                <w:rFonts w:cs="Arial"/>
                <w:b/>
                <w:bCs/>
                <w:color w:val="FFFFFF"/>
                <w:szCs w:val="18"/>
                <w:lang w:eastAsia="en-AU"/>
              </w:rPr>
            </w:pPr>
            <w:r w:rsidRPr="005B52DD">
              <w:rPr>
                <w:b/>
                <w:color w:val="FFFFFF" w:themeColor="background1"/>
              </w:rPr>
              <w:t xml:space="preserve">360,978 </w:t>
            </w:r>
          </w:p>
        </w:tc>
        <w:tc>
          <w:tcPr>
            <w:tcW w:w="980" w:type="dxa"/>
            <w:tcBorders>
              <w:top w:val="nil"/>
              <w:left w:val="nil"/>
              <w:bottom w:val="nil"/>
            </w:tcBorders>
            <w:shd w:val="clear" w:color="000000" w:fill="7F7F7F"/>
            <w:noWrap/>
            <w:vAlign w:val="center"/>
            <w:hideMark/>
          </w:tcPr>
          <w:p w:rsidR="00090D3D" w:rsidRPr="007343D8" w:rsidRDefault="00090D3D" w:rsidP="004F03CC">
            <w:pPr>
              <w:jc w:val="right"/>
              <w:rPr>
                <w:rFonts w:cs="Arial"/>
                <w:b/>
                <w:bCs/>
                <w:color w:val="FFFFFF"/>
                <w:szCs w:val="18"/>
                <w:lang w:eastAsia="en-AU"/>
              </w:rPr>
            </w:pPr>
            <w:r w:rsidRPr="005B52DD">
              <w:rPr>
                <w:b/>
                <w:color w:val="FFFFFF" w:themeColor="background1"/>
              </w:rPr>
              <w:t xml:space="preserve">279,536 </w:t>
            </w:r>
          </w:p>
        </w:tc>
        <w:tc>
          <w:tcPr>
            <w:tcW w:w="283" w:type="dxa"/>
            <w:tcBorders>
              <w:top w:val="nil"/>
              <w:left w:val="nil"/>
              <w:bottom w:val="nil"/>
              <w:right w:val="dashSmallGap" w:sz="4" w:space="0" w:color="7F7F7F" w:themeColor="text1" w:themeTint="80"/>
            </w:tcBorders>
            <w:shd w:val="clear" w:color="000000" w:fill="7F7F7F"/>
          </w:tcPr>
          <w:p w:rsidR="00090D3D" w:rsidRPr="005B52DD" w:rsidRDefault="00090D3D" w:rsidP="004F03CC">
            <w:pPr>
              <w:jc w:val="right"/>
              <w:rPr>
                <w:b/>
                <w:color w:val="FFFFFF" w:themeColor="background1"/>
              </w:rPr>
            </w:pPr>
          </w:p>
        </w:tc>
        <w:tc>
          <w:tcPr>
            <w:tcW w:w="1073" w:type="dxa"/>
            <w:tcBorders>
              <w:top w:val="nil"/>
              <w:left w:val="dashSmallGap" w:sz="4" w:space="0" w:color="7F7F7F" w:themeColor="text1" w:themeTint="80"/>
              <w:bottom w:val="nil"/>
              <w:right w:val="nil"/>
            </w:tcBorders>
            <w:shd w:val="clear" w:color="000000" w:fill="7F7F7F"/>
            <w:noWrap/>
            <w:vAlign w:val="center"/>
            <w:hideMark/>
          </w:tcPr>
          <w:p w:rsidR="00090D3D" w:rsidRPr="007343D8" w:rsidRDefault="00090D3D" w:rsidP="004F03CC">
            <w:pPr>
              <w:jc w:val="right"/>
              <w:rPr>
                <w:rFonts w:cs="Arial"/>
                <w:b/>
                <w:bCs/>
                <w:color w:val="FFFFFF"/>
                <w:szCs w:val="18"/>
                <w:lang w:eastAsia="en-AU"/>
              </w:rPr>
            </w:pPr>
            <w:r w:rsidRPr="005B52DD">
              <w:rPr>
                <w:b/>
                <w:color w:val="FFFFFF" w:themeColor="background1"/>
              </w:rPr>
              <w:t xml:space="preserve">301,860 </w:t>
            </w:r>
          </w:p>
        </w:tc>
        <w:tc>
          <w:tcPr>
            <w:tcW w:w="931" w:type="dxa"/>
            <w:tcBorders>
              <w:top w:val="nil"/>
              <w:left w:val="nil"/>
              <w:bottom w:val="nil"/>
              <w:right w:val="nil"/>
            </w:tcBorders>
            <w:shd w:val="clear" w:color="000000" w:fill="7F7F7F"/>
            <w:noWrap/>
            <w:vAlign w:val="center"/>
            <w:hideMark/>
          </w:tcPr>
          <w:p w:rsidR="00090D3D" w:rsidRPr="007343D8" w:rsidRDefault="00090D3D" w:rsidP="004F03CC">
            <w:pPr>
              <w:jc w:val="right"/>
              <w:rPr>
                <w:rFonts w:cs="Arial"/>
                <w:b/>
                <w:bCs/>
                <w:color w:val="FFFFFF"/>
                <w:szCs w:val="18"/>
                <w:lang w:eastAsia="en-AU"/>
              </w:rPr>
            </w:pPr>
            <w:r w:rsidRPr="005B52DD">
              <w:rPr>
                <w:b/>
                <w:color w:val="FFFFFF" w:themeColor="background1"/>
              </w:rPr>
              <w:t xml:space="preserve">270,340 </w:t>
            </w:r>
          </w:p>
        </w:tc>
      </w:tr>
    </w:tbl>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
        <w:gridCol w:w="7649"/>
      </w:tblGrid>
      <w:tr w:rsidR="000E0A8A" w:rsidRPr="00913551" w:rsidTr="00B15FE6">
        <w:trPr>
          <w:trHeight w:hRule="exact" w:val="227"/>
        </w:trPr>
        <w:tc>
          <w:tcPr>
            <w:tcW w:w="431" w:type="dxa"/>
            <w:tcMar>
              <w:top w:w="28" w:type="dxa"/>
              <w:left w:w="0" w:type="dxa"/>
              <w:right w:w="28" w:type="dxa"/>
            </w:tcMar>
          </w:tcPr>
          <w:p w:rsidR="000E0A8A" w:rsidRPr="00913551" w:rsidRDefault="000E0A8A" w:rsidP="004F03CC">
            <w:pPr>
              <w:spacing w:after="0" w:line="240" w:lineRule="auto"/>
              <w:jc w:val="right"/>
              <w:rPr>
                <w:color w:val="7F7F7F" w:themeColor="text2"/>
                <w:sz w:val="16"/>
                <w:szCs w:val="16"/>
              </w:rPr>
            </w:pPr>
            <w:r w:rsidRPr="00913551">
              <w:rPr>
                <w:color w:val="7F7F7F" w:themeColor="text2"/>
                <w:sz w:val="16"/>
                <w:szCs w:val="16"/>
              </w:rPr>
              <w:t xml:space="preserve">* </w:t>
            </w:r>
          </w:p>
        </w:tc>
        <w:tc>
          <w:tcPr>
            <w:tcW w:w="7649" w:type="dxa"/>
            <w:tcMar>
              <w:top w:w="28" w:type="dxa"/>
              <w:left w:w="0" w:type="dxa"/>
              <w:right w:w="28" w:type="dxa"/>
            </w:tcMar>
          </w:tcPr>
          <w:p w:rsidR="000E0A8A" w:rsidRPr="00913551" w:rsidRDefault="000E0A8A" w:rsidP="004F03CC">
            <w:pPr>
              <w:spacing w:after="0" w:line="240" w:lineRule="auto"/>
              <w:rPr>
                <w:i/>
                <w:color w:val="7F7F7F" w:themeColor="text2"/>
                <w:sz w:val="16"/>
                <w:szCs w:val="16"/>
              </w:rPr>
            </w:pPr>
            <w:r w:rsidRPr="00913551">
              <w:rPr>
                <w:i/>
                <w:sz w:val="16"/>
                <w:szCs w:val="16"/>
              </w:rPr>
              <w:t>Specialised occupations are as defined by the former Australian Workforce and Productivity Agency.</w:t>
            </w:r>
          </w:p>
        </w:tc>
      </w:tr>
      <w:tr w:rsidR="000E0A8A" w:rsidRPr="00913551" w:rsidTr="004F03CC">
        <w:trPr>
          <w:trHeight w:val="454"/>
        </w:trPr>
        <w:tc>
          <w:tcPr>
            <w:tcW w:w="431" w:type="dxa"/>
            <w:tcMar>
              <w:left w:w="0" w:type="dxa"/>
              <w:right w:w="28" w:type="dxa"/>
            </w:tcMar>
          </w:tcPr>
          <w:p w:rsidR="000E0A8A" w:rsidRPr="00913551" w:rsidRDefault="000E0A8A" w:rsidP="004F03CC">
            <w:pPr>
              <w:spacing w:after="0" w:line="240" w:lineRule="auto"/>
              <w:jc w:val="right"/>
              <w:rPr>
                <w:color w:val="7F7F7F" w:themeColor="text2"/>
                <w:sz w:val="16"/>
                <w:szCs w:val="16"/>
              </w:rPr>
            </w:pPr>
            <w:r w:rsidRPr="00913551">
              <w:rPr>
                <w:color w:val="7F7F7F" w:themeColor="text2"/>
                <w:sz w:val="16"/>
                <w:szCs w:val="16"/>
              </w:rPr>
              <w:t>**</w:t>
            </w:r>
          </w:p>
        </w:tc>
        <w:tc>
          <w:tcPr>
            <w:tcW w:w="7649" w:type="dxa"/>
            <w:tcMar>
              <w:left w:w="0" w:type="dxa"/>
              <w:right w:w="28" w:type="dxa"/>
            </w:tcMar>
          </w:tcPr>
          <w:p w:rsidR="000E0A8A" w:rsidRPr="00913551" w:rsidRDefault="000E0A8A" w:rsidP="004F03CC">
            <w:pPr>
              <w:pStyle w:val="Note"/>
              <w:rPr>
                <w:i w:val="0"/>
              </w:rPr>
            </w:pPr>
            <w:r w:rsidRPr="00913551">
              <w:t>Totals exclude training in foundation skills, education pathways and low-level courses in languages other than English.</w:t>
            </w:r>
          </w:p>
        </w:tc>
      </w:tr>
    </w:tbl>
    <w:p w:rsidR="000E0A8A" w:rsidRPr="000E0A8A" w:rsidRDefault="000E0A8A" w:rsidP="000E0A8A">
      <w:pPr>
        <w:rPr>
          <w:i/>
        </w:rPr>
      </w:pPr>
      <w:r w:rsidRPr="000E0A8A">
        <w:rPr>
          <w:i/>
        </w:rPr>
        <w:t>Note there is a break in series between 2013 and 2014, in line with AWPA’s update to its Specialised Occupation List in 2014.</w:t>
      </w:r>
    </w:p>
    <w:p w:rsidR="005F66C1" w:rsidRDefault="005F66C1" w:rsidP="004F7D8A"/>
    <w:p w:rsidR="00E15042" w:rsidRDefault="00E15042" w:rsidP="004F7D8A"/>
    <w:tbl>
      <w:tblPr>
        <w:tblStyle w:val="TableGrid"/>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230"/>
      </w:tblGrid>
      <w:tr w:rsidR="00E15042" w:rsidTr="004F03CC">
        <w:tc>
          <w:tcPr>
            <w:tcW w:w="1134" w:type="dxa"/>
            <w:tcMar>
              <w:left w:w="0" w:type="dxa"/>
              <w:right w:w="0" w:type="dxa"/>
            </w:tcMar>
          </w:tcPr>
          <w:p w:rsidR="00E15042" w:rsidRDefault="00E15042" w:rsidP="0005261F">
            <w:pPr>
              <w:pStyle w:val="Quote"/>
              <w:tabs>
                <w:tab w:val="left" w:pos="1134"/>
              </w:tabs>
              <w:rPr>
                <w:b w:val="0"/>
                <w:color w:val="B41F22" w:themeColor="accent1"/>
              </w:rPr>
            </w:pPr>
            <w:r>
              <w:rPr>
                <w:b w:val="0"/>
                <w:color w:val="B41F22" w:themeColor="accent1"/>
              </w:rPr>
              <w:t xml:space="preserve">Table </w:t>
            </w:r>
            <w:r w:rsidR="0005261F">
              <w:rPr>
                <w:b w:val="0"/>
                <w:color w:val="B41F22" w:themeColor="accent1"/>
              </w:rPr>
              <w:t>4</w:t>
            </w:r>
            <w:r>
              <w:rPr>
                <w:b w:val="0"/>
                <w:color w:val="B41F22" w:themeColor="accent1"/>
              </w:rPr>
              <w:t>.2.3:</w:t>
            </w:r>
          </w:p>
        </w:tc>
        <w:tc>
          <w:tcPr>
            <w:tcW w:w="7230" w:type="dxa"/>
            <w:tcMar>
              <w:left w:w="0" w:type="dxa"/>
              <w:right w:w="0" w:type="dxa"/>
            </w:tcMar>
          </w:tcPr>
          <w:p w:rsidR="00E15042" w:rsidRDefault="00E15042" w:rsidP="004F03CC">
            <w:pPr>
              <w:pStyle w:val="Quote"/>
              <w:tabs>
                <w:tab w:val="left" w:pos="1134"/>
              </w:tabs>
              <w:rPr>
                <w:b w:val="0"/>
                <w:color w:val="B41F22" w:themeColor="accent1"/>
              </w:rPr>
            </w:pPr>
            <w:r w:rsidRPr="007343D8">
              <w:rPr>
                <w:b w:val="0"/>
                <w:color w:val="B41F22" w:themeColor="accent1"/>
              </w:rPr>
              <w:t xml:space="preserve">Government subsidised </w:t>
            </w:r>
            <w:r>
              <w:rPr>
                <w:b w:val="0"/>
                <w:color w:val="B41F22" w:themeColor="accent1"/>
              </w:rPr>
              <w:t xml:space="preserve">industry-aligned </w:t>
            </w:r>
            <w:r w:rsidRPr="007343D8">
              <w:rPr>
                <w:b w:val="0"/>
                <w:color w:val="B41F22" w:themeColor="accent1"/>
              </w:rPr>
              <w:t xml:space="preserve">course enrolments </w:t>
            </w:r>
            <w:r>
              <w:rPr>
                <w:b w:val="0"/>
                <w:color w:val="B41F22" w:themeColor="accent1"/>
              </w:rPr>
              <w:t>related to critical occupations (in demand and/or specialised),</w:t>
            </w:r>
            <w:r w:rsidRPr="007343D8">
              <w:rPr>
                <w:b w:val="0"/>
                <w:color w:val="B41F22" w:themeColor="accent1"/>
              </w:rPr>
              <w:t xml:space="preserve"> 2010 to 2015 (half year)</w:t>
            </w:r>
          </w:p>
        </w:tc>
      </w:tr>
    </w:tbl>
    <w:tbl>
      <w:tblPr>
        <w:tblW w:w="8109" w:type="dxa"/>
        <w:tblInd w:w="93" w:type="dxa"/>
        <w:tblLayout w:type="fixed"/>
        <w:tblLook w:val="04A0" w:firstRow="1" w:lastRow="0" w:firstColumn="1" w:lastColumn="0" w:noHBand="0" w:noVBand="1"/>
      </w:tblPr>
      <w:tblGrid>
        <w:gridCol w:w="2142"/>
        <w:gridCol w:w="994"/>
        <w:gridCol w:w="995"/>
        <w:gridCol w:w="994"/>
        <w:gridCol w:w="995"/>
        <w:gridCol w:w="994"/>
        <w:gridCol w:w="995"/>
      </w:tblGrid>
      <w:tr w:rsidR="00E15042" w:rsidRPr="007343D8" w:rsidTr="004F03CC">
        <w:trPr>
          <w:trHeight w:val="300"/>
        </w:trPr>
        <w:tc>
          <w:tcPr>
            <w:tcW w:w="2142" w:type="dxa"/>
            <w:tcBorders>
              <w:top w:val="nil"/>
              <w:left w:val="nil"/>
              <w:bottom w:val="nil"/>
              <w:right w:val="nil"/>
            </w:tcBorders>
            <w:shd w:val="clear" w:color="000000" w:fill="7F7F7F"/>
            <w:noWrap/>
            <w:vAlign w:val="center"/>
            <w:hideMark/>
          </w:tcPr>
          <w:p w:rsidR="00E15042" w:rsidRPr="007343D8" w:rsidRDefault="00E15042" w:rsidP="004F03CC">
            <w:pPr>
              <w:rPr>
                <w:rFonts w:cs="Arial"/>
                <w:color w:val="FFFFFF"/>
                <w:szCs w:val="18"/>
                <w:lang w:eastAsia="en-AU"/>
              </w:rPr>
            </w:pPr>
            <w:r w:rsidRPr="007343D8">
              <w:rPr>
                <w:rFonts w:cs="Arial"/>
                <w:color w:val="FFFFFF"/>
                <w:szCs w:val="18"/>
                <w:lang w:eastAsia="en-AU"/>
              </w:rPr>
              <w:t> </w:t>
            </w:r>
          </w:p>
        </w:tc>
        <w:tc>
          <w:tcPr>
            <w:tcW w:w="994" w:type="dxa"/>
            <w:tcBorders>
              <w:top w:val="nil"/>
              <w:left w:val="nil"/>
              <w:bottom w:val="nil"/>
              <w:right w:val="nil"/>
            </w:tcBorders>
            <w:shd w:val="clear" w:color="000000" w:fill="7F7F7F"/>
            <w:noWrap/>
            <w:vAlign w:val="center"/>
            <w:hideMark/>
          </w:tcPr>
          <w:p w:rsidR="00E15042" w:rsidRPr="007343D8" w:rsidRDefault="00E15042" w:rsidP="004F03CC">
            <w:pPr>
              <w:jc w:val="right"/>
              <w:rPr>
                <w:rFonts w:cs="Arial"/>
                <w:b/>
                <w:bCs/>
                <w:color w:val="FFFFFF"/>
                <w:szCs w:val="18"/>
                <w:lang w:eastAsia="en-AU"/>
              </w:rPr>
            </w:pPr>
            <w:r w:rsidRPr="007343D8">
              <w:rPr>
                <w:rFonts w:cs="Arial"/>
                <w:b/>
                <w:bCs/>
                <w:color w:val="FFFFFF"/>
                <w:szCs w:val="18"/>
                <w:lang w:eastAsia="en-AU"/>
              </w:rPr>
              <w:t>2010</w:t>
            </w:r>
          </w:p>
        </w:tc>
        <w:tc>
          <w:tcPr>
            <w:tcW w:w="995" w:type="dxa"/>
            <w:tcBorders>
              <w:top w:val="nil"/>
              <w:left w:val="nil"/>
              <w:bottom w:val="nil"/>
              <w:right w:val="nil"/>
            </w:tcBorders>
            <w:shd w:val="clear" w:color="000000" w:fill="7F7F7F"/>
            <w:noWrap/>
            <w:vAlign w:val="center"/>
            <w:hideMark/>
          </w:tcPr>
          <w:p w:rsidR="00E15042" w:rsidRPr="007343D8" w:rsidRDefault="00E15042" w:rsidP="004F03CC">
            <w:pPr>
              <w:jc w:val="right"/>
              <w:rPr>
                <w:rFonts w:cs="Arial"/>
                <w:b/>
                <w:bCs/>
                <w:color w:val="FFFFFF"/>
                <w:szCs w:val="18"/>
                <w:lang w:eastAsia="en-AU"/>
              </w:rPr>
            </w:pPr>
            <w:r w:rsidRPr="007343D8">
              <w:rPr>
                <w:rFonts w:cs="Arial"/>
                <w:b/>
                <w:bCs/>
                <w:color w:val="FFFFFF"/>
                <w:szCs w:val="18"/>
                <w:lang w:eastAsia="en-AU"/>
              </w:rPr>
              <w:t>2011</w:t>
            </w:r>
          </w:p>
        </w:tc>
        <w:tc>
          <w:tcPr>
            <w:tcW w:w="994" w:type="dxa"/>
            <w:tcBorders>
              <w:top w:val="nil"/>
              <w:left w:val="nil"/>
              <w:bottom w:val="nil"/>
              <w:right w:val="dashSmallGap" w:sz="4" w:space="0" w:color="7F7F7F" w:themeColor="text1" w:themeTint="80"/>
            </w:tcBorders>
            <w:shd w:val="clear" w:color="000000" w:fill="7F7F7F"/>
            <w:noWrap/>
            <w:vAlign w:val="center"/>
            <w:hideMark/>
          </w:tcPr>
          <w:p w:rsidR="00E15042" w:rsidRPr="007343D8" w:rsidRDefault="00E15042" w:rsidP="004F03CC">
            <w:pPr>
              <w:jc w:val="right"/>
              <w:rPr>
                <w:rFonts w:cs="Arial"/>
                <w:b/>
                <w:bCs/>
                <w:color w:val="FFFFFF"/>
                <w:szCs w:val="18"/>
                <w:lang w:eastAsia="en-AU"/>
              </w:rPr>
            </w:pPr>
            <w:r w:rsidRPr="007343D8">
              <w:rPr>
                <w:rFonts w:cs="Arial"/>
                <w:b/>
                <w:bCs/>
                <w:color w:val="FFFFFF"/>
                <w:szCs w:val="18"/>
                <w:lang w:eastAsia="en-AU"/>
              </w:rPr>
              <w:t>2012</w:t>
            </w:r>
          </w:p>
        </w:tc>
        <w:tc>
          <w:tcPr>
            <w:tcW w:w="995" w:type="dxa"/>
            <w:tcBorders>
              <w:top w:val="nil"/>
              <w:left w:val="dashSmallGap" w:sz="4" w:space="0" w:color="7F7F7F" w:themeColor="text1" w:themeTint="80"/>
              <w:bottom w:val="nil"/>
              <w:right w:val="dashSmallGap" w:sz="4" w:space="0" w:color="7F7F7F" w:themeColor="text1" w:themeTint="80"/>
            </w:tcBorders>
            <w:shd w:val="clear" w:color="000000" w:fill="7F7F7F"/>
            <w:noWrap/>
            <w:vAlign w:val="center"/>
            <w:hideMark/>
          </w:tcPr>
          <w:p w:rsidR="00E15042" w:rsidRPr="007343D8" w:rsidRDefault="00E15042" w:rsidP="004F03CC">
            <w:pPr>
              <w:jc w:val="right"/>
              <w:rPr>
                <w:rFonts w:cs="Arial"/>
                <w:b/>
                <w:bCs/>
                <w:color w:val="FFFFFF"/>
                <w:szCs w:val="18"/>
                <w:lang w:eastAsia="en-AU"/>
              </w:rPr>
            </w:pPr>
            <w:r w:rsidRPr="007343D8">
              <w:rPr>
                <w:rFonts w:cs="Arial"/>
                <w:b/>
                <w:bCs/>
                <w:color w:val="FFFFFF"/>
                <w:szCs w:val="18"/>
                <w:lang w:eastAsia="en-AU"/>
              </w:rPr>
              <w:t>2013</w:t>
            </w:r>
          </w:p>
        </w:tc>
        <w:tc>
          <w:tcPr>
            <w:tcW w:w="994" w:type="dxa"/>
            <w:tcBorders>
              <w:top w:val="nil"/>
              <w:left w:val="dashSmallGap" w:sz="4" w:space="0" w:color="7F7F7F" w:themeColor="text1" w:themeTint="80"/>
              <w:bottom w:val="nil"/>
              <w:right w:val="nil"/>
            </w:tcBorders>
            <w:shd w:val="clear" w:color="000000" w:fill="7F7F7F"/>
            <w:noWrap/>
            <w:vAlign w:val="center"/>
            <w:hideMark/>
          </w:tcPr>
          <w:p w:rsidR="00E15042" w:rsidRPr="007343D8" w:rsidRDefault="00E15042" w:rsidP="004F03CC">
            <w:pPr>
              <w:jc w:val="right"/>
              <w:rPr>
                <w:rFonts w:cs="Arial"/>
                <w:b/>
                <w:bCs/>
                <w:color w:val="FFFFFF"/>
                <w:szCs w:val="18"/>
                <w:lang w:eastAsia="en-AU"/>
              </w:rPr>
            </w:pPr>
            <w:r w:rsidRPr="007343D8">
              <w:rPr>
                <w:rFonts w:cs="Arial"/>
                <w:b/>
                <w:bCs/>
                <w:color w:val="FFFFFF"/>
                <w:szCs w:val="18"/>
                <w:lang w:eastAsia="en-AU"/>
              </w:rPr>
              <w:t>2014</w:t>
            </w:r>
          </w:p>
        </w:tc>
        <w:tc>
          <w:tcPr>
            <w:tcW w:w="995" w:type="dxa"/>
            <w:tcBorders>
              <w:top w:val="nil"/>
              <w:left w:val="nil"/>
              <w:bottom w:val="nil"/>
              <w:right w:val="nil"/>
            </w:tcBorders>
            <w:shd w:val="clear" w:color="000000" w:fill="7F7F7F"/>
            <w:noWrap/>
            <w:vAlign w:val="center"/>
            <w:hideMark/>
          </w:tcPr>
          <w:p w:rsidR="00E15042" w:rsidRPr="007343D8" w:rsidRDefault="00E15042" w:rsidP="004F03CC">
            <w:pPr>
              <w:jc w:val="right"/>
              <w:rPr>
                <w:rFonts w:cs="Arial"/>
                <w:b/>
                <w:bCs/>
                <w:color w:val="FFFFFF"/>
                <w:szCs w:val="18"/>
                <w:lang w:eastAsia="en-AU"/>
              </w:rPr>
            </w:pPr>
            <w:r w:rsidRPr="007343D8">
              <w:rPr>
                <w:rFonts w:cs="Arial"/>
                <w:b/>
                <w:bCs/>
                <w:color w:val="FFFFFF"/>
                <w:szCs w:val="18"/>
                <w:lang w:eastAsia="en-AU"/>
              </w:rPr>
              <w:t>2015</w:t>
            </w:r>
          </w:p>
        </w:tc>
      </w:tr>
      <w:tr w:rsidR="00E15042" w:rsidRPr="007343D8" w:rsidTr="004F03CC">
        <w:trPr>
          <w:trHeight w:val="300"/>
        </w:trPr>
        <w:tc>
          <w:tcPr>
            <w:tcW w:w="2142" w:type="dxa"/>
            <w:tcBorders>
              <w:top w:val="nil"/>
              <w:left w:val="nil"/>
              <w:bottom w:val="nil"/>
              <w:right w:val="nil"/>
            </w:tcBorders>
            <w:shd w:val="clear" w:color="auto" w:fill="auto"/>
            <w:noWrap/>
            <w:vAlign w:val="center"/>
            <w:hideMark/>
          </w:tcPr>
          <w:p w:rsidR="00E15042" w:rsidRPr="007343D8" w:rsidRDefault="00E15042" w:rsidP="00E15042">
            <w:pPr>
              <w:rPr>
                <w:rFonts w:cs="Arial"/>
                <w:color w:val="7F7F7F"/>
                <w:szCs w:val="18"/>
                <w:lang w:eastAsia="en-AU"/>
              </w:rPr>
            </w:pPr>
            <w:r>
              <w:rPr>
                <w:rFonts w:cs="Arial"/>
                <w:color w:val="7F7F7F"/>
                <w:szCs w:val="18"/>
                <w:lang w:eastAsia="en-AU"/>
              </w:rPr>
              <w:t>Critical occupations*</w:t>
            </w:r>
          </w:p>
        </w:tc>
        <w:tc>
          <w:tcPr>
            <w:tcW w:w="994" w:type="dxa"/>
            <w:tcBorders>
              <w:top w:val="nil"/>
              <w:left w:val="nil"/>
              <w:bottom w:val="nil"/>
              <w:right w:val="nil"/>
            </w:tcBorders>
            <w:shd w:val="clear" w:color="auto" w:fill="auto"/>
            <w:noWrap/>
            <w:vAlign w:val="center"/>
            <w:hideMark/>
          </w:tcPr>
          <w:p w:rsidR="00E15042" w:rsidRPr="007343D8" w:rsidRDefault="00E15042" w:rsidP="004F03CC">
            <w:pPr>
              <w:jc w:val="right"/>
              <w:rPr>
                <w:rFonts w:cs="Arial"/>
                <w:color w:val="7F7F7F"/>
                <w:szCs w:val="18"/>
                <w:lang w:eastAsia="en-AU"/>
              </w:rPr>
            </w:pPr>
            <w:r w:rsidRPr="00243C26">
              <w:t xml:space="preserve"> 76,251 </w:t>
            </w:r>
          </w:p>
        </w:tc>
        <w:tc>
          <w:tcPr>
            <w:tcW w:w="995" w:type="dxa"/>
            <w:tcBorders>
              <w:top w:val="nil"/>
              <w:left w:val="nil"/>
              <w:bottom w:val="nil"/>
              <w:right w:val="nil"/>
            </w:tcBorders>
            <w:shd w:val="clear" w:color="auto" w:fill="auto"/>
            <w:noWrap/>
            <w:vAlign w:val="center"/>
            <w:hideMark/>
          </w:tcPr>
          <w:p w:rsidR="00E15042" w:rsidRPr="007343D8" w:rsidRDefault="00E15042" w:rsidP="004F03CC">
            <w:pPr>
              <w:jc w:val="right"/>
              <w:rPr>
                <w:rFonts w:cs="Arial"/>
                <w:color w:val="7F7F7F"/>
                <w:szCs w:val="18"/>
                <w:lang w:eastAsia="en-AU"/>
              </w:rPr>
            </w:pPr>
            <w:r w:rsidRPr="00243C26">
              <w:t xml:space="preserve"> 92,534 </w:t>
            </w:r>
          </w:p>
        </w:tc>
        <w:tc>
          <w:tcPr>
            <w:tcW w:w="994" w:type="dxa"/>
            <w:tcBorders>
              <w:top w:val="nil"/>
              <w:left w:val="nil"/>
              <w:bottom w:val="nil"/>
              <w:right w:val="dashSmallGap" w:sz="4" w:space="0" w:color="7F7F7F" w:themeColor="text1" w:themeTint="80"/>
            </w:tcBorders>
            <w:shd w:val="clear" w:color="auto" w:fill="auto"/>
            <w:noWrap/>
            <w:vAlign w:val="center"/>
            <w:hideMark/>
          </w:tcPr>
          <w:p w:rsidR="00E15042" w:rsidRPr="007343D8" w:rsidRDefault="00E15042" w:rsidP="004F03CC">
            <w:pPr>
              <w:jc w:val="right"/>
              <w:rPr>
                <w:rFonts w:cs="Arial"/>
                <w:color w:val="7F7F7F"/>
                <w:szCs w:val="18"/>
                <w:lang w:eastAsia="en-AU"/>
              </w:rPr>
            </w:pPr>
            <w:r w:rsidRPr="00243C26">
              <w:t xml:space="preserve"> 112,124 </w:t>
            </w:r>
          </w:p>
        </w:tc>
        <w:tc>
          <w:tcPr>
            <w:tcW w:w="995" w:type="dxa"/>
            <w:tcBorders>
              <w:top w:val="nil"/>
              <w:left w:val="dashSmallGap" w:sz="4" w:space="0" w:color="7F7F7F" w:themeColor="text1" w:themeTint="80"/>
              <w:bottom w:val="nil"/>
              <w:right w:val="dashSmallGap" w:sz="4" w:space="0" w:color="7F7F7F" w:themeColor="text1" w:themeTint="80"/>
            </w:tcBorders>
            <w:shd w:val="clear" w:color="auto" w:fill="auto"/>
            <w:noWrap/>
            <w:vAlign w:val="center"/>
            <w:hideMark/>
          </w:tcPr>
          <w:p w:rsidR="00E15042" w:rsidRPr="007343D8" w:rsidRDefault="00E15042" w:rsidP="004F03CC">
            <w:pPr>
              <w:jc w:val="right"/>
              <w:rPr>
                <w:rFonts w:cs="Arial"/>
                <w:color w:val="7F7F7F"/>
                <w:szCs w:val="18"/>
                <w:lang w:eastAsia="en-AU"/>
              </w:rPr>
            </w:pPr>
            <w:r w:rsidRPr="00243C26">
              <w:t xml:space="preserve"> 116,160 </w:t>
            </w:r>
          </w:p>
        </w:tc>
        <w:tc>
          <w:tcPr>
            <w:tcW w:w="994" w:type="dxa"/>
            <w:tcBorders>
              <w:top w:val="nil"/>
              <w:left w:val="dashSmallGap" w:sz="4" w:space="0" w:color="7F7F7F" w:themeColor="text1" w:themeTint="80"/>
              <w:bottom w:val="nil"/>
              <w:right w:val="nil"/>
            </w:tcBorders>
            <w:shd w:val="clear" w:color="auto" w:fill="auto"/>
            <w:noWrap/>
            <w:vAlign w:val="center"/>
            <w:hideMark/>
          </w:tcPr>
          <w:p w:rsidR="00E15042" w:rsidRPr="007343D8" w:rsidRDefault="00E15042" w:rsidP="004F03CC">
            <w:pPr>
              <w:jc w:val="right"/>
              <w:rPr>
                <w:rFonts w:cs="Arial"/>
                <w:color w:val="7F7F7F"/>
                <w:szCs w:val="18"/>
                <w:lang w:eastAsia="en-AU"/>
              </w:rPr>
            </w:pPr>
            <w:r w:rsidRPr="00243C26">
              <w:t xml:space="preserve"> 139,611 </w:t>
            </w:r>
          </w:p>
        </w:tc>
        <w:tc>
          <w:tcPr>
            <w:tcW w:w="995" w:type="dxa"/>
            <w:tcBorders>
              <w:top w:val="nil"/>
              <w:left w:val="nil"/>
              <w:bottom w:val="nil"/>
              <w:right w:val="nil"/>
            </w:tcBorders>
            <w:shd w:val="clear" w:color="auto" w:fill="auto"/>
            <w:noWrap/>
            <w:vAlign w:val="center"/>
            <w:hideMark/>
          </w:tcPr>
          <w:p w:rsidR="00E15042" w:rsidRPr="007343D8" w:rsidRDefault="00E15042" w:rsidP="004F03CC">
            <w:pPr>
              <w:jc w:val="right"/>
              <w:rPr>
                <w:rFonts w:cs="Arial"/>
                <w:color w:val="7F7F7F"/>
                <w:szCs w:val="18"/>
                <w:lang w:eastAsia="en-AU"/>
              </w:rPr>
            </w:pPr>
            <w:r w:rsidRPr="00243C26">
              <w:t xml:space="preserve"> 135,666 </w:t>
            </w:r>
          </w:p>
        </w:tc>
      </w:tr>
      <w:tr w:rsidR="00E15042" w:rsidRPr="007343D8" w:rsidTr="004F03CC">
        <w:trPr>
          <w:trHeight w:val="300"/>
        </w:trPr>
        <w:tc>
          <w:tcPr>
            <w:tcW w:w="2142" w:type="dxa"/>
            <w:tcBorders>
              <w:top w:val="nil"/>
              <w:left w:val="nil"/>
              <w:bottom w:val="nil"/>
              <w:right w:val="nil"/>
            </w:tcBorders>
            <w:shd w:val="clear" w:color="auto" w:fill="auto"/>
            <w:noWrap/>
            <w:vAlign w:val="center"/>
            <w:hideMark/>
          </w:tcPr>
          <w:p w:rsidR="00E15042" w:rsidRPr="007343D8" w:rsidRDefault="00E15042" w:rsidP="004F03CC">
            <w:pPr>
              <w:rPr>
                <w:rFonts w:cs="Arial"/>
                <w:color w:val="7F7F7F"/>
                <w:szCs w:val="18"/>
                <w:lang w:eastAsia="en-AU"/>
              </w:rPr>
            </w:pPr>
            <w:r>
              <w:rPr>
                <w:rFonts w:cs="Arial"/>
                <w:color w:val="7F7F7F"/>
                <w:szCs w:val="18"/>
                <w:lang w:eastAsia="en-AU"/>
              </w:rPr>
              <w:t>Other occupations</w:t>
            </w:r>
          </w:p>
        </w:tc>
        <w:tc>
          <w:tcPr>
            <w:tcW w:w="994" w:type="dxa"/>
            <w:tcBorders>
              <w:top w:val="nil"/>
              <w:left w:val="nil"/>
              <w:bottom w:val="nil"/>
              <w:right w:val="nil"/>
            </w:tcBorders>
            <w:shd w:val="clear" w:color="auto" w:fill="auto"/>
            <w:noWrap/>
            <w:vAlign w:val="center"/>
            <w:hideMark/>
          </w:tcPr>
          <w:p w:rsidR="00E15042" w:rsidRPr="007343D8" w:rsidRDefault="00E15042" w:rsidP="004F03CC">
            <w:pPr>
              <w:jc w:val="right"/>
              <w:rPr>
                <w:rFonts w:cs="Arial"/>
                <w:color w:val="7F7F7F"/>
                <w:szCs w:val="18"/>
                <w:lang w:eastAsia="en-AU"/>
              </w:rPr>
            </w:pPr>
            <w:r w:rsidRPr="00C62BD8">
              <w:t>129,127</w:t>
            </w:r>
          </w:p>
        </w:tc>
        <w:tc>
          <w:tcPr>
            <w:tcW w:w="995" w:type="dxa"/>
            <w:tcBorders>
              <w:top w:val="nil"/>
              <w:left w:val="nil"/>
              <w:bottom w:val="nil"/>
              <w:right w:val="nil"/>
            </w:tcBorders>
            <w:shd w:val="clear" w:color="auto" w:fill="auto"/>
            <w:noWrap/>
            <w:vAlign w:val="center"/>
            <w:hideMark/>
          </w:tcPr>
          <w:p w:rsidR="00E15042" w:rsidRPr="007343D8" w:rsidRDefault="00E15042" w:rsidP="004F03CC">
            <w:pPr>
              <w:jc w:val="right"/>
              <w:rPr>
                <w:rFonts w:cs="Arial"/>
                <w:color w:val="7F7F7F"/>
                <w:szCs w:val="18"/>
                <w:lang w:eastAsia="en-AU"/>
              </w:rPr>
            </w:pPr>
            <w:r w:rsidRPr="00C62BD8">
              <w:t>170,207</w:t>
            </w:r>
          </w:p>
        </w:tc>
        <w:tc>
          <w:tcPr>
            <w:tcW w:w="994" w:type="dxa"/>
            <w:tcBorders>
              <w:top w:val="nil"/>
              <w:left w:val="nil"/>
              <w:bottom w:val="nil"/>
              <w:right w:val="dashSmallGap" w:sz="4" w:space="0" w:color="7F7F7F" w:themeColor="text1" w:themeTint="80"/>
            </w:tcBorders>
            <w:shd w:val="clear" w:color="auto" w:fill="auto"/>
            <w:noWrap/>
            <w:vAlign w:val="center"/>
            <w:hideMark/>
          </w:tcPr>
          <w:p w:rsidR="00E15042" w:rsidRPr="007343D8" w:rsidRDefault="00E15042" w:rsidP="004F03CC">
            <w:pPr>
              <w:jc w:val="right"/>
              <w:rPr>
                <w:rFonts w:cs="Arial"/>
                <w:color w:val="7F7F7F"/>
                <w:szCs w:val="18"/>
                <w:lang w:eastAsia="en-AU"/>
              </w:rPr>
            </w:pPr>
            <w:r w:rsidRPr="00C62BD8">
              <w:t>248,854</w:t>
            </w:r>
          </w:p>
        </w:tc>
        <w:tc>
          <w:tcPr>
            <w:tcW w:w="995" w:type="dxa"/>
            <w:tcBorders>
              <w:top w:val="nil"/>
              <w:left w:val="dashSmallGap" w:sz="4" w:space="0" w:color="7F7F7F" w:themeColor="text1" w:themeTint="80"/>
              <w:bottom w:val="nil"/>
              <w:right w:val="dashSmallGap" w:sz="4" w:space="0" w:color="7F7F7F" w:themeColor="text1" w:themeTint="80"/>
            </w:tcBorders>
            <w:shd w:val="clear" w:color="auto" w:fill="auto"/>
            <w:noWrap/>
            <w:vAlign w:val="center"/>
            <w:hideMark/>
          </w:tcPr>
          <w:p w:rsidR="00E15042" w:rsidRPr="007343D8" w:rsidRDefault="00E15042" w:rsidP="004F03CC">
            <w:pPr>
              <w:jc w:val="right"/>
              <w:rPr>
                <w:rFonts w:cs="Arial"/>
                <w:color w:val="7F7F7F"/>
                <w:szCs w:val="18"/>
                <w:lang w:eastAsia="en-AU"/>
              </w:rPr>
            </w:pPr>
            <w:r w:rsidRPr="00C62BD8">
              <w:t>163,376</w:t>
            </w:r>
          </w:p>
        </w:tc>
        <w:tc>
          <w:tcPr>
            <w:tcW w:w="994" w:type="dxa"/>
            <w:tcBorders>
              <w:top w:val="nil"/>
              <w:left w:val="dashSmallGap" w:sz="4" w:space="0" w:color="7F7F7F" w:themeColor="text1" w:themeTint="80"/>
              <w:bottom w:val="nil"/>
              <w:right w:val="nil"/>
            </w:tcBorders>
            <w:shd w:val="clear" w:color="auto" w:fill="auto"/>
            <w:noWrap/>
            <w:vAlign w:val="center"/>
            <w:hideMark/>
          </w:tcPr>
          <w:p w:rsidR="00E15042" w:rsidRPr="007343D8" w:rsidRDefault="00E15042" w:rsidP="004F03CC">
            <w:pPr>
              <w:jc w:val="right"/>
              <w:rPr>
                <w:rFonts w:cs="Arial"/>
                <w:color w:val="7F7F7F"/>
                <w:szCs w:val="18"/>
                <w:lang w:eastAsia="en-AU"/>
              </w:rPr>
            </w:pPr>
            <w:r w:rsidRPr="00C62BD8">
              <w:t>162,249</w:t>
            </w:r>
          </w:p>
        </w:tc>
        <w:tc>
          <w:tcPr>
            <w:tcW w:w="995" w:type="dxa"/>
            <w:tcBorders>
              <w:top w:val="nil"/>
              <w:left w:val="nil"/>
              <w:bottom w:val="nil"/>
              <w:right w:val="nil"/>
            </w:tcBorders>
            <w:shd w:val="clear" w:color="auto" w:fill="auto"/>
            <w:noWrap/>
            <w:vAlign w:val="center"/>
            <w:hideMark/>
          </w:tcPr>
          <w:p w:rsidR="00E15042" w:rsidRPr="007343D8" w:rsidRDefault="00E15042" w:rsidP="004F03CC">
            <w:pPr>
              <w:jc w:val="right"/>
              <w:rPr>
                <w:rFonts w:cs="Arial"/>
                <w:color w:val="7F7F7F"/>
                <w:szCs w:val="18"/>
                <w:lang w:eastAsia="en-AU"/>
              </w:rPr>
            </w:pPr>
            <w:r w:rsidRPr="00C62BD8">
              <w:t>134,674</w:t>
            </w:r>
          </w:p>
        </w:tc>
      </w:tr>
      <w:tr w:rsidR="00E15042" w:rsidRPr="007343D8" w:rsidTr="004F03CC">
        <w:trPr>
          <w:trHeight w:val="300"/>
        </w:trPr>
        <w:tc>
          <w:tcPr>
            <w:tcW w:w="2142" w:type="dxa"/>
            <w:tcBorders>
              <w:top w:val="nil"/>
              <w:left w:val="nil"/>
              <w:bottom w:val="nil"/>
              <w:right w:val="nil"/>
            </w:tcBorders>
            <w:shd w:val="clear" w:color="000000" w:fill="7F7F7F"/>
            <w:noWrap/>
            <w:vAlign w:val="center"/>
            <w:hideMark/>
          </w:tcPr>
          <w:p w:rsidR="00E15042" w:rsidRPr="007343D8" w:rsidRDefault="00E15042" w:rsidP="004F03CC">
            <w:pPr>
              <w:rPr>
                <w:rFonts w:cs="Arial"/>
                <w:b/>
                <w:bCs/>
                <w:color w:val="FFFFFF"/>
                <w:szCs w:val="18"/>
                <w:lang w:eastAsia="en-AU"/>
              </w:rPr>
            </w:pPr>
            <w:r w:rsidRPr="007343D8">
              <w:rPr>
                <w:rFonts w:cs="Arial"/>
                <w:b/>
                <w:bCs/>
                <w:color w:val="FFFFFF"/>
                <w:szCs w:val="18"/>
                <w:lang w:eastAsia="en-AU"/>
              </w:rPr>
              <w:t>Total</w:t>
            </w:r>
            <w:r>
              <w:rPr>
                <w:rFonts w:cs="Arial"/>
                <w:b/>
                <w:bCs/>
                <w:color w:val="FFFFFF"/>
                <w:szCs w:val="18"/>
                <w:lang w:eastAsia="en-AU"/>
              </w:rPr>
              <w:t>**</w:t>
            </w:r>
          </w:p>
        </w:tc>
        <w:tc>
          <w:tcPr>
            <w:tcW w:w="994" w:type="dxa"/>
            <w:tcBorders>
              <w:top w:val="nil"/>
              <w:left w:val="nil"/>
              <w:bottom w:val="nil"/>
              <w:right w:val="nil"/>
            </w:tcBorders>
            <w:shd w:val="clear" w:color="000000" w:fill="7F7F7F"/>
            <w:noWrap/>
            <w:vAlign w:val="center"/>
            <w:hideMark/>
          </w:tcPr>
          <w:p w:rsidR="00E15042" w:rsidRPr="007343D8" w:rsidRDefault="00E15042" w:rsidP="004F03CC">
            <w:pPr>
              <w:jc w:val="right"/>
              <w:rPr>
                <w:rFonts w:cs="Arial"/>
                <w:b/>
                <w:bCs/>
                <w:color w:val="FFFFFF"/>
                <w:szCs w:val="18"/>
                <w:lang w:eastAsia="en-AU"/>
              </w:rPr>
            </w:pPr>
            <w:r w:rsidRPr="005B52DD">
              <w:rPr>
                <w:b/>
                <w:color w:val="FFFFFF" w:themeColor="background1"/>
              </w:rPr>
              <w:t xml:space="preserve">205,378 </w:t>
            </w:r>
          </w:p>
        </w:tc>
        <w:tc>
          <w:tcPr>
            <w:tcW w:w="995" w:type="dxa"/>
            <w:tcBorders>
              <w:top w:val="nil"/>
              <w:left w:val="nil"/>
              <w:bottom w:val="nil"/>
              <w:right w:val="nil"/>
            </w:tcBorders>
            <w:shd w:val="clear" w:color="000000" w:fill="7F7F7F"/>
            <w:noWrap/>
            <w:vAlign w:val="center"/>
            <w:hideMark/>
          </w:tcPr>
          <w:p w:rsidR="00E15042" w:rsidRPr="007343D8" w:rsidRDefault="00E15042" w:rsidP="004F03CC">
            <w:pPr>
              <w:jc w:val="right"/>
              <w:rPr>
                <w:rFonts w:cs="Arial"/>
                <w:b/>
                <w:bCs/>
                <w:color w:val="FFFFFF"/>
                <w:szCs w:val="18"/>
                <w:lang w:eastAsia="en-AU"/>
              </w:rPr>
            </w:pPr>
            <w:r w:rsidRPr="005B52DD">
              <w:rPr>
                <w:b/>
                <w:color w:val="FFFFFF" w:themeColor="background1"/>
              </w:rPr>
              <w:t xml:space="preserve">262,741 </w:t>
            </w:r>
          </w:p>
        </w:tc>
        <w:tc>
          <w:tcPr>
            <w:tcW w:w="994" w:type="dxa"/>
            <w:tcBorders>
              <w:top w:val="nil"/>
              <w:left w:val="nil"/>
              <w:bottom w:val="nil"/>
              <w:right w:val="dashSmallGap" w:sz="4" w:space="0" w:color="7F7F7F" w:themeColor="text1" w:themeTint="80"/>
            </w:tcBorders>
            <w:shd w:val="clear" w:color="000000" w:fill="7F7F7F"/>
            <w:noWrap/>
            <w:vAlign w:val="center"/>
            <w:hideMark/>
          </w:tcPr>
          <w:p w:rsidR="00E15042" w:rsidRPr="007343D8" w:rsidRDefault="00E15042" w:rsidP="004F03CC">
            <w:pPr>
              <w:jc w:val="right"/>
              <w:rPr>
                <w:rFonts w:cs="Arial"/>
                <w:b/>
                <w:bCs/>
                <w:color w:val="FFFFFF"/>
                <w:szCs w:val="18"/>
                <w:lang w:eastAsia="en-AU"/>
              </w:rPr>
            </w:pPr>
            <w:r w:rsidRPr="005B52DD">
              <w:rPr>
                <w:b/>
                <w:color w:val="FFFFFF" w:themeColor="background1"/>
              </w:rPr>
              <w:t xml:space="preserve">360,978 </w:t>
            </w:r>
          </w:p>
        </w:tc>
        <w:tc>
          <w:tcPr>
            <w:tcW w:w="995" w:type="dxa"/>
            <w:tcBorders>
              <w:top w:val="nil"/>
              <w:left w:val="dashSmallGap" w:sz="4" w:space="0" w:color="7F7F7F" w:themeColor="text1" w:themeTint="80"/>
              <w:bottom w:val="nil"/>
              <w:right w:val="dashSmallGap" w:sz="4" w:space="0" w:color="7F7F7F" w:themeColor="text1" w:themeTint="80"/>
            </w:tcBorders>
            <w:shd w:val="clear" w:color="000000" w:fill="7F7F7F"/>
            <w:noWrap/>
            <w:vAlign w:val="center"/>
            <w:hideMark/>
          </w:tcPr>
          <w:p w:rsidR="00E15042" w:rsidRPr="007343D8" w:rsidRDefault="00E15042" w:rsidP="004F03CC">
            <w:pPr>
              <w:jc w:val="right"/>
              <w:rPr>
                <w:rFonts w:cs="Arial"/>
                <w:b/>
                <w:bCs/>
                <w:color w:val="FFFFFF"/>
                <w:szCs w:val="18"/>
                <w:lang w:eastAsia="en-AU"/>
              </w:rPr>
            </w:pPr>
            <w:r w:rsidRPr="005B52DD">
              <w:rPr>
                <w:b/>
                <w:color w:val="FFFFFF" w:themeColor="background1"/>
              </w:rPr>
              <w:t xml:space="preserve">279,536 </w:t>
            </w:r>
          </w:p>
        </w:tc>
        <w:tc>
          <w:tcPr>
            <w:tcW w:w="994" w:type="dxa"/>
            <w:tcBorders>
              <w:top w:val="nil"/>
              <w:left w:val="dashSmallGap" w:sz="4" w:space="0" w:color="7F7F7F" w:themeColor="text1" w:themeTint="80"/>
              <w:bottom w:val="nil"/>
              <w:right w:val="nil"/>
            </w:tcBorders>
            <w:shd w:val="clear" w:color="000000" w:fill="7F7F7F"/>
            <w:noWrap/>
            <w:vAlign w:val="center"/>
            <w:hideMark/>
          </w:tcPr>
          <w:p w:rsidR="00E15042" w:rsidRPr="007343D8" w:rsidRDefault="00E15042" w:rsidP="004F03CC">
            <w:pPr>
              <w:jc w:val="right"/>
              <w:rPr>
                <w:rFonts w:cs="Arial"/>
                <w:b/>
                <w:bCs/>
                <w:color w:val="FFFFFF"/>
                <w:szCs w:val="18"/>
                <w:lang w:eastAsia="en-AU"/>
              </w:rPr>
            </w:pPr>
            <w:r w:rsidRPr="005B52DD">
              <w:rPr>
                <w:b/>
                <w:color w:val="FFFFFF" w:themeColor="background1"/>
              </w:rPr>
              <w:t xml:space="preserve">301,860 </w:t>
            </w:r>
          </w:p>
        </w:tc>
        <w:tc>
          <w:tcPr>
            <w:tcW w:w="995" w:type="dxa"/>
            <w:tcBorders>
              <w:top w:val="nil"/>
              <w:left w:val="nil"/>
              <w:bottom w:val="nil"/>
              <w:right w:val="nil"/>
            </w:tcBorders>
            <w:shd w:val="clear" w:color="000000" w:fill="7F7F7F"/>
            <w:noWrap/>
            <w:vAlign w:val="center"/>
            <w:hideMark/>
          </w:tcPr>
          <w:p w:rsidR="00E15042" w:rsidRPr="007343D8" w:rsidRDefault="00E15042" w:rsidP="004F03CC">
            <w:pPr>
              <w:jc w:val="right"/>
              <w:rPr>
                <w:rFonts w:cs="Arial"/>
                <w:b/>
                <w:bCs/>
                <w:color w:val="FFFFFF"/>
                <w:szCs w:val="18"/>
                <w:lang w:eastAsia="en-AU"/>
              </w:rPr>
            </w:pPr>
            <w:r w:rsidRPr="005B52DD">
              <w:rPr>
                <w:b/>
                <w:color w:val="FFFFFF" w:themeColor="background1"/>
              </w:rPr>
              <w:t xml:space="preserve">270,340 </w:t>
            </w:r>
          </w:p>
        </w:tc>
      </w:tr>
    </w:tbl>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
        <w:gridCol w:w="7649"/>
      </w:tblGrid>
      <w:tr w:rsidR="00E15042" w:rsidRPr="00913551" w:rsidTr="00B15FE6">
        <w:trPr>
          <w:trHeight w:hRule="exact" w:val="397"/>
        </w:trPr>
        <w:tc>
          <w:tcPr>
            <w:tcW w:w="431" w:type="dxa"/>
            <w:tcMar>
              <w:top w:w="28" w:type="dxa"/>
              <w:left w:w="0" w:type="dxa"/>
              <w:right w:w="28" w:type="dxa"/>
            </w:tcMar>
          </w:tcPr>
          <w:p w:rsidR="00E15042" w:rsidRPr="00913551" w:rsidRDefault="00E15042" w:rsidP="004F03CC">
            <w:pPr>
              <w:spacing w:after="0" w:line="240" w:lineRule="auto"/>
              <w:jc w:val="right"/>
              <w:rPr>
                <w:color w:val="7F7F7F" w:themeColor="text2"/>
                <w:sz w:val="16"/>
                <w:szCs w:val="16"/>
              </w:rPr>
            </w:pPr>
            <w:r w:rsidRPr="00913551">
              <w:rPr>
                <w:color w:val="7F7F7F" w:themeColor="text2"/>
                <w:sz w:val="16"/>
                <w:szCs w:val="16"/>
              </w:rPr>
              <w:t xml:space="preserve">* </w:t>
            </w:r>
          </w:p>
        </w:tc>
        <w:tc>
          <w:tcPr>
            <w:tcW w:w="7649" w:type="dxa"/>
            <w:tcMar>
              <w:top w:w="28" w:type="dxa"/>
              <w:left w:w="0" w:type="dxa"/>
              <w:right w:w="28" w:type="dxa"/>
            </w:tcMar>
          </w:tcPr>
          <w:p w:rsidR="00E15042" w:rsidRPr="00913551" w:rsidRDefault="00E15042" w:rsidP="004F03CC">
            <w:pPr>
              <w:spacing w:after="0" w:line="240" w:lineRule="auto"/>
              <w:rPr>
                <w:i/>
                <w:color w:val="7F7F7F" w:themeColor="text2"/>
                <w:sz w:val="16"/>
                <w:szCs w:val="16"/>
              </w:rPr>
            </w:pPr>
            <w:r w:rsidRPr="00913551">
              <w:rPr>
                <w:i/>
                <w:sz w:val="16"/>
                <w:szCs w:val="16"/>
              </w:rPr>
              <w:t>Critical occupations are as defined by the former Australian Workforce and Productivity Agency (specialised occupations) and the Department of Education &amp; Training (occupations in demand)</w:t>
            </w:r>
            <w:r w:rsidR="006736E6" w:rsidRPr="00913551">
              <w:rPr>
                <w:i/>
                <w:sz w:val="16"/>
                <w:szCs w:val="16"/>
              </w:rPr>
              <w:t>.</w:t>
            </w:r>
          </w:p>
        </w:tc>
      </w:tr>
      <w:tr w:rsidR="00E15042" w:rsidRPr="00913551" w:rsidTr="004F03CC">
        <w:trPr>
          <w:trHeight w:val="454"/>
        </w:trPr>
        <w:tc>
          <w:tcPr>
            <w:tcW w:w="431" w:type="dxa"/>
            <w:tcMar>
              <w:left w:w="0" w:type="dxa"/>
              <w:right w:w="28" w:type="dxa"/>
            </w:tcMar>
          </w:tcPr>
          <w:p w:rsidR="00E15042" w:rsidRPr="00913551" w:rsidRDefault="00E15042" w:rsidP="004F03CC">
            <w:pPr>
              <w:spacing w:after="0" w:line="240" w:lineRule="auto"/>
              <w:jc w:val="right"/>
              <w:rPr>
                <w:color w:val="7F7F7F" w:themeColor="text2"/>
                <w:sz w:val="16"/>
                <w:szCs w:val="16"/>
              </w:rPr>
            </w:pPr>
            <w:r w:rsidRPr="00913551">
              <w:rPr>
                <w:color w:val="7F7F7F" w:themeColor="text2"/>
                <w:sz w:val="16"/>
                <w:szCs w:val="16"/>
              </w:rPr>
              <w:t>**</w:t>
            </w:r>
          </w:p>
        </w:tc>
        <w:tc>
          <w:tcPr>
            <w:tcW w:w="7649" w:type="dxa"/>
            <w:tcMar>
              <w:left w:w="0" w:type="dxa"/>
              <w:right w:w="28" w:type="dxa"/>
            </w:tcMar>
          </w:tcPr>
          <w:p w:rsidR="00E15042" w:rsidRPr="00913551" w:rsidRDefault="00E15042" w:rsidP="004F03CC">
            <w:pPr>
              <w:pStyle w:val="Note"/>
              <w:rPr>
                <w:i w:val="0"/>
              </w:rPr>
            </w:pPr>
            <w:r w:rsidRPr="00913551">
              <w:t>Totals exclude training in foundation skills, education pathways and low-level courses in languages other than English.</w:t>
            </w:r>
          </w:p>
        </w:tc>
      </w:tr>
    </w:tbl>
    <w:p w:rsidR="00E15042" w:rsidRPr="006736E6" w:rsidRDefault="00E15042" w:rsidP="00E15042">
      <w:pPr>
        <w:rPr>
          <w:i/>
        </w:rPr>
      </w:pPr>
      <w:r w:rsidRPr="006736E6">
        <w:rPr>
          <w:i/>
        </w:rPr>
        <w:t xml:space="preserve">Note </w:t>
      </w:r>
      <w:r w:rsidR="006736E6" w:rsidRPr="006736E6">
        <w:rPr>
          <w:i/>
        </w:rPr>
        <w:t>there is a break in series between 2012 and 2013 and between 2013 and 2014, in line with updates to the respective source lists</w:t>
      </w:r>
      <w:r w:rsidRPr="006736E6">
        <w:rPr>
          <w:i/>
        </w:rPr>
        <w:t>.</w:t>
      </w:r>
    </w:p>
    <w:p w:rsidR="00E15042" w:rsidRDefault="00E15042" w:rsidP="00E15042"/>
    <w:p w:rsidR="005F66C1" w:rsidRDefault="005F66C1" w:rsidP="004F7D8A"/>
    <w:tbl>
      <w:tblPr>
        <w:tblStyle w:val="TableGrid"/>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230"/>
      </w:tblGrid>
      <w:tr w:rsidR="006736E6" w:rsidTr="004F03CC">
        <w:tc>
          <w:tcPr>
            <w:tcW w:w="1134" w:type="dxa"/>
            <w:tcMar>
              <w:left w:w="0" w:type="dxa"/>
              <w:right w:w="0" w:type="dxa"/>
            </w:tcMar>
          </w:tcPr>
          <w:p w:rsidR="006736E6" w:rsidRDefault="006736E6" w:rsidP="0005261F">
            <w:pPr>
              <w:pStyle w:val="Quote"/>
              <w:tabs>
                <w:tab w:val="left" w:pos="1134"/>
              </w:tabs>
              <w:rPr>
                <w:b w:val="0"/>
                <w:color w:val="B41F22" w:themeColor="accent1"/>
              </w:rPr>
            </w:pPr>
            <w:r>
              <w:rPr>
                <w:b w:val="0"/>
                <w:color w:val="B41F22" w:themeColor="accent1"/>
              </w:rPr>
              <w:t xml:space="preserve">Figure </w:t>
            </w:r>
            <w:r w:rsidR="0005261F">
              <w:rPr>
                <w:b w:val="0"/>
                <w:color w:val="B41F22" w:themeColor="accent1"/>
              </w:rPr>
              <w:t>4</w:t>
            </w:r>
            <w:r>
              <w:rPr>
                <w:b w:val="0"/>
                <w:color w:val="B41F22" w:themeColor="accent1"/>
              </w:rPr>
              <w:t>.1:</w:t>
            </w:r>
          </w:p>
        </w:tc>
        <w:tc>
          <w:tcPr>
            <w:tcW w:w="7230" w:type="dxa"/>
            <w:tcMar>
              <w:left w:w="0" w:type="dxa"/>
              <w:right w:w="0" w:type="dxa"/>
            </w:tcMar>
          </w:tcPr>
          <w:p w:rsidR="006736E6" w:rsidRDefault="006736E6" w:rsidP="004F03CC">
            <w:pPr>
              <w:pStyle w:val="Quote"/>
              <w:tabs>
                <w:tab w:val="left" w:pos="1134"/>
              </w:tabs>
              <w:rPr>
                <w:b w:val="0"/>
                <w:color w:val="B41F22" w:themeColor="accent1"/>
              </w:rPr>
            </w:pPr>
            <w:r>
              <w:rPr>
                <w:b w:val="0"/>
                <w:color w:val="B41F22" w:themeColor="accent1"/>
              </w:rPr>
              <w:t>Percentage share of g</w:t>
            </w:r>
            <w:r w:rsidRPr="007343D8">
              <w:rPr>
                <w:b w:val="0"/>
                <w:color w:val="B41F22" w:themeColor="accent1"/>
              </w:rPr>
              <w:t xml:space="preserve">overnment subsidised </w:t>
            </w:r>
            <w:r>
              <w:rPr>
                <w:b w:val="0"/>
                <w:color w:val="B41F22" w:themeColor="accent1"/>
              </w:rPr>
              <w:t>industry-aligned</w:t>
            </w:r>
            <w:r w:rsidRPr="007343D8">
              <w:rPr>
                <w:b w:val="0"/>
                <w:color w:val="B41F22" w:themeColor="accent1"/>
              </w:rPr>
              <w:t xml:space="preserve"> </w:t>
            </w:r>
            <w:r>
              <w:rPr>
                <w:b w:val="0"/>
                <w:color w:val="B41F22" w:themeColor="accent1"/>
              </w:rPr>
              <w:t xml:space="preserve">course </w:t>
            </w:r>
            <w:r w:rsidRPr="007343D8">
              <w:rPr>
                <w:b w:val="0"/>
                <w:color w:val="B41F22" w:themeColor="accent1"/>
              </w:rPr>
              <w:t xml:space="preserve">enrolments </w:t>
            </w:r>
            <w:r>
              <w:rPr>
                <w:b w:val="0"/>
                <w:color w:val="B41F22" w:themeColor="accent1"/>
              </w:rPr>
              <w:t>related to critical occupations (specialised and/or in demand),</w:t>
            </w:r>
            <w:r w:rsidRPr="007343D8">
              <w:rPr>
                <w:b w:val="0"/>
                <w:color w:val="B41F22" w:themeColor="accent1"/>
              </w:rPr>
              <w:t xml:space="preserve"> 2010 to 2015 (half year)</w:t>
            </w:r>
          </w:p>
        </w:tc>
      </w:tr>
    </w:tbl>
    <w:p w:rsidR="000E0A8A" w:rsidRDefault="006736E6" w:rsidP="004F7D8A">
      <w:r>
        <w:rPr>
          <w:noProof/>
          <w:lang w:eastAsia="en-AU"/>
        </w:rPr>
        <mc:AlternateContent>
          <mc:Choice Requires="wps">
            <w:drawing>
              <wp:anchor distT="0" distB="0" distL="114300" distR="114300" simplePos="0" relativeHeight="251659264" behindDoc="0" locked="0" layoutInCell="1" allowOverlap="1" wp14:anchorId="367296D1" wp14:editId="65109E00">
                <wp:simplePos x="0" y="0"/>
                <wp:positionH relativeFrom="column">
                  <wp:posOffset>2239010</wp:posOffset>
                </wp:positionH>
                <wp:positionV relativeFrom="paragraph">
                  <wp:posOffset>3017618</wp:posOffset>
                </wp:positionV>
                <wp:extent cx="764540" cy="25463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764540" cy="2546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2714" w:rsidRDefault="00952714" w:rsidP="006736E6">
                            <w:pPr>
                              <w:jc w:val="center"/>
                            </w:pPr>
                            <w:r>
                              <w:t>(</w:t>
                            </w:r>
                            <w:proofErr w:type="gramStart"/>
                            <w:r>
                              <w:t>half</w:t>
                            </w:r>
                            <w:proofErr w:type="gramEnd"/>
                            <w:r>
                              <w:t xml:space="preserve">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176.3pt;margin-top:237.6pt;width:60.2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" filled="f" stroked="f" strokeweight=".5pt">
                <v:textbox>
                  <w:txbxContent>
                    <w:p w:rsidR="00952714" w:rsidRDefault="00952714" w:rsidP="006736E6">
                      <w:pPr>
                        <w:jc w:val="center"/>
                      </w:pPr>
                      <w:r>
                        <w:t>(</w:t>
                      </w:r>
                      <w:proofErr w:type="gramStart"/>
                      <w:r>
                        <w:t>half</w:t>
                      </w:r>
                      <w:proofErr w:type="gramEnd"/>
                      <w:r>
                        <w:t xml:space="preserve"> year)</w:t>
                      </w:r>
                    </w:p>
                  </w:txbxContent>
                </v:textbox>
              </v:shape>
            </w:pict>
          </mc:Fallback>
        </mc:AlternateContent>
      </w:r>
      <w:r>
        <w:rPr>
          <w:noProof/>
          <w:lang w:eastAsia="en-AU"/>
        </w:rPr>
        <w:drawing>
          <wp:inline distT="0" distB="0" distL="0" distR="0" wp14:anchorId="498A4A2E" wp14:editId="594C9AEE">
            <wp:extent cx="5220000" cy="3127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220000" cy="3127000"/>
                    </a:xfrm>
                    <a:prstGeom prst="rect">
                      <a:avLst/>
                    </a:prstGeom>
                    <a:noFill/>
                  </pic:spPr>
                </pic:pic>
              </a:graphicData>
            </a:graphic>
          </wp:inline>
        </w:drawing>
      </w:r>
    </w:p>
    <w:p w:rsidR="006736E6" w:rsidRPr="006736E6" w:rsidRDefault="006736E6" w:rsidP="006736E6">
      <w:pPr>
        <w:rPr>
          <w:color w:val="808080" w:themeColor="background1" w:themeShade="80"/>
        </w:rPr>
      </w:pPr>
    </w:p>
    <w:p w:rsidR="00B15FE6" w:rsidRDefault="00B15FE6">
      <w:r>
        <w:br w:type="page"/>
      </w:r>
    </w:p>
    <w:p w:rsidR="00213ED1" w:rsidRPr="00612488" w:rsidRDefault="00213ED1" w:rsidP="00213ED1">
      <w:pPr>
        <w:pStyle w:val="Heading2"/>
        <w:rPr>
          <w:color w:val="B41F22" w:themeColor="accent1"/>
        </w:rPr>
      </w:pPr>
      <w:bookmarkStart w:id="35" w:name="_Toc432758343"/>
      <w:r w:rsidRPr="00612488">
        <w:rPr>
          <w:color w:val="B41F22" w:themeColor="accent1"/>
        </w:rPr>
        <w:lastRenderedPageBreak/>
        <w:t xml:space="preserve">Vocational </w:t>
      </w:r>
      <w:r w:rsidRPr="00D9480C">
        <w:rPr>
          <w:color w:val="B41F22" w:themeColor="accent1"/>
        </w:rPr>
        <w:t>Training in Priority Growth Sectors</w:t>
      </w:r>
      <w:bookmarkEnd w:id="35"/>
    </w:p>
    <w:p w:rsidR="00213ED1" w:rsidRDefault="00213ED1" w:rsidP="00213ED1">
      <w:pPr>
        <w:rPr>
          <w:highlight w:val="yellow"/>
        </w:rPr>
      </w:pPr>
    </w:p>
    <w:p w:rsidR="00213ED1" w:rsidRDefault="00213ED1" w:rsidP="00213ED1">
      <w:pPr>
        <w:spacing w:after="120"/>
      </w:pPr>
      <w:r>
        <w:t xml:space="preserve">The Victorian Government has identified a number of priority </w:t>
      </w:r>
      <w:proofErr w:type="gramStart"/>
      <w:r>
        <w:t>sectors which</w:t>
      </w:r>
      <w:proofErr w:type="gramEnd"/>
      <w:r>
        <w:t xml:space="preserve"> are primed for growth. These are:</w:t>
      </w:r>
    </w:p>
    <w:p w:rsidR="00213ED1" w:rsidRDefault="00213ED1" w:rsidP="00213ED1">
      <w:pPr>
        <w:pStyle w:val="ListParagraph"/>
        <w:numPr>
          <w:ilvl w:val="0"/>
          <w:numId w:val="32"/>
        </w:numPr>
        <w:spacing w:after="120"/>
        <w:contextualSpacing w:val="0"/>
      </w:pPr>
      <w:r>
        <w:t>Food and Fibre</w:t>
      </w:r>
    </w:p>
    <w:p w:rsidR="00213ED1" w:rsidRDefault="00213ED1" w:rsidP="00213ED1">
      <w:pPr>
        <w:pStyle w:val="ListParagraph"/>
        <w:numPr>
          <w:ilvl w:val="0"/>
          <w:numId w:val="32"/>
        </w:numPr>
        <w:spacing w:after="120"/>
        <w:contextualSpacing w:val="0"/>
      </w:pPr>
      <w:r>
        <w:t>International Education</w:t>
      </w:r>
    </w:p>
    <w:p w:rsidR="00213ED1" w:rsidRDefault="00213ED1" w:rsidP="00213ED1">
      <w:pPr>
        <w:pStyle w:val="ListParagraph"/>
        <w:numPr>
          <w:ilvl w:val="0"/>
          <w:numId w:val="32"/>
        </w:numPr>
        <w:spacing w:after="120"/>
        <w:contextualSpacing w:val="0"/>
      </w:pPr>
      <w:r>
        <w:t>Medical Technologies and Pharmaceuticals</w:t>
      </w:r>
    </w:p>
    <w:p w:rsidR="00213ED1" w:rsidRDefault="00213ED1" w:rsidP="00213ED1">
      <w:pPr>
        <w:pStyle w:val="ListParagraph"/>
        <w:numPr>
          <w:ilvl w:val="0"/>
          <w:numId w:val="32"/>
        </w:numPr>
        <w:spacing w:after="120"/>
        <w:contextualSpacing w:val="0"/>
      </w:pPr>
      <w:r>
        <w:t>New Energy Technology</w:t>
      </w:r>
    </w:p>
    <w:p w:rsidR="00213ED1" w:rsidRDefault="00213ED1" w:rsidP="00213ED1">
      <w:pPr>
        <w:pStyle w:val="ListParagraph"/>
        <w:numPr>
          <w:ilvl w:val="0"/>
          <w:numId w:val="32"/>
        </w:numPr>
        <w:spacing w:after="120"/>
        <w:contextualSpacing w:val="0"/>
      </w:pPr>
      <w:r>
        <w:t>Professional Services</w:t>
      </w:r>
    </w:p>
    <w:p w:rsidR="00213ED1" w:rsidRDefault="00213ED1" w:rsidP="00213ED1">
      <w:pPr>
        <w:pStyle w:val="ListParagraph"/>
        <w:numPr>
          <w:ilvl w:val="0"/>
          <w:numId w:val="32"/>
        </w:numPr>
        <w:spacing w:after="120"/>
        <w:contextualSpacing w:val="0"/>
      </w:pPr>
      <w:r>
        <w:t>Defence, Construction and Transport Technologies</w:t>
      </w:r>
    </w:p>
    <w:p w:rsidR="00213ED1" w:rsidRDefault="00213ED1" w:rsidP="00213ED1">
      <w:pPr>
        <w:spacing w:after="120"/>
      </w:pPr>
      <w:r>
        <w:t xml:space="preserve">Vocational training is one pathway into employment in these sectors. </w:t>
      </w:r>
      <w:proofErr w:type="gramStart"/>
      <w:r>
        <w:t>Higher education also plays an important role in skilling the future workforce and, in sectors such as international education and professional services, will account for a higher proportion of employment than vocational training.</w:t>
      </w:r>
      <w:proofErr w:type="gramEnd"/>
    </w:p>
    <w:p w:rsidR="00213ED1" w:rsidRDefault="00213ED1" w:rsidP="00213ED1">
      <w:pPr>
        <w:spacing w:after="120"/>
      </w:pPr>
      <w:r>
        <w:t>Certain sectors, such as medical technology and pharmaceuticals or new energy technology, represent niche or emerging areas in the Victorian economy. As such, training delivery directly aligned to these industries is limited at this stage.</w:t>
      </w:r>
    </w:p>
    <w:p w:rsidR="00213ED1" w:rsidRDefault="00213ED1" w:rsidP="00213ED1">
      <w:pPr>
        <w:pStyle w:val="Quote"/>
        <w:pBdr>
          <w:top w:val="single" w:sz="4" w:space="1" w:color="7F7F7F" w:themeColor="text2"/>
          <w:left w:val="single" w:sz="4" w:space="4" w:color="7F7F7F" w:themeColor="text2"/>
          <w:bottom w:val="single" w:sz="4" w:space="1" w:color="7F7F7F" w:themeColor="text2"/>
          <w:right w:val="single" w:sz="4" w:space="4" w:color="7F7F7F" w:themeColor="text2"/>
        </w:pBdr>
        <w:spacing w:before="120" w:after="120"/>
      </w:pPr>
      <w:r w:rsidRPr="00BB466D">
        <w:t>Key points</w:t>
      </w:r>
    </w:p>
    <w:p w:rsidR="00213ED1" w:rsidRPr="00CC6197" w:rsidRDefault="00213ED1" w:rsidP="00213ED1">
      <w:pPr>
        <w:pStyle w:val="Quote"/>
        <w:numPr>
          <w:ilvl w:val="0"/>
          <w:numId w:val="29"/>
        </w:numPr>
        <w:pBdr>
          <w:top w:val="single" w:sz="4" w:space="1" w:color="7F7F7F" w:themeColor="text2"/>
          <w:left w:val="single" w:sz="4" w:space="4" w:color="7F7F7F" w:themeColor="text2"/>
          <w:bottom w:val="single" w:sz="4" w:space="1" w:color="7F7F7F" w:themeColor="text2"/>
          <w:right w:val="single" w:sz="4" w:space="4" w:color="7F7F7F" w:themeColor="text2"/>
        </w:pBdr>
        <w:spacing w:before="120" w:after="120" w:line="220" w:lineRule="atLeast"/>
        <w:rPr>
          <w:sz w:val="18"/>
          <w:szCs w:val="18"/>
        </w:rPr>
      </w:pPr>
      <w:r w:rsidRPr="00CC6197">
        <w:rPr>
          <w:b w:val="0"/>
          <w:sz w:val="18"/>
          <w:szCs w:val="18"/>
        </w:rPr>
        <w:t>The number of government subsidised course enrolments related to the Government’s priority growth areas was 61,864 in 2015 (half year).</w:t>
      </w:r>
    </w:p>
    <w:p w:rsidR="00213ED1" w:rsidRPr="00CC6197" w:rsidRDefault="00213ED1" w:rsidP="00213ED1">
      <w:pPr>
        <w:pStyle w:val="Quote"/>
        <w:numPr>
          <w:ilvl w:val="0"/>
          <w:numId w:val="29"/>
        </w:numPr>
        <w:pBdr>
          <w:top w:val="single" w:sz="4" w:space="1" w:color="7F7F7F" w:themeColor="text2"/>
          <w:left w:val="single" w:sz="4" w:space="4" w:color="7F7F7F" w:themeColor="text2"/>
          <w:bottom w:val="single" w:sz="4" w:space="1" w:color="7F7F7F" w:themeColor="text2"/>
          <w:right w:val="single" w:sz="4" w:space="4" w:color="7F7F7F" w:themeColor="text2"/>
        </w:pBdr>
        <w:spacing w:before="120" w:after="120" w:line="220" w:lineRule="atLeast"/>
        <w:rPr>
          <w:sz w:val="18"/>
          <w:szCs w:val="18"/>
        </w:rPr>
      </w:pPr>
      <w:r w:rsidRPr="00CC6197">
        <w:rPr>
          <w:b w:val="0"/>
          <w:sz w:val="18"/>
          <w:szCs w:val="18"/>
        </w:rPr>
        <w:t>This comprised 23 per cent of total industry-aligned training in 2015 (half year).</w:t>
      </w:r>
    </w:p>
    <w:p w:rsidR="00213ED1" w:rsidRPr="00213ED1" w:rsidRDefault="00213ED1" w:rsidP="00213ED1">
      <w:pPr>
        <w:pStyle w:val="Quote"/>
        <w:numPr>
          <w:ilvl w:val="0"/>
          <w:numId w:val="29"/>
        </w:numPr>
        <w:pBdr>
          <w:top w:val="single" w:sz="4" w:space="1" w:color="7F7F7F" w:themeColor="text2"/>
          <w:left w:val="single" w:sz="4" w:space="4" w:color="7F7F7F" w:themeColor="text2"/>
          <w:bottom w:val="single" w:sz="4" w:space="1" w:color="7F7F7F" w:themeColor="text2"/>
          <w:right w:val="single" w:sz="4" w:space="4" w:color="7F7F7F" w:themeColor="text2"/>
        </w:pBdr>
        <w:spacing w:before="120" w:line="220" w:lineRule="atLeast"/>
        <w:ind w:left="357" w:hanging="357"/>
        <w:rPr>
          <w:color w:val="808080" w:themeColor="background1" w:themeShade="80"/>
          <w:sz w:val="18"/>
          <w:szCs w:val="18"/>
        </w:rPr>
      </w:pPr>
      <w:r w:rsidRPr="00213ED1">
        <w:rPr>
          <w:b w:val="0"/>
          <w:color w:val="808080" w:themeColor="background1" w:themeShade="80"/>
          <w:sz w:val="18"/>
          <w:szCs w:val="18"/>
        </w:rPr>
        <w:t>Course enrolments have decreased across a majority of sectors between 2014 and 2015 (half year). The exception to this is Professional Services, where course enrolments have increased by 4 per cent over the period.</w:t>
      </w:r>
    </w:p>
    <w:p w:rsidR="00213ED1" w:rsidRPr="00213ED1" w:rsidRDefault="00213ED1" w:rsidP="00213ED1">
      <w:pPr>
        <w:pStyle w:val="Quote"/>
        <w:pBdr>
          <w:top w:val="single" w:sz="4" w:space="1" w:color="7F7F7F" w:themeColor="text2"/>
          <w:left w:val="single" w:sz="4" w:space="4" w:color="7F7F7F" w:themeColor="text2"/>
          <w:bottom w:val="single" w:sz="4" w:space="1" w:color="7F7F7F" w:themeColor="text2"/>
          <w:right w:val="single" w:sz="4" w:space="4" w:color="7F7F7F" w:themeColor="text2"/>
        </w:pBdr>
        <w:rPr>
          <w:b w:val="0"/>
          <w:color w:val="808080" w:themeColor="background1" w:themeShade="80"/>
          <w:sz w:val="18"/>
          <w:szCs w:val="18"/>
        </w:rPr>
      </w:pPr>
    </w:p>
    <w:p w:rsidR="00213ED1" w:rsidRPr="00213ED1" w:rsidRDefault="00213ED1" w:rsidP="00213ED1">
      <w:pPr>
        <w:rPr>
          <w:color w:val="808080" w:themeColor="background1" w:themeShade="80"/>
        </w:rPr>
      </w:pPr>
    </w:p>
    <w:p w:rsidR="000E0A8A" w:rsidRDefault="000E0A8A" w:rsidP="004F7D8A"/>
    <w:tbl>
      <w:tblPr>
        <w:tblStyle w:val="TableGrid"/>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230"/>
      </w:tblGrid>
      <w:tr w:rsidR="00213ED1" w:rsidTr="004F03CC">
        <w:tc>
          <w:tcPr>
            <w:tcW w:w="1134" w:type="dxa"/>
            <w:tcMar>
              <w:left w:w="0" w:type="dxa"/>
              <w:right w:w="0" w:type="dxa"/>
            </w:tcMar>
          </w:tcPr>
          <w:p w:rsidR="00213ED1" w:rsidRDefault="00213ED1" w:rsidP="0005261F">
            <w:pPr>
              <w:pStyle w:val="Quote"/>
              <w:tabs>
                <w:tab w:val="left" w:pos="1134"/>
              </w:tabs>
              <w:rPr>
                <w:b w:val="0"/>
                <w:color w:val="B41F22" w:themeColor="accent1"/>
              </w:rPr>
            </w:pPr>
            <w:r>
              <w:rPr>
                <w:b w:val="0"/>
                <w:color w:val="B41F22" w:themeColor="accent1"/>
              </w:rPr>
              <w:t xml:space="preserve">Table </w:t>
            </w:r>
            <w:r w:rsidR="0005261F">
              <w:rPr>
                <w:b w:val="0"/>
                <w:color w:val="B41F22" w:themeColor="accent1"/>
              </w:rPr>
              <w:t>4</w:t>
            </w:r>
            <w:r>
              <w:rPr>
                <w:b w:val="0"/>
                <w:color w:val="B41F22" w:themeColor="accent1"/>
              </w:rPr>
              <w:t>.3.1:</w:t>
            </w:r>
          </w:p>
        </w:tc>
        <w:tc>
          <w:tcPr>
            <w:tcW w:w="7230" w:type="dxa"/>
            <w:tcMar>
              <w:left w:w="0" w:type="dxa"/>
              <w:right w:w="0" w:type="dxa"/>
            </w:tcMar>
          </w:tcPr>
          <w:p w:rsidR="00213ED1" w:rsidRDefault="00213ED1" w:rsidP="004F03CC">
            <w:pPr>
              <w:pStyle w:val="Quote"/>
              <w:tabs>
                <w:tab w:val="left" w:pos="1134"/>
              </w:tabs>
              <w:rPr>
                <w:b w:val="0"/>
                <w:color w:val="B41F22" w:themeColor="accent1"/>
              </w:rPr>
            </w:pPr>
            <w:r w:rsidRPr="007343D8">
              <w:rPr>
                <w:b w:val="0"/>
                <w:color w:val="B41F22" w:themeColor="accent1"/>
              </w:rPr>
              <w:t xml:space="preserve">Government subsidised </w:t>
            </w:r>
            <w:r>
              <w:rPr>
                <w:b w:val="0"/>
                <w:color w:val="B41F22" w:themeColor="accent1"/>
              </w:rPr>
              <w:t xml:space="preserve">industry-aligned </w:t>
            </w:r>
            <w:r w:rsidRPr="007343D8">
              <w:rPr>
                <w:b w:val="0"/>
                <w:color w:val="B41F22" w:themeColor="accent1"/>
              </w:rPr>
              <w:t xml:space="preserve">course enrolments </w:t>
            </w:r>
            <w:r>
              <w:rPr>
                <w:b w:val="0"/>
                <w:color w:val="B41F22" w:themeColor="accent1"/>
              </w:rPr>
              <w:t>related to priority growth sectors,</w:t>
            </w:r>
            <w:r w:rsidRPr="007343D8">
              <w:rPr>
                <w:b w:val="0"/>
                <w:color w:val="B41F22" w:themeColor="accent1"/>
              </w:rPr>
              <w:t xml:space="preserve"> 2010 to 2015 (half year)</w:t>
            </w:r>
          </w:p>
        </w:tc>
      </w:tr>
    </w:tbl>
    <w:tbl>
      <w:tblPr>
        <w:tblW w:w="8379" w:type="dxa"/>
        <w:tblInd w:w="93" w:type="dxa"/>
        <w:tblLayout w:type="fixed"/>
        <w:tblLook w:val="04A0" w:firstRow="1" w:lastRow="0" w:firstColumn="1" w:lastColumn="0" w:noHBand="0" w:noVBand="1"/>
      </w:tblPr>
      <w:tblGrid>
        <w:gridCol w:w="2425"/>
        <w:gridCol w:w="992"/>
        <w:gridCol w:w="992"/>
        <w:gridCol w:w="993"/>
        <w:gridCol w:w="992"/>
        <w:gridCol w:w="992"/>
        <w:gridCol w:w="993"/>
      </w:tblGrid>
      <w:tr w:rsidR="0033252C" w:rsidRPr="007343D8" w:rsidTr="00692A5D">
        <w:trPr>
          <w:trHeight w:val="300"/>
        </w:trPr>
        <w:tc>
          <w:tcPr>
            <w:tcW w:w="2425" w:type="dxa"/>
            <w:tcBorders>
              <w:top w:val="nil"/>
              <w:left w:val="nil"/>
              <w:bottom w:val="nil"/>
              <w:right w:val="nil"/>
            </w:tcBorders>
            <w:shd w:val="clear" w:color="000000" w:fill="7F7F7F"/>
            <w:noWrap/>
            <w:vAlign w:val="center"/>
            <w:hideMark/>
          </w:tcPr>
          <w:p w:rsidR="0033252C" w:rsidRPr="007343D8" w:rsidRDefault="0033252C" w:rsidP="004F03CC">
            <w:pPr>
              <w:rPr>
                <w:rFonts w:cs="Arial"/>
                <w:color w:val="FFFFFF"/>
                <w:szCs w:val="18"/>
                <w:lang w:eastAsia="en-AU"/>
              </w:rPr>
            </w:pPr>
            <w:r w:rsidRPr="007343D8">
              <w:rPr>
                <w:rFonts w:cs="Arial"/>
                <w:color w:val="FFFFFF"/>
                <w:szCs w:val="18"/>
                <w:lang w:eastAsia="en-AU"/>
              </w:rPr>
              <w:t> </w:t>
            </w:r>
          </w:p>
        </w:tc>
        <w:tc>
          <w:tcPr>
            <w:tcW w:w="992" w:type="dxa"/>
            <w:tcBorders>
              <w:top w:val="nil"/>
              <w:left w:val="nil"/>
              <w:bottom w:val="nil"/>
              <w:right w:val="nil"/>
            </w:tcBorders>
            <w:shd w:val="clear" w:color="000000" w:fill="7F7F7F"/>
            <w:noWrap/>
            <w:vAlign w:val="center"/>
            <w:hideMark/>
          </w:tcPr>
          <w:p w:rsidR="0033252C" w:rsidRPr="007343D8" w:rsidRDefault="0033252C" w:rsidP="004F03CC">
            <w:pPr>
              <w:jc w:val="right"/>
              <w:rPr>
                <w:rFonts w:cs="Arial"/>
                <w:b/>
                <w:bCs/>
                <w:color w:val="FFFFFF"/>
                <w:szCs w:val="18"/>
                <w:lang w:eastAsia="en-AU"/>
              </w:rPr>
            </w:pPr>
            <w:r w:rsidRPr="007343D8">
              <w:rPr>
                <w:rFonts w:cs="Arial"/>
                <w:b/>
                <w:bCs/>
                <w:color w:val="FFFFFF"/>
                <w:szCs w:val="18"/>
                <w:lang w:eastAsia="en-AU"/>
              </w:rPr>
              <w:t>2010</w:t>
            </w:r>
          </w:p>
        </w:tc>
        <w:tc>
          <w:tcPr>
            <w:tcW w:w="992" w:type="dxa"/>
            <w:tcBorders>
              <w:top w:val="nil"/>
              <w:left w:val="nil"/>
              <w:bottom w:val="nil"/>
              <w:right w:val="nil"/>
            </w:tcBorders>
            <w:shd w:val="clear" w:color="000000" w:fill="7F7F7F"/>
            <w:noWrap/>
            <w:vAlign w:val="center"/>
            <w:hideMark/>
          </w:tcPr>
          <w:p w:rsidR="0033252C" w:rsidRPr="007343D8" w:rsidRDefault="0033252C" w:rsidP="004F03CC">
            <w:pPr>
              <w:jc w:val="right"/>
              <w:rPr>
                <w:rFonts w:cs="Arial"/>
                <w:b/>
                <w:bCs/>
                <w:color w:val="FFFFFF"/>
                <w:szCs w:val="18"/>
                <w:lang w:eastAsia="en-AU"/>
              </w:rPr>
            </w:pPr>
            <w:r w:rsidRPr="007343D8">
              <w:rPr>
                <w:rFonts w:cs="Arial"/>
                <w:b/>
                <w:bCs/>
                <w:color w:val="FFFFFF"/>
                <w:szCs w:val="18"/>
                <w:lang w:eastAsia="en-AU"/>
              </w:rPr>
              <w:t>2011</w:t>
            </w:r>
          </w:p>
        </w:tc>
        <w:tc>
          <w:tcPr>
            <w:tcW w:w="993" w:type="dxa"/>
            <w:tcBorders>
              <w:top w:val="nil"/>
              <w:left w:val="nil"/>
              <w:bottom w:val="nil"/>
            </w:tcBorders>
            <w:shd w:val="clear" w:color="000000" w:fill="7F7F7F"/>
            <w:noWrap/>
            <w:vAlign w:val="center"/>
            <w:hideMark/>
          </w:tcPr>
          <w:p w:rsidR="0033252C" w:rsidRPr="007343D8" w:rsidRDefault="0033252C" w:rsidP="004F03CC">
            <w:pPr>
              <w:jc w:val="right"/>
              <w:rPr>
                <w:rFonts w:cs="Arial"/>
                <w:b/>
                <w:bCs/>
                <w:color w:val="FFFFFF"/>
                <w:szCs w:val="18"/>
                <w:lang w:eastAsia="en-AU"/>
              </w:rPr>
            </w:pPr>
            <w:r w:rsidRPr="007343D8">
              <w:rPr>
                <w:rFonts w:cs="Arial"/>
                <w:b/>
                <w:bCs/>
                <w:color w:val="FFFFFF"/>
                <w:szCs w:val="18"/>
                <w:lang w:eastAsia="en-AU"/>
              </w:rPr>
              <w:t>2012</w:t>
            </w:r>
          </w:p>
        </w:tc>
        <w:tc>
          <w:tcPr>
            <w:tcW w:w="992" w:type="dxa"/>
            <w:tcBorders>
              <w:top w:val="nil"/>
              <w:bottom w:val="nil"/>
            </w:tcBorders>
            <w:shd w:val="clear" w:color="000000" w:fill="7F7F7F"/>
            <w:noWrap/>
            <w:vAlign w:val="center"/>
            <w:hideMark/>
          </w:tcPr>
          <w:p w:rsidR="0033252C" w:rsidRPr="007343D8" w:rsidRDefault="0033252C" w:rsidP="004F03CC">
            <w:pPr>
              <w:jc w:val="right"/>
              <w:rPr>
                <w:rFonts w:cs="Arial"/>
                <w:b/>
                <w:bCs/>
                <w:color w:val="FFFFFF"/>
                <w:szCs w:val="18"/>
                <w:lang w:eastAsia="en-AU"/>
              </w:rPr>
            </w:pPr>
            <w:r w:rsidRPr="007343D8">
              <w:rPr>
                <w:rFonts w:cs="Arial"/>
                <w:b/>
                <w:bCs/>
                <w:color w:val="FFFFFF"/>
                <w:szCs w:val="18"/>
                <w:lang w:eastAsia="en-AU"/>
              </w:rPr>
              <w:t>2013</w:t>
            </w:r>
          </w:p>
        </w:tc>
        <w:tc>
          <w:tcPr>
            <w:tcW w:w="992" w:type="dxa"/>
            <w:tcBorders>
              <w:top w:val="nil"/>
              <w:bottom w:val="nil"/>
              <w:right w:val="nil"/>
            </w:tcBorders>
            <w:shd w:val="clear" w:color="000000" w:fill="7F7F7F"/>
            <w:noWrap/>
            <w:vAlign w:val="center"/>
            <w:hideMark/>
          </w:tcPr>
          <w:p w:rsidR="0033252C" w:rsidRPr="007343D8" w:rsidRDefault="0033252C" w:rsidP="004F03CC">
            <w:pPr>
              <w:jc w:val="right"/>
              <w:rPr>
                <w:rFonts w:cs="Arial"/>
                <w:b/>
                <w:bCs/>
                <w:color w:val="FFFFFF"/>
                <w:szCs w:val="18"/>
                <w:lang w:eastAsia="en-AU"/>
              </w:rPr>
            </w:pPr>
            <w:r w:rsidRPr="007343D8">
              <w:rPr>
                <w:rFonts w:cs="Arial"/>
                <w:b/>
                <w:bCs/>
                <w:color w:val="FFFFFF"/>
                <w:szCs w:val="18"/>
                <w:lang w:eastAsia="en-AU"/>
              </w:rPr>
              <w:t>2014</w:t>
            </w:r>
          </w:p>
        </w:tc>
        <w:tc>
          <w:tcPr>
            <w:tcW w:w="993" w:type="dxa"/>
            <w:tcBorders>
              <w:top w:val="nil"/>
              <w:left w:val="nil"/>
              <w:bottom w:val="nil"/>
              <w:right w:val="nil"/>
            </w:tcBorders>
            <w:shd w:val="clear" w:color="000000" w:fill="7F7F7F"/>
            <w:noWrap/>
            <w:vAlign w:val="center"/>
            <w:hideMark/>
          </w:tcPr>
          <w:p w:rsidR="0033252C" w:rsidRPr="007343D8" w:rsidRDefault="0033252C" w:rsidP="004F03CC">
            <w:pPr>
              <w:jc w:val="right"/>
              <w:rPr>
                <w:rFonts w:cs="Arial"/>
                <w:b/>
                <w:bCs/>
                <w:color w:val="FFFFFF"/>
                <w:szCs w:val="18"/>
                <w:lang w:eastAsia="en-AU"/>
              </w:rPr>
            </w:pPr>
            <w:r w:rsidRPr="007343D8">
              <w:rPr>
                <w:rFonts w:cs="Arial"/>
                <w:b/>
                <w:bCs/>
                <w:color w:val="FFFFFF"/>
                <w:szCs w:val="18"/>
                <w:lang w:eastAsia="en-AU"/>
              </w:rPr>
              <w:t>2015</w:t>
            </w:r>
          </w:p>
        </w:tc>
      </w:tr>
      <w:tr w:rsidR="0033252C" w:rsidRPr="007343D8" w:rsidTr="00692A5D">
        <w:trPr>
          <w:trHeight w:val="300"/>
        </w:trPr>
        <w:tc>
          <w:tcPr>
            <w:tcW w:w="2425" w:type="dxa"/>
            <w:tcBorders>
              <w:top w:val="nil"/>
              <w:left w:val="nil"/>
              <w:bottom w:val="nil"/>
              <w:right w:val="nil"/>
            </w:tcBorders>
            <w:shd w:val="clear" w:color="auto" w:fill="auto"/>
            <w:noWrap/>
            <w:vAlign w:val="center"/>
            <w:hideMark/>
          </w:tcPr>
          <w:p w:rsidR="0033252C" w:rsidRPr="007343D8" w:rsidRDefault="0033252C" w:rsidP="004F03CC">
            <w:pPr>
              <w:rPr>
                <w:rFonts w:cs="Arial"/>
                <w:color w:val="7F7F7F"/>
                <w:szCs w:val="18"/>
                <w:lang w:eastAsia="en-AU"/>
              </w:rPr>
            </w:pPr>
            <w:r w:rsidRPr="00481865">
              <w:t xml:space="preserve">Food and </w:t>
            </w:r>
            <w:r>
              <w:t>F</w:t>
            </w:r>
            <w:r w:rsidRPr="00481865">
              <w:t>ibre</w:t>
            </w:r>
          </w:p>
        </w:tc>
        <w:tc>
          <w:tcPr>
            <w:tcW w:w="992" w:type="dxa"/>
            <w:tcBorders>
              <w:top w:val="nil"/>
              <w:left w:val="nil"/>
              <w:bottom w:val="nil"/>
              <w:right w:val="nil"/>
            </w:tcBorders>
            <w:shd w:val="clear" w:color="auto" w:fill="auto"/>
            <w:noWrap/>
            <w:vAlign w:val="center"/>
            <w:hideMark/>
          </w:tcPr>
          <w:p w:rsidR="0033252C" w:rsidRPr="007343D8" w:rsidRDefault="0033252C" w:rsidP="004F03CC">
            <w:pPr>
              <w:jc w:val="right"/>
              <w:rPr>
                <w:rFonts w:cs="Arial"/>
                <w:color w:val="7F7F7F"/>
                <w:szCs w:val="18"/>
                <w:lang w:eastAsia="en-AU"/>
              </w:rPr>
            </w:pPr>
            <w:r w:rsidRPr="001A0FC8">
              <w:t>10,567</w:t>
            </w:r>
          </w:p>
        </w:tc>
        <w:tc>
          <w:tcPr>
            <w:tcW w:w="992" w:type="dxa"/>
            <w:tcBorders>
              <w:top w:val="nil"/>
              <w:left w:val="nil"/>
              <w:bottom w:val="nil"/>
              <w:right w:val="nil"/>
            </w:tcBorders>
            <w:shd w:val="clear" w:color="auto" w:fill="auto"/>
            <w:noWrap/>
            <w:vAlign w:val="center"/>
            <w:hideMark/>
          </w:tcPr>
          <w:p w:rsidR="0033252C" w:rsidRPr="007343D8" w:rsidRDefault="0033252C" w:rsidP="004F03CC">
            <w:pPr>
              <w:jc w:val="right"/>
              <w:rPr>
                <w:rFonts w:cs="Arial"/>
                <w:color w:val="7F7F7F"/>
                <w:szCs w:val="18"/>
                <w:lang w:eastAsia="en-AU"/>
              </w:rPr>
            </w:pPr>
            <w:r w:rsidRPr="001A0FC8">
              <w:t>12,054</w:t>
            </w:r>
          </w:p>
        </w:tc>
        <w:tc>
          <w:tcPr>
            <w:tcW w:w="993" w:type="dxa"/>
            <w:tcBorders>
              <w:top w:val="nil"/>
              <w:left w:val="nil"/>
              <w:bottom w:val="nil"/>
            </w:tcBorders>
            <w:shd w:val="clear" w:color="auto" w:fill="auto"/>
            <w:noWrap/>
            <w:vAlign w:val="center"/>
            <w:hideMark/>
          </w:tcPr>
          <w:p w:rsidR="0033252C" w:rsidRPr="007343D8" w:rsidRDefault="0033252C" w:rsidP="004F03CC">
            <w:pPr>
              <w:jc w:val="right"/>
              <w:rPr>
                <w:rFonts w:cs="Arial"/>
                <w:color w:val="7F7F7F"/>
                <w:szCs w:val="18"/>
                <w:lang w:eastAsia="en-AU"/>
              </w:rPr>
            </w:pPr>
            <w:r w:rsidRPr="001A0FC8">
              <w:t>14,920</w:t>
            </w:r>
          </w:p>
        </w:tc>
        <w:tc>
          <w:tcPr>
            <w:tcW w:w="992" w:type="dxa"/>
            <w:tcBorders>
              <w:top w:val="nil"/>
              <w:bottom w:val="nil"/>
            </w:tcBorders>
            <w:shd w:val="clear" w:color="auto" w:fill="auto"/>
            <w:noWrap/>
            <w:vAlign w:val="center"/>
            <w:hideMark/>
          </w:tcPr>
          <w:p w:rsidR="0033252C" w:rsidRPr="007343D8" w:rsidRDefault="0033252C" w:rsidP="004F03CC">
            <w:pPr>
              <w:jc w:val="right"/>
              <w:rPr>
                <w:rFonts w:cs="Arial"/>
                <w:color w:val="7F7F7F"/>
                <w:szCs w:val="18"/>
                <w:lang w:eastAsia="en-AU"/>
              </w:rPr>
            </w:pPr>
            <w:r w:rsidRPr="001A0FC8">
              <w:t>13,086</w:t>
            </w:r>
          </w:p>
        </w:tc>
        <w:tc>
          <w:tcPr>
            <w:tcW w:w="992" w:type="dxa"/>
            <w:tcBorders>
              <w:top w:val="nil"/>
              <w:bottom w:val="nil"/>
              <w:right w:val="nil"/>
            </w:tcBorders>
            <w:shd w:val="clear" w:color="auto" w:fill="auto"/>
            <w:noWrap/>
            <w:vAlign w:val="center"/>
            <w:hideMark/>
          </w:tcPr>
          <w:p w:rsidR="0033252C" w:rsidRPr="007343D8" w:rsidRDefault="0033252C" w:rsidP="004F03CC">
            <w:pPr>
              <w:jc w:val="right"/>
              <w:rPr>
                <w:rFonts w:cs="Arial"/>
                <w:color w:val="7F7F7F"/>
                <w:szCs w:val="18"/>
                <w:lang w:eastAsia="en-AU"/>
              </w:rPr>
            </w:pPr>
            <w:r w:rsidRPr="001A0FC8">
              <w:t>18,089</w:t>
            </w:r>
          </w:p>
        </w:tc>
        <w:tc>
          <w:tcPr>
            <w:tcW w:w="993" w:type="dxa"/>
            <w:tcBorders>
              <w:top w:val="nil"/>
              <w:left w:val="nil"/>
              <w:bottom w:val="nil"/>
              <w:right w:val="nil"/>
            </w:tcBorders>
            <w:shd w:val="clear" w:color="auto" w:fill="auto"/>
            <w:noWrap/>
            <w:vAlign w:val="center"/>
            <w:hideMark/>
          </w:tcPr>
          <w:p w:rsidR="0033252C" w:rsidRPr="007343D8" w:rsidRDefault="0033252C" w:rsidP="004F03CC">
            <w:pPr>
              <w:jc w:val="right"/>
              <w:rPr>
                <w:rFonts w:cs="Arial"/>
                <w:color w:val="7F7F7F"/>
                <w:szCs w:val="18"/>
                <w:lang w:eastAsia="en-AU"/>
              </w:rPr>
            </w:pPr>
            <w:r w:rsidRPr="001A0FC8">
              <w:t>15,654</w:t>
            </w:r>
          </w:p>
        </w:tc>
      </w:tr>
      <w:tr w:rsidR="0033252C" w:rsidRPr="007343D8" w:rsidTr="00692A5D">
        <w:trPr>
          <w:trHeight w:val="300"/>
        </w:trPr>
        <w:tc>
          <w:tcPr>
            <w:tcW w:w="2425" w:type="dxa"/>
            <w:tcBorders>
              <w:top w:val="nil"/>
              <w:left w:val="nil"/>
              <w:bottom w:val="nil"/>
              <w:right w:val="nil"/>
            </w:tcBorders>
            <w:shd w:val="clear" w:color="auto" w:fill="auto"/>
            <w:noWrap/>
            <w:vAlign w:val="center"/>
            <w:hideMark/>
          </w:tcPr>
          <w:p w:rsidR="0033252C" w:rsidRPr="007343D8" w:rsidRDefault="0033252C" w:rsidP="004F03CC">
            <w:pPr>
              <w:rPr>
                <w:rFonts w:cs="Arial"/>
                <w:color w:val="7F7F7F"/>
                <w:szCs w:val="18"/>
                <w:lang w:eastAsia="en-AU"/>
              </w:rPr>
            </w:pPr>
            <w:r w:rsidRPr="00481865">
              <w:t>International Education</w:t>
            </w:r>
          </w:p>
        </w:tc>
        <w:tc>
          <w:tcPr>
            <w:tcW w:w="992" w:type="dxa"/>
            <w:tcBorders>
              <w:top w:val="nil"/>
              <w:left w:val="nil"/>
              <w:bottom w:val="nil"/>
              <w:right w:val="nil"/>
            </w:tcBorders>
            <w:shd w:val="clear" w:color="auto" w:fill="auto"/>
            <w:noWrap/>
            <w:vAlign w:val="center"/>
            <w:hideMark/>
          </w:tcPr>
          <w:p w:rsidR="0033252C" w:rsidRPr="007343D8" w:rsidRDefault="0033252C" w:rsidP="004F03CC">
            <w:pPr>
              <w:jc w:val="right"/>
              <w:rPr>
                <w:rFonts w:cs="Arial"/>
                <w:color w:val="7F7F7F"/>
                <w:szCs w:val="18"/>
                <w:lang w:eastAsia="en-AU"/>
              </w:rPr>
            </w:pPr>
            <w:r w:rsidRPr="001A0FC8">
              <w:t>2,907</w:t>
            </w:r>
          </w:p>
        </w:tc>
        <w:tc>
          <w:tcPr>
            <w:tcW w:w="992" w:type="dxa"/>
            <w:tcBorders>
              <w:top w:val="nil"/>
              <w:left w:val="nil"/>
              <w:bottom w:val="nil"/>
              <w:right w:val="nil"/>
            </w:tcBorders>
            <w:shd w:val="clear" w:color="auto" w:fill="auto"/>
            <w:noWrap/>
            <w:vAlign w:val="center"/>
            <w:hideMark/>
          </w:tcPr>
          <w:p w:rsidR="0033252C" w:rsidRPr="007343D8" w:rsidRDefault="0033252C" w:rsidP="004F03CC">
            <w:pPr>
              <w:jc w:val="right"/>
              <w:rPr>
                <w:rFonts w:cs="Arial"/>
                <w:color w:val="7F7F7F"/>
                <w:szCs w:val="18"/>
                <w:lang w:eastAsia="en-AU"/>
              </w:rPr>
            </w:pPr>
            <w:r w:rsidRPr="001A0FC8">
              <w:t>3,507</w:t>
            </w:r>
          </w:p>
        </w:tc>
        <w:tc>
          <w:tcPr>
            <w:tcW w:w="993" w:type="dxa"/>
            <w:tcBorders>
              <w:top w:val="nil"/>
              <w:left w:val="nil"/>
              <w:bottom w:val="nil"/>
            </w:tcBorders>
            <w:shd w:val="clear" w:color="auto" w:fill="auto"/>
            <w:noWrap/>
            <w:vAlign w:val="center"/>
            <w:hideMark/>
          </w:tcPr>
          <w:p w:rsidR="0033252C" w:rsidRPr="007343D8" w:rsidRDefault="0033252C" w:rsidP="004F03CC">
            <w:pPr>
              <w:jc w:val="right"/>
              <w:rPr>
                <w:rFonts w:cs="Arial"/>
                <w:color w:val="7F7F7F"/>
                <w:szCs w:val="18"/>
                <w:lang w:eastAsia="en-AU"/>
              </w:rPr>
            </w:pPr>
            <w:r w:rsidRPr="001A0FC8">
              <w:t>4,125</w:t>
            </w:r>
          </w:p>
        </w:tc>
        <w:tc>
          <w:tcPr>
            <w:tcW w:w="992" w:type="dxa"/>
            <w:tcBorders>
              <w:top w:val="nil"/>
              <w:bottom w:val="nil"/>
            </w:tcBorders>
            <w:shd w:val="clear" w:color="auto" w:fill="auto"/>
            <w:noWrap/>
            <w:vAlign w:val="center"/>
            <w:hideMark/>
          </w:tcPr>
          <w:p w:rsidR="0033252C" w:rsidRPr="007343D8" w:rsidRDefault="0033252C" w:rsidP="004F03CC">
            <w:pPr>
              <w:jc w:val="right"/>
              <w:rPr>
                <w:rFonts w:cs="Arial"/>
                <w:color w:val="7F7F7F"/>
                <w:szCs w:val="18"/>
                <w:lang w:eastAsia="en-AU"/>
              </w:rPr>
            </w:pPr>
            <w:r w:rsidRPr="001A0FC8">
              <w:t>2,829</w:t>
            </w:r>
          </w:p>
        </w:tc>
        <w:tc>
          <w:tcPr>
            <w:tcW w:w="992" w:type="dxa"/>
            <w:tcBorders>
              <w:top w:val="nil"/>
              <w:bottom w:val="nil"/>
              <w:right w:val="nil"/>
            </w:tcBorders>
            <w:shd w:val="clear" w:color="auto" w:fill="auto"/>
            <w:noWrap/>
            <w:vAlign w:val="center"/>
            <w:hideMark/>
          </w:tcPr>
          <w:p w:rsidR="0033252C" w:rsidRPr="007343D8" w:rsidRDefault="0033252C" w:rsidP="004F03CC">
            <w:pPr>
              <w:jc w:val="right"/>
              <w:rPr>
                <w:rFonts w:cs="Arial"/>
                <w:color w:val="7F7F7F"/>
                <w:szCs w:val="18"/>
                <w:lang w:eastAsia="en-AU"/>
              </w:rPr>
            </w:pPr>
            <w:r w:rsidRPr="001A0FC8">
              <w:t>2,762</w:t>
            </w:r>
          </w:p>
        </w:tc>
        <w:tc>
          <w:tcPr>
            <w:tcW w:w="993" w:type="dxa"/>
            <w:tcBorders>
              <w:top w:val="nil"/>
              <w:left w:val="nil"/>
              <w:bottom w:val="nil"/>
              <w:right w:val="nil"/>
            </w:tcBorders>
            <w:shd w:val="clear" w:color="auto" w:fill="auto"/>
            <w:noWrap/>
            <w:vAlign w:val="center"/>
            <w:hideMark/>
          </w:tcPr>
          <w:p w:rsidR="0033252C" w:rsidRPr="007343D8" w:rsidRDefault="0033252C" w:rsidP="004F03CC">
            <w:pPr>
              <w:jc w:val="right"/>
              <w:rPr>
                <w:rFonts w:cs="Arial"/>
                <w:color w:val="7F7F7F"/>
                <w:szCs w:val="18"/>
                <w:lang w:eastAsia="en-AU"/>
              </w:rPr>
            </w:pPr>
            <w:r w:rsidRPr="001A0FC8">
              <w:t>2,543</w:t>
            </w:r>
          </w:p>
        </w:tc>
      </w:tr>
      <w:tr w:rsidR="0033252C" w:rsidRPr="007343D8" w:rsidTr="00692A5D">
        <w:trPr>
          <w:trHeight w:val="300"/>
        </w:trPr>
        <w:tc>
          <w:tcPr>
            <w:tcW w:w="2425" w:type="dxa"/>
            <w:tcBorders>
              <w:top w:val="nil"/>
              <w:left w:val="nil"/>
              <w:bottom w:val="nil"/>
              <w:right w:val="nil"/>
            </w:tcBorders>
            <w:shd w:val="clear" w:color="auto" w:fill="auto"/>
            <w:noWrap/>
            <w:vAlign w:val="center"/>
          </w:tcPr>
          <w:p w:rsidR="0033252C" w:rsidRDefault="0033252C" w:rsidP="004F03CC">
            <w:pPr>
              <w:rPr>
                <w:rFonts w:cs="Arial"/>
                <w:color w:val="7F7F7F"/>
                <w:szCs w:val="18"/>
                <w:lang w:eastAsia="en-AU"/>
              </w:rPr>
            </w:pPr>
            <w:r w:rsidRPr="00481865">
              <w:t xml:space="preserve">New </w:t>
            </w:r>
            <w:r>
              <w:t>E</w:t>
            </w:r>
            <w:r w:rsidRPr="00481865">
              <w:t xml:space="preserve">nergy </w:t>
            </w:r>
            <w:r>
              <w:t>T</w:t>
            </w:r>
            <w:r w:rsidRPr="00481865">
              <w:t>echnology</w:t>
            </w:r>
          </w:p>
        </w:tc>
        <w:tc>
          <w:tcPr>
            <w:tcW w:w="992" w:type="dxa"/>
            <w:tcBorders>
              <w:top w:val="nil"/>
              <w:left w:val="nil"/>
              <w:bottom w:val="nil"/>
              <w:right w:val="nil"/>
            </w:tcBorders>
            <w:shd w:val="clear" w:color="auto" w:fill="auto"/>
            <w:noWrap/>
            <w:vAlign w:val="center"/>
          </w:tcPr>
          <w:p w:rsidR="0033252C" w:rsidRPr="00C62BD8" w:rsidRDefault="0033252C" w:rsidP="004F03CC">
            <w:pPr>
              <w:jc w:val="right"/>
            </w:pPr>
            <w:r w:rsidRPr="001A0FC8">
              <w:t>432</w:t>
            </w:r>
          </w:p>
        </w:tc>
        <w:tc>
          <w:tcPr>
            <w:tcW w:w="992" w:type="dxa"/>
            <w:tcBorders>
              <w:top w:val="nil"/>
              <w:left w:val="nil"/>
              <w:bottom w:val="nil"/>
              <w:right w:val="nil"/>
            </w:tcBorders>
            <w:shd w:val="clear" w:color="auto" w:fill="auto"/>
            <w:noWrap/>
            <w:vAlign w:val="center"/>
          </w:tcPr>
          <w:p w:rsidR="0033252C" w:rsidRPr="00C62BD8" w:rsidRDefault="0033252C" w:rsidP="004F03CC">
            <w:pPr>
              <w:jc w:val="right"/>
            </w:pPr>
            <w:r w:rsidRPr="001A0FC8">
              <w:t>451</w:t>
            </w:r>
          </w:p>
        </w:tc>
        <w:tc>
          <w:tcPr>
            <w:tcW w:w="993" w:type="dxa"/>
            <w:tcBorders>
              <w:top w:val="nil"/>
              <w:left w:val="nil"/>
              <w:bottom w:val="nil"/>
            </w:tcBorders>
            <w:shd w:val="clear" w:color="auto" w:fill="auto"/>
            <w:noWrap/>
            <w:vAlign w:val="center"/>
          </w:tcPr>
          <w:p w:rsidR="0033252C" w:rsidRPr="00C62BD8" w:rsidRDefault="0033252C" w:rsidP="004F03CC">
            <w:pPr>
              <w:jc w:val="right"/>
            </w:pPr>
            <w:r w:rsidRPr="001A0FC8">
              <w:t>211</w:t>
            </w:r>
          </w:p>
        </w:tc>
        <w:tc>
          <w:tcPr>
            <w:tcW w:w="992" w:type="dxa"/>
            <w:tcBorders>
              <w:top w:val="nil"/>
              <w:bottom w:val="nil"/>
            </w:tcBorders>
            <w:shd w:val="clear" w:color="auto" w:fill="auto"/>
            <w:noWrap/>
            <w:vAlign w:val="center"/>
          </w:tcPr>
          <w:p w:rsidR="0033252C" w:rsidRPr="00C62BD8" w:rsidRDefault="0033252C" w:rsidP="004F03CC">
            <w:pPr>
              <w:jc w:val="right"/>
            </w:pPr>
            <w:r w:rsidRPr="001A0FC8">
              <w:t>234</w:t>
            </w:r>
          </w:p>
        </w:tc>
        <w:tc>
          <w:tcPr>
            <w:tcW w:w="992" w:type="dxa"/>
            <w:tcBorders>
              <w:top w:val="nil"/>
              <w:bottom w:val="nil"/>
              <w:right w:val="nil"/>
            </w:tcBorders>
            <w:shd w:val="clear" w:color="auto" w:fill="auto"/>
            <w:noWrap/>
            <w:vAlign w:val="center"/>
          </w:tcPr>
          <w:p w:rsidR="0033252C" w:rsidRPr="00C62BD8" w:rsidRDefault="0033252C" w:rsidP="004F03CC">
            <w:pPr>
              <w:jc w:val="right"/>
            </w:pPr>
            <w:r w:rsidRPr="001A0FC8">
              <w:t>49</w:t>
            </w:r>
          </w:p>
        </w:tc>
        <w:tc>
          <w:tcPr>
            <w:tcW w:w="993" w:type="dxa"/>
            <w:tcBorders>
              <w:top w:val="nil"/>
              <w:left w:val="nil"/>
              <w:bottom w:val="nil"/>
              <w:right w:val="nil"/>
            </w:tcBorders>
            <w:shd w:val="clear" w:color="auto" w:fill="auto"/>
            <w:noWrap/>
            <w:vAlign w:val="center"/>
          </w:tcPr>
          <w:p w:rsidR="0033252C" w:rsidRPr="00C62BD8" w:rsidRDefault="0033252C" w:rsidP="004F03CC">
            <w:pPr>
              <w:jc w:val="right"/>
            </w:pPr>
            <w:r w:rsidRPr="001A0FC8">
              <w:t>9</w:t>
            </w:r>
          </w:p>
        </w:tc>
      </w:tr>
      <w:tr w:rsidR="0033252C" w:rsidRPr="007343D8" w:rsidTr="00692A5D">
        <w:trPr>
          <w:trHeight w:val="300"/>
        </w:trPr>
        <w:tc>
          <w:tcPr>
            <w:tcW w:w="2425" w:type="dxa"/>
            <w:tcBorders>
              <w:top w:val="nil"/>
              <w:left w:val="nil"/>
              <w:bottom w:val="nil"/>
              <w:right w:val="nil"/>
            </w:tcBorders>
            <w:shd w:val="clear" w:color="auto" w:fill="auto"/>
            <w:noWrap/>
            <w:vAlign w:val="center"/>
          </w:tcPr>
          <w:p w:rsidR="0033252C" w:rsidRDefault="0033252C" w:rsidP="004F03CC">
            <w:pPr>
              <w:rPr>
                <w:rFonts w:cs="Arial"/>
                <w:color w:val="7F7F7F"/>
                <w:szCs w:val="18"/>
                <w:lang w:eastAsia="en-AU"/>
              </w:rPr>
            </w:pPr>
            <w:r w:rsidRPr="00481865">
              <w:t xml:space="preserve">Professional </w:t>
            </w:r>
            <w:r>
              <w:t>S</w:t>
            </w:r>
            <w:r w:rsidRPr="00481865">
              <w:t>ervices</w:t>
            </w:r>
          </w:p>
        </w:tc>
        <w:tc>
          <w:tcPr>
            <w:tcW w:w="992" w:type="dxa"/>
            <w:tcBorders>
              <w:top w:val="nil"/>
              <w:left w:val="nil"/>
              <w:bottom w:val="nil"/>
              <w:right w:val="nil"/>
            </w:tcBorders>
            <w:shd w:val="clear" w:color="auto" w:fill="auto"/>
            <w:noWrap/>
            <w:vAlign w:val="center"/>
          </w:tcPr>
          <w:p w:rsidR="0033252C" w:rsidRPr="00C62BD8" w:rsidRDefault="0033252C" w:rsidP="004F03CC">
            <w:pPr>
              <w:jc w:val="right"/>
            </w:pPr>
            <w:r w:rsidRPr="001A0FC8">
              <w:t>27,088</w:t>
            </w:r>
          </w:p>
        </w:tc>
        <w:tc>
          <w:tcPr>
            <w:tcW w:w="992" w:type="dxa"/>
            <w:tcBorders>
              <w:top w:val="nil"/>
              <w:left w:val="nil"/>
              <w:bottom w:val="nil"/>
              <w:right w:val="nil"/>
            </w:tcBorders>
            <w:shd w:val="clear" w:color="auto" w:fill="auto"/>
            <w:noWrap/>
            <w:vAlign w:val="center"/>
          </w:tcPr>
          <w:p w:rsidR="0033252C" w:rsidRPr="00C62BD8" w:rsidRDefault="0033252C" w:rsidP="004F03CC">
            <w:pPr>
              <w:jc w:val="right"/>
            </w:pPr>
            <w:r w:rsidRPr="001A0FC8">
              <w:t>27,621</w:t>
            </w:r>
          </w:p>
        </w:tc>
        <w:tc>
          <w:tcPr>
            <w:tcW w:w="993" w:type="dxa"/>
            <w:tcBorders>
              <w:top w:val="nil"/>
              <w:left w:val="nil"/>
              <w:bottom w:val="nil"/>
            </w:tcBorders>
            <w:shd w:val="clear" w:color="auto" w:fill="auto"/>
            <w:noWrap/>
            <w:vAlign w:val="center"/>
          </w:tcPr>
          <w:p w:rsidR="0033252C" w:rsidRPr="00C62BD8" w:rsidRDefault="0033252C" w:rsidP="004F03CC">
            <w:pPr>
              <w:jc w:val="right"/>
            </w:pPr>
            <w:r w:rsidRPr="001A0FC8">
              <w:t>33,641</w:t>
            </w:r>
          </w:p>
        </w:tc>
        <w:tc>
          <w:tcPr>
            <w:tcW w:w="992" w:type="dxa"/>
            <w:tcBorders>
              <w:top w:val="nil"/>
              <w:bottom w:val="nil"/>
            </w:tcBorders>
            <w:shd w:val="clear" w:color="auto" w:fill="auto"/>
            <w:noWrap/>
            <w:vAlign w:val="center"/>
          </w:tcPr>
          <w:p w:rsidR="0033252C" w:rsidRPr="00C62BD8" w:rsidRDefault="0033252C" w:rsidP="004F03CC">
            <w:pPr>
              <w:jc w:val="right"/>
            </w:pPr>
            <w:r w:rsidRPr="001A0FC8">
              <w:t>24,478</w:t>
            </w:r>
          </w:p>
        </w:tc>
        <w:tc>
          <w:tcPr>
            <w:tcW w:w="992" w:type="dxa"/>
            <w:tcBorders>
              <w:top w:val="nil"/>
              <w:bottom w:val="nil"/>
              <w:right w:val="nil"/>
            </w:tcBorders>
            <w:shd w:val="clear" w:color="auto" w:fill="auto"/>
            <w:noWrap/>
            <w:vAlign w:val="center"/>
          </w:tcPr>
          <w:p w:rsidR="0033252C" w:rsidRPr="00C62BD8" w:rsidRDefault="0033252C" w:rsidP="004F03CC">
            <w:pPr>
              <w:jc w:val="right"/>
            </w:pPr>
            <w:r w:rsidRPr="001A0FC8">
              <w:t>23,338</w:t>
            </w:r>
          </w:p>
        </w:tc>
        <w:tc>
          <w:tcPr>
            <w:tcW w:w="993" w:type="dxa"/>
            <w:tcBorders>
              <w:top w:val="nil"/>
              <w:left w:val="nil"/>
              <w:bottom w:val="nil"/>
              <w:right w:val="nil"/>
            </w:tcBorders>
            <w:shd w:val="clear" w:color="auto" w:fill="auto"/>
            <w:noWrap/>
            <w:vAlign w:val="center"/>
          </w:tcPr>
          <w:p w:rsidR="0033252C" w:rsidRPr="00C62BD8" w:rsidRDefault="0033252C" w:rsidP="004F03CC">
            <w:pPr>
              <w:jc w:val="right"/>
            </w:pPr>
            <w:r w:rsidRPr="001A0FC8">
              <w:t>24,349</w:t>
            </w:r>
          </w:p>
        </w:tc>
      </w:tr>
      <w:tr w:rsidR="0033252C" w:rsidRPr="007343D8" w:rsidTr="00692A5D">
        <w:trPr>
          <w:trHeight w:val="300"/>
        </w:trPr>
        <w:tc>
          <w:tcPr>
            <w:tcW w:w="2425" w:type="dxa"/>
            <w:tcBorders>
              <w:top w:val="nil"/>
              <w:left w:val="nil"/>
              <w:bottom w:val="nil"/>
              <w:right w:val="nil"/>
            </w:tcBorders>
            <w:shd w:val="clear" w:color="auto" w:fill="auto"/>
            <w:noWrap/>
            <w:vAlign w:val="center"/>
          </w:tcPr>
          <w:p w:rsidR="0033252C" w:rsidRDefault="0033252C" w:rsidP="004F03CC">
            <w:pPr>
              <w:rPr>
                <w:rFonts w:cs="Arial"/>
                <w:color w:val="7F7F7F"/>
                <w:szCs w:val="18"/>
                <w:lang w:eastAsia="en-AU"/>
              </w:rPr>
            </w:pPr>
            <w:r w:rsidRPr="00481865">
              <w:t xml:space="preserve">Transport, </w:t>
            </w:r>
            <w:r>
              <w:t>D</w:t>
            </w:r>
            <w:r w:rsidRPr="00481865">
              <w:t xml:space="preserve">efence and </w:t>
            </w:r>
            <w:r>
              <w:t>C</w:t>
            </w:r>
            <w:r w:rsidRPr="00481865">
              <w:t xml:space="preserve">onstruction </w:t>
            </w:r>
            <w:r>
              <w:t>T</w:t>
            </w:r>
            <w:r w:rsidRPr="00481865">
              <w:t>echnology</w:t>
            </w:r>
          </w:p>
        </w:tc>
        <w:tc>
          <w:tcPr>
            <w:tcW w:w="992" w:type="dxa"/>
            <w:tcBorders>
              <w:top w:val="nil"/>
              <w:left w:val="nil"/>
              <w:bottom w:val="nil"/>
              <w:right w:val="nil"/>
            </w:tcBorders>
            <w:shd w:val="clear" w:color="auto" w:fill="auto"/>
            <w:noWrap/>
            <w:vAlign w:val="center"/>
          </w:tcPr>
          <w:p w:rsidR="0033252C" w:rsidRPr="00C62BD8" w:rsidRDefault="0033252C" w:rsidP="004F03CC">
            <w:pPr>
              <w:jc w:val="right"/>
            </w:pPr>
            <w:r w:rsidRPr="001A0FC8">
              <w:t>3,511</w:t>
            </w:r>
          </w:p>
        </w:tc>
        <w:tc>
          <w:tcPr>
            <w:tcW w:w="992" w:type="dxa"/>
            <w:tcBorders>
              <w:top w:val="nil"/>
              <w:left w:val="nil"/>
              <w:bottom w:val="nil"/>
              <w:right w:val="nil"/>
            </w:tcBorders>
            <w:shd w:val="clear" w:color="auto" w:fill="auto"/>
            <w:noWrap/>
            <w:vAlign w:val="center"/>
          </w:tcPr>
          <w:p w:rsidR="0033252C" w:rsidRPr="00C62BD8" w:rsidRDefault="0033252C" w:rsidP="004F03CC">
            <w:pPr>
              <w:jc w:val="right"/>
            </w:pPr>
            <w:r w:rsidRPr="001A0FC8">
              <w:t>6,227</w:t>
            </w:r>
          </w:p>
        </w:tc>
        <w:tc>
          <w:tcPr>
            <w:tcW w:w="993" w:type="dxa"/>
            <w:tcBorders>
              <w:top w:val="nil"/>
              <w:left w:val="nil"/>
              <w:bottom w:val="nil"/>
            </w:tcBorders>
            <w:shd w:val="clear" w:color="auto" w:fill="auto"/>
            <w:noWrap/>
            <w:vAlign w:val="center"/>
          </w:tcPr>
          <w:p w:rsidR="0033252C" w:rsidRPr="00C62BD8" w:rsidRDefault="0033252C" w:rsidP="004F03CC">
            <w:pPr>
              <w:jc w:val="right"/>
            </w:pPr>
            <w:r w:rsidRPr="001A0FC8">
              <w:t>10,040</w:t>
            </w:r>
          </w:p>
        </w:tc>
        <w:tc>
          <w:tcPr>
            <w:tcW w:w="992" w:type="dxa"/>
            <w:tcBorders>
              <w:top w:val="nil"/>
              <w:bottom w:val="nil"/>
            </w:tcBorders>
            <w:shd w:val="clear" w:color="auto" w:fill="auto"/>
            <w:noWrap/>
            <w:vAlign w:val="center"/>
          </w:tcPr>
          <w:p w:rsidR="0033252C" w:rsidRPr="00C62BD8" w:rsidRDefault="0033252C" w:rsidP="004F03CC">
            <w:pPr>
              <w:jc w:val="right"/>
            </w:pPr>
            <w:r w:rsidRPr="001A0FC8">
              <w:t>13,077</w:t>
            </w:r>
          </w:p>
        </w:tc>
        <w:tc>
          <w:tcPr>
            <w:tcW w:w="992" w:type="dxa"/>
            <w:tcBorders>
              <w:top w:val="nil"/>
              <w:bottom w:val="nil"/>
              <w:right w:val="nil"/>
            </w:tcBorders>
            <w:shd w:val="clear" w:color="auto" w:fill="auto"/>
            <w:noWrap/>
            <w:vAlign w:val="center"/>
          </w:tcPr>
          <w:p w:rsidR="0033252C" w:rsidRPr="00C62BD8" w:rsidRDefault="0033252C" w:rsidP="004F03CC">
            <w:pPr>
              <w:jc w:val="right"/>
            </w:pPr>
            <w:r w:rsidRPr="001A0FC8">
              <w:t>20,785</w:t>
            </w:r>
          </w:p>
        </w:tc>
        <w:tc>
          <w:tcPr>
            <w:tcW w:w="993" w:type="dxa"/>
            <w:tcBorders>
              <w:top w:val="nil"/>
              <w:left w:val="nil"/>
              <w:bottom w:val="nil"/>
              <w:right w:val="nil"/>
            </w:tcBorders>
            <w:shd w:val="clear" w:color="auto" w:fill="auto"/>
            <w:noWrap/>
            <w:vAlign w:val="center"/>
          </w:tcPr>
          <w:p w:rsidR="0033252C" w:rsidRPr="00C62BD8" w:rsidRDefault="0033252C" w:rsidP="004F03CC">
            <w:pPr>
              <w:jc w:val="right"/>
            </w:pPr>
            <w:r w:rsidRPr="001A0FC8">
              <w:t>19,309</w:t>
            </w:r>
          </w:p>
        </w:tc>
      </w:tr>
      <w:tr w:rsidR="0033252C" w:rsidRPr="007343D8" w:rsidTr="00692A5D">
        <w:trPr>
          <w:trHeight w:val="300"/>
        </w:trPr>
        <w:tc>
          <w:tcPr>
            <w:tcW w:w="2425" w:type="dxa"/>
            <w:tcBorders>
              <w:top w:val="nil"/>
              <w:left w:val="nil"/>
              <w:bottom w:val="nil"/>
              <w:right w:val="nil"/>
            </w:tcBorders>
            <w:shd w:val="clear" w:color="auto" w:fill="auto"/>
            <w:noWrap/>
            <w:vAlign w:val="center"/>
          </w:tcPr>
          <w:p w:rsidR="0033252C" w:rsidRPr="00481865" w:rsidRDefault="0033252C" w:rsidP="004F03CC">
            <w:r>
              <w:t>Other industry training</w:t>
            </w:r>
          </w:p>
        </w:tc>
        <w:tc>
          <w:tcPr>
            <w:tcW w:w="992" w:type="dxa"/>
            <w:tcBorders>
              <w:top w:val="nil"/>
              <w:left w:val="nil"/>
              <w:bottom w:val="nil"/>
              <w:right w:val="nil"/>
            </w:tcBorders>
            <w:shd w:val="clear" w:color="auto" w:fill="auto"/>
            <w:noWrap/>
            <w:vAlign w:val="center"/>
          </w:tcPr>
          <w:p w:rsidR="0033252C" w:rsidRPr="001A0FC8" w:rsidRDefault="0033252C" w:rsidP="004F03CC">
            <w:pPr>
              <w:jc w:val="right"/>
            </w:pPr>
            <w:r w:rsidRPr="00245DE4">
              <w:t>160,873</w:t>
            </w:r>
          </w:p>
        </w:tc>
        <w:tc>
          <w:tcPr>
            <w:tcW w:w="992" w:type="dxa"/>
            <w:tcBorders>
              <w:top w:val="nil"/>
              <w:left w:val="nil"/>
              <w:bottom w:val="nil"/>
              <w:right w:val="nil"/>
            </w:tcBorders>
            <w:shd w:val="clear" w:color="auto" w:fill="auto"/>
            <w:noWrap/>
            <w:vAlign w:val="center"/>
          </w:tcPr>
          <w:p w:rsidR="0033252C" w:rsidRPr="001A0FC8" w:rsidRDefault="0033252C" w:rsidP="004F03CC">
            <w:pPr>
              <w:jc w:val="right"/>
            </w:pPr>
            <w:r w:rsidRPr="00245DE4">
              <w:t>212,881</w:t>
            </w:r>
          </w:p>
        </w:tc>
        <w:tc>
          <w:tcPr>
            <w:tcW w:w="993" w:type="dxa"/>
            <w:tcBorders>
              <w:top w:val="nil"/>
              <w:left w:val="nil"/>
              <w:bottom w:val="nil"/>
            </w:tcBorders>
            <w:shd w:val="clear" w:color="auto" w:fill="auto"/>
            <w:noWrap/>
            <w:vAlign w:val="center"/>
          </w:tcPr>
          <w:p w:rsidR="0033252C" w:rsidRPr="001A0FC8" w:rsidRDefault="0033252C" w:rsidP="004F03CC">
            <w:pPr>
              <w:jc w:val="right"/>
            </w:pPr>
            <w:r w:rsidRPr="00245DE4">
              <w:t>298,041</w:t>
            </w:r>
          </w:p>
        </w:tc>
        <w:tc>
          <w:tcPr>
            <w:tcW w:w="992" w:type="dxa"/>
            <w:tcBorders>
              <w:top w:val="nil"/>
              <w:bottom w:val="nil"/>
            </w:tcBorders>
            <w:shd w:val="clear" w:color="auto" w:fill="auto"/>
            <w:noWrap/>
            <w:vAlign w:val="center"/>
          </w:tcPr>
          <w:p w:rsidR="0033252C" w:rsidRPr="001A0FC8" w:rsidRDefault="0033252C" w:rsidP="004F03CC">
            <w:pPr>
              <w:jc w:val="right"/>
            </w:pPr>
            <w:r w:rsidRPr="00245DE4">
              <w:t>225,832</w:t>
            </w:r>
          </w:p>
        </w:tc>
        <w:tc>
          <w:tcPr>
            <w:tcW w:w="992" w:type="dxa"/>
            <w:tcBorders>
              <w:top w:val="nil"/>
              <w:bottom w:val="nil"/>
              <w:right w:val="nil"/>
            </w:tcBorders>
            <w:shd w:val="clear" w:color="auto" w:fill="auto"/>
            <w:noWrap/>
            <w:vAlign w:val="center"/>
          </w:tcPr>
          <w:p w:rsidR="0033252C" w:rsidRPr="001A0FC8" w:rsidRDefault="0033252C" w:rsidP="004F03CC">
            <w:pPr>
              <w:jc w:val="right"/>
            </w:pPr>
            <w:r w:rsidRPr="00245DE4">
              <w:t>236,837</w:t>
            </w:r>
          </w:p>
        </w:tc>
        <w:tc>
          <w:tcPr>
            <w:tcW w:w="993" w:type="dxa"/>
            <w:tcBorders>
              <w:top w:val="nil"/>
              <w:left w:val="nil"/>
              <w:bottom w:val="nil"/>
              <w:right w:val="nil"/>
            </w:tcBorders>
            <w:shd w:val="clear" w:color="auto" w:fill="auto"/>
            <w:noWrap/>
            <w:vAlign w:val="center"/>
          </w:tcPr>
          <w:p w:rsidR="0033252C" w:rsidRPr="001A0FC8" w:rsidRDefault="0033252C" w:rsidP="004F03CC">
            <w:pPr>
              <w:jc w:val="right"/>
            </w:pPr>
            <w:r w:rsidRPr="00245DE4">
              <w:t>208,476</w:t>
            </w:r>
          </w:p>
        </w:tc>
      </w:tr>
      <w:tr w:rsidR="0033252C" w:rsidRPr="007343D8" w:rsidTr="00692A5D">
        <w:trPr>
          <w:trHeight w:val="300"/>
        </w:trPr>
        <w:tc>
          <w:tcPr>
            <w:tcW w:w="2425" w:type="dxa"/>
            <w:tcBorders>
              <w:top w:val="nil"/>
              <w:left w:val="nil"/>
              <w:bottom w:val="nil"/>
              <w:right w:val="nil"/>
            </w:tcBorders>
            <w:shd w:val="clear" w:color="000000" w:fill="7F7F7F"/>
            <w:noWrap/>
            <w:vAlign w:val="center"/>
            <w:hideMark/>
          </w:tcPr>
          <w:p w:rsidR="0033252C" w:rsidRPr="007343D8" w:rsidRDefault="0033252C" w:rsidP="0033252C">
            <w:pPr>
              <w:rPr>
                <w:rFonts w:cs="Arial"/>
                <w:b/>
                <w:bCs/>
                <w:color w:val="FFFFFF"/>
                <w:szCs w:val="18"/>
                <w:lang w:eastAsia="en-AU"/>
              </w:rPr>
            </w:pPr>
            <w:r w:rsidRPr="007343D8">
              <w:rPr>
                <w:rFonts w:cs="Arial"/>
                <w:b/>
                <w:bCs/>
                <w:color w:val="FFFFFF"/>
                <w:szCs w:val="18"/>
                <w:lang w:eastAsia="en-AU"/>
              </w:rPr>
              <w:t>Total</w:t>
            </w:r>
            <w:r>
              <w:rPr>
                <w:rFonts w:cs="Arial"/>
                <w:b/>
                <w:bCs/>
                <w:color w:val="FFFFFF"/>
                <w:szCs w:val="18"/>
                <w:lang w:eastAsia="en-AU"/>
              </w:rPr>
              <w:t>*</w:t>
            </w:r>
          </w:p>
        </w:tc>
        <w:tc>
          <w:tcPr>
            <w:tcW w:w="992" w:type="dxa"/>
            <w:tcBorders>
              <w:top w:val="nil"/>
              <w:left w:val="nil"/>
              <w:bottom w:val="nil"/>
              <w:right w:val="nil"/>
            </w:tcBorders>
            <w:shd w:val="clear" w:color="000000" w:fill="7F7F7F"/>
            <w:noWrap/>
            <w:vAlign w:val="center"/>
            <w:hideMark/>
          </w:tcPr>
          <w:p w:rsidR="0033252C" w:rsidRPr="007343D8" w:rsidRDefault="0033252C" w:rsidP="004F03CC">
            <w:pPr>
              <w:jc w:val="right"/>
              <w:rPr>
                <w:rFonts w:cs="Arial"/>
                <w:b/>
                <w:bCs/>
                <w:color w:val="FFFFFF"/>
                <w:szCs w:val="18"/>
                <w:lang w:eastAsia="en-AU"/>
              </w:rPr>
            </w:pPr>
            <w:r w:rsidRPr="005B52DD">
              <w:rPr>
                <w:b/>
                <w:color w:val="FFFFFF" w:themeColor="background1"/>
              </w:rPr>
              <w:t xml:space="preserve">205,378 </w:t>
            </w:r>
          </w:p>
        </w:tc>
        <w:tc>
          <w:tcPr>
            <w:tcW w:w="992" w:type="dxa"/>
            <w:tcBorders>
              <w:top w:val="nil"/>
              <w:left w:val="nil"/>
              <w:bottom w:val="nil"/>
              <w:right w:val="nil"/>
            </w:tcBorders>
            <w:shd w:val="clear" w:color="000000" w:fill="7F7F7F"/>
            <w:noWrap/>
            <w:vAlign w:val="center"/>
            <w:hideMark/>
          </w:tcPr>
          <w:p w:rsidR="0033252C" w:rsidRPr="007343D8" w:rsidRDefault="0033252C" w:rsidP="004F03CC">
            <w:pPr>
              <w:jc w:val="right"/>
              <w:rPr>
                <w:rFonts w:cs="Arial"/>
                <w:b/>
                <w:bCs/>
                <w:color w:val="FFFFFF"/>
                <w:szCs w:val="18"/>
                <w:lang w:eastAsia="en-AU"/>
              </w:rPr>
            </w:pPr>
            <w:r w:rsidRPr="005B52DD">
              <w:rPr>
                <w:b/>
                <w:color w:val="FFFFFF" w:themeColor="background1"/>
              </w:rPr>
              <w:t xml:space="preserve">262,741 </w:t>
            </w:r>
          </w:p>
        </w:tc>
        <w:tc>
          <w:tcPr>
            <w:tcW w:w="993" w:type="dxa"/>
            <w:tcBorders>
              <w:top w:val="nil"/>
              <w:left w:val="nil"/>
              <w:bottom w:val="nil"/>
            </w:tcBorders>
            <w:shd w:val="clear" w:color="000000" w:fill="7F7F7F"/>
            <w:noWrap/>
            <w:vAlign w:val="center"/>
            <w:hideMark/>
          </w:tcPr>
          <w:p w:rsidR="0033252C" w:rsidRPr="007343D8" w:rsidRDefault="0033252C" w:rsidP="004F03CC">
            <w:pPr>
              <w:jc w:val="right"/>
              <w:rPr>
                <w:rFonts w:cs="Arial"/>
                <w:b/>
                <w:bCs/>
                <w:color w:val="FFFFFF"/>
                <w:szCs w:val="18"/>
                <w:lang w:eastAsia="en-AU"/>
              </w:rPr>
            </w:pPr>
            <w:r w:rsidRPr="005B52DD">
              <w:rPr>
                <w:b/>
                <w:color w:val="FFFFFF" w:themeColor="background1"/>
              </w:rPr>
              <w:t xml:space="preserve">360,978 </w:t>
            </w:r>
          </w:p>
        </w:tc>
        <w:tc>
          <w:tcPr>
            <w:tcW w:w="992" w:type="dxa"/>
            <w:tcBorders>
              <w:top w:val="nil"/>
              <w:bottom w:val="nil"/>
            </w:tcBorders>
            <w:shd w:val="clear" w:color="000000" w:fill="7F7F7F"/>
            <w:noWrap/>
            <w:vAlign w:val="center"/>
            <w:hideMark/>
          </w:tcPr>
          <w:p w:rsidR="0033252C" w:rsidRPr="007343D8" w:rsidRDefault="0033252C" w:rsidP="004F03CC">
            <w:pPr>
              <w:jc w:val="right"/>
              <w:rPr>
                <w:rFonts w:cs="Arial"/>
                <w:b/>
                <w:bCs/>
                <w:color w:val="FFFFFF"/>
                <w:szCs w:val="18"/>
                <w:lang w:eastAsia="en-AU"/>
              </w:rPr>
            </w:pPr>
            <w:r w:rsidRPr="005B52DD">
              <w:rPr>
                <w:b/>
                <w:color w:val="FFFFFF" w:themeColor="background1"/>
              </w:rPr>
              <w:t xml:space="preserve">279,536 </w:t>
            </w:r>
          </w:p>
        </w:tc>
        <w:tc>
          <w:tcPr>
            <w:tcW w:w="992" w:type="dxa"/>
            <w:tcBorders>
              <w:top w:val="nil"/>
              <w:bottom w:val="nil"/>
              <w:right w:val="nil"/>
            </w:tcBorders>
            <w:shd w:val="clear" w:color="000000" w:fill="7F7F7F"/>
            <w:noWrap/>
            <w:vAlign w:val="center"/>
            <w:hideMark/>
          </w:tcPr>
          <w:p w:rsidR="0033252C" w:rsidRPr="007343D8" w:rsidRDefault="0033252C" w:rsidP="004F03CC">
            <w:pPr>
              <w:jc w:val="right"/>
              <w:rPr>
                <w:rFonts w:cs="Arial"/>
                <w:b/>
                <w:bCs/>
                <w:color w:val="FFFFFF"/>
                <w:szCs w:val="18"/>
                <w:lang w:eastAsia="en-AU"/>
              </w:rPr>
            </w:pPr>
            <w:r w:rsidRPr="005B52DD">
              <w:rPr>
                <w:b/>
                <w:color w:val="FFFFFF" w:themeColor="background1"/>
              </w:rPr>
              <w:t xml:space="preserve">301,860 </w:t>
            </w:r>
          </w:p>
        </w:tc>
        <w:tc>
          <w:tcPr>
            <w:tcW w:w="993" w:type="dxa"/>
            <w:tcBorders>
              <w:top w:val="nil"/>
              <w:left w:val="nil"/>
              <w:bottom w:val="nil"/>
              <w:right w:val="nil"/>
            </w:tcBorders>
            <w:shd w:val="clear" w:color="000000" w:fill="7F7F7F"/>
            <w:noWrap/>
            <w:vAlign w:val="center"/>
            <w:hideMark/>
          </w:tcPr>
          <w:p w:rsidR="0033252C" w:rsidRPr="007343D8" w:rsidRDefault="0033252C" w:rsidP="004F03CC">
            <w:pPr>
              <w:jc w:val="right"/>
              <w:rPr>
                <w:rFonts w:cs="Arial"/>
                <w:b/>
                <w:bCs/>
                <w:color w:val="FFFFFF"/>
                <w:szCs w:val="18"/>
                <w:lang w:eastAsia="en-AU"/>
              </w:rPr>
            </w:pPr>
            <w:r w:rsidRPr="005B52DD">
              <w:rPr>
                <w:b/>
                <w:color w:val="FFFFFF" w:themeColor="background1"/>
              </w:rPr>
              <w:t xml:space="preserve">270,340 </w:t>
            </w:r>
          </w:p>
        </w:tc>
      </w:tr>
    </w:tbl>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
        <w:gridCol w:w="7649"/>
      </w:tblGrid>
      <w:tr w:rsidR="0033252C" w:rsidRPr="00913551" w:rsidTr="0033252C">
        <w:trPr>
          <w:trHeight w:val="227"/>
        </w:trPr>
        <w:tc>
          <w:tcPr>
            <w:tcW w:w="431" w:type="dxa"/>
            <w:tcMar>
              <w:top w:w="28" w:type="dxa"/>
              <w:left w:w="0" w:type="dxa"/>
              <w:right w:w="28" w:type="dxa"/>
            </w:tcMar>
          </w:tcPr>
          <w:p w:rsidR="0033252C" w:rsidRPr="00913551" w:rsidRDefault="0033252C" w:rsidP="004F03CC">
            <w:pPr>
              <w:spacing w:after="0" w:line="240" w:lineRule="auto"/>
              <w:jc w:val="right"/>
              <w:rPr>
                <w:color w:val="7F7F7F" w:themeColor="text2"/>
                <w:sz w:val="16"/>
                <w:szCs w:val="16"/>
              </w:rPr>
            </w:pPr>
            <w:r w:rsidRPr="00913551">
              <w:rPr>
                <w:color w:val="7F7F7F" w:themeColor="text2"/>
                <w:sz w:val="16"/>
                <w:szCs w:val="16"/>
              </w:rPr>
              <w:t xml:space="preserve">* </w:t>
            </w:r>
          </w:p>
        </w:tc>
        <w:tc>
          <w:tcPr>
            <w:tcW w:w="7649" w:type="dxa"/>
            <w:tcMar>
              <w:top w:w="28" w:type="dxa"/>
              <w:left w:w="0" w:type="dxa"/>
              <w:right w:w="28" w:type="dxa"/>
            </w:tcMar>
          </w:tcPr>
          <w:p w:rsidR="0033252C" w:rsidRPr="00913551" w:rsidRDefault="0033252C" w:rsidP="004F03CC">
            <w:pPr>
              <w:spacing w:after="0" w:line="240" w:lineRule="auto"/>
              <w:rPr>
                <w:i/>
                <w:color w:val="7F7F7F" w:themeColor="text2"/>
                <w:sz w:val="16"/>
                <w:szCs w:val="16"/>
              </w:rPr>
            </w:pPr>
            <w:r w:rsidRPr="00913551">
              <w:rPr>
                <w:i/>
                <w:sz w:val="16"/>
                <w:szCs w:val="16"/>
              </w:rPr>
              <w:t>Totals exclude training in foundation skills, education pathways and low-level courses in languages other than English.</w:t>
            </w:r>
          </w:p>
        </w:tc>
      </w:tr>
    </w:tbl>
    <w:p w:rsidR="0033252C" w:rsidRPr="0033252C" w:rsidRDefault="0033252C" w:rsidP="0033252C">
      <w:pPr>
        <w:pStyle w:val="Note"/>
        <w:spacing w:before="120"/>
        <w:rPr>
          <w:sz w:val="18"/>
          <w:szCs w:val="18"/>
        </w:rPr>
      </w:pPr>
      <w:r w:rsidRPr="0033252C">
        <w:rPr>
          <w:sz w:val="18"/>
          <w:szCs w:val="18"/>
        </w:rPr>
        <w:t>Note that there has been no vocational training delivery in courses directly aligned to Medical Technologies and Pharmaceuticals sector</w:t>
      </w:r>
      <w:r>
        <w:rPr>
          <w:sz w:val="18"/>
          <w:szCs w:val="18"/>
        </w:rPr>
        <w:t>.</w:t>
      </w:r>
    </w:p>
    <w:p w:rsidR="000E0A8A" w:rsidRDefault="000E0A8A" w:rsidP="004F7D8A"/>
    <w:p w:rsidR="0033252C" w:rsidRDefault="0033252C" w:rsidP="004F7D8A"/>
    <w:p w:rsidR="0033252C" w:rsidRDefault="0033252C">
      <w:r>
        <w:rPr>
          <w:b/>
        </w:rPr>
        <w:br w:type="page"/>
      </w:r>
    </w:p>
    <w:tbl>
      <w:tblPr>
        <w:tblStyle w:val="TableGrid"/>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230"/>
      </w:tblGrid>
      <w:tr w:rsidR="0033252C" w:rsidTr="004F03CC">
        <w:tc>
          <w:tcPr>
            <w:tcW w:w="1134" w:type="dxa"/>
            <w:tcMar>
              <w:left w:w="0" w:type="dxa"/>
              <w:right w:w="0" w:type="dxa"/>
            </w:tcMar>
          </w:tcPr>
          <w:p w:rsidR="0033252C" w:rsidRDefault="0033252C" w:rsidP="0005261F">
            <w:pPr>
              <w:pStyle w:val="Quote"/>
              <w:tabs>
                <w:tab w:val="left" w:pos="1134"/>
              </w:tabs>
              <w:rPr>
                <w:b w:val="0"/>
                <w:color w:val="B41F22" w:themeColor="accent1"/>
              </w:rPr>
            </w:pPr>
            <w:r>
              <w:rPr>
                <w:b w:val="0"/>
                <w:color w:val="B41F22" w:themeColor="accent1"/>
              </w:rPr>
              <w:lastRenderedPageBreak/>
              <w:t xml:space="preserve">Table </w:t>
            </w:r>
            <w:r w:rsidR="0005261F">
              <w:rPr>
                <w:b w:val="0"/>
                <w:color w:val="B41F22" w:themeColor="accent1"/>
              </w:rPr>
              <w:t>4</w:t>
            </w:r>
            <w:r>
              <w:rPr>
                <w:b w:val="0"/>
                <w:color w:val="B41F22" w:themeColor="accent1"/>
              </w:rPr>
              <w:t>.3.2:</w:t>
            </w:r>
          </w:p>
        </w:tc>
        <w:tc>
          <w:tcPr>
            <w:tcW w:w="7230" w:type="dxa"/>
            <w:tcMar>
              <w:left w:w="0" w:type="dxa"/>
              <w:right w:w="0" w:type="dxa"/>
            </w:tcMar>
          </w:tcPr>
          <w:p w:rsidR="0033252C" w:rsidRDefault="0033252C" w:rsidP="004F03CC">
            <w:pPr>
              <w:pStyle w:val="Quote"/>
              <w:tabs>
                <w:tab w:val="left" w:pos="1134"/>
              </w:tabs>
              <w:rPr>
                <w:b w:val="0"/>
                <w:color w:val="B41F22" w:themeColor="accent1"/>
              </w:rPr>
            </w:pPr>
            <w:r w:rsidRPr="007343D8">
              <w:rPr>
                <w:b w:val="0"/>
                <w:color w:val="B41F22" w:themeColor="accent1"/>
              </w:rPr>
              <w:t xml:space="preserve">Government subsidised </w:t>
            </w:r>
            <w:r>
              <w:rPr>
                <w:b w:val="0"/>
                <w:color w:val="B41F22" w:themeColor="accent1"/>
              </w:rPr>
              <w:t xml:space="preserve">industry-aligned </w:t>
            </w:r>
            <w:r w:rsidRPr="007343D8">
              <w:rPr>
                <w:b w:val="0"/>
                <w:color w:val="B41F22" w:themeColor="accent1"/>
              </w:rPr>
              <w:t xml:space="preserve">course enrolments </w:t>
            </w:r>
            <w:r>
              <w:rPr>
                <w:b w:val="0"/>
                <w:color w:val="B41F22" w:themeColor="accent1"/>
              </w:rPr>
              <w:t>related to priority growth sectors,</w:t>
            </w:r>
            <w:r w:rsidRPr="007343D8">
              <w:rPr>
                <w:b w:val="0"/>
                <w:color w:val="B41F22" w:themeColor="accent1"/>
              </w:rPr>
              <w:t xml:space="preserve"> 2010 to 2015 (half year)</w:t>
            </w:r>
          </w:p>
        </w:tc>
      </w:tr>
    </w:tbl>
    <w:tbl>
      <w:tblPr>
        <w:tblW w:w="8237" w:type="dxa"/>
        <w:tblInd w:w="93" w:type="dxa"/>
        <w:tblLayout w:type="fixed"/>
        <w:tblLook w:val="04A0" w:firstRow="1" w:lastRow="0" w:firstColumn="1" w:lastColumn="0" w:noHBand="0" w:noVBand="1"/>
      </w:tblPr>
      <w:tblGrid>
        <w:gridCol w:w="2709"/>
        <w:gridCol w:w="1105"/>
        <w:gridCol w:w="1106"/>
        <w:gridCol w:w="1105"/>
        <w:gridCol w:w="1106"/>
        <w:gridCol w:w="1106"/>
      </w:tblGrid>
      <w:tr w:rsidR="00630536" w:rsidRPr="007343D8" w:rsidTr="00692A5D">
        <w:trPr>
          <w:trHeight w:val="300"/>
        </w:trPr>
        <w:tc>
          <w:tcPr>
            <w:tcW w:w="2709" w:type="dxa"/>
            <w:tcBorders>
              <w:top w:val="nil"/>
              <w:left w:val="nil"/>
              <w:bottom w:val="nil"/>
              <w:right w:val="nil"/>
            </w:tcBorders>
            <w:shd w:val="clear" w:color="000000" w:fill="7F7F7F"/>
            <w:noWrap/>
            <w:vAlign w:val="center"/>
            <w:hideMark/>
          </w:tcPr>
          <w:p w:rsidR="00630536" w:rsidRPr="007343D8" w:rsidRDefault="00630536" w:rsidP="004F03CC">
            <w:pPr>
              <w:rPr>
                <w:rFonts w:cs="Arial"/>
                <w:color w:val="FFFFFF"/>
                <w:szCs w:val="18"/>
                <w:lang w:eastAsia="en-AU"/>
              </w:rPr>
            </w:pPr>
            <w:r w:rsidRPr="007343D8">
              <w:rPr>
                <w:rFonts w:cs="Arial"/>
                <w:color w:val="FFFFFF"/>
                <w:szCs w:val="18"/>
                <w:lang w:eastAsia="en-AU"/>
              </w:rPr>
              <w:t> </w:t>
            </w:r>
          </w:p>
        </w:tc>
        <w:tc>
          <w:tcPr>
            <w:tcW w:w="1105" w:type="dxa"/>
            <w:tcBorders>
              <w:top w:val="nil"/>
              <w:left w:val="nil"/>
              <w:bottom w:val="nil"/>
              <w:right w:val="nil"/>
            </w:tcBorders>
            <w:shd w:val="clear" w:color="000000" w:fill="7F7F7F"/>
            <w:noWrap/>
            <w:vAlign w:val="center"/>
            <w:hideMark/>
          </w:tcPr>
          <w:p w:rsidR="00630536" w:rsidRPr="007343D8" w:rsidRDefault="00630536" w:rsidP="004F03CC">
            <w:pPr>
              <w:jc w:val="right"/>
              <w:rPr>
                <w:rFonts w:cs="Arial"/>
                <w:b/>
                <w:bCs/>
                <w:color w:val="FFFFFF"/>
                <w:szCs w:val="18"/>
                <w:lang w:eastAsia="en-AU"/>
              </w:rPr>
            </w:pPr>
            <w:r w:rsidRPr="00435C8F">
              <w:rPr>
                <w:rFonts w:cs="Arial"/>
                <w:b/>
                <w:bCs/>
                <w:color w:val="FFFFFF"/>
                <w:szCs w:val="18"/>
                <w:lang w:eastAsia="en-AU"/>
              </w:rPr>
              <w:t>% change 2010 to 2015</w:t>
            </w:r>
          </w:p>
        </w:tc>
        <w:tc>
          <w:tcPr>
            <w:tcW w:w="1106" w:type="dxa"/>
            <w:tcBorders>
              <w:top w:val="nil"/>
              <w:left w:val="nil"/>
              <w:bottom w:val="nil"/>
              <w:right w:val="nil"/>
            </w:tcBorders>
            <w:shd w:val="clear" w:color="000000" w:fill="7F7F7F"/>
            <w:noWrap/>
            <w:vAlign w:val="center"/>
            <w:hideMark/>
          </w:tcPr>
          <w:p w:rsidR="00630536" w:rsidRPr="007343D8" w:rsidRDefault="00630536" w:rsidP="004F03CC">
            <w:pPr>
              <w:jc w:val="right"/>
              <w:rPr>
                <w:rFonts w:cs="Arial"/>
                <w:b/>
                <w:bCs/>
                <w:color w:val="FFFFFF"/>
                <w:szCs w:val="18"/>
                <w:lang w:eastAsia="en-AU"/>
              </w:rPr>
            </w:pPr>
            <w:r w:rsidRPr="00435C8F">
              <w:rPr>
                <w:rFonts w:cs="Arial"/>
                <w:b/>
                <w:bCs/>
                <w:color w:val="FFFFFF"/>
                <w:szCs w:val="18"/>
                <w:lang w:eastAsia="en-AU"/>
              </w:rPr>
              <w:t>% change 2011 to 2015</w:t>
            </w:r>
          </w:p>
        </w:tc>
        <w:tc>
          <w:tcPr>
            <w:tcW w:w="1105" w:type="dxa"/>
            <w:tcBorders>
              <w:top w:val="nil"/>
              <w:left w:val="nil"/>
              <w:bottom w:val="nil"/>
              <w:right w:val="nil"/>
            </w:tcBorders>
            <w:shd w:val="clear" w:color="000000" w:fill="7F7F7F"/>
            <w:noWrap/>
            <w:vAlign w:val="center"/>
            <w:hideMark/>
          </w:tcPr>
          <w:p w:rsidR="00630536" w:rsidRPr="007343D8" w:rsidRDefault="00630536" w:rsidP="004F03CC">
            <w:pPr>
              <w:jc w:val="right"/>
              <w:rPr>
                <w:rFonts w:cs="Arial"/>
                <w:b/>
                <w:bCs/>
                <w:color w:val="FFFFFF"/>
                <w:szCs w:val="18"/>
                <w:lang w:eastAsia="en-AU"/>
              </w:rPr>
            </w:pPr>
            <w:r w:rsidRPr="00435C8F">
              <w:rPr>
                <w:rFonts w:cs="Arial"/>
                <w:b/>
                <w:bCs/>
                <w:color w:val="FFFFFF"/>
                <w:szCs w:val="18"/>
                <w:lang w:eastAsia="en-AU"/>
              </w:rPr>
              <w:t>% change 2012 to 2015</w:t>
            </w:r>
          </w:p>
        </w:tc>
        <w:tc>
          <w:tcPr>
            <w:tcW w:w="1106" w:type="dxa"/>
            <w:tcBorders>
              <w:top w:val="nil"/>
              <w:left w:val="nil"/>
              <w:bottom w:val="nil"/>
              <w:right w:val="nil"/>
            </w:tcBorders>
            <w:shd w:val="clear" w:color="000000" w:fill="7F7F7F"/>
            <w:noWrap/>
            <w:vAlign w:val="center"/>
            <w:hideMark/>
          </w:tcPr>
          <w:p w:rsidR="00630536" w:rsidRPr="007343D8" w:rsidRDefault="00630536" w:rsidP="004F03CC">
            <w:pPr>
              <w:jc w:val="right"/>
              <w:rPr>
                <w:rFonts w:cs="Arial"/>
                <w:b/>
                <w:bCs/>
                <w:color w:val="FFFFFF"/>
                <w:szCs w:val="18"/>
                <w:lang w:eastAsia="en-AU"/>
              </w:rPr>
            </w:pPr>
            <w:r w:rsidRPr="00435C8F">
              <w:rPr>
                <w:rFonts w:cs="Arial"/>
                <w:b/>
                <w:bCs/>
                <w:color w:val="FFFFFF"/>
                <w:szCs w:val="18"/>
                <w:lang w:eastAsia="en-AU"/>
              </w:rPr>
              <w:t>% change 2013 to 2015</w:t>
            </w:r>
          </w:p>
        </w:tc>
        <w:tc>
          <w:tcPr>
            <w:tcW w:w="1106" w:type="dxa"/>
            <w:tcBorders>
              <w:top w:val="nil"/>
              <w:left w:val="nil"/>
              <w:bottom w:val="nil"/>
              <w:right w:val="nil"/>
            </w:tcBorders>
            <w:shd w:val="clear" w:color="000000" w:fill="7F7F7F"/>
            <w:noWrap/>
            <w:vAlign w:val="center"/>
            <w:hideMark/>
          </w:tcPr>
          <w:p w:rsidR="00630536" w:rsidRPr="007343D8" w:rsidRDefault="00630536" w:rsidP="004F03CC">
            <w:pPr>
              <w:jc w:val="right"/>
              <w:rPr>
                <w:rFonts w:cs="Arial"/>
                <w:b/>
                <w:bCs/>
                <w:color w:val="FFFFFF"/>
                <w:szCs w:val="18"/>
                <w:lang w:eastAsia="en-AU"/>
              </w:rPr>
            </w:pPr>
            <w:r w:rsidRPr="00435C8F">
              <w:rPr>
                <w:rFonts w:cs="Arial"/>
                <w:b/>
                <w:bCs/>
                <w:color w:val="FFFFFF"/>
                <w:szCs w:val="18"/>
                <w:lang w:eastAsia="en-AU"/>
              </w:rPr>
              <w:t>% change 2014 to 2015</w:t>
            </w:r>
          </w:p>
        </w:tc>
      </w:tr>
      <w:tr w:rsidR="00630536" w:rsidRPr="007343D8" w:rsidTr="00692A5D">
        <w:trPr>
          <w:trHeight w:val="300"/>
        </w:trPr>
        <w:tc>
          <w:tcPr>
            <w:tcW w:w="2709" w:type="dxa"/>
            <w:tcBorders>
              <w:top w:val="nil"/>
              <w:left w:val="nil"/>
              <w:bottom w:val="nil"/>
              <w:right w:val="nil"/>
            </w:tcBorders>
            <w:shd w:val="clear" w:color="auto" w:fill="auto"/>
            <w:noWrap/>
            <w:vAlign w:val="center"/>
            <w:hideMark/>
          </w:tcPr>
          <w:p w:rsidR="00630536" w:rsidRPr="007343D8" w:rsidRDefault="00630536" w:rsidP="004F03CC">
            <w:pPr>
              <w:rPr>
                <w:rFonts w:cs="Arial"/>
                <w:color w:val="7F7F7F"/>
                <w:szCs w:val="18"/>
                <w:lang w:eastAsia="en-AU"/>
              </w:rPr>
            </w:pPr>
            <w:r w:rsidRPr="00481865">
              <w:t xml:space="preserve">Food and </w:t>
            </w:r>
            <w:r>
              <w:t>F</w:t>
            </w:r>
            <w:r w:rsidRPr="00481865">
              <w:t>ibre</w:t>
            </w:r>
          </w:p>
        </w:tc>
        <w:tc>
          <w:tcPr>
            <w:tcW w:w="1105" w:type="dxa"/>
            <w:tcBorders>
              <w:top w:val="nil"/>
              <w:left w:val="nil"/>
              <w:bottom w:val="nil"/>
              <w:right w:val="nil"/>
            </w:tcBorders>
            <w:shd w:val="clear" w:color="auto" w:fill="auto"/>
            <w:noWrap/>
            <w:vAlign w:val="center"/>
          </w:tcPr>
          <w:p w:rsidR="00630536" w:rsidRPr="007343D8" w:rsidRDefault="00630536" w:rsidP="004F03CC">
            <w:pPr>
              <w:jc w:val="right"/>
              <w:rPr>
                <w:rFonts w:cs="Arial"/>
                <w:color w:val="7F7F7F"/>
                <w:szCs w:val="18"/>
                <w:lang w:eastAsia="en-AU"/>
              </w:rPr>
            </w:pPr>
            <w:r w:rsidRPr="004C26A0">
              <w:t>48%</w:t>
            </w:r>
          </w:p>
        </w:tc>
        <w:tc>
          <w:tcPr>
            <w:tcW w:w="1106" w:type="dxa"/>
            <w:tcBorders>
              <w:top w:val="nil"/>
              <w:left w:val="nil"/>
              <w:bottom w:val="nil"/>
              <w:right w:val="nil"/>
            </w:tcBorders>
            <w:shd w:val="clear" w:color="auto" w:fill="auto"/>
            <w:noWrap/>
            <w:vAlign w:val="center"/>
          </w:tcPr>
          <w:p w:rsidR="00630536" w:rsidRPr="007343D8" w:rsidRDefault="00630536" w:rsidP="004F03CC">
            <w:pPr>
              <w:jc w:val="right"/>
              <w:rPr>
                <w:rFonts w:cs="Arial"/>
                <w:color w:val="7F7F7F"/>
                <w:szCs w:val="18"/>
                <w:lang w:eastAsia="en-AU"/>
              </w:rPr>
            </w:pPr>
            <w:r w:rsidRPr="004C26A0">
              <w:t>30%</w:t>
            </w:r>
          </w:p>
        </w:tc>
        <w:tc>
          <w:tcPr>
            <w:tcW w:w="1105" w:type="dxa"/>
            <w:tcBorders>
              <w:top w:val="nil"/>
              <w:left w:val="nil"/>
              <w:bottom w:val="nil"/>
              <w:right w:val="nil"/>
            </w:tcBorders>
            <w:shd w:val="clear" w:color="auto" w:fill="auto"/>
            <w:noWrap/>
            <w:vAlign w:val="center"/>
          </w:tcPr>
          <w:p w:rsidR="00630536" w:rsidRPr="007343D8" w:rsidRDefault="00630536" w:rsidP="004F03CC">
            <w:pPr>
              <w:jc w:val="right"/>
              <w:rPr>
                <w:rFonts w:cs="Arial"/>
                <w:color w:val="7F7F7F"/>
                <w:szCs w:val="18"/>
                <w:lang w:eastAsia="en-AU"/>
              </w:rPr>
            </w:pPr>
            <w:r w:rsidRPr="004C26A0">
              <w:t>5%</w:t>
            </w:r>
          </w:p>
        </w:tc>
        <w:tc>
          <w:tcPr>
            <w:tcW w:w="1106" w:type="dxa"/>
            <w:tcBorders>
              <w:top w:val="nil"/>
              <w:left w:val="nil"/>
              <w:bottom w:val="nil"/>
              <w:right w:val="nil"/>
            </w:tcBorders>
            <w:shd w:val="clear" w:color="auto" w:fill="auto"/>
            <w:noWrap/>
            <w:vAlign w:val="center"/>
          </w:tcPr>
          <w:p w:rsidR="00630536" w:rsidRPr="007343D8" w:rsidRDefault="00630536" w:rsidP="004F03CC">
            <w:pPr>
              <w:jc w:val="right"/>
              <w:rPr>
                <w:rFonts w:cs="Arial"/>
                <w:color w:val="7F7F7F"/>
                <w:szCs w:val="18"/>
                <w:lang w:eastAsia="en-AU"/>
              </w:rPr>
            </w:pPr>
            <w:r w:rsidRPr="004C26A0">
              <w:t>20%</w:t>
            </w:r>
          </w:p>
        </w:tc>
        <w:tc>
          <w:tcPr>
            <w:tcW w:w="1106" w:type="dxa"/>
            <w:tcBorders>
              <w:top w:val="nil"/>
              <w:left w:val="nil"/>
              <w:bottom w:val="nil"/>
              <w:right w:val="nil"/>
            </w:tcBorders>
            <w:shd w:val="clear" w:color="auto" w:fill="auto"/>
            <w:noWrap/>
            <w:vAlign w:val="center"/>
          </w:tcPr>
          <w:p w:rsidR="00630536" w:rsidRPr="007343D8" w:rsidRDefault="00630536" w:rsidP="004F03CC">
            <w:pPr>
              <w:jc w:val="right"/>
              <w:rPr>
                <w:rFonts w:cs="Arial"/>
                <w:color w:val="7F7F7F"/>
                <w:szCs w:val="18"/>
                <w:lang w:eastAsia="en-AU"/>
              </w:rPr>
            </w:pPr>
            <w:r w:rsidRPr="004C26A0">
              <w:t>-13%</w:t>
            </w:r>
          </w:p>
        </w:tc>
      </w:tr>
      <w:tr w:rsidR="00630536" w:rsidRPr="007343D8" w:rsidTr="00692A5D">
        <w:trPr>
          <w:trHeight w:val="300"/>
        </w:trPr>
        <w:tc>
          <w:tcPr>
            <w:tcW w:w="2709" w:type="dxa"/>
            <w:tcBorders>
              <w:top w:val="nil"/>
              <w:left w:val="nil"/>
              <w:bottom w:val="nil"/>
              <w:right w:val="nil"/>
            </w:tcBorders>
            <w:shd w:val="clear" w:color="auto" w:fill="auto"/>
            <w:noWrap/>
            <w:vAlign w:val="center"/>
            <w:hideMark/>
          </w:tcPr>
          <w:p w:rsidR="00630536" w:rsidRPr="007343D8" w:rsidRDefault="00630536" w:rsidP="004F03CC">
            <w:pPr>
              <w:rPr>
                <w:rFonts w:cs="Arial"/>
                <w:color w:val="7F7F7F"/>
                <w:szCs w:val="18"/>
                <w:lang w:eastAsia="en-AU"/>
              </w:rPr>
            </w:pPr>
            <w:r w:rsidRPr="00481865">
              <w:t>International Education</w:t>
            </w:r>
          </w:p>
        </w:tc>
        <w:tc>
          <w:tcPr>
            <w:tcW w:w="1105" w:type="dxa"/>
            <w:tcBorders>
              <w:top w:val="nil"/>
              <w:left w:val="nil"/>
              <w:bottom w:val="nil"/>
              <w:right w:val="nil"/>
            </w:tcBorders>
            <w:shd w:val="clear" w:color="auto" w:fill="auto"/>
            <w:noWrap/>
            <w:vAlign w:val="center"/>
          </w:tcPr>
          <w:p w:rsidR="00630536" w:rsidRPr="007343D8" w:rsidRDefault="00630536" w:rsidP="004F03CC">
            <w:pPr>
              <w:jc w:val="right"/>
              <w:rPr>
                <w:rFonts w:cs="Arial"/>
                <w:color w:val="7F7F7F"/>
                <w:szCs w:val="18"/>
                <w:lang w:eastAsia="en-AU"/>
              </w:rPr>
            </w:pPr>
            <w:r w:rsidRPr="004C26A0">
              <w:t>-13%</w:t>
            </w:r>
          </w:p>
        </w:tc>
        <w:tc>
          <w:tcPr>
            <w:tcW w:w="1106" w:type="dxa"/>
            <w:tcBorders>
              <w:top w:val="nil"/>
              <w:left w:val="nil"/>
              <w:bottom w:val="nil"/>
              <w:right w:val="nil"/>
            </w:tcBorders>
            <w:shd w:val="clear" w:color="auto" w:fill="auto"/>
            <w:noWrap/>
            <w:vAlign w:val="center"/>
          </w:tcPr>
          <w:p w:rsidR="00630536" w:rsidRPr="007343D8" w:rsidRDefault="00630536" w:rsidP="004F03CC">
            <w:pPr>
              <w:jc w:val="right"/>
              <w:rPr>
                <w:rFonts w:cs="Arial"/>
                <w:color w:val="7F7F7F"/>
                <w:szCs w:val="18"/>
                <w:lang w:eastAsia="en-AU"/>
              </w:rPr>
            </w:pPr>
            <w:r w:rsidRPr="004C26A0">
              <w:t>-27%</w:t>
            </w:r>
          </w:p>
        </w:tc>
        <w:tc>
          <w:tcPr>
            <w:tcW w:w="1105" w:type="dxa"/>
            <w:tcBorders>
              <w:top w:val="nil"/>
              <w:left w:val="nil"/>
              <w:bottom w:val="nil"/>
              <w:right w:val="nil"/>
            </w:tcBorders>
            <w:shd w:val="clear" w:color="auto" w:fill="auto"/>
            <w:noWrap/>
            <w:vAlign w:val="center"/>
          </w:tcPr>
          <w:p w:rsidR="00630536" w:rsidRPr="007343D8" w:rsidRDefault="00630536" w:rsidP="004F03CC">
            <w:pPr>
              <w:jc w:val="right"/>
              <w:rPr>
                <w:rFonts w:cs="Arial"/>
                <w:color w:val="7F7F7F"/>
                <w:szCs w:val="18"/>
                <w:lang w:eastAsia="en-AU"/>
              </w:rPr>
            </w:pPr>
            <w:r w:rsidRPr="004C26A0">
              <w:t>-38%</w:t>
            </w:r>
          </w:p>
        </w:tc>
        <w:tc>
          <w:tcPr>
            <w:tcW w:w="1106" w:type="dxa"/>
            <w:tcBorders>
              <w:top w:val="nil"/>
              <w:left w:val="nil"/>
              <w:bottom w:val="nil"/>
              <w:right w:val="nil"/>
            </w:tcBorders>
            <w:shd w:val="clear" w:color="auto" w:fill="auto"/>
            <w:noWrap/>
            <w:vAlign w:val="center"/>
          </w:tcPr>
          <w:p w:rsidR="00630536" w:rsidRPr="007343D8" w:rsidRDefault="00630536" w:rsidP="004F03CC">
            <w:pPr>
              <w:jc w:val="right"/>
              <w:rPr>
                <w:rFonts w:cs="Arial"/>
                <w:color w:val="7F7F7F"/>
                <w:szCs w:val="18"/>
                <w:lang w:eastAsia="en-AU"/>
              </w:rPr>
            </w:pPr>
            <w:r w:rsidRPr="004C26A0">
              <w:t>-10%</w:t>
            </w:r>
          </w:p>
        </w:tc>
        <w:tc>
          <w:tcPr>
            <w:tcW w:w="1106" w:type="dxa"/>
            <w:tcBorders>
              <w:top w:val="nil"/>
              <w:left w:val="nil"/>
              <w:bottom w:val="nil"/>
              <w:right w:val="nil"/>
            </w:tcBorders>
            <w:shd w:val="clear" w:color="auto" w:fill="auto"/>
            <w:noWrap/>
            <w:vAlign w:val="center"/>
          </w:tcPr>
          <w:p w:rsidR="00630536" w:rsidRPr="007343D8" w:rsidRDefault="00630536" w:rsidP="004F03CC">
            <w:pPr>
              <w:jc w:val="right"/>
              <w:rPr>
                <w:rFonts w:cs="Arial"/>
                <w:color w:val="7F7F7F"/>
                <w:szCs w:val="18"/>
                <w:lang w:eastAsia="en-AU"/>
              </w:rPr>
            </w:pPr>
            <w:r w:rsidRPr="004C26A0">
              <w:t>-8%</w:t>
            </w:r>
          </w:p>
        </w:tc>
      </w:tr>
      <w:tr w:rsidR="00630536" w:rsidRPr="007343D8" w:rsidTr="00692A5D">
        <w:trPr>
          <w:trHeight w:val="300"/>
        </w:trPr>
        <w:tc>
          <w:tcPr>
            <w:tcW w:w="2709" w:type="dxa"/>
            <w:tcBorders>
              <w:top w:val="nil"/>
              <w:left w:val="nil"/>
              <w:bottom w:val="nil"/>
              <w:right w:val="nil"/>
            </w:tcBorders>
            <w:shd w:val="clear" w:color="auto" w:fill="auto"/>
            <w:noWrap/>
            <w:vAlign w:val="center"/>
            <w:hideMark/>
          </w:tcPr>
          <w:p w:rsidR="00630536" w:rsidRPr="007343D8" w:rsidRDefault="00630536" w:rsidP="004F03CC">
            <w:pPr>
              <w:rPr>
                <w:rFonts w:cs="Arial"/>
                <w:color w:val="7F7F7F"/>
                <w:szCs w:val="18"/>
                <w:lang w:eastAsia="en-AU"/>
              </w:rPr>
            </w:pPr>
            <w:r w:rsidRPr="00481865">
              <w:t xml:space="preserve">New </w:t>
            </w:r>
            <w:r>
              <w:t>E</w:t>
            </w:r>
            <w:r w:rsidRPr="00481865">
              <w:t xml:space="preserve">nergy </w:t>
            </w:r>
            <w:r>
              <w:t>T</w:t>
            </w:r>
            <w:r w:rsidRPr="00481865">
              <w:t>echnology</w:t>
            </w:r>
          </w:p>
        </w:tc>
        <w:tc>
          <w:tcPr>
            <w:tcW w:w="1105" w:type="dxa"/>
            <w:tcBorders>
              <w:top w:val="nil"/>
              <w:left w:val="nil"/>
              <w:bottom w:val="nil"/>
              <w:right w:val="nil"/>
            </w:tcBorders>
            <w:shd w:val="clear" w:color="auto" w:fill="auto"/>
            <w:noWrap/>
            <w:vAlign w:val="center"/>
          </w:tcPr>
          <w:p w:rsidR="00630536" w:rsidRPr="007343D8" w:rsidRDefault="00630536" w:rsidP="004F03CC">
            <w:pPr>
              <w:jc w:val="right"/>
              <w:rPr>
                <w:rFonts w:cs="Arial"/>
                <w:color w:val="7F7F7F"/>
                <w:szCs w:val="18"/>
                <w:lang w:eastAsia="en-AU"/>
              </w:rPr>
            </w:pPr>
            <w:r w:rsidRPr="004C26A0">
              <w:t>-98%</w:t>
            </w:r>
          </w:p>
        </w:tc>
        <w:tc>
          <w:tcPr>
            <w:tcW w:w="1106" w:type="dxa"/>
            <w:tcBorders>
              <w:top w:val="nil"/>
              <w:left w:val="nil"/>
              <w:bottom w:val="nil"/>
              <w:right w:val="nil"/>
            </w:tcBorders>
            <w:shd w:val="clear" w:color="auto" w:fill="auto"/>
            <w:noWrap/>
            <w:vAlign w:val="center"/>
          </w:tcPr>
          <w:p w:rsidR="00630536" w:rsidRPr="007343D8" w:rsidRDefault="00630536" w:rsidP="004F03CC">
            <w:pPr>
              <w:jc w:val="right"/>
              <w:rPr>
                <w:rFonts w:cs="Arial"/>
                <w:color w:val="7F7F7F"/>
                <w:szCs w:val="18"/>
                <w:lang w:eastAsia="en-AU"/>
              </w:rPr>
            </w:pPr>
            <w:r w:rsidRPr="004C26A0">
              <w:t>-98%</w:t>
            </w:r>
          </w:p>
        </w:tc>
        <w:tc>
          <w:tcPr>
            <w:tcW w:w="1105" w:type="dxa"/>
            <w:tcBorders>
              <w:top w:val="nil"/>
              <w:left w:val="nil"/>
              <w:bottom w:val="nil"/>
              <w:right w:val="nil"/>
            </w:tcBorders>
            <w:shd w:val="clear" w:color="auto" w:fill="auto"/>
            <w:noWrap/>
            <w:vAlign w:val="center"/>
          </w:tcPr>
          <w:p w:rsidR="00630536" w:rsidRPr="007343D8" w:rsidRDefault="00630536" w:rsidP="004F03CC">
            <w:pPr>
              <w:jc w:val="right"/>
              <w:rPr>
                <w:rFonts w:cs="Arial"/>
                <w:color w:val="7F7F7F"/>
                <w:szCs w:val="18"/>
                <w:lang w:eastAsia="en-AU"/>
              </w:rPr>
            </w:pPr>
            <w:r w:rsidRPr="004C26A0">
              <w:t>-96%</w:t>
            </w:r>
          </w:p>
        </w:tc>
        <w:tc>
          <w:tcPr>
            <w:tcW w:w="1106" w:type="dxa"/>
            <w:tcBorders>
              <w:top w:val="nil"/>
              <w:left w:val="nil"/>
              <w:bottom w:val="nil"/>
              <w:right w:val="nil"/>
            </w:tcBorders>
            <w:shd w:val="clear" w:color="auto" w:fill="auto"/>
            <w:noWrap/>
            <w:vAlign w:val="center"/>
          </w:tcPr>
          <w:p w:rsidR="00630536" w:rsidRPr="007343D8" w:rsidRDefault="00630536" w:rsidP="004F03CC">
            <w:pPr>
              <w:jc w:val="right"/>
              <w:rPr>
                <w:rFonts w:cs="Arial"/>
                <w:color w:val="7F7F7F"/>
                <w:szCs w:val="18"/>
                <w:lang w:eastAsia="en-AU"/>
              </w:rPr>
            </w:pPr>
            <w:r w:rsidRPr="004C26A0">
              <w:t>-96%</w:t>
            </w:r>
          </w:p>
        </w:tc>
        <w:tc>
          <w:tcPr>
            <w:tcW w:w="1106" w:type="dxa"/>
            <w:tcBorders>
              <w:top w:val="nil"/>
              <w:left w:val="nil"/>
              <w:bottom w:val="nil"/>
              <w:right w:val="nil"/>
            </w:tcBorders>
            <w:shd w:val="clear" w:color="auto" w:fill="auto"/>
            <w:noWrap/>
            <w:vAlign w:val="center"/>
          </w:tcPr>
          <w:p w:rsidR="00630536" w:rsidRPr="007343D8" w:rsidRDefault="00630536" w:rsidP="004F03CC">
            <w:pPr>
              <w:jc w:val="right"/>
              <w:rPr>
                <w:rFonts w:cs="Arial"/>
                <w:color w:val="7F7F7F"/>
                <w:szCs w:val="18"/>
                <w:lang w:eastAsia="en-AU"/>
              </w:rPr>
            </w:pPr>
            <w:r w:rsidRPr="004C26A0">
              <w:t>-82%</w:t>
            </w:r>
          </w:p>
        </w:tc>
      </w:tr>
      <w:tr w:rsidR="00630536" w:rsidRPr="007343D8" w:rsidTr="00692A5D">
        <w:trPr>
          <w:trHeight w:val="300"/>
        </w:trPr>
        <w:tc>
          <w:tcPr>
            <w:tcW w:w="2709" w:type="dxa"/>
            <w:tcBorders>
              <w:top w:val="nil"/>
              <w:left w:val="nil"/>
              <w:bottom w:val="nil"/>
              <w:right w:val="nil"/>
            </w:tcBorders>
            <w:shd w:val="clear" w:color="auto" w:fill="auto"/>
            <w:noWrap/>
            <w:vAlign w:val="center"/>
            <w:hideMark/>
          </w:tcPr>
          <w:p w:rsidR="00630536" w:rsidRPr="007343D8" w:rsidRDefault="00630536" w:rsidP="004F03CC">
            <w:pPr>
              <w:rPr>
                <w:rFonts w:cs="Arial"/>
                <w:color w:val="7F7F7F"/>
                <w:szCs w:val="18"/>
                <w:lang w:eastAsia="en-AU"/>
              </w:rPr>
            </w:pPr>
            <w:r w:rsidRPr="00481865">
              <w:t xml:space="preserve">Professional </w:t>
            </w:r>
            <w:r>
              <w:t>S</w:t>
            </w:r>
            <w:r w:rsidRPr="00481865">
              <w:t>ervices</w:t>
            </w:r>
          </w:p>
        </w:tc>
        <w:tc>
          <w:tcPr>
            <w:tcW w:w="1105" w:type="dxa"/>
            <w:tcBorders>
              <w:top w:val="nil"/>
              <w:left w:val="nil"/>
              <w:bottom w:val="nil"/>
              <w:right w:val="nil"/>
            </w:tcBorders>
            <w:shd w:val="clear" w:color="auto" w:fill="auto"/>
            <w:noWrap/>
            <w:vAlign w:val="center"/>
          </w:tcPr>
          <w:p w:rsidR="00630536" w:rsidRPr="007343D8" w:rsidRDefault="00630536" w:rsidP="004F03CC">
            <w:pPr>
              <w:jc w:val="right"/>
              <w:rPr>
                <w:rFonts w:cs="Arial"/>
                <w:color w:val="7F7F7F"/>
                <w:szCs w:val="18"/>
                <w:lang w:eastAsia="en-AU"/>
              </w:rPr>
            </w:pPr>
            <w:r w:rsidRPr="004C26A0">
              <w:t>-10%</w:t>
            </w:r>
          </w:p>
        </w:tc>
        <w:tc>
          <w:tcPr>
            <w:tcW w:w="1106" w:type="dxa"/>
            <w:tcBorders>
              <w:top w:val="nil"/>
              <w:left w:val="nil"/>
              <w:bottom w:val="nil"/>
              <w:right w:val="nil"/>
            </w:tcBorders>
            <w:shd w:val="clear" w:color="auto" w:fill="auto"/>
            <w:noWrap/>
            <w:vAlign w:val="center"/>
          </w:tcPr>
          <w:p w:rsidR="00630536" w:rsidRPr="007343D8" w:rsidRDefault="00630536" w:rsidP="004F03CC">
            <w:pPr>
              <w:jc w:val="right"/>
              <w:rPr>
                <w:rFonts w:cs="Arial"/>
                <w:color w:val="7F7F7F"/>
                <w:szCs w:val="18"/>
                <w:lang w:eastAsia="en-AU"/>
              </w:rPr>
            </w:pPr>
            <w:r w:rsidRPr="004C26A0">
              <w:t>-12%</w:t>
            </w:r>
          </w:p>
        </w:tc>
        <w:tc>
          <w:tcPr>
            <w:tcW w:w="1105" w:type="dxa"/>
            <w:tcBorders>
              <w:top w:val="nil"/>
              <w:left w:val="nil"/>
              <w:bottom w:val="nil"/>
              <w:right w:val="nil"/>
            </w:tcBorders>
            <w:shd w:val="clear" w:color="auto" w:fill="auto"/>
            <w:noWrap/>
            <w:vAlign w:val="center"/>
          </w:tcPr>
          <w:p w:rsidR="00630536" w:rsidRPr="007343D8" w:rsidRDefault="00630536" w:rsidP="004F03CC">
            <w:pPr>
              <w:jc w:val="right"/>
              <w:rPr>
                <w:rFonts w:cs="Arial"/>
                <w:color w:val="7F7F7F"/>
                <w:szCs w:val="18"/>
                <w:lang w:eastAsia="en-AU"/>
              </w:rPr>
            </w:pPr>
            <w:r w:rsidRPr="004C26A0">
              <w:t>-28%</w:t>
            </w:r>
          </w:p>
        </w:tc>
        <w:tc>
          <w:tcPr>
            <w:tcW w:w="1106" w:type="dxa"/>
            <w:tcBorders>
              <w:top w:val="nil"/>
              <w:left w:val="nil"/>
              <w:bottom w:val="nil"/>
              <w:right w:val="nil"/>
            </w:tcBorders>
            <w:shd w:val="clear" w:color="auto" w:fill="auto"/>
            <w:noWrap/>
            <w:vAlign w:val="center"/>
          </w:tcPr>
          <w:p w:rsidR="00630536" w:rsidRPr="007343D8" w:rsidRDefault="00630536" w:rsidP="004F03CC">
            <w:pPr>
              <w:jc w:val="right"/>
              <w:rPr>
                <w:rFonts w:cs="Arial"/>
                <w:color w:val="7F7F7F"/>
                <w:szCs w:val="18"/>
                <w:lang w:eastAsia="en-AU"/>
              </w:rPr>
            </w:pPr>
            <w:r w:rsidRPr="004C26A0">
              <w:t>-1%</w:t>
            </w:r>
          </w:p>
        </w:tc>
        <w:tc>
          <w:tcPr>
            <w:tcW w:w="1106" w:type="dxa"/>
            <w:tcBorders>
              <w:top w:val="nil"/>
              <w:left w:val="nil"/>
              <w:bottom w:val="nil"/>
              <w:right w:val="nil"/>
            </w:tcBorders>
            <w:shd w:val="clear" w:color="auto" w:fill="auto"/>
            <w:noWrap/>
            <w:vAlign w:val="center"/>
          </w:tcPr>
          <w:p w:rsidR="00630536" w:rsidRPr="007343D8" w:rsidRDefault="00630536" w:rsidP="004F03CC">
            <w:pPr>
              <w:jc w:val="right"/>
              <w:rPr>
                <w:rFonts w:cs="Arial"/>
                <w:color w:val="7F7F7F"/>
                <w:szCs w:val="18"/>
                <w:lang w:eastAsia="en-AU"/>
              </w:rPr>
            </w:pPr>
            <w:r w:rsidRPr="004C26A0">
              <w:t>4%</w:t>
            </w:r>
          </w:p>
        </w:tc>
      </w:tr>
      <w:tr w:rsidR="00630536" w:rsidRPr="007343D8" w:rsidTr="00692A5D">
        <w:trPr>
          <w:trHeight w:val="300"/>
        </w:trPr>
        <w:tc>
          <w:tcPr>
            <w:tcW w:w="2709" w:type="dxa"/>
            <w:tcBorders>
              <w:top w:val="nil"/>
              <w:left w:val="nil"/>
              <w:bottom w:val="nil"/>
              <w:right w:val="nil"/>
            </w:tcBorders>
            <w:shd w:val="clear" w:color="auto" w:fill="auto"/>
            <w:noWrap/>
            <w:vAlign w:val="center"/>
            <w:hideMark/>
          </w:tcPr>
          <w:p w:rsidR="00630536" w:rsidRPr="007343D8" w:rsidRDefault="00630536" w:rsidP="004F03CC">
            <w:pPr>
              <w:rPr>
                <w:rFonts w:cs="Arial"/>
                <w:color w:val="7F7F7F"/>
                <w:szCs w:val="18"/>
                <w:lang w:eastAsia="en-AU"/>
              </w:rPr>
            </w:pPr>
            <w:r w:rsidRPr="00481865">
              <w:t xml:space="preserve">Transport, </w:t>
            </w:r>
            <w:r>
              <w:t>D</w:t>
            </w:r>
            <w:r w:rsidRPr="00481865">
              <w:t xml:space="preserve">efence and </w:t>
            </w:r>
            <w:r>
              <w:t>C</w:t>
            </w:r>
            <w:r w:rsidRPr="00481865">
              <w:t xml:space="preserve">onstruction </w:t>
            </w:r>
            <w:r>
              <w:t>T</w:t>
            </w:r>
            <w:r w:rsidRPr="00481865">
              <w:t>echnology</w:t>
            </w:r>
          </w:p>
        </w:tc>
        <w:tc>
          <w:tcPr>
            <w:tcW w:w="1105" w:type="dxa"/>
            <w:tcBorders>
              <w:top w:val="nil"/>
              <w:left w:val="nil"/>
              <w:bottom w:val="nil"/>
              <w:right w:val="nil"/>
            </w:tcBorders>
            <w:shd w:val="clear" w:color="auto" w:fill="auto"/>
            <w:noWrap/>
            <w:vAlign w:val="center"/>
          </w:tcPr>
          <w:p w:rsidR="00630536" w:rsidRPr="007343D8" w:rsidRDefault="00630536" w:rsidP="004F03CC">
            <w:pPr>
              <w:jc w:val="right"/>
              <w:rPr>
                <w:rFonts w:cs="Arial"/>
                <w:color w:val="7F7F7F"/>
                <w:szCs w:val="18"/>
                <w:lang w:eastAsia="en-AU"/>
              </w:rPr>
            </w:pPr>
            <w:r w:rsidRPr="004C26A0">
              <w:t>450%</w:t>
            </w:r>
          </w:p>
        </w:tc>
        <w:tc>
          <w:tcPr>
            <w:tcW w:w="1106" w:type="dxa"/>
            <w:tcBorders>
              <w:top w:val="nil"/>
              <w:left w:val="nil"/>
              <w:bottom w:val="nil"/>
              <w:right w:val="nil"/>
            </w:tcBorders>
            <w:shd w:val="clear" w:color="auto" w:fill="auto"/>
            <w:noWrap/>
            <w:vAlign w:val="center"/>
          </w:tcPr>
          <w:p w:rsidR="00630536" w:rsidRPr="007343D8" w:rsidRDefault="00630536" w:rsidP="004F03CC">
            <w:pPr>
              <w:jc w:val="right"/>
              <w:rPr>
                <w:rFonts w:cs="Arial"/>
                <w:color w:val="7F7F7F"/>
                <w:szCs w:val="18"/>
                <w:lang w:eastAsia="en-AU"/>
              </w:rPr>
            </w:pPr>
            <w:r w:rsidRPr="004C26A0">
              <w:t>210%</w:t>
            </w:r>
          </w:p>
        </w:tc>
        <w:tc>
          <w:tcPr>
            <w:tcW w:w="1105" w:type="dxa"/>
            <w:tcBorders>
              <w:top w:val="nil"/>
              <w:left w:val="nil"/>
              <w:bottom w:val="nil"/>
              <w:right w:val="nil"/>
            </w:tcBorders>
            <w:shd w:val="clear" w:color="auto" w:fill="auto"/>
            <w:noWrap/>
            <w:vAlign w:val="center"/>
          </w:tcPr>
          <w:p w:rsidR="00630536" w:rsidRPr="007343D8" w:rsidRDefault="00630536" w:rsidP="004F03CC">
            <w:pPr>
              <w:jc w:val="right"/>
              <w:rPr>
                <w:rFonts w:cs="Arial"/>
                <w:color w:val="7F7F7F"/>
                <w:szCs w:val="18"/>
                <w:lang w:eastAsia="en-AU"/>
              </w:rPr>
            </w:pPr>
            <w:r w:rsidRPr="004C26A0">
              <w:t>92%</w:t>
            </w:r>
          </w:p>
        </w:tc>
        <w:tc>
          <w:tcPr>
            <w:tcW w:w="1106" w:type="dxa"/>
            <w:tcBorders>
              <w:top w:val="nil"/>
              <w:left w:val="nil"/>
              <w:bottom w:val="nil"/>
              <w:right w:val="nil"/>
            </w:tcBorders>
            <w:shd w:val="clear" w:color="auto" w:fill="auto"/>
            <w:noWrap/>
            <w:vAlign w:val="center"/>
          </w:tcPr>
          <w:p w:rsidR="00630536" w:rsidRPr="007343D8" w:rsidRDefault="00630536" w:rsidP="004F03CC">
            <w:pPr>
              <w:jc w:val="right"/>
              <w:rPr>
                <w:rFonts w:cs="Arial"/>
                <w:color w:val="7F7F7F"/>
                <w:szCs w:val="18"/>
                <w:lang w:eastAsia="en-AU"/>
              </w:rPr>
            </w:pPr>
            <w:r w:rsidRPr="004C26A0">
              <w:t>48%</w:t>
            </w:r>
          </w:p>
        </w:tc>
        <w:tc>
          <w:tcPr>
            <w:tcW w:w="1106" w:type="dxa"/>
            <w:tcBorders>
              <w:top w:val="nil"/>
              <w:left w:val="nil"/>
              <w:bottom w:val="nil"/>
              <w:right w:val="nil"/>
            </w:tcBorders>
            <w:shd w:val="clear" w:color="auto" w:fill="auto"/>
            <w:noWrap/>
            <w:vAlign w:val="center"/>
          </w:tcPr>
          <w:p w:rsidR="00630536" w:rsidRPr="007343D8" w:rsidRDefault="00630536" w:rsidP="004F03CC">
            <w:pPr>
              <w:jc w:val="right"/>
              <w:rPr>
                <w:rFonts w:cs="Arial"/>
                <w:color w:val="7F7F7F"/>
                <w:szCs w:val="18"/>
                <w:lang w:eastAsia="en-AU"/>
              </w:rPr>
            </w:pPr>
            <w:r w:rsidRPr="004C26A0">
              <w:t>-7%</w:t>
            </w:r>
          </w:p>
        </w:tc>
      </w:tr>
      <w:tr w:rsidR="00630536" w:rsidRPr="007343D8" w:rsidTr="00692A5D">
        <w:trPr>
          <w:trHeight w:val="300"/>
        </w:trPr>
        <w:tc>
          <w:tcPr>
            <w:tcW w:w="2709" w:type="dxa"/>
            <w:tcBorders>
              <w:top w:val="nil"/>
              <w:left w:val="nil"/>
              <w:bottom w:val="nil"/>
              <w:right w:val="nil"/>
            </w:tcBorders>
            <w:shd w:val="clear" w:color="auto" w:fill="auto"/>
            <w:noWrap/>
            <w:vAlign w:val="center"/>
            <w:hideMark/>
          </w:tcPr>
          <w:p w:rsidR="00630536" w:rsidRPr="007343D8" w:rsidRDefault="00630536" w:rsidP="004F03CC">
            <w:pPr>
              <w:rPr>
                <w:rFonts w:cs="Arial"/>
                <w:color w:val="7F7F7F"/>
                <w:szCs w:val="18"/>
                <w:lang w:eastAsia="en-AU"/>
              </w:rPr>
            </w:pPr>
            <w:r>
              <w:t>Other Industry Training</w:t>
            </w:r>
          </w:p>
        </w:tc>
        <w:tc>
          <w:tcPr>
            <w:tcW w:w="1105" w:type="dxa"/>
            <w:tcBorders>
              <w:top w:val="nil"/>
              <w:left w:val="nil"/>
              <w:bottom w:val="nil"/>
              <w:right w:val="nil"/>
            </w:tcBorders>
            <w:shd w:val="clear" w:color="auto" w:fill="auto"/>
            <w:noWrap/>
            <w:vAlign w:val="center"/>
          </w:tcPr>
          <w:p w:rsidR="00630536" w:rsidRPr="007343D8" w:rsidRDefault="00630536" w:rsidP="004F03CC">
            <w:pPr>
              <w:jc w:val="right"/>
              <w:rPr>
                <w:rFonts w:cs="Arial"/>
                <w:color w:val="7F7F7F"/>
                <w:szCs w:val="18"/>
                <w:lang w:eastAsia="en-AU"/>
              </w:rPr>
            </w:pPr>
            <w:r w:rsidRPr="004C26A0">
              <w:t>30%</w:t>
            </w:r>
          </w:p>
        </w:tc>
        <w:tc>
          <w:tcPr>
            <w:tcW w:w="1106" w:type="dxa"/>
            <w:tcBorders>
              <w:top w:val="nil"/>
              <w:left w:val="nil"/>
              <w:bottom w:val="nil"/>
              <w:right w:val="nil"/>
            </w:tcBorders>
            <w:shd w:val="clear" w:color="auto" w:fill="auto"/>
            <w:noWrap/>
            <w:vAlign w:val="center"/>
          </w:tcPr>
          <w:p w:rsidR="00630536" w:rsidRPr="007343D8" w:rsidRDefault="00630536" w:rsidP="004F03CC">
            <w:pPr>
              <w:jc w:val="right"/>
              <w:rPr>
                <w:rFonts w:cs="Arial"/>
                <w:color w:val="7F7F7F"/>
                <w:szCs w:val="18"/>
                <w:lang w:eastAsia="en-AU"/>
              </w:rPr>
            </w:pPr>
            <w:r w:rsidRPr="004C26A0">
              <w:t>-2%</w:t>
            </w:r>
          </w:p>
        </w:tc>
        <w:tc>
          <w:tcPr>
            <w:tcW w:w="1105" w:type="dxa"/>
            <w:tcBorders>
              <w:top w:val="nil"/>
              <w:left w:val="nil"/>
              <w:bottom w:val="nil"/>
              <w:right w:val="nil"/>
            </w:tcBorders>
            <w:shd w:val="clear" w:color="auto" w:fill="auto"/>
            <w:noWrap/>
            <w:vAlign w:val="center"/>
          </w:tcPr>
          <w:p w:rsidR="00630536" w:rsidRPr="007343D8" w:rsidRDefault="00630536" w:rsidP="004F03CC">
            <w:pPr>
              <w:jc w:val="right"/>
              <w:rPr>
                <w:rFonts w:cs="Arial"/>
                <w:color w:val="7F7F7F"/>
                <w:szCs w:val="18"/>
                <w:lang w:eastAsia="en-AU"/>
              </w:rPr>
            </w:pPr>
            <w:r w:rsidRPr="004C26A0">
              <w:t>-30%</w:t>
            </w:r>
          </w:p>
        </w:tc>
        <w:tc>
          <w:tcPr>
            <w:tcW w:w="1106" w:type="dxa"/>
            <w:tcBorders>
              <w:top w:val="nil"/>
              <w:left w:val="nil"/>
              <w:bottom w:val="nil"/>
              <w:right w:val="nil"/>
            </w:tcBorders>
            <w:shd w:val="clear" w:color="auto" w:fill="auto"/>
            <w:noWrap/>
            <w:vAlign w:val="center"/>
          </w:tcPr>
          <w:p w:rsidR="00630536" w:rsidRPr="007343D8" w:rsidRDefault="00630536" w:rsidP="004F03CC">
            <w:pPr>
              <w:jc w:val="right"/>
              <w:rPr>
                <w:rFonts w:cs="Arial"/>
                <w:color w:val="7F7F7F"/>
                <w:szCs w:val="18"/>
                <w:lang w:eastAsia="en-AU"/>
              </w:rPr>
            </w:pPr>
            <w:r w:rsidRPr="004C26A0">
              <w:t>-8%</w:t>
            </w:r>
          </w:p>
        </w:tc>
        <w:tc>
          <w:tcPr>
            <w:tcW w:w="1106" w:type="dxa"/>
            <w:tcBorders>
              <w:top w:val="nil"/>
              <w:left w:val="nil"/>
              <w:bottom w:val="nil"/>
              <w:right w:val="nil"/>
            </w:tcBorders>
            <w:shd w:val="clear" w:color="auto" w:fill="auto"/>
            <w:noWrap/>
            <w:vAlign w:val="center"/>
          </w:tcPr>
          <w:p w:rsidR="00630536" w:rsidRPr="007343D8" w:rsidRDefault="00630536" w:rsidP="004F03CC">
            <w:pPr>
              <w:jc w:val="right"/>
              <w:rPr>
                <w:rFonts w:cs="Arial"/>
                <w:color w:val="7F7F7F"/>
                <w:szCs w:val="18"/>
                <w:lang w:eastAsia="en-AU"/>
              </w:rPr>
            </w:pPr>
            <w:r w:rsidRPr="004C26A0">
              <w:t>-12%</w:t>
            </w:r>
          </w:p>
        </w:tc>
      </w:tr>
      <w:tr w:rsidR="00630536" w:rsidRPr="007343D8" w:rsidTr="00692A5D">
        <w:trPr>
          <w:trHeight w:val="300"/>
        </w:trPr>
        <w:tc>
          <w:tcPr>
            <w:tcW w:w="2709" w:type="dxa"/>
            <w:tcBorders>
              <w:top w:val="nil"/>
              <w:left w:val="nil"/>
              <w:bottom w:val="nil"/>
              <w:right w:val="nil"/>
            </w:tcBorders>
            <w:shd w:val="clear" w:color="000000" w:fill="7F7F7F"/>
            <w:noWrap/>
            <w:vAlign w:val="center"/>
            <w:hideMark/>
          </w:tcPr>
          <w:p w:rsidR="00630536" w:rsidRPr="007343D8" w:rsidRDefault="00630536" w:rsidP="00630536">
            <w:pPr>
              <w:rPr>
                <w:rFonts w:cs="Arial"/>
                <w:b/>
                <w:bCs/>
                <w:color w:val="FFFFFF"/>
                <w:szCs w:val="18"/>
                <w:lang w:eastAsia="en-AU"/>
              </w:rPr>
            </w:pPr>
            <w:r w:rsidRPr="007343D8">
              <w:rPr>
                <w:rFonts w:cs="Arial"/>
                <w:b/>
                <w:bCs/>
                <w:color w:val="FFFFFF"/>
                <w:szCs w:val="18"/>
                <w:lang w:eastAsia="en-AU"/>
              </w:rPr>
              <w:t>Total*</w:t>
            </w:r>
          </w:p>
        </w:tc>
        <w:tc>
          <w:tcPr>
            <w:tcW w:w="1105" w:type="dxa"/>
            <w:tcBorders>
              <w:top w:val="nil"/>
              <w:left w:val="nil"/>
              <w:bottom w:val="nil"/>
              <w:right w:val="nil"/>
            </w:tcBorders>
            <w:shd w:val="clear" w:color="000000" w:fill="7F7F7F"/>
            <w:noWrap/>
            <w:vAlign w:val="center"/>
            <w:hideMark/>
          </w:tcPr>
          <w:p w:rsidR="00630536" w:rsidRPr="00635394" w:rsidRDefault="00630536" w:rsidP="004F03CC">
            <w:pPr>
              <w:jc w:val="right"/>
              <w:rPr>
                <w:rFonts w:cs="Arial"/>
                <w:b/>
                <w:bCs/>
                <w:color w:val="FFFFFF" w:themeColor="background1"/>
                <w:szCs w:val="18"/>
                <w:lang w:eastAsia="en-AU"/>
              </w:rPr>
            </w:pPr>
            <w:r w:rsidRPr="00635394">
              <w:rPr>
                <w:b/>
                <w:color w:val="FFFFFF" w:themeColor="background1"/>
              </w:rPr>
              <w:t>32%</w:t>
            </w:r>
          </w:p>
        </w:tc>
        <w:tc>
          <w:tcPr>
            <w:tcW w:w="1106" w:type="dxa"/>
            <w:tcBorders>
              <w:top w:val="nil"/>
              <w:left w:val="nil"/>
              <w:bottom w:val="nil"/>
              <w:right w:val="nil"/>
            </w:tcBorders>
            <w:shd w:val="clear" w:color="000000" w:fill="7F7F7F"/>
            <w:noWrap/>
            <w:vAlign w:val="center"/>
            <w:hideMark/>
          </w:tcPr>
          <w:p w:rsidR="00630536" w:rsidRPr="00635394" w:rsidRDefault="00630536" w:rsidP="004F03CC">
            <w:pPr>
              <w:jc w:val="right"/>
              <w:rPr>
                <w:rFonts w:cs="Arial"/>
                <w:b/>
                <w:bCs/>
                <w:color w:val="FFFFFF" w:themeColor="background1"/>
                <w:szCs w:val="18"/>
                <w:lang w:eastAsia="en-AU"/>
              </w:rPr>
            </w:pPr>
            <w:r w:rsidRPr="00635394">
              <w:rPr>
                <w:b/>
                <w:color w:val="FFFFFF" w:themeColor="background1"/>
              </w:rPr>
              <w:t>3%</w:t>
            </w:r>
          </w:p>
        </w:tc>
        <w:tc>
          <w:tcPr>
            <w:tcW w:w="1105" w:type="dxa"/>
            <w:tcBorders>
              <w:top w:val="nil"/>
              <w:left w:val="nil"/>
              <w:bottom w:val="nil"/>
              <w:right w:val="nil"/>
            </w:tcBorders>
            <w:shd w:val="clear" w:color="000000" w:fill="7F7F7F"/>
            <w:noWrap/>
            <w:vAlign w:val="center"/>
            <w:hideMark/>
          </w:tcPr>
          <w:p w:rsidR="00630536" w:rsidRPr="00635394" w:rsidRDefault="00630536" w:rsidP="004F03CC">
            <w:pPr>
              <w:jc w:val="right"/>
              <w:rPr>
                <w:rFonts w:cs="Arial"/>
                <w:b/>
                <w:bCs/>
                <w:color w:val="FFFFFF" w:themeColor="background1"/>
                <w:szCs w:val="18"/>
                <w:lang w:eastAsia="en-AU"/>
              </w:rPr>
            </w:pPr>
            <w:r w:rsidRPr="00635394">
              <w:rPr>
                <w:b/>
                <w:color w:val="FFFFFF" w:themeColor="background1"/>
              </w:rPr>
              <w:t>-25%</w:t>
            </w:r>
          </w:p>
        </w:tc>
        <w:tc>
          <w:tcPr>
            <w:tcW w:w="1106" w:type="dxa"/>
            <w:tcBorders>
              <w:top w:val="nil"/>
              <w:left w:val="nil"/>
              <w:bottom w:val="nil"/>
              <w:right w:val="nil"/>
            </w:tcBorders>
            <w:shd w:val="clear" w:color="000000" w:fill="7F7F7F"/>
            <w:noWrap/>
            <w:vAlign w:val="center"/>
            <w:hideMark/>
          </w:tcPr>
          <w:p w:rsidR="00630536" w:rsidRPr="00635394" w:rsidRDefault="00630536" w:rsidP="004F03CC">
            <w:pPr>
              <w:jc w:val="right"/>
              <w:rPr>
                <w:rFonts w:cs="Arial"/>
                <w:b/>
                <w:bCs/>
                <w:color w:val="FFFFFF" w:themeColor="background1"/>
                <w:szCs w:val="18"/>
                <w:lang w:eastAsia="en-AU"/>
              </w:rPr>
            </w:pPr>
            <w:r w:rsidRPr="00635394">
              <w:rPr>
                <w:b/>
                <w:color w:val="FFFFFF" w:themeColor="background1"/>
              </w:rPr>
              <w:t>-3%</w:t>
            </w:r>
          </w:p>
        </w:tc>
        <w:tc>
          <w:tcPr>
            <w:tcW w:w="1106" w:type="dxa"/>
            <w:tcBorders>
              <w:top w:val="nil"/>
              <w:left w:val="nil"/>
              <w:bottom w:val="nil"/>
              <w:right w:val="nil"/>
            </w:tcBorders>
            <w:shd w:val="clear" w:color="000000" w:fill="7F7F7F"/>
            <w:noWrap/>
            <w:vAlign w:val="center"/>
            <w:hideMark/>
          </w:tcPr>
          <w:p w:rsidR="00630536" w:rsidRPr="00635394" w:rsidRDefault="00630536" w:rsidP="004F03CC">
            <w:pPr>
              <w:jc w:val="right"/>
              <w:rPr>
                <w:rFonts w:cs="Arial"/>
                <w:b/>
                <w:bCs/>
                <w:color w:val="FFFFFF" w:themeColor="background1"/>
                <w:szCs w:val="18"/>
                <w:lang w:eastAsia="en-AU"/>
              </w:rPr>
            </w:pPr>
            <w:r w:rsidRPr="00635394">
              <w:rPr>
                <w:b/>
                <w:color w:val="FFFFFF" w:themeColor="background1"/>
              </w:rPr>
              <w:t>-10%</w:t>
            </w:r>
          </w:p>
        </w:tc>
      </w:tr>
    </w:tbl>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
        <w:gridCol w:w="7649"/>
      </w:tblGrid>
      <w:tr w:rsidR="00630536" w:rsidRPr="00913551" w:rsidTr="004F03CC">
        <w:trPr>
          <w:trHeight w:val="227"/>
        </w:trPr>
        <w:tc>
          <w:tcPr>
            <w:tcW w:w="431" w:type="dxa"/>
            <w:tcMar>
              <w:top w:w="28" w:type="dxa"/>
              <w:left w:w="0" w:type="dxa"/>
              <w:right w:w="28" w:type="dxa"/>
            </w:tcMar>
          </w:tcPr>
          <w:p w:rsidR="00630536" w:rsidRPr="00913551" w:rsidRDefault="00630536" w:rsidP="004F03CC">
            <w:pPr>
              <w:spacing w:after="0" w:line="240" w:lineRule="auto"/>
              <w:jc w:val="right"/>
              <w:rPr>
                <w:color w:val="7F7F7F" w:themeColor="text2"/>
                <w:sz w:val="16"/>
                <w:szCs w:val="16"/>
              </w:rPr>
            </w:pPr>
            <w:r w:rsidRPr="00913551">
              <w:rPr>
                <w:color w:val="7F7F7F" w:themeColor="text2"/>
                <w:sz w:val="16"/>
                <w:szCs w:val="16"/>
              </w:rPr>
              <w:t xml:space="preserve">* </w:t>
            </w:r>
          </w:p>
        </w:tc>
        <w:tc>
          <w:tcPr>
            <w:tcW w:w="7649" w:type="dxa"/>
            <w:tcMar>
              <w:top w:w="28" w:type="dxa"/>
              <w:left w:w="0" w:type="dxa"/>
              <w:right w:w="28" w:type="dxa"/>
            </w:tcMar>
          </w:tcPr>
          <w:p w:rsidR="00630536" w:rsidRPr="00913551" w:rsidRDefault="00630536" w:rsidP="004F03CC">
            <w:pPr>
              <w:spacing w:after="0" w:line="240" w:lineRule="auto"/>
              <w:rPr>
                <w:i/>
                <w:color w:val="7F7F7F" w:themeColor="text2"/>
                <w:sz w:val="16"/>
                <w:szCs w:val="16"/>
              </w:rPr>
            </w:pPr>
            <w:r w:rsidRPr="00913551">
              <w:rPr>
                <w:i/>
                <w:sz w:val="16"/>
                <w:szCs w:val="16"/>
              </w:rPr>
              <w:t>Totals exclude training in foundation skills, education pathways and low-level courses in languages other than English.</w:t>
            </w:r>
          </w:p>
        </w:tc>
      </w:tr>
    </w:tbl>
    <w:p w:rsidR="00630536" w:rsidRPr="0033252C" w:rsidRDefault="00630536" w:rsidP="00630536">
      <w:pPr>
        <w:pStyle w:val="Note"/>
        <w:spacing w:before="120"/>
        <w:rPr>
          <w:sz w:val="18"/>
          <w:szCs w:val="18"/>
        </w:rPr>
      </w:pPr>
      <w:r w:rsidRPr="0033252C">
        <w:rPr>
          <w:sz w:val="18"/>
          <w:szCs w:val="18"/>
        </w:rPr>
        <w:t>Note that there has been no vocational training delivery in courses directly aligned to Medical Technologies and Pharmaceuticals sector</w:t>
      </w:r>
      <w:r>
        <w:rPr>
          <w:sz w:val="18"/>
          <w:szCs w:val="18"/>
        </w:rPr>
        <w:t>.</w:t>
      </w:r>
    </w:p>
    <w:p w:rsidR="0033252C" w:rsidRDefault="0033252C" w:rsidP="004F7D8A"/>
    <w:p w:rsidR="000E0A8A" w:rsidRPr="00365EB2" w:rsidRDefault="000E0A8A" w:rsidP="004F7D8A"/>
    <w:p w:rsidR="0049701B" w:rsidRPr="0049701B" w:rsidRDefault="0049701B">
      <w:pPr>
        <w:rPr>
          <w:rFonts w:cs="Arial"/>
          <w:bCs/>
          <w:color w:val="7F7F7F" w:themeColor="text2"/>
          <w:kern w:val="32"/>
          <w:szCs w:val="18"/>
        </w:rPr>
      </w:pPr>
      <w:r>
        <w:rPr>
          <w:color w:val="B41F22" w:themeColor="accent1"/>
        </w:rPr>
        <w:br w:type="page"/>
      </w:r>
    </w:p>
    <w:p w:rsidR="0049701B" w:rsidRPr="0049701B" w:rsidRDefault="0049701B">
      <w:pPr>
        <w:rPr>
          <w:rFonts w:cs="Arial"/>
          <w:bCs/>
          <w:color w:val="7F7F7F" w:themeColor="text2"/>
          <w:kern w:val="32"/>
          <w:szCs w:val="18"/>
        </w:rPr>
      </w:pPr>
    </w:p>
    <w:sectPr w:rsidR="0049701B" w:rsidRPr="0049701B" w:rsidSect="00AB62FC">
      <w:headerReference w:type="even" r:id="rId40"/>
      <w:headerReference w:type="default" r:id="rId41"/>
      <w:footerReference w:type="even" r:id="rId42"/>
      <w:footerReference w:type="default" r:id="rId43"/>
      <w:headerReference w:type="first" r:id="rId44"/>
      <w:type w:val="oddPage"/>
      <w:pgSz w:w="11907" w:h="16840" w:code="9"/>
      <w:pgMar w:top="2160" w:right="1701" w:bottom="1747" w:left="2694" w:header="992" w:footer="9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6A5" w:rsidRDefault="008E16A5">
      <w:r>
        <w:separator/>
      </w:r>
    </w:p>
  </w:endnote>
  <w:endnote w:type="continuationSeparator" w:id="0">
    <w:p w:rsidR="008E16A5" w:rsidRDefault="008E1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714" w:rsidRDefault="009527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714" w:rsidRDefault="009527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714" w:rsidRDefault="0095271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714" w:rsidRPr="004C7E70" w:rsidRDefault="00952714" w:rsidP="004C7E70">
    <w:pPr>
      <w:pStyle w:val="Footer"/>
      <w:rPr>
        <w:rStyle w:val="Emphasis"/>
        <w:b w:val="0"/>
        <w:color w:val="747378"/>
        <w:u w:color="000085"/>
      </w:rPr>
    </w:pPr>
    <w:r>
      <w:tab/>
    </w:r>
    <w:r>
      <w:fldChar w:fldCharType="begin"/>
    </w:r>
    <w:r>
      <w:instrText xml:space="preserve"> PAGE   \* MERGEFORMAT </w:instrText>
    </w:r>
    <w:r>
      <w:fldChar w:fldCharType="separate"/>
    </w:r>
    <w:r w:rsidR="00BC1E01">
      <w:rPr>
        <w:noProof/>
      </w:rPr>
      <w:t>92</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714" w:rsidRPr="00C57D85" w:rsidRDefault="00952714" w:rsidP="00F81446">
    <w:pPr>
      <w:pStyle w:val="Footer"/>
      <w:tabs>
        <w:tab w:val="clear" w:pos="8640"/>
        <w:tab w:val="right" w:pos="7655"/>
      </w:tabs>
      <w:ind w:left="-993"/>
      <w:rPr>
        <w:u w:color="000085"/>
      </w:rPr>
    </w:pPr>
    <w:r>
      <w:fldChar w:fldCharType="begin"/>
    </w:r>
    <w:r>
      <w:instrText xml:space="preserve"> PAGE   \* MERGEFORMAT </w:instrText>
    </w:r>
    <w:r>
      <w:fldChar w:fldCharType="separate"/>
    </w:r>
    <w:r w:rsidR="00BC1E01">
      <w:rPr>
        <w:noProof/>
      </w:rPr>
      <w:t>3</w:t>
    </w:r>
    <w:r>
      <w:rPr>
        <w:noProof/>
      </w:rPr>
      <w:fldChar w:fldCharType="end"/>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6A5" w:rsidRDefault="008E16A5">
      <w:r>
        <w:separator/>
      </w:r>
    </w:p>
  </w:footnote>
  <w:footnote w:type="continuationSeparator" w:id="0">
    <w:p w:rsidR="008E16A5" w:rsidRDefault="008E16A5">
      <w:r>
        <w:continuationSeparator/>
      </w:r>
    </w:p>
  </w:footnote>
  <w:footnote w:id="1">
    <w:p w:rsidR="00952714" w:rsidRDefault="00952714">
      <w:pPr>
        <w:pStyle w:val="FootnoteText"/>
      </w:pPr>
      <w:r>
        <w:rPr>
          <w:rStyle w:val="FootnoteReference"/>
        </w:rPr>
        <w:footnoteRef/>
      </w:r>
      <w:r>
        <w:t xml:space="preserve"> </w:t>
      </w:r>
      <w:r w:rsidRPr="00092249">
        <w:rPr>
          <w:sz w:val="16"/>
        </w:rPr>
        <w:t>‘</w:t>
      </w:r>
      <w:r w:rsidRPr="00092249">
        <w:rPr>
          <w:i/>
          <w:sz w:val="16"/>
        </w:rPr>
        <w:t>Government-funded Students and Courses</w:t>
      </w:r>
      <w:r w:rsidRPr="00092249">
        <w:rPr>
          <w:sz w:val="16"/>
        </w:rPr>
        <w:t>’, 2014 (revised September 2015), NCVER</w:t>
      </w:r>
      <w:r>
        <w:rPr>
          <w:sz w:val="16"/>
        </w:rPr>
        <w:t>. NCVER includes fee-for-service activity from both TAFEs and Universities as government-funded.</w:t>
      </w:r>
    </w:p>
  </w:footnote>
  <w:footnote w:id="2">
    <w:p w:rsidR="00952714" w:rsidRDefault="00952714" w:rsidP="00E155C2">
      <w:pPr>
        <w:rPr>
          <w:i/>
          <w:color w:val="7F7F7F" w:themeColor="text2"/>
          <w:sz w:val="16"/>
          <w:szCs w:val="16"/>
        </w:rPr>
      </w:pPr>
      <w:r>
        <w:rPr>
          <w:rStyle w:val="FootnoteReference"/>
        </w:rPr>
        <w:footnoteRef/>
      </w:r>
      <w:r>
        <w:t xml:space="preserve"> </w:t>
      </w:r>
      <w:r w:rsidRPr="00787148">
        <w:rPr>
          <w:i/>
          <w:color w:val="7F7F7F" w:themeColor="text2"/>
          <w:sz w:val="16"/>
          <w:szCs w:val="16"/>
        </w:rPr>
        <w:t>The six priority growth sectors are:</w:t>
      </w:r>
    </w:p>
    <w:p w:rsidR="00952714" w:rsidRDefault="00952714" w:rsidP="00E155C2">
      <w:pPr>
        <w:ind w:left="709"/>
        <w:rPr>
          <w:i/>
          <w:color w:val="7F7F7F" w:themeColor="text2"/>
          <w:sz w:val="16"/>
          <w:szCs w:val="16"/>
        </w:rPr>
      </w:pPr>
      <w:r w:rsidRPr="00787148">
        <w:rPr>
          <w:i/>
          <w:color w:val="7F7F7F" w:themeColor="text2"/>
          <w:sz w:val="16"/>
          <w:szCs w:val="16"/>
        </w:rPr>
        <w:t>Food and Fibre</w:t>
      </w:r>
    </w:p>
    <w:p w:rsidR="00952714" w:rsidRDefault="00952714" w:rsidP="00E155C2">
      <w:pPr>
        <w:ind w:left="709"/>
        <w:rPr>
          <w:i/>
          <w:color w:val="7F7F7F" w:themeColor="text2"/>
          <w:sz w:val="16"/>
          <w:szCs w:val="16"/>
        </w:rPr>
      </w:pPr>
      <w:r w:rsidRPr="00787148">
        <w:rPr>
          <w:i/>
          <w:color w:val="7F7F7F" w:themeColor="text2"/>
          <w:sz w:val="16"/>
          <w:szCs w:val="16"/>
        </w:rPr>
        <w:t>International Education</w:t>
      </w:r>
    </w:p>
    <w:p w:rsidR="00952714" w:rsidRDefault="00952714" w:rsidP="00E155C2">
      <w:pPr>
        <w:ind w:left="709"/>
        <w:rPr>
          <w:i/>
          <w:color w:val="7F7F7F" w:themeColor="text2"/>
          <w:sz w:val="16"/>
          <w:szCs w:val="16"/>
        </w:rPr>
      </w:pPr>
      <w:r w:rsidRPr="00787148">
        <w:rPr>
          <w:i/>
          <w:color w:val="7F7F7F" w:themeColor="text2"/>
          <w:sz w:val="16"/>
          <w:szCs w:val="16"/>
        </w:rPr>
        <w:t>Medical Technologies and Pharmaceuticals</w:t>
      </w:r>
    </w:p>
    <w:p w:rsidR="00952714" w:rsidRDefault="00952714" w:rsidP="00E155C2">
      <w:pPr>
        <w:ind w:left="709"/>
        <w:rPr>
          <w:i/>
          <w:color w:val="7F7F7F" w:themeColor="text2"/>
          <w:sz w:val="16"/>
          <w:szCs w:val="16"/>
        </w:rPr>
      </w:pPr>
      <w:r w:rsidRPr="00787148">
        <w:rPr>
          <w:i/>
          <w:color w:val="7F7F7F" w:themeColor="text2"/>
          <w:sz w:val="16"/>
          <w:szCs w:val="16"/>
        </w:rPr>
        <w:t>New Energy Technology</w:t>
      </w:r>
    </w:p>
    <w:p w:rsidR="00952714" w:rsidRDefault="00952714" w:rsidP="00E155C2">
      <w:pPr>
        <w:ind w:left="709"/>
        <w:rPr>
          <w:i/>
          <w:color w:val="7F7F7F" w:themeColor="text2"/>
          <w:sz w:val="16"/>
          <w:szCs w:val="16"/>
        </w:rPr>
      </w:pPr>
      <w:r w:rsidRPr="00787148">
        <w:rPr>
          <w:i/>
          <w:color w:val="7F7F7F" w:themeColor="text2"/>
          <w:sz w:val="16"/>
          <w:szCs w:val="16"/>
        </w:rPr>
        <w:t>Professional Services</w:t>
      </w:r>
    </w:p>
    <w:p w:rsidR="00952714" w:rsidRDefault="00952714" w:rsidP="00E155C2">
      <w:pPr>
        <w:pStyle w:val="FootnoteText"/>
        <w:ind w:left="709"/>
      </w:pPr>
      <w:r w:rsidRPr="00787148">
        <w:rPr>
          <w:i/>
          <w:color w:val="7F7F7F" w:themeColor="text2"/>
          <w:sz w:val="16"/>
          <w:szCs w:val="16"/>
        </w:rPr>
        <w:t>Defence, Construction and Transport Technologie</w:t>
      </w:r>
      <w:r>
        <w:rPr>
          <w:i/>
          <w:color w:val="7F7F7F" w:themeColor="text2"/>
          <w:sz w:val="16"/>
          <w:szCs w:val="16"/>
        </w:rPr>
        <w:t>s</w:t>
      </w:r>
    </w:p>
  </w:footnote>
  <w:footnote w:id="3">
    <w:p w:rsidR="00952714" w:rsidRPr="009655A3" w:rsidRDefault="00952714" w:rsidP="009610B9">
      <w:pPr>
        <w:pStyle w:val="FootnoteText"/>
        <w:rPr>
          <w:color w:val="7F7F7F" w:themeColor="text2"/>
        </w:rPr>
      </w:pPr>
      <w:r w:rsidRPr="009655A3">
        <w:rPr>
          <w:rStyle w:val="FootnoteReference"/>
          <w:color w:val="7F7F7F" w:themeColor="text2"/>
        </w:rPr>
        <w:footnoteRef/>
      </w:r>
      <w:r w:rsidRPr="009655A3">
        <w:rPr>
          <w:color w:val="7F7F7F" w:themeColor="text2"/>
        </w:rPr>
        <w:t xml:space="preserve"> </w:t>
      </w:r>
      <w:r w:rsidRPr="009655A3">
        <w:rPr>
          <w:color w:val="7F7F7F" w:themeColor="text2"/>
          <w:sz w:val="16"/>
          <w:szCs w:val="16"/>
        </w:rPr>
        <w:t>Student engagement in pre-accredited and accredited training is not mutually exclusive.</w:t>
      </w:r>
    </w:p>
  </w:footnote>
  <w:footnote w:id="4">
    <w:p w:rsidR="00952714" w:rsidRDefault="00952714">
      <w:pPr>
        <w:pStyle w:val="FootnoteText"/>
      </w:pPr>
      <w:r>
        <w:rPr>
          <w:rStyle w:val="FootnoteReference"/>
        </w:rPr>
        <w:footnoteRef/>
      </w:r>
      <w:r>
        <w:t xml:space="preserve"> </w:t>
      </w:r>
      <w:r w:rsidRPr="00A92C45">
        <w:rPr>
          <w:i/>
          <w:sz w:val="16"/>
          <w:szCs w:val="16"/>
        </w:rPr>
        <w:t>Young People (aged 15 to 19) Without Year 12 or Equivalent and Not at School enrolled in Certificate II or above, this excludes students who may undertake a senior secondary program in VET (i.e. VCE or VCAL) or studies at the Certificate I level, including some Foundation courses.</w:t>
      </w:r>
    </w:p>
  </w:footnote>
  <w:footnote w:id="5">
    <w:p w:rsidR="00952714" w:rsidRDefault="00952714">
      <w:pPr>
        <w:pStyle w:val="FootnoteText"/>
      </w:pPr>
      <w:r>
        <w:rPr>
          <w:rStyle w:val="FootnoteReference"/>
        </w:rPr>
        <w:footnoteRef/>
      </w:r>
      <w:r>
        <w:t xml:space="preserve"> </w:t>
      </w:r>
      <w:r>
        <w:rPr>
          <w:i/>
          <w:sz w:val="16"/>
          <w:szCs w:val="16"/>
        </w:rPr>
        <w:t>Early school leavers are y</w:t>
      </w:r>
      <w:r w:rsidRPr="00A92C45">
        <w:rPr>
          <w:i/>
          <w:sz w:val="16"/>
          <w:szCs w:val="16"/>
        </w:rPr>
        <w:t>oung</w:t>
      </w:r>
      <w:r>
        <w:rPr>
          <w:i/>
          <w:sz w:val="16"/>
          <w:szCs w:val="16"/>
        </w:rPr>
        <w:t xml:space="preserve"> p</w:t>
      </w:r>
      <w:r w:rsidRPr="00A92C45">
        <w:rPr>
          <w:i/>
          <w:sz w:val="16"/>
          <w:szCs w:val="16"/>
        </w:rPr>
        <w:t>eople (aged 15 to 19</w:t>
      </w:r>
      <w:r>
        <w:rPr>
          <w:i/>
          <w:sz w:val="16"/>
          <w:szCs w:val="16"/>
        </w:rPr>
        <w:t xml:space="preserve"> years</w:t>
      </w:r>
      <w:r w:rsidRPr="00A92C45">
        <w:rPr>
          <w:i/>
          <w:sz w:val="16"/>
          <w:szCs w:val="16"/>
        </w:rPr>
        <w:t xml:space="preserve">) </w:t>
      </w:r>
      <w:r>
        <w:rPr>
          <w:i/>
          <w:sz w:val="16"/>
          <w:szCs w:val="16"/>
        </w:rPr>
        <w:t>without Year 12 or e</w:t>
      </w:r>
      <w:r w:rsidRPr="00A92C45">
        <w:rPr>
          <w:i/>
          <w:sz w:val="16"/>
          <w:szCs w:val="16"/>
        </w:rPr>
        <w:t xml:space="preserve">quivalent and </w:t>
      </w:r>
      <w:r>
        <w:rPr>
          <w:i/>
          <w:sz w:val="16"/>
          <w:szCs w:val="16"/>
        </w:rPr>
        <w:t>not at school enrolled in government subsidised training, may include training at Certificate level or senior secondary programs (i.e. VCE or VCAL)</w:t>
      </w:r>
      <w:r w:rsidRPr="00A92C45">
        <w:rPr>
          <w:i/>
          <w:sz w:val="16"/>
          <w:szCs w:val="16"/>
        </w:rPr>
        <w:t>.</w:t>
      </w:r>
    </w:p>
  </w:footnote>
  <w:footnote w:id="6">
    <w:p w:rsidR="00952714" w:rsidRDefault="00952714">
      <w:pPr>
        <w:pStyle w:val="FootnoteText"/>
      </w:pPr>
      <w:r>
        <w:rPr>
          <w:rStyle w:val="FootnoteReference"/>
        </w:rPr>
        <w:footnoteRef/>
      </w:r>
      <w:r>
        <w:t xml:space="preserve"> </w:t>
      </w:r>
      <w:r w:rsidRPr="00173228">
        <w:rPr>
          <w:i/>
          <w:color w:val="7F7F7F" w:themeColor="text2"/>
          <w:sz w:val="18"/>
          <w:szCs w:val="24"/>
        </w:rPr>
        <w:t>NCVER media release 17 May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714" w:rsidRDefault="00952714">
    <w:pPr>
      <w:pStyle w:val="Header"/>
    </w:pPr>
    <w:r>
      <w:rPr>
        <w:noProof/>
        <w:lang w:eastAsia="en-AU"/>
      </w:rPr>
      <w:drawing>
        <wp:anchor distT="0" distB="0" distL="114300" distR="114300" simplePos="0" relativeHeight="251664384" behindDoc="0" locked="0" layoutInCell="1" allowOverlap="1" wp14:anchorId="1C25F495" wp14:editId="7724A755">
          <wp:simplePos x="0" y="0"/>
          <wp:positionH relativeFrom="margin">
            <wp:posOffset>-4549775</wp:posOffset>
          </wp:positionH>
          <wp:positionV relativeFrom="margin">
            <wp:posOffset>33020</wp:posOffset>
          </wp:positionV>
          <wp:extent cx="2624455" cy="683895"/>
          <wp:effectExtent l="0" t="0" r="0" b="1905"/>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T) Insignia Blue Left Aligned.jpg"/>
                  <pic:cNvPicPr/>
                </pic:nvPicPr>
                <pic:blipFill>
                  <a:blip r:embed="rId1">
                    <a:extLst>
                      <a:ext uri="{28A0092B-C50C-407E-A947-70E740481C1C}">
                        <a14:useLocalDpi xmlns:a14="http://schemas.microsoft.com/office/drawing/2010/main" val="0"/>
                      </a:ext>
                    </a:extLst>
                  </a:blip>
                  <a:stretch>
                    <a:fillRect/>
                  </a:stretch>
                </pic:blipFill>
                <pic:spPr>
                  <a:xfrm>
                    <a:off x="0" y="0"/>
                    <a:ext cx="2624455" cy="68389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56191" behindDoc="0" locked="0" layoutInCell="1" allowOverlap="1" wp14:anchorId="5434525A" wp14:editId="764824E1">
          <wp:simplePos x="0" y="0"/>
          <wp:positionH relativeFrom="column">
            <wp:posOffset>-5030527</wp:posOffset>
          </wp:positionH>
          <wp:positionV relativeFrom="paragraph">
            <wp:posOffset>2955148</wp:posOffset>
          </wp:positionV>
          <wp:extent cx="7279200" cy="7848000"/>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duotone>
                      <a:schemeClr val="accent1">
                        <a:shade val="45000"/>
                        <a:satMod val="135000"/>
                      </a:schemeClr>
                      <a:prstClr val="white"/>
                    </a:duotone>
                    <a:extLst>
                      <a:ext uri="{BEBA8EAE-BF5A-486C-A8C5-ECC9F3942E4B}">
                        <a14:imgProps xmlns:a14="http://schemas.microsoft.com/office/drawing/2010/main">
                          <a14:imgLayer r:embed="rId3">
                            <a14:imgEffect>
                              <a14:colorTemperature colorTemp="115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7279200" cy="7848000"/>
                  </a:xfrm>
                  <a:prstGeom prst="rect">
                    <a:avLst/>
                  </a:prstGeom>
                  <a:noFill/>
                </pic:spPr>
              </pic:pic>
            </a:graphicData>
          </a:graphic>
        </wp:anchor>
      </w:drawing>
    </w:r>
    <w:r>
      <w:rPr>
        <w:noProof/>
        <w:lang w:eastAsia="en-AU"/>
      </w:rPr>
      <mc:AlternateContent>
        <mc:Choice Requires="wps">
          <w:drawing>
            <wp:anchor distT="0" distB="0" distL="114300" distR="114300" simplePos="0" relativeHeight="251657216" behindDoc="1" locked="1" layoutInCell="1" allowOverlap="1" wp14:anchorId="48BBB1F1" wp14:editId="63A63B19">
              <wp:simplePos x="0" y="0"/>
              <wp:positionH relativeFrom="page">
                <wp:posOffset>11430</wp:posOffset>
              </wp:positionH>
              <wp:positionV relativeFrom="page">
                <wp:posOffset>-43815</wp:posOffset>
              </wp:positionV>
              <wp:extent cx="7560310" cy="10692130"/>
              <wp:effectExtent l="0" t="0" r="2540" b="0"/>
              <wp:wrapNone/>
              <wp:docPr id="1" name="Mas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7560310" cy="10692130"/>
                      </a:xfrm>
                      <a:custGeom>
                        <a:avLst/>
                        <a:gdLst>
                          <a:gd name="T0" fmla="*/ 0 w 40176"/>
                          <a:gd name="T1" fmla="*/ 0 h 56820"/>
                          <a:gd name="T2" fmla="*/ 0 w 40176"/>
                          <a:gd name="T3" fmla="*/ 18940 h 56820"/>
                          <a:gd name="T4" fmla="*/ 18748 w 40176"/>
                          <a:gd name="T5" fmla="*/ 18940 h 56820"/>
                          <a:gd name="T6" fmla="*/ 25126 w 40176"/>
                          <a:gd name="T7" fmla="*/ 18522 h 56820"/>
                          <a:gd name="T8" fmla="*/ 25509 w 40176"/>
                          <a:gd name="T9" fmla="*/ 25441 h 56820"/>
                          <a:gd name="T10" fmla="*/ 25509 w 40176"/>
                          <a:gd name="T11" fmla="*/ 31675 h 56820"/>
                          <a:gd name="T12" fmla="*/ 31615 w 40176"/>
                          <a:gd name="T13" fmla="*/ 31675 h 56820"/>
                          <a:gd name="T14" fmla="*/ 31615 w 40176"/>
                          <a:gd name="T15" fmla="*/ 37292 h 56820"/>
                          <a:gd name="T16" fmla="*/ 35119 w 40176"/>
                          <a:gd name="T17" fmla="*/ 37292 h 56820"/>
                          <a:gd name="T18" fmla="*/ 31856 w 40176"/>
                          <a:gd name="T19" fmla="*/ 37119 h 56820"/>
                          <a:gd name="T20" fmla="*/ 32175 w 40176"/>
                          <a:gd name="T21" fmla="*/ 31006 h 56820"/>
                          <a:gd name="T22" fmla="*/ 38291 w 40176"/>
                          <a:gd name="T23" fmla="*/ 31327 h 56820"/>
                          <a:gd name="T24" fmla="*/ 37977 w 40176"/>
                          <a:gd name="T25" fmla="*/ 37292 h 56820"/>
                          <a:gd name="T26" fmla="*/ 38263 w 40176"/>
                          <a:gd name="T27" fmla="*/ 37292 h 56820"/>
                          <a:gd name="T28" fmla="*/ 38263 w 40176"/>
                          <a:gd name="T29" fmla="*/ 56820 h 56820"/>
                          <a:gd name="T30" fmla="*/ 40176 w 40176"/>
                          <a:gd name="T31" fmla="*/ 56820 h 56820"/>
                          <a:gd name="T32" fmla="*/ 40176 w 40176"/>
                          <a:gd name="T33" fmla="*/ 0 h 56820"/>
                          <a:gd name="T34" fmla="*/ 0 w 40176"/>
                          <a:gd name="T35" fmla="*/ 0 h 56820"/>
                          <a:gd name="T36" fmla="*/ 25837 w 40176"/>
                          <a:gd name="T37" fmla="*/ 31623 h 56820"/>
                          <a:gd name="T38" fmla="*/ 25622 w 40176"/>
                          <a:gd name="T39" fmla="*/ 25505 h 56820"/>
                          <a:gd name="T40" fmla="*/ 31741 w 40176"/>
                          <a:gd name="T41" fmla="*/ 25292 h 56820"/>
                          <a:gd name="T42" fmla="*/ 31956 w 40176"/>
                          <a:gd name="T43" fmla="*/ 31410 h 56820"/>
                          <a:gd name="T44" fmla="*/ 25837 w 40176"/>
                          <a:gd name="T45" fmla="*/ 31623 h 56820"/>
                          <a:gd name="T46" fmla="*/ 38267 w 40176"/>
                          <a:gd name="T47" fmla="*/ 30999 h 56820"/>
                          <a:gd name="T48" fmla="*/ 32149 w 40176"/>
                          <a:gd name="T49" fmla="*/ 30786 h 56820"/>
                          <a:gd name="T50" fmla="*/ 32364 w 40176"/>
                          <a:gd name="T51" fmla="*/ 24668 h 56820"/>
                          <a:gd name="T52" fmla="*/ 38482 w 40176"/>
                          <a:gd name="T53" fmla="*/ 24881 h 56820"/>
                          <a:gd name="T54" fmla="*/ 38267 w 40176"/>
                          <a:gd name="T55" fmla="*/ 30999 h 56820"/>
                          <a:gd name="T56" fmla="*/ 33108 w 40176"/>
                          <a:gd name="T57" fmla="*/ 24484 h 56820"/>
                          <a:gd name="T58" fmla="*/ 32045 w 40176"/>
                          <a:gd name="T59" fmla="*/ 18453 h 56820"/>
                          <a:gd name="T60" fmla="*/ 38074 w 40176"/>
                          <a:gd name="T61" fmla="*/ 17390 h 56820"/>
                          <a:gd name="T62" fmla="*/ 39137 w 40176"/>
                          <a:gd name="T63" fmla="*/ 23421 h 56820"/>
                          <a:gd name="T64" fmla="*/ 33108 w 40176"/>
                          <a:gd name="T65" fmla="*/ 24484 h 56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0176" h="56820">
                            <a:moveTo>
                              <a:pt x="0" y="0"/>
                            </a:moveTo>
                            <a:lnTo>
                              <a:pt x="0" y="18940"/>
                            </a:lnTo>
                            <a:lnTo>
                              <a:pt x="18748" y="18940"/>
                            </a:lnTo>
                            <a:lnTo>
                              <a:pt x="25126" y="18522"/>
                            </a:lnTo>
                            <a:lnTo>
                              <a:pt x="25509" y="25441"/>
                            </a:lnTo>
                            <a:lnTo>
                              <a:pt x="25509" y="31675"/>
                            </a:lnTo>
                            <a:lnTo>
                              <a:pt x="31615" y="31675"/>
                            </a:lnTo>
                            <a:lnTo>
                              <a:pt x="31615" y="37292"/>
                            </a:lnTo>
                            <a:lnTo>
                              <a:pt x="35119" y="37292"/>
                            </a:lnTo>
                            <a:lnTo>
                              <a:pt x="31856" y="37119"/>
                            </a:lnTo>
                            <a:lnTo>
                              <a:pt x="32175" y="31006"/>
                            </a:lnTo>
                            <a:lnTo>
                              <a:pt x="38291" y="31327"/>
                            </a:lnTo>
                            <a:lnTo>
                              <a:pt x="37977" y="37292"/>
                            </a:lnTo>
                            <a:lnTo>
                              <a:pt x="38263" y="37292"/>
                            </a:lnTo>
                            <a:lnTo>
                              <a:pt x="38263" y="56820"/>
                            </a:lnTo>
                            <a:lnTo>
                              <a:pt x="40176" y="56820"/>
                            </a:lnTo>
                            <a:lnTo>
                              <a:pt x="40176" y="0"/>
                            </a:lnTo>
                            <a:lnTo>
                              <a:pt x="0" y="0"/>
                            </a:lnTo>
                            <a:close/>
                            <a:moveTo>
                              <a:pt x="25837" y="31623"/>
                            </a:moveTo>
                            <a:lnTo>
                              <a:pt x="25622" y="25505"/>
                            </a:lnTo>
                            <a:lnTo>
                              <a:pt x="31741" y="25292"/>
                            </a:lnTo>
                            <a:lnTo>
                              <a:pt x="31956" y="31410"/>
                            </a:lnTo>
                            <a:lnTo>
                              <a:pt x="25837" y="31623"/>
                            </a:lnTo>
                            <a:close/>
                            <a:moveTo>
                              <a:pt x="38267" y="30999"/>
                            </a:moveTo>
                            <a:lnTo>
                              <a:pt x="32149" y="30786"/>
                            </a:lnTo>
                            <a:lnTo>
                              <a:pt x="32364" y="24668"/>
                            </a:lnTo>
                            <a:lnTo>
                              <a:pt x="38482" y="24881"/>
                            </a:lnTo>
                            <a:lnTo>
                              <a:pt x="38267" y="30999"/>
                            </a:lnTo>
                            <a:close/>
                            <a:moveTo>
                              <a:pt x="33108" y="24484"/>
                            </a:moveTo>
                            <a:lnTo>
                              <a:pt x="32045" y="18453"/>
                            </a:lnTo>
                            <a:lnTo>
                              <a:pt x="38074" y="17390"/>
                            </a:lnTo>
                            <a:lnTo>
                              <a:pt x="39137" y="23421"/>
                            </a:lnTo>
                            <a:lnTo>
                              <a:pt x="33108" y="244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ask" o:spid="_x0000_s1026" style="position:absolute;margin-left:.9pt;margin-top:-3.45pt;width:595.3pt;height:84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176,56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" path="m,l,18940r18748,l25126,18522r383,6919l25509,31675r6106,l31615,37292r3504,l31856,37119r319,-6113l38291,31327r-314,5965l38263,37292r,19528l40176,56820,40176,,,xm25837,31623r-215,-6118l31741,25292r215,6118l25837,31623xm38267,30999r-6118,-213l32364,24668r6118,213l38267,30999xm33108,24484l32045,18453r6029,-1063l39137,23421r-6029,1063xe" stroked="f">
              <v:path arrowok="t" o:connecttype="custom" o:connectlocs="0,0;0,3564043;3527994,3564043;4728205,3485386;4800277,4787372;4800277,5960458;5949303,5960458;5949303,7017439;6608685,7017439;5994654,6984885;6054684,5834569;7205591,5894973;7146503,7017439;7200322,7017439;7200322,10692130;7560310,10692130;7560310,0;0,0;4862000,5950673;4821542,4799415;5973014,4759334;6013472,5910591;4862000,5950673;7201075,5833251;6049791,5793170;6090250,4641912;7241533,4681994;7201075,5833251;6230255,4607288;6030220,3472402;7164756,3272371;7364791,4407258;6230255,4607288" o:connectangles="0,0,0,0,0,0,0,0,0,0,0,0,0,0,0,0,0,0,0,0,0,0,0,0,0,0,0,0,0,0,0,0,0"/>
              <o:lock v:ext="edit" aspectratio="t" verticies="t"/>
              <w10:wrap anchorx="page" anchory="pag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714" w:rsidRDefault="009527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714" w:rsidRDefault="0095271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714" w:rsidRDefault="0095271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714" w:rsidRDefault="0095271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714" w:rsidRDefault="0095271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714" w:rsidRDefault="009527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A76876A"/>
    <w:lvl w:ilvl="0">
      <w:start w:val="1"/>
      <w:numFmt w:val="bullet"/>
      <w:pStyle w:val="ListBullet2"/>
      <w:lvlText w:val="–"/>
      <w:lvlJc w:val="left"/>
      <w:pPr>
        <w:tabs>
          <w:tab w:val="num" w:pos="340"/>
        </w:tabs>
        <w:ind w:left="340" w:hanging="170"/>
      </w:pPr>
      <w:rPr>
        <w:rFonts w:ascii="Arial" w:hAnsi="Arial" w:hint="default"/>
      </w:rPr>
    </w:lvl>
  </w:abstractNum>
  <w:abstractNum w:abstractNumId="1">
    <w:nsid w:val="FFFFFF89"/>
    <w:multiLevelType w:val="singleLevel"/>
    <w:tmpl w:val="8A4CEDD2"/>
    <w:lvl w:ilvl="0">
      <w:start w:val="1"/>
      <w:numFmt w:val="bullet"/>
      <w:lvlText w:val=""/>
      <w:lvlJc w:val="left"/>
      <w:pPr>
        <w:tabs>
          <w:tab w:val="num" w:pos="360"/>
        </w:tabs>
        <w:ind w:left="360" w:hanging="360"/>
      </w:pPr>
      <w:rPr>
        <w:rFonts w:ascii="Symbol" w:hAnsi="Symbol" w:hint="default"/>
      </w:rPr>
    </w:lvl>
  </w:abstractNum>
  <w:abstractNum w:abstractNumId="2">
    <w:nsid w:val="01293ACA"/>
    <w:multiLevelType w:val="hybridMultilevel"/>
    <w:tmpl w:val="27E01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2924E41"/>
    <w:multiLevelType w:val="multilevel"/>
    <w:tmpl w:val="0E8C89AE"/>
    <w:lvl w:ilvl="0">
      <w:start w:val="1"/>
      <w:numFmt w:val="decimal"/>
      <w:lvlText w:val="%1."/>
      <w:lvlJc w:val="left"/>
      <w:pPr>
        <w:tabs>
          <w:tab w:val="num" w:pos="380"/>
        </w:tabs>
        <w:ind w:left="380" w:hanging="360"/>
      </w:p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4">
    <w:nsid w:val="0B9866DA"/>
    <w:multiLevelType w:val="hybridMultilevel"/>
    <w:tmpl w:val="DDA2206A"/>
    <w:lvl w:ilvl="0" w:tplc="EF7E3404">
      <w:start w:val="1"/>
      <w:numFmt w:val="decimal"/>
      <w:lvlText w:val="%1."/>
      <w:lvlJc w:val="left"/>
      <w:pPr>
        <w:tabs>
          <w:tab w:val="num" w:pos="0"/>
        </w:tabs>
        <w:ind w:left="0" w:hanging="340"/>
      </w:pPr>
      <w:rPr>
        <w:rFonts w:ascii="Arial" w:hAnsi="Arial" w:hint="default"/>
        <w:b/>
        <w:i w:val="0"/>
        <w:sz w:val="18"/>
      </w:rPr>
    </w:lvl>
    <w:lvl w:ilvl="1" w:tplc="04090019" w:tentative="1">
      <w:start w:val="1"/>
      <w:numFmt w:val="lowerLetter"/>
      <w:lvlText w:val="%2."/>
      <w:lvlJc w:val="left"/>
      <w:pPr>
        <w:tabs>
          <w:tab w:val="num" w:pos="1100"/>
        </w:tabs>
        <w:ind w:left="1100" w:hanging="360"/>
      </w:pPr>
    </w:lvl>
    <w:lvl w:ilvl="2" w:tplc="0409001B" w:tentative="1">
      <w:start w:val="1"/>
      <w:numFmt w:val="lowerRoman"/>
      <w:lvlText w:val="%3."/>
      <w:lvlJc w:val="right"/>
      <w:pPr>
        <w:tabs>
          <w:tab w:val="num" w:pos="1820"/>
        </w:tabs>
        <w:ind w:left="1820" w:hanging="180"/>
      </w:pPr>
    </w:lvl>
    <w:lvl w:ilvl="3" w:tplc="0409000F" w:tentative="1">
      <w:start w:val="1"/>
      <w:numFmt w:val="decimal"/>
      <w:lvlText w:val="%4."/>
      <w:lvlJc w:val="left"/>
      <w:pPr>
        <w:tabs>
          <w:tab w:val="num" w:pos="2540"/>
        </w:tabs>
        <w:ind w:left="2540" w:hanging="360"/>
      </w:pPr>
    </w:lvl>
    <w:lvl w:ilvl="4" w:tplc="04090019" w:tentative="1">
      <w:start w:val="1"/>
      <w:numFmt w:val="lowerLetter"/>
      <w:lvlText w:val="%5."/>
      <w:lvlJc w:val="left"/>
      <w:pPr>
        <w:tabs>
          <w:tab w:val="num" w:pos="3260"/>
        </w:tabs>
        <w:ind w:left="3260" w:hanging="360"/>
      </w:pPr>
    </w:lvl>
    <w:lvl w:ilvl="5" w:tplc="0409001B" w:tentative="1">
      <w:start w:val="1"/>
      <w:numFmt w:val="lowerRoman"/>
      <w:lvlText w:val="%6."/>
      <w:lvlJc w:val="right"/>
      <w:pPr>
        <w:tabs>
          <w:tab w:val="num" w:pos="3980"/>
        </w:tabs>
        <w:ind w:left="3980" w:hanging="180"/>
      </w:pPr>
    </w:lvl>
    <w:lvl w:ilvl="6" w:tplc="0409000F" w:tentative="1">
      <w:start w:val="1"/>
      <w:numFmt w:val="decimal"/>
      <w:lvlText w:val="%7."/>
      <w:lvlJc w:val="left"/>
      <w:pPr>
        <w:tabs>
          <w:tab w:val="num" w:pos="4700"/>
        </w:tabs>
        <w:ind w:left="4700" w:hanging="360"/>
      </w:pPr>
    </w:lvl>
    <w:lvl w:ilvl="7" w:tplc="04090019" w:tentative="1">
      <w:start w:val="1"/>
      <w:numFmt w:val="lowerLetter"/>
      <w:lvlText w:val="%8."/>
      <w:lvlJc w:val="left"/>
      <w:pPr>
        <w:tabs>
          <w:tab w:val="num" w:pos="5420"/>
        </w:tabs>
        <w:ind w:left="5420" w:hanging="360"/>
      </w:pPr>
    </w:lvl>
    <w:lvl w:ilvl="8" w:tplc="0409001B" w:tentative="1">
      <w:start w:val="1"/>
      <w:numFmt w:val="lowerRoman"/>
      <w:lvlText w:val="%9."/>
      <w:lvlJc w:val="right"/>
      <w:pPr>
        <w:tabs>
          <w:tab w:val="num" w:pos="6140"/>
        </w:tabs>
        <w:ind w:left="6140" w:hanging="180"/>
      </w:pPr>
    </w:lvl>
  </w:abstractNum>
  <w:abstractNum w:abstractNumId="5">
    <w:nsid w:val="0DB16E06"/>
    <w:multiLevelType w:val="hybridMultilevel"/>
    <w:tmpl w:val="5F72F1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0FAA1883"/>
    <w:multiLevelType w:val="multilevel"/>
    <w:tmpl w:val="5B264CD8"/>
    <w:lvl w:ilvl="0">
      <w:start w:val="1"/>
      <w:numFmt w:val="bullet"/>
      <w:lvlText w:val=""/>
      <w:lvlJc w:val="left"/>
      <w:pPr>
        <w:tabs>
          <w:tab w:val="num" w:pos="360"/>
        </w:tabs>
        <w:ind w:left="360" w:hanging="360"/>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4CC1CC1"/>
    <w:multiLevelType w:val="multilevel"/>
    <w:tmpl w:val="7B8E6762"/>
    <w:lvl w:ilvl="0">
      <w:start w:val="1"/>
      <w:numFmt w:val="decimal"/>
      <w:lvlText w:val="%1."/>
      <w:lvlJc w:val="left"/>
      <w:pPr>
        <w:tabs>
          <w:tab w:val="num" w:pos="340"/>
        </w:tabs>
        <w:ind w:left="680" w:hanging="680"/>
      </w:pPr>
      <w:rPr>
        <w:rFonts w:ascii="Arial" w:hAnsi="Arial" w:hint="default"/>
        <w:b w:val="0"/>
        <w:i w:val="0"/>
        <w:sz w:val="18"/>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8">
    <w:nsid w:val="17501EDC"/>
    <w:multiLevelType w:val="hybridMultilevel"/>
    <w:tmpl w:val="7706A384"/>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9">
    <w:nsid w:val="1C7A203F"/>
    <w:multiLevelType w:val="multilevel"/>
    <w:tmpl w:val="96E2EE6E"/>
    <w:lvl w:ilvl="0">
      <w:start w:val="1"/>
      <w:numFmt w:val="bullet"/>
      <w:lvlText w:val=""/>
      <w:lvlJc w:val="left"/>
      <w:pPr>
        <w:tabs>
          <w:tab w:val="num" w:pos="360"/>
        </w:tabs>
        <w:ind w:left="360" w:hanging="360"/>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13F16D9"/>
    <w:multiLevelType w:val="hybridMultilevel"/>
    <w:tmpl w:val="49FE10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2D5831C3"/>
    <w:multiLevelType w:val="hybridMultilevel"/>
    <w:tmpl w:val="8F66C3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2F4538FF"/>
    <w:multiLevelType w:val="multilevel"/>
    <w:tmpl w:val="D56C45B6"/>
    <w:lvl w:ilvl="0">
      <w:start w:val="1"/>
      <w:numFmt w:val="decimal"/>
      <w:lvlText w:val="%1."/>
      <w:lvlJc w:val="left"/>
      <w:pPr>
        <w:tabs>
          <w:tab w:val="num" w:pos="340"/>
        </w:tabs>
        <w:ind w:left="680" w:hanging="680"/>
      </w:pPr>
      <w:rPr>
        <w:rFonts w:hint="default"/>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13">
    <w:nsid w:val="2FD23ACB"/>
    <w:multiLevelType w:val="hybridMultilevel"/>
    <w:tmpl w:val="61B037D6"/>
    <w:lvl w:ilvl="0" w:tplc="BF9EB1D2">
      <w:start w:val="1"/>
      <w:numFmt w:val="decimal"/>
      <w:lvlText w:val="%1."/>
      <w:lvlJc w:val="left"/>
      <w:pPr>
        <w:tabs>
          <w:tab w:val="num" w:pos="20"/>
        </w:tabs>
        <w:ind w:left="20" w:hanging="360"/>
      </w:pPr>
      <w:rPr>
        <w:rFonts w:hint="default"/>
      </w:rPr>
    </w:lvl>
    <w:lvl w:ilvl="1" w:tplc="04090019" w:tentative="1">
      <w:start w:val="1"/>
      <w:numFmt w:val="lowerLetter"/>
      <w:lvlText w:val="%2."/>
      <w:lvlJc w:val="left"/>
      <w:pPr>
        <w:tabs>
          <w:tab w:val="num" w:pos="740"/>
        </w:tabs>
        <w:ind w:left="740" w:hanging="360"/>
      </w:pPr>
    </w:lvl>
    <w:lvl w:ilvl="2" w:tplc="0409001B" w:tentative="1">
      <w:start w:val="1"/>
      <w:numFmt w:val="lowerRoman"/>
      <w:lvlText w:val="%3."/>
      <w:lvlJc w:val="right"/>
      <w:pPr>
        <w:tabs>
          <w:tab w:val="num" w:pos="1460"/>
        </w:tabs>
        <w:ind w:left="1460" w:hanging="180"/>
      </w:pPr>
    </w:lvl>
    <w:lvl w:ilvl="3" w:tplc="0409000F" w:tentative="1">
      <w:start w:val="1"/>
      <w:numFmt w:val="decimal"/>
      <w:lvlText w:val="%4."/>
      <w:lvlJc w:val="left"/>
      <w:pPr>
        <w:tabs>
          <w:tab w:val="num" w:pos="2180"/>
        </w:tabs>
        <w:ind w:left="2180" w:hanging="360"/>
      </w:pPr>
    </w:lvl>
    <w:lvl w:ilvl="4" w:tplc="04090019" w:tentative="1">
      <w:start w:val="1"/>
      <w:numFmt w:val="lowerLetter"/>
      <w:lvlText w:val="%5."/>
      <w:lvlJc w:val="left"/>
      <w:pPr>
        <w:tabs>
          <w:tab w:val="num" w:pos="2900"/>
        </w:tabs>
        <w:ind w:left="2900" w:hanging="360"/>
      </w:pPr>
    </w:lvl>
    <w:lvl w:ilvl="5" w:tplc="0409001B" w:tentative="1">
      <w:start w:val="1"/>
      <w:numFmt w:val="lowerRoman"/>
      <w:lvlText w:val="%6."/>
      <w:lvlJc w:val="right"/>
      <w:pPr>
        <w:tabs>
          <w:tab w:val="num" w:pos="3620"/>
        </w:tabs>
        <w:ind w:left="3620" w:hanging="180"/>
      </w:pPr>
    </w:lvl>
    <w:lvl w:ilvl="6" w:tplc="0409000F" w:tentative="1">
      <w:start w:val="1"/>
      <w:numFmt w:val="decimal"/>
      <w:lvlText w:val="%7."/>
      <w:lvlJc w:val="left"/>
      <w:pPr>
        <w:tabs>
          <w:tab w:val="num" w:pos="4340"/>
        </w:tabs>
        <w:ind w:left="4340" w:hanging="360"/>
      </w:pPr>
    </w:lvl>
    <w:lvl w:ilvl="7" w:tplc="04090019" w:tentative="1">
      <w:start w:val="1"/>
      <w:numFmt w:val="lowerLetter"/>
      <w:lvlText w:val="%8."/>
      <w:lvlJc w:val="left"/>
      <w:pPr>
        <w:tabs>
          <w:tab w:val="num" w:pos="5060"/>
        </w:tabs>
        <w:ind w:left="5060" w:hanging="360"/>
      </w:pPr>
    </w:lvl>
    <w:lvl w:ilvl="8" w:tplc="0409001B" w:tentative="1">
      <w:start w:val="1"/>
      <w:numFmt w:val="lowerRoman"/>
      <w:lvlText w:val="%9."/>
      <w:lvlJc w:val="right"/>
      <w:pPr>
        <w:tabs>
          <w:tab w:val="num" w:pos="5780"/>
        </w:tabs>
        <w:ind w:left="5780" w:hanging="180"/>
      </w:pPr>
    </w:lvl>
  </w:abstractNum>
  <w:abstractNum w:abstractNumId="14">
    <w:nsid w:val="33B152C9"/>
    <w:multiLevelType w:val="multilevel"/>
    <w:tmpl w:val="DDA2206A"/>
    <w:lvl w:ilvl="0">
      <w:start w:val="1"/>
      <w:numFmt w:val="decimal"/>
      <w:lvlText w:val="%1."/>
      <w:lvlJc w:val="left"/>
      <w:pPr>
        <w:tabs>
          <w:tab w:val="num" w:pos="0"/>
        </w:tabs>
        <w:ind w:left="0" w:hanging="340"/>
      </w:pPr>
      <w:rPr>
        <w:rFonts w:ascii="Arial" w:hAnsi="Arial" w:hint="default"/>
        <w:b/>
        <w:i w:val="0"/>
        <w:sz w:val="18"/>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15">
    <w:nsid w:val="3B1D0ADE"/>
    <w:multiLevelType w:val="hybridMultilevel"/>
    <w:tmpl w:val="4244BF88"/>
    <w:lvl w:ilvl="0" w:tplc="B74A27D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0013973"/>
    <w:multiLevelType w:val="hybridMultilevel"/>
    <w:tmpl w:val="C486FC3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41661FA5"/>
    <w:multiLevelType w:val="hybridMultilevel"/>
    <w:tmpl w:val="5A38B2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465319A3"/>
    <w:multiLevelType w:val="multilevel"/>
    <w:tmpl w:val="9E7CA560"/>
    <w:lvl w:ilvl="0">
      <w:start w:val="1"/>
      <w:numFmt w:val="decimal"/>
      <w:lvlText w:val="%1."/>
      <w:lvlJc w:val="left"/>
      <w:pPr>
        <w:tabs>
          <w:tab w:val="num" w:pos="340"/>
        </w:tabs>
        <w:ind w:left="340" w:hanging="680"/>
      </w:pPr>
      <w:rPr>
        <w:rFonts w:hint="default"/>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19">
    <w:nsid w:val="4C99582B"/>
    <w:multiLevelType w:val="hybridMultilevel"/>
    <w:tmpl w:val="DFF07C14"/>
    <w:lvl w:ilvl="0" w:tplc="3DF41458">
      <w:start w:val="1"/>
      <w:numFmt w:val="bullet"/>
      <w:pStyle w:val="ListBullet"/>
      <w:lvlText w:val=""/>
      <w:lvlJc w:val="left"/>
      <w:pPr>
        <w:tabs>
          <w:tab w:val="num" w:pos="170"/>
        </w:tabs>
        <w:ind w:left="170" w:hanging="170"/>
      </w:pPr>
      <w:rPr>
        <w:rFonts w:ascii="Symbol" w:hAnsi="Symbol" w:hint="default"/>
        <w:b w:val="0"/>
        <w:i w:val="0"/>
        <w:position w:val="2"/>
        <w:sz w:val="1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0A93431"/>
    <w:multiLevelType w:val="multilevel"/>
    <w:tmpl w:val="0E8C89AE"/>
    <w:lvl w:ilvl="0">
      <w:start w:val="1"/>
      <w:numFmt w:val="decimal"/>
      <w:lvlText w:val="%1."/>
      <w:lvlJc w:val="left"/>
      <w:pPr>
        <w:tabs>
          <w:tab w:val="num" w:pos="380"/>
        </w:tabs>
        <w:ind w:left="380" w:hanging="360"/>
      </w:p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21">
    <w:nsid w:val="512707FF"/>
    <w:multiLevelType w:val="hybridMultilevel"/>
    <w:tmpl w:val="D180C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41A0464"/>
    <w:multiLevelType w:val="hybridMultilevel"/>
    <w:tmpl w:val="2D127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94C4A16"/>
    <w:multiLevelType w:val="hybridMultilevel"/>
    <w:tmpl w:val="D056FDE8"/>
    <w:lvl w:ilvl="0" w:tplc="C1FEA89A">
      <w:numFmt w:val="bullet"/>
      <w:lvlText w:val="•"/>
      <w:lvlJc w:val="left"/>
      <w:pPr>
        <w:ind w:left="1065" w:hanging="705"/>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B5434EA"/>
    <w:multiLevelType w:val="multilevel"/>
    <w:tmpl w:val="98FA441A"/>
    <w:lvl w:ilvl="0">
      <w:start w:val="1"/>
      <w:numFmt w:val="decimal"/>
      <w:lvlText w:val="%1."/>
      <w:lvlJc w:val="left"/>
      <w:pPr>
        <w:tabs>
          <w:tab w:val="num" w:pos="340"/>
        </w:tabs>
        <w:ind w:left="340" w:hanging="680"/>
      </w:pPr>
      <w:rPr>
        <w:rFonts w:ascii="Arial" w:hAnsi="Arial" w:hint="default"/>
        <w:b/>
        <w:i w:val="0"/>
        <w:sz w:val="18"/>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25">
    <w:nsid w:val="71F50215"/>
    <w:multiLevelType w:val="multilevel"/>
    <w:tmpl w:val="947A76D2"/>
    <w:lvl w:ilvl="0">
      <w:start w:val="1"/>
      <w:numFmt w:val="decimal"/>
      <w:pStyle w:val="Heading1"/>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26">
    <w:nsid w:val="749706B7"/>
    <w:multiLevelType w:val="hybridMultilevel"/>
    <w:tmpl w:val="A07080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75563859"/>
    <w:multiLevelType w:val="hybridMultilevel"/>
    <w:tmpl w:val="CA9C39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78A532D5"/>
    <w:multiLevelType w:val="hybridMultilevel"/>
    <w:tmpl w:val="E10E833E"/>
    <w:lvl w:ilvl="0" w:tplc="3B2C8BA0">
      <w:start w:val="1"/>
      <w:numFmt w:val="bullet"/>
      <w:lvlText w:val=""/>
      <w:lvlJc w:val="left"/>
      <w:pPr>
        <w:tabs>
          <w:tab w:val="num" w:pos="360"/>
        </w:tabs>
        <w:ind w:left="360" w:hanging="360"/>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ADB66E4"/>
    <w:multiLevelType w:val="hybridMultilevel"/>
    <w:tmpl w:val="3C70E73A"/>
    <w:lvl w:ilvl="0" w:tplc="0C090001">
      <w:start w:val="1"/>
      <w:numFmt w:val="bullet"/>
      <w:lvlText w:val=""/>
      <w:lvlJc w:val="left"/>
      <w:pPr>
        <w:ind w:left="786" w:hanging="360"/>
      </w:pPr>
      <w:rPr>
        <w:rFonts w:ascii="Symbol" w:hAnsi="Symbol" w:hint="default"/>
      </w:rPr>
    </w:lvl>
    <w:lvl w:ilvl="1" w:tplc="0C090019">
      <w:start w:val="1"/>
      <w:numFmt w:val="lowerLetter"/>
      <w:lvlText w:val="%2."/>
      <w:lvlJc w:val="left"/>
      <w:pPr>
        <w:ind w:left="1506" w:hanging="360"/>
      </w:pPr>
    </w:lvl>
    <w:lvl w:ilvl="2" w:tplc="52B4396C">
      <w:start w:val="1"/>
      <w:numFmt w:val="decimal"/>
      <w:lvlText w:val="%3."/>
      <w:lvlJc w:val="left"/>
      <w:pPr>
        <w:ind w:left="2421" w:hanging="375"/>
      </w:pPr>
      <w:rPr>
        <w:rFonts w:hint="default"/>
      </w:r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num w:numId="1">
    <w:abstractNumId w:val="1"/>
  </w:num>
  <w:num w:numId="2">
    <w:abstractNumId w:val="28"/>
  </w:num>
  <w:num w:numId="3">
    <w:abstractNumId w:val="9"/>
  </w:num>
  <w:num w:numId="4">
    <w:abstractNumId w:val="19"/>
  </w:num>
  <w:num w:numId="5">
    <w:abstractNumId w:val="4"/>
  </w:num>
  <w:num w:numId="6">
    <w:abstractNumId w:val="13"/>
  </w:num>
  <w:num w:numId="7">
    <w:abstractNumId w:val="20"/>
  </w:num>
  <w:num w:numId="8">
    <w:abstractNumId w:val="3"/>
  </w:num>
  <w:num w:numId="9">
    <w:abstractNumId w:val="18"/>
  </w:num>
  <w:num w:numId="10">
    <w:abstractNumId w:val="12"/>
  </w:num>
  <w:num w:numId="11">
    <w:abstractNumId w:val="7"/>
  </w:num>
  <w:num w:numId="12">
    <w:abstractNumId w:val="24"/>
  </w:num>
  <w:num w:numId="13">
    <w:abstractNumId w:val="25"/>
  </w:num>
  <w:num w:numId="14">
    <w:abstractNumId w:val="14"/>
  </w:num>
  <w:num w:numId="15">
    <w:abstractNumId w:val="6"/>
  </w:num>
  <w:num w:numId="16">
    <w:abstractNumId w:val="0"/>
  </w:num>
  <w:num w:numId="17">
    <w:abstractNumId w:val="15"/>
  </w:num>
  <w:num w:numId="18">
    <w:abstractNumId w:val="16"/>
  </w:num>
  <w:num w:numId="19">
    <w:abstractNumId w:val="8"/>
  </w:num>
  <w:num w:numId="20">
    <w:abstractNumId w:val="29"/>
  </w:num>
  <w:num w:numId="21">
    <w:abstractNumId w:val="2"/>
  </w:num>
  <w:num w:numId="22">
    <w:abstractNumId w:val="23"/>
  </w:num>
  <w:num w:numId="23">
    <w:abstractNumId w:val="27"/>
  </w:num>
  <w:num w:numId="24">
    <w:abstractNumId w:val="26"/>
  </w:num>
  <w:num w:numId="25">
    <w:abstractNumId w:val="25"/>
  </w:num>
  <w:num w:numId="26">
    <w:abstractNumId w:val="5"/>
  </w:num>
  <w:num w:numId="27">
    <w:abstractNumId w:val="10"/>
  </w:num>
  <w:num w:numId="28">
    <w:abstractNumId w:val="22"/>
  </w:num>
  <w:num w:numId="29">
    <w:abstractNumId w:val="11"/>
  </w:num>
  <w:num w:numId="30">
    <w:abstractNumId w:val="25"/>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activeWritingStyle w:appName="MSWord" w:lang="en-A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evenAndOddHeaders/>
  <w:characterSpacingControl w:val="doNotCompress"/>
  <w:hdrShapeDefaults>
    <o:shapedefaults v:ext="edit" spidmax="10241">
      <o:colormru v:ext="edit" colors="#944697,#d8020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55A"/>
    <w:rsid w:val="0000075D"/>
    <w:rsid w:val="00001B69"/>
    <w:rsid w:val="00001E67"/>
    <w:rsid w:val="00002226"/>
    <w:rsid w:val="00002B1A"/>
    <w:rsid w:val="000031E0"/>
    <w:rsid w:val="00004483"/>
    <w:rsid w:val="000046ED"/>
    <w:rsid w:val="00004E42"/>
    <w:rsid w:val="00006BD4"/>
    <w:rsid w:val="00007BAC"/>
    <w:rsid w:val="0001011F"/>
    <w:rsid w:val="000115DF"/>
    <w:rsid w:val="00011895"/>
    <w:rsid w:val="000129C4"/>
    <w:rsid w:val="00012AF9"/>
    <w:rsid w:val="0001312C"/>
    <w:rsid w:val="00013974"/>
    <w:rsid w:val="00014D81"/>
    <w:rsid w:val="00014EAE"/>
    <w:rsid w:val="00014F11"/>
    <w:rsid w:val="000157A5"/>
    <w:rsid w:val="00015819"/>
    <w:rsid w:val="0001617A"/>
    <w:rsid w:val="00016495"/>
    <w:rsid w:val="00021797"/>
    <w:rsid w:val="00024CC6"/>
    <w:rsid w:val="00025845"/>
    <w:rsid w:val="0002637D"/>
    <w:rsid w:val="00030888"/>
    <w:rsid w:val="00030929"/>
    <w:rsid w:val="00030A35"/>
    <w:rsid w:val="00032355"/>
    <w:rsid w:val="00032D7D"/>
    <w:rsid w:val="000331E2"/>
    <w:rsid w:val="00033FC6"/>
    <w:rsid w:val="00037852"/>
    <w:rsid w:val="000407E3"/>
    <w:rsid w:val="00040DBD"/>
    <w:rsid w:val="000422BB"/>
    <w:rsid w:val="000425E3"/>
    <w:rsid w:val="00044585"/>
    <w:rsid w:val="00044D34"/>
    <w:rsid w:val="000457A9"/>
    <w:rsid w:val="00046D88"/>
    <w:rsid w:val="0004709C"/>
    <w:rsid w:val="000515A3"/>
    <w:rsid w:val="0005259C"/>
    <w:rsid w:val="0005261F"/>
    <w:rsid w:val="00054E29"/>
    <w:rsid w:val="00055924"/>
    <w:rsid w:val="000605C6"/>
    <w:rsid w:val="00060DFD"/>
    <w:rsid w:val="0006144D"/>
    <w:rsid w:val="00061E29"/>
    <w:rsid w:val="00063107"/>
    <w:rsid w:val="0006334B"/>
    <w:rsid w:val="00063D4D"/>
    <w:rsid w:val="00065067"/>
    <w:rsid w:val="00065A10"/>
    <w:rsid w:val="00066151"/>
    <w:rsid w:val="000674EA"/>
    <w:rsid w:val="0006750C"/>
    <w:rsid w:val="00070701"/>
    <w:rsid w:val="00070FBB"/>
    <w:rsid w:val="00071F18"/>
    <w:rsid w:val="00074C27"/>
    <w:rsid w:val="00076819"/>
    <w:rsid w:val="00083374"/>
    <w:rsid w:val="0008367A"/>
    <w:rsid w:val="00083FC2"/>
    <w:rsid w:val="0008603C"/>
    <w:rsid w:val="00086C04"/>
    <w:rsid w:val="00086C89"/>
    <w:rsid w:val="00086DCD"/>
    <w:rsid w:val="00086FAC"/>
    <w:rsid w:val="000904E5"/>
    <w:rsid w:val="0009097F"/>
    <w:rsid w:val="00090D3D"/>
    <w:rsid w:val="00091191"/>
    <w:rsid w:val="00091442"/>
    <w:rsid w:val="000914E6"/>
    <w:rsid w:val="00092249"/>
    <w:rsid w:val="00093E20"/>
    <w:rsid w:val="00094CF3"/>
    <w:rsid w:val="00095538"/>
    <w:rsid w:val="00095DBA"/>
    <w:rsid w:val="00096336"/>
    <w:rsid w:val="0009644C"/>
    <w:rsid w:val="000A4698"/>
    <w:rsid w:val="000A7659"/>
    <w:rsid w:val="000B201E"/>
    <w:rsid w:val="000B20BC"/>
    <w:rsid w:val="000B4E4D"/>
    <w:rsid w:val="000B5151"/>
    <w:rsid w:val="000C02C9"/>
    <w:rsid w:val="000C12C5"/>
    <w:rsid w:val="000C1529"/>
    <w:rsid w:val="000C1C22"/>
    <w:rsid w:val="000C1F42"/>
    <w:rsid w:val="000C1F9E"/>
    <w:rsid w:val="000C24B9"/>
    <w:rsid w:val="000C2719"/>
    <w:rsid w:val="000C3BD5"/>
    <w:rsid w:val="000C3C27"/>
    <w:rsid w:val="000D0125"/>
    <w:rsid w:val="000D0665"/>
    <w:rsid w:val="000D0BC1"/>
    <w:rsid w:val="000D13F0"/>
    <w:rsid w:val="000D162D"/>
    <w:rsid w:val="000D16B7"/>
    <w:rsid w:val="000D26FA"/>
    <w:rsid w:val="000D2E28"/>
    <w:rsid w:val="000D4779"/>
    <w:rsid w:val="000D621D"/>
    <w:rsid w:val="000D650C"/>
    <w:rsid w:val="000D7B6E"/>
    <w:rsid w:val="000E02BE"/>
    <w:rsid w:val="000E0A8A"/>
    <w:rsid w:val="000E15F7"/>
    <w:rsid w:val="000E1E73"/>
    <w:rsid w:val="000E1ED4"/>
    <w:rsid w:val="000E2E66"/>
    <w:rsid w:val="000E6E8E"/>
    <w:rsid w:val="000F2173"/>
    <w:rsid w:val="000F2294"/>
    <w:rsid w:val="000F2E09"/>
    <w:rsid w:val="000F47B5"/>
    <w:rsid w:val="000F48ED"/>
    <w:rsid w:val="000F53F8"/>
    <w:rsid w:val="000F5582"/>
    <w:rsid w:val="000F5CCE"/>
    <w:rsid w:val="000F5F74"/>
    <w:rsid w:val="000F63AE"/>
    <w:rsid w:val="000F7F86"/>
    <w:rsid w:val="0010054C"/>
    <w:rsid w:val="001005A9"/>
    <w:rsid w:val="00102584"/>
    <w:rsid w:val="00103220"/>
    <w:rsid w:val="00104AAA"/>
    <w:rsid w:val="00104BC2"/>
    <w:rsid w:val="0010550F"/>
    <w:rsid w:val="00106D10"/>
    <w:rsid w:val="00112C0B"/>
    <w:rsid w:val="001132E2"/>
    <w:rsid w:val="001134F7"/>
    <w:rsid w:val="001149BB"/>
    <w:rsid w:val="0011530F"/>
    <w:rsid w:val="00120CAF"/>
    <w:rsid w:val="0012135F"/>
    <w:rsid w:val="0012382C"/>
    <w:rsid w:val="00125D0A"/>
    <w:rsid w:val="00126DCF"/>
    <w:rsid w:val="001347A5"/>
    <w:rsid w:val="0013615B"/>
    <w:rsid w:val="00136936"/>
    <w:rsid w:val="00140050"/>
    <w:rsid w:val="0014153F"/>
    <w:rsid w:val="001437E2"/>
    <w:rsid w:val="00150EE2"/>
    <w:rsid w:val="00151889"/>
    <w:rsid w:val="001523CE"/>
    <w:rsid w:val="00152B75"/>
    <w:rsid w:val="00152DF0"/>
    <w:rsid w:val="00153B72"/>
    <w:rsid w:val="001573C1"/>
    <w:rsid w:val="0016099D"/>
    <w:rsid w:val="00161755"/>
    <w:rsid w:val="00163E95"/>
    <w:rsid w:val="00163FFF"/>
    <w:rsid w:val="001649CE"/>
    <w:rsid w:val="001651B8"/>
    <w:rsid w:val="00165306"/>
    <w:rsid w:val="00166CF5"/>
    <w:rsid w:val="00167883"/>
    <w:rsid w:val="00170CD7"/>
    <w:rsid w:val="00171F01"/>
    <w:rsid w:val="00173228"/>
    <w:rsid w:val="00173F19"/>
    <w:rsid w:val="00174380"/>
    <w:rsid w:val="00176089"/>
    <w:rsid w:val="0018110B"/>
    <w:rsid w:val="0018175E"/>
    <w:rsid w:val="0018237D"/>
    <w:rsid w:val="00182A01"/>
    <w:rsid w:val="00182BCF"/>
    <w:rsid w:val="001845DA"/>
    <w:rsid w:val="001849C7"/>
    <w:rsid w:val="00184DE0"/>
    <w:rsid w:val="00190F5F"/>
    <w:rsid w:val="0019188B"/>
    <w:rsid w:val="00191FD9"/>
    <w:rsid w:val="00193029"/>
    <w:rsid w:val="00193D82"/>
    <w:rsid w:val="001940C1"/>
    <w:rsid w:val="00194473"/>
    <w:rsid w:val="0019492E"/>
    <w:rsid w:val="001949D9"/>
    <w:rsid w:val="001962EA"/>
    <w:rsid w:val="00196CB9"/>
    <w:rsid w:val="001A02F6"/>
    <w:rsid w:val="001A0352"/>
    <w:rsid w:val="001A6F4D"/>
    <w:rsid w:val="001B1D0B"/>
    <w:rsid w:val="001B28DB"/>
    <w:rsid w:val="001C0A16"/>
    <w:rsid w:val="001C0AB0"/>
    <w:rsid w:val="001C215C"/>
    <w:rsid w:val="001C4B5C"/>
    <w:rsid w:val="001C59BF"/>
    <w:rsid w:val="001C6009"/>
    <w:rsid w:val="001C601C"/>
    <w:rsid w:val="001C73DD"/>
    <w:rsid w:val="001C7A01"/>
    <w:rsid w:val="001D03B9"/>
    <w:rsid w:val="001D09AE"/>
    <w:rsid w:val="001D22F4"/>
    <w:rsid w:val="001D2792"/>
    <w:rsid w:val="001D2CF4"/>
    <w:rsid w:val="001D3585"/>
    <w:rsid w:val="001D446D"/>
    <w:rsid w:val="001D577C"/>
    <w:rsid w:val="001D723C"/>
    <w:rsid w:val="001E08B8"/>
    <w:rsid w:val="001E08F1"/>
    <w:rsid w:val="001E2091"/>
    <w:rsid w:val="001E463E"/>
    <w:rsid w:val="001E4E5A"/>
    <w:rsid w:val="001E6A8D"/>
    <w:rsid w:val="001E7593"/>
    <w:rsid w:val="001F0171"/>
    <w:rsid w:val="001F06D0"/>
    <w:rsid w:val="001F1BC1"/>
    <w:rsid w:val="001F3DC5"/>
    <w:rsid w:val="001F4261"/>
    <w:rsid w:val="001F4B45"/>
    <w:rsid w:val="001F57F4"/>
    <w:rsid w:val="001F580F"/>
    <w:rsid w:val="001F64A9"/>
    <w:rsid w:val="001F6F14"/>
    <w:rsid w:val="001F6F2E"/>
    <w:rsid w:val="00202A3B"/>
    <w:rsid w:val="00202CFC"/>
    <w:rsid w:val="002044DF"/>
    <w:rsid w:val="00204811"/>
    <w:rsid w:val="00204886"/>
    <w:rsid w:val="00205685"/>
    <w:rsid w:val="00205A58"/>
    <w:rsid w:val="00205A9D"/>
    <w:rsid w:val="0021141C"/>
    <w:rsid w:val="00211756"/>
    <w:rsid w:val="00211F6F"/>
    <w:rsid w:val="00212555"/>
    <w:rsid w:val="00212D97"/>
    <w:rsid w:val="00213ED1"/>
    <w:rsid w:val="0021491D"/>
    <w:rsid w:val="002168D8"/>
    <w:rsid w:val="002171CF"/>
    <w:rsid w:val="00222D62"/>
    <w:rsid w:val="0022447C"/>
    <w:rsid w:val="00227445"/>
    <w:rsid w:val="0023143A"/>
    <w:rsid w:val="0023236B"/>
    <w:rsid w:val="00232490"/>
    <w:rsid w:val="00232550"/>
    <w:rsid w:val="00232F9E"/>
    <w:rsid w:val="0023377C"/>
    <w:rsid w:val="00234151"/>
    <w:rsid w:val="00236066"/>
    <w:rsid w:val="00236CCD"/>
    <w:rsid w:val="00240FAD"/>
    <w:rsid w:val="0024209D"/>
    <w:rsid w:val="00242548"/>
    <w:rsid w:val="00244EFE"/>
    <w:rsid w:val="002469B2"/>
    <w:rsid w:val="00246C8F"/>
    <w:rsid w:val="0024706D"/>
    <w:rsid w:val="00247417"/>
    <w:rsid w:val="00250292"/>
    <w:rsid w:val="002508E9"/>
    <w:rsid w:val="00251427"/>
    <w:rsid w:val="00252000"/>
    <w:rsid w:val="00253B8B"/>
    <w:rsid w:val="00257101"/>
    <w:rsid w:val="00257553"/>
    <w:rsid w:val="0026038D"/>
    <w:rsid w:val="002618A4"/>
    <w:rsid w:val="00261E0D"/>
    <w:rsid w:val="00261F1A"/>
    <w:rsid w:val="002642F8"/>
    <w:rsid w:val="002650A3"/>
    <w:rsid w:val="0026751B"/>
    <w:rsid w:val="0026794D"/>
    <w:rsid w:val="0027274B"/>
    <w:rsid w:val="00272B49"/>
    <w:rsid w:val="00273B61"/>
    <w:rsid w:val="00277F7A"/>
    <w:rsid w:val="00281363"/>
    <w:rsid w:val="00282704"/>
    <w:rsid w:val="0028391A"/>
    <w:rsid w:val="002842F1"/>
    <w:rsid w:val="002865B6"/>
    <w:rsid w:val="00286A4F"/>
    <w:rsid w:val="00287BE6"/>
    <w:rsid w:val="002913D3"/>
    <w:rsid w:val="002915F0"/>
    <w:rsid w:val="002924A2"/>
    <w:rsid w:val="00295011"/>
    <w:rsid w:val="002951B9"/>
    <w:rsid w:val="00295E3C"/>
    <w:rsid w:val="00297896"/>
    <w:rsid w:val="002A02F5"/>
    <w:rsid w:val="002A0ACA"/>
    <w:rsid w:val="002A1605"/>
    <w:rsid w:val="002A163D"/>
    <w:rsid w:val="002A238F"/>
    <w:rsid w:val="002A4123"/>
    <w:rsid w:val="002A6C3C"/>
    <w:rsid w:val="002A6D7A"/>
    <w:rsid w:val="002B0508"/>
    <w:rsid w:val="002B080E"/>
    <w:rsid w:val="002B5FFA"/>
    <w:rsid w:val="002B6A36"/>
    <w:rsid w:val="002C004A"/>
    <w:rsid w:val="002C0359"/>
    <w:rsid w:val="002C12FD"/>
    <w:rsid w:val="002C1ABF"/>
    <w:rsid w:val="002C2925"/>
    <w:rsid w:val="002C4DC2"/>
    <w:rsid w:val="002C6C8C"/>
    <w:rsid w:val="002C7EC1"/>
    <w:rsid w:val="002D06C4"/>
    <w:rsid w:val="002D0BE0"/>
    <w:rsid w:val="002D11B1"/>
    <w:rsid w:val="002D1D1E"/>
    <w:rsid w:val="002D2025"/>
    <w:rsid w:val="002D39BF"/>
    <w:rsid w:val="002D431B"/>
    <w:rsid w:val="002D4457"/>
    <w:rsid w:val="002D54B6"/>
    <w:rsid w:val="002D5E21"/>
    <w:rsid w:val="002E0707"/>
    <w:rsid w:val="002E38FC"/>
    <w:rsid w:val="002E3B02"/>
    <w:rsid w:val="002E4F0C"/>
    <w:rsid w:val="002E6786"/>
    <w:rsid w:val="002F048E"/>
    <w:rsid w:val="002F2B7B"/>
    <w:rsid w:val="002F3464"/>
    <w:rsid w:val="002F3C54"/>
    <w:rsid w:val="002F45D5"/>
    <w:rsid w:val="002F5726"/>
    <w:rsid w:val="002F600E"/>
    <w:rsid w:val="002F62D1"/>
    <w:rsid w:val="002F6569"/>
    <w:rsid w:val="002F7DB2"/>
    <w:rsid w:val="0030086D"/>
    <w:rsid w:val="00300BBC"/>
    <w:rsid w:val="003013F7"/>
    <w:rsid w:val="003021E3"/>
    <w:rsid w:val="00304BB2"/>
    <w:rsid w:val="003054BD"/>
    <w:rsid w:val="00305AEF"/>
    <w:rsid w:val="00307966"/>
    <w:rsid w:val="00307FC2"/>
    <w:rsid w:val="00310751"/>
    <w:rsid w:val="00310BCF"/>
    <w:rsid w:val="00311297"/>
    <w:rsid w:val="00312A18"/>
    <w:rsid w:val="00313952"/>
    <w:rsid w:val="00313D73"/>
    <w:rsid w:val="003144B4"/>
    <w:rsid w:val="0031494E"/>
    <w:rsid w:val="003149AA"/>
    <w:rsid w:val="003152CC"/>
    <w:rsid w:val="003154DB"/>
    <w:rsid w:val="00316D3D"/>
    <w:rsid w:val="00317ADD"/>
    <w:rsid w:val="00320D5D"/>
    <w:rsid w:val="00320FA3"/>
    <w:rsid w:val="0032113E"/>
    <w:rsid w:val="003214CF"/>
    <w:rsid w:val="00321F13"/>
    <w:rsid w:val="00325B0D"/>
    <w:rsid w:val="00327B56"/>
    <w:rsid w:val="0033017F"/>
    <w:rsid w:val="00331A90"/>
    <w:rsid w:val="00331CA5"/>
    <w:rsid w:val="0033252C"/>
    <w:rsid w:val="003325AC"/>
    <w:rsid w:val="00332F33"/>
    <w:rsid w:val="00335F98"/>
    <w:rsid w:val="00337C81"/>
    <w:rsid w:val="003402E1"/>
    <w:rsid w:val="00341541"/>
    <w:rsid w:val="0034186F"/>
    <w:rsid w:val="00341EE1"/>
    <w:rsid w:val="00342B0F"/>
    <w:rsid w:val="00342CAF"/>
    <w:rsid w:val="003432FF"/>
    <w:rsid w:val="00344C23"/>
    <w:rsid w:val="00344C5D"/>
    <w:rsid w:val="0034783D"/>
    <w:rsid w:val="003503D9"/>
    <w:rsid w:val="00350D9B"/>
    <w:rsid w:val="00352375"/>
    <w:rsid w:val="00352989"/>
    <w:rsid w:val="003539EE"/>
    <w:rsid w:val="00354213"/>
    <w:rsid w:val="00357A34"/>
    <w:rsid w:val="003603BF"/>
    <w:rsid w:val="00363E7C"/>
    <w:rsid w:val="00363FFA"/>
    <w:rsid w:val="00364BE7"/>
    <w:rsid w:val="00365165"/>
    <w:rsid w:val="003659C6"/>
    <w:rsid w:val="00365EB2"/>
    <w:rsid w:val="003670E8"/>
    <w:rsid w:val="00367A84"/>
    <w:rsid w:val="00367E19"/>
    <w:rsid w:val="00371C42"/>
    <w:rsid w:val="00372BC5"/>
    <w:rsid w:val="003734BF"/>
    <w:rsid w:val="003737BE"/>
    <w:rsid w:val="00373E02"/>
    <w:rsid w:val="00374DBA"/>
    <w:rsid w:val="00377929"/>
    <w:rsid w:val="00377C7D"/>
    <w:rsid w:val="00382960"/>
    <w:rsid w:val="00382C5B"/>
    <w:rsid w:val="00382DAF"/>
    <w:rsid w:val="00383FB0"/>
    <w:rsid w:val="00384CFF"/>
    <w:rsid w:val="00385371"/>
    <w:rsid w:val="00385738"/>
    <w:rsid w:val="00385DBA"/>
    <w:rsid w:val="003863F2"/>
    <w:rsid w:val="00387E20"/>
    <w:rsid w:val="003909C0"/>
    <w:rsid w:val="00391B7E"/>
    <w:rsid w:val="00391C89"/>
    <w:rsid w:val="00392168"/>
    <w:rsid w:val="003934C1"/>
    <w:rsid w:val="0039373B"/>
    <w:rsid w:val="003941C8"/>
    <w:rsid w:val="003962B9"/>
    <w:rsid w:val="003963C1"/>
    <w:rsid w:val="00396659"/>
    <w:rsid w:val="003A0BF2"/>
    <w:rsid w:val="003A1059"/>
    <w:rsid w:val="003A355D"/>
    <w:rsid w:val="003A36D4"/>
    <w:rsid w:val="003A373D"/>
    <w:rsid w:val="003A43FD"/>
    <w:rsid w:val="003A7183"/>
    <w:rsid w:val="003B0652"/>
    <w:rsid w:val="003B68C7"/>
    <w:rsid w:val="003B7A52"/>
    <w:rsid w:val="003B7A75"/>
    <w:rsid w:val="003C00B3"/>
    <w:rsid w:val="003C1C1E"/>
    <w:rsid w:val="003C4E57"/>
    <w:rsid w:val="003C638E"/>
    <w:rsid w:val="003C68B7"/>
    <w:rsid w:val="003C6AC9"/>
    <w:rsid w:val="003C6BC3"/>
    <w:rsid w:val="003D07D6"/>
    <w:rsid w:val="003D2084"/>
    <w:rsid w:val="003D37FC"/>
    <w:rsid w:val="003D3C96"/>
    <w:rsid w:val="003D5B53"/>
    <w:rsid w:val="003D6D4F"/>
    <w:rsid w:val="003E1246"/>
    <w:rsid w:val="003E1898"/>
    <w:rsid w:val="003E45C1"/>
    <w:rsid w:val="003E57AF"/>
    <w:rsid w:val="003E5E52"/>
    <w:rsid w:val="003F0B8D"/>
    <w:rsid w:val="003F0BDE"/>
    <w:rsid w:val="003F3426"/>
    <w:rsid w:val="003F3ABA"/>
    <w:rsid w:val="003F5D03"/>
    <w:rsid w:val="00402AE8"/>
    <w:rsid w:val="00403523"/>
    <w:rsid w:val="00404CE8"/>
    <w:rsid w:val="00405349"/>
    <w:rsid w:val="004065BE"/>
    <w:rsid w:val="00407310"/>
    <w:rsid w:val="004110E9"/>
    <w:rsid w:val="00417269"/>
    <w:rsid w:val="00417526"/>
    <w:rsid w:val="004176AD"/>
    <w:rsid w:val="00431919"/>
    <w:rsid w:val="00431934"/>
    <w:rsid w:val="00431E75"/>
    <w:rsid w:val="00431F68"/>
    <w:rsid w:val="0043232D"/>
    <w:rsid w:val="004324BC"/>
    <w:rsid w:val="00432790"/>
    <w:rsid w:val="00434910"/>
    <w:rsid w:val="004351A6"/>
    <w:rsid w:val="00435C8F"/>
    <w:rsid w:val="0044293D"/>
    <w:rsid w:val="00443748"/>
    <w:rsid w:val="00445597"/>
    <w:rsid w:val="004571B4"/>
    <w:rsid w:val="0046627E"/>
    <w:rsid w:val="00472F0C"/>
    <w:rsid w:val="00472F62"/>
    <w:rsid w:val="004731FD"/>
    <w:rsid w:val="00473BDE"/>
    <w:rsid w:val="00474C8F"/>
    <w:rsid w:val="004841FC"/>
    <w:rsid w:val="004846F5"/>
    <w:rsid w:val="004855FD"/>
    <w:rsid w:val="0048619E"/>
    <w:rsid w:val="00486BE6"/>
    <w:rsid w:val="004873CA"/>
    <w:rsid w:val="00487C3F"/>
    <w:rsid w:val="00487C9E"/>
    <w:rsid w:val="00491308"/>
    <w:rsid w:val="00491527"/>
    <w:rsid w:val="0049336A"/>
    <w:rsid w:val="00494659"/>
    <w:rsid w:val="004957F9"/>
    <w:rsid w:val="0049613A"/>
    <w:rsid w:val="0049701B"/>
    <w:rsid w:val="00497E66"/>
    <w:rsid w:val="004A04C0"/>
    <w:rsid w:val="004A0C44"/>
    <w:rsid w:val="004A1216"/>
    <w:rsid w:val="004A3127"/>
    <w:rsid w:val="004A47E1"/>
    <w:rsid w:val="004A4A97"/>
    <w:rsid w:val="004A4BC7"/>
    <w:rsid w:val="004A5419"/>
    <w:rsid w:val="004A6167"/>
    <w:rsid w:val="004A63CB"/>
    <w:rsid w:val="004B1C16"/>
    <w:rsid w:val="004B3D3E"/>
    <w:rsid w:val="004B4158"/>
    <w:rsid w:val="004B4987"/>
    <w:rsid w:val="004B4CDC"/>
    <w:rsid w:val="004B5382"/>
    <w:rsid w:val="004B54E1"/>
    <w:rsid w:val="004B5DD8"/>
    <w:rsid w:val="004B63DD"/>
    <w:rsid w:val="004B699C"/>
    <w:rsid w:val="004C02FA"/>
    <w:rsid w:val="004C038B"/>
    <w:rsid w:val="004C1860"/>
    <w:rsid w:val="004C28F6"/>
    <w:rsid w:val="004C3740"/>
    <w:rsid w:val="004C4A32"/>
    <w:rsid w:val="004C6066"/>
    <w:rsid w:val="004C73DB"/>
    <w:rsid w:val="004C756A"/>
    <w:rsid w:val="004C7E70"/>
    <w:rsid w:val="004D1BB9"/>
    <w:rsid w:val="004D221D"/>
    <w:rsid w:val="004D22EF"/>
    <w:rsid w:val="004D247E"/>
    <w:rsid w:val="004D29AE"/>
    <w:rsid w:val="004D44FA"/>
    <w:rsid w:val="004D4D17"/>
    <w:rsid w:val="004D5841"/>
    <w:rsid w:val="004D5C63"/>
    <w:rsid w:val="004D6CEB"/>
    <w:rsid w:val="004E1183"/>
    <w:rsid w:val="004E16D1"/>
    <w:rsid w:val="004E18BC"/>
    <w:rsid w:val="004E3742"/>
    <w:rsid w:val="004E58DA"/>
    <w:rsid w:val="004E629D"/>
    <w:rsid w:val="004E7315"/>
    <w:rsid w:val="004F03CC"/>
    <w:rsid w:val="004F1B36"/>
    <w:rsid w:val="004F1CDB"/>
    <w:rsid w:val="004F21C5"/>
    <w:rsid w:val="004F2BC4"/>
    <w:rsid w:val="004F2F19"/>
    <w:rsid w:val="004F39EC"/>
    <w:rsid w:val="004F48D2"/>
    <w:rsid w:val="004F4918"/>
    <w:rsid w:val="004F5767"/>
    <w:rsid w:val="004F6060"/>
    <w:rsid w:val="004F7D8A"/>
    <w:rsid w:val="00500B47"/>
    <w:rsid w:val="00502C9D"/>
    <w:rsid w:val="00502F4B"/>
    <w:rsid w:val="0050673B"/>
    <w:rsid w:val="00514DC6"/>
    <w:rsid w:val="0051529A"/>
    <w:rsid w:val="00516259"/>
    <w:rsid w:val="00516C9B"/>
    <w:rsid w:val="0052152A"/>
    <w:rsid w:val="0052300B"/>
    <w:rsid w:val="00523672"/>
    <w:rsid w:val="00525849"/>
    <w:rsid w:val="005274A3"/>
    <w:rsid w:val="00535298"/>
    <w:rsid w:val="00535E5E"/>
    <w:rsid w:val="0054272B"/>
    <w:rsid w:val="005449D6"/>
    <w:rsid w:val="00544D6E"/>
    <w:rsid w:val="00545975"/>
    <w:rsid w:val="00547658"/>
    <w:rsid w:val="00550752"/>
    <w:rsid w:val="00550FA7"/>
    <w:rsid w:val="00550FCE"/>
    <w:rsid w:val="00551868"/>
    <w:rsid w:val="00552C63"/>
    <w:rsid w:val="00553C28"/>
    <w:rsid w:val="00553FE6"/>
    <w:rsid w:val="005544BA"/>
    <w:rsid w:val="00554A9A"/>
    <w:rsid w:val="00554D80"/>
    <w:rsid w:val="00556362"/>
    <w:rsid w:val="005608BE"/>
    <w:rsid w:val="005624CB"/>
    <w:rsid w:val="005635C5"/>
    <w:rsid w:val="00563711"/>
    <w:rsid w:val="00563A19"/>
    <w:rsid w:val="00563B93"/>
    <w:rsid w:val="00564627"/>
    <w:rsid w:val="005646B7"/>
    <w:rsid w:val="00565304"/>
    <w:rsid w:val="0056538E"/>
    <w:rsid w:val="00565B4C"/>
    <w:rsid w:val="00567DE8"/>
    <w:rsid w:val="00570C85"/>
    <w:rsid w:val="00572277"/>
    <w:rsid w:val="0057249C"/>
    <w:rsid w:val="00572EA9"/>
    <w:rsid w:val="0057309F"/>
    <w:rsid w:val="00573F98"/>
    <w:rsid w:val="005748E7"/>
    <w:rsid w:val="00576634"/>
    <w:rsid w:val="00580CBE"/>
    <w:rsid w:val="00582EF7"/>
    <w:rsid w:val="005840FC"/>
    <w:rsid w:val="005841BA"/>
    <w:rsid w:val="005844A6"/>
    <w:rsid w:val="00584AE7"/>
    <w:rsid w:val="005912B7"/>
    <w:rsid w:val="005929E5"/>
    <w:rsid w:val="005944D7"/>
    <w:rsid w:val="005979E6"/>
    <w:rsid w:val="005A05D1"/>
    <w:rsid w:val="005A06D0"/>
    <w:rsid w:val="005A0897"/>
    <w:rsid w:val="005A1597"/>
    <w:rsid w:val="005A2D20"/>
    <w:rsid w:val="005A38EF"/>
    <w:rsid w:val="005A3B59"/>
    <w:rsid w:val="005A5787"/>
    <w:rsid w:val="005A59CC"/>
    <w:rsid w:val="005A735D"/>
    <w:rsid w:val="005A7424"/>
    <w:rsid w:val="005A778A"/>
    <w:rsid w:val="005B0C90"/>
    <w:rsid w:val="005B1A83"/>
    <w:rsid w:val="005B210A"/>
    <w:rsid w:val="005B3257"/>
    <w:rsid w:val="005B3DF7"/>
    <w:rsid w:val="005B4549"/>
    <w:rsid w:val="005B45CD"/>
    <w:rsid w:val="005B47FC"/>
    <w:rsid w:val="005B48EA"/>
    <w:rsid w:val="005C140D"/>
    <w:rsid w:val="005C1F0F"/>
    <w:rsid w:val="005C3749"/>
    <w:rsid w:val="005C4B96"/>
    <w:rsid w:val="005C5078"/>
    <w:rsid w:val="005C5C3B"/>
    <w:rsid w:val="005C7AF5"/>
    <w:rsid w:val="005C7C91"/>
    <w:rsid w:val="005D2153"/>
    <w:rsid w:val="005D2FF8"/>
    <w:rsid w:val="005D3324"/>
    <w:rsid w:val="005D33B6"/>
    <w:rsid w:val="005D38A8"/>
    <w:rsid w:val="005D4776"/>
    <w:rsid w:val="005D4DEB"/>
    <w:rsid w:val="005D5CAE"/>
    <w:rsid w:val="005D5D3C"/>
    <w:rsid w:val="005E0511"/>
    <w:rsid w:val="005E16D8"/>
    <w:rsid w:val="005E22C6"/>
    <w:rsid w:val="005E3F01"/>
    <w:rsid w:val="005E460F"/>
    <w:rsid w:val="005E4D75"/>
    <w:rsid w:val="005E5093"/>
    <w:rsid w:val="005E7D79"/>
    <w:rsid w:val="005F038B"/>
    <w:rsid w:val="005F24B3"/>
    <w:rsid w:val="005F405E"/>
    <w:rsid w:val="005F4CA6"/>
    <w:rsid w:val="005F66C1"/>
    <w:rsid w:val="005F733A"/>
    <w:rsid w:val="005F7A4D"/>
    <w:rsid w:val="006007DE"/>
    <w:rsid w:val="00600AB8"/>
    <w:rsid w:val="00603687"/>
    <w:rsid w:val="00604517"/>
    <w:rsid w:val="00604B3B"/>
    <w:rsid w:val="00606174"/>
    <w:rsid w:val="006075AF"/>
    <w:rsid w:val="00607FB0"/>
    <w:rsid w:val="0061201D"/>
    <w:rsid w:val="00612488"/>
    <w:rsid w:val="0061381C"/>
    <w:rsid w:val="00614A36"/>
    <w:rsid w:val="00614C22"/>
    <w:rsid w:val="00615DE1"/>
    <w:rsid w:val="00616C28"/>
    <w:rsid w:val="00620801"/>
    <w:rsid w:val="00620CB3"/>
    <w:rsid w:val="00624E82"/>
    <w:rsid w:val="00626BF1"/>
    <w:rsid w:val="0062734E"/>
    <w:rsid w:val="00627ACA"/>
    <w:rsid w:val="00630536"/>
    <w:rsid w:val="00631DB2"/>
    <w:rsid w:val="00631FCA"/>
    <w:rsid w:val="006321A2"/>
    <w:rsid w:val="0063272E"/>
    <w:rsid w:val="0063357F"/>
    <w:rsid w:val="00633C3F"/>
    <w:rsid w:val="006358E3"/>
    <w:rsid w:val="00640ACA"/>
    <w:rsid w:val="00641AB5"/>
    <w:rsid w:val="00641DB4"/>
    <w:rsid w:val="0064229D"/>
    <w:rsid w:val="00642F89"/>
    <w:rsid w:val="00643A84"/>
    <w:rsid w:val="00644172"/>
    <w:rsid w:val="00644AF7"/>
    <w:rsid w:val="006451D5"/>
    <w:rsid w:val="00645853"/>
    <w:rsid w:val="00645A94"/>
    <w:rsid w:val="00645DDE"/>
    <w:rsid w:val="00646D11"/>
    <w:rsid w:val="00653080"/>
    <w:rsid w:val="00653634"/>
    <w:rsid w:val="00655B04"/>
    <w:rsid w:val="0065735E"/>
    <w:rsid w:val="00657D63"/>
    <w:rsid w:val="00657ECA"/>
    <w:rsid w:val="00657F88"/>
    <w:rsid w:val="00660A0E"/>
    <w:rsid w:val="006619D7"/>
    <w:rsid w:val="006622D6"/>
    <w:rsid w:val="00662929"/>
    <w:rsid w:val="006629CC"/>
    <w:rsid w:val="0066451E"/>
    <w:rsid w:val="00664548"/>
    <w:rsid w:val="00666016"/>
    <w:rsid w:val="00667E1C"/>
    <w:rsid w:val="006713A5"/>
    <w:rsid w:val="00671E3F"/>
    <w:rsid w:val="00671FB7"/>
    <w:rsid w:val="006736E6"/>
    <w:rsid w:val="00673ED3"/>
    <w:rsid w:val="006745EB"/>
    <w:rsid w:val="00674718"/>
    <w:rsid w:val="00675351"/>
    <w:rsid w:val="006768AA"/>
    <w:rsid w:val="0068024D"/>
    <w:rsid w:val="006802BF"/>
    <w:rsid w:val="00680428"/>
    <w:rsid w:val="006811B3"/>
    <w:rsid w:val="006832E1"/>
    <w:rsid w:val="00684217"/>
    <w:rsid w:val="00684255"/>
    <w:rsid w:val="00685C00"/>
    <w:rsid w:val="00686593"/>
    <w:rsid w:val="0068755B"/>
    <w:rsid w:val="00690B30"/>
    <w:rsid w:val="006911D4"/>
    <w:rsid w:val="00691DEA"/>
    <w:rsid w:val="00692A5D"/>
    <w:rsid w:val="00692BE8"/>
    <w:rsid w:val="00693FDA"/>
    <w:rsid w:val="00694ABC"/>
    <w:rsid w:val="00696616"/>
    <w:rsid w:val="006A5927"/>
    <w:rsid w:val="006A5AF1"/>
    <w:rsid w:val="006A6100"/>
    <w:rsid w:val="006A6E38"/>
    <w:rsid w:val="006A78AB"/>
    <w:rsid w:val="006A7F7F"/>
    <w:rsid w:val="006B0EDD"/>
    <w:rsid w:val="006B1B37"/>
    <w:rsid w:val="006B1B53"/>
    <w:rsid w:val="006B2205"/>
    <w:rsid w:val="006B30C6"/>
    <w:rsid w:val="006B3868"/>
    <w:rsid w:val="006B438D"/>
    <w:rsid w:val="006B56C2"/>
    <w:rsid w:val="006C0A1B"/>
    <w:rsid w:val="006C180B"/>
    <w:rsid w:val="006C1D5C"/>
    <w:rsid w:val="006C204A"/>
    <w:rsid w:val="006C3A42"/>
    <w:rsid w:val="006C6FAA"/>
    <w:rsid w:val="006C72C9"/>
    <w:rsid w:val="006C742F"/>
    <w:rsid w:val="006D25B2"/>
    <w:rsid w:val="006D629A"/>
    <w:rsid w:val="006E2221"/>
    <w:rsid w:val="006E3D45"/>
    <w:rsid w:val="006E5D40"/>
    <w:rsid w:val="006E6337"/>
    <w:rsid w:val="006E7219"/>
    <w:rsid w:val="006F169A"/>
    <w:rsid w:val="006F1A5C"/>
    <w:rsid w:val="006F1B03"/>
    <w:rsid w:val="006F27B9"/>
    <w:rsid w:val="006F4AA2"/>
    <w:rsid w:val="006F5472"/>
    <w:rsid w:val="006F6F34"/>
    <w:rsid w:val="00700D06"/>
    <w:rsid w:val="00703962"/>
    <w:rsid w:val="00703A07"/>
    <w:rsid w:val="0070410F"/>
    <w:rsid w:val="0070481F"/>
    <w:rsid w:val="00704A0F"/>
    <w:rsid w:val="0070517A"/>
    <w:rsid w:val="00706D1A"/>
    <w:rsid w:val="007108D9"/>
    <w:rsid w:val="007113FE"/>
    <w:rsid w:val="00711730"/>
    <w:rsid w:val="00722DE1"/>
    <w:rsid w:val="007231A1"/>
    <w:rsid w:val="00725674"/>
    <w:rsid w:val="007262E1"/>
    <w:rsid w:val="00726E48"/>
    <w:rsid w:val="0072709D"/>
    <w:rsid w:val="00730BA6"/>
    <w:rsid w:val="00731ED4"/>
    <w:rsid w:val="007330F9"/>
    <w:rsid w:val="00733135"/>
    <w:rsid w:val="0073361B"/>
    <w:rsid w:val="007343D8"/>
    <w:rsid w:val="0073570C"/>
    <w:rsid w:val="007371F5"/>
    <w:rsid w:val="00737C08"/>
    <w:rsid w:val="00740F60"/>
    <w:rsid w:val="0074182E"/>
    <w:rsid w:val="00742A4F"/>
    <w:rsid w:val="0074361D"/>
    <w:rsid w:val="007442A5"/>
    <w:rsid w:val="007450B5"/>
    <w:rsid w:val="00745537"/>
    <w:rsid w:val="00746F99"/>
    <w:rsid w:val="00747063"/>
    <w:rsid w:val="007477B7"/>
    <w:rsid w:val="00747B85"/>
    <w:rsid w:val="00747E7B"/>
    <w:rsid w:val="00751C3E"/>
    <w:rsid w:val="00752281"/>
    <w:rsid w:val="0075523B"/>
    <w:rsid w:val="00756574"/>
    <w:rsid w:val="00757FB9"/>
    <w:rsid w:val="00760816"/>
    <w:rsid w:val="00761CB9"/>
    <w:rsid w:val="00762CC7"/>
    <w:rsid w:val="00764C31"/>
    <w:rsid w:val="0076538C"/>
    <w:rsid w:val="00767D15"/>
    <w:rsid w:val="007707BC"/>
    <w:rsid w:val="00774E17"/>
    <w:rsid w:val="00774F35"/>
    <w:rsid w:val="00780131"/>
    <w:rsid w:val="007803F5"/>
    <w:rsid w:val="00782150"/>
    <w:rsid w:val="007845FA"/>
    <w:rsid w:val="0078562C"/>
    <w:rsid w:val="00787148"/>
    <w:rsid w:val="00787164"/>
    <w:rsid w:val="0078755A"/>
    <w:rsid w:val="00794B13"/>
    <w:rsid w:val="0079603E"/>
    <w:rsid w:val="007961EC"/>
    <w:rsid w:val="00797CC4"/>
    <w:rsid w:val="00797F50"/>
    <w:rsid w:val="007A13EA"/>
    <w:rsid w:val="007A1D64"/>
    <w:rsid w:val="007A2EF1"/>
    <w:rsid w:val="007A44D3"/>
    <w:rsid w:val="007A4A4B"/>
    <w:rsid w:val="007A4A54"/>
    <w:rsid w:val="007A4C57"/>
    <w:rsid w:val="007A5B5F"/>
    <w:rsid w:val="007B068B"/>
    <w:rsid w:val="007B0CC6"/>
    <w:rsid w:val="007B1DCB"/>
    <w:rsid w:val="007B2526"/>
    <w:rsid w:val="007B6435"/>
    <w:rsid w:val="007B6D52"/>
    <w:rsid w:val="007B7FAE"/>
    <w:rsid w:val="007C06C6"/>
    <w:rsid w:val="007C1FEC"/>
    <w:rsid w:val="007C259F"/>
    <w:rsid w:val="007C274D"/>
    <w:rsid w:val="007C3FB2"/>
    <w:rsid w:val="007C7E50"/>
    <w:rsid w:val="007D1C91"/>
    <w:rsid w:val="007D5B30"/>
    <w:rsid w:val="007D5EE3"/>
    <w:rsid w:val="007E03F8"/>
    <w:rsid w:val="007E1987"/>
    <w:rsid w:val="007E2938"/>
    <w:rsid w:val="007E2EA8"/>
    <w:rsid w:val="007E3D92"/>
    <w:rsid w:val="007E45A0"/>
    <w:rsid w:val="007E525D"/>
    <w:rsid w:val="007E5A03"/>
    <w:rsid w:val="007E623E"/>
    <w:rsid w:val="007E63E9"/>
    <w:rsid w:val="007E67F5"/>
    <w:rsid w:val="007F05A2"/>
    <w:rsid w:val="007F12D5"/>
    <w:rsid w:val="007F2599"/>
    <w:rsid w:val="007F2CF8"/>
    <w:rsid w:val="007F489B"/>
    <w:rsid w:val="007F580B"/>
    <w:rsid w:val="007F6743"/>
    <w:rsid w:val="007F6DB5"/>
    <w:rsid w:val="00800F72"/>
    <w:rsid w:val="00801D8F"/>
    <w:rsid w:val="00801FA5"/>
    <w:rsid w:val="008038B4"/>
    <w:rsid w:val="0080647C"/>
    <w:rsid w:val="008108F0"/>
    <w:rsid w:val="00810A1F"/>
    <w:rsid w:val="008115B3"/>
    <w:rsid w:val="00811827"/>
    <w:rsid w:val="00814C32"/>
    <w:rsid w:val="00815EA9"/>
    <w:rsid w:val="00816027"/>
    <w:rsid w:val="0081699B"/>
    <w:rsid w:val="008174E3"/>
    <w:rsid w:val="00821E52"/>
    <w:rsid w:val="0082424E"/>
    <w:rsid w:val="00824ADD"/>
    <w:rsid w:val="00824DDD"/>
    <w:rsid w:val="00825637"/>
    <w:rsid w:val="00826365"/>
    <w:rsid w:val="00827D13"/>
    <w:rsid w:val="00830F10"/>
    <w:rsid w:val="00834D5D"/>
    <w:rsid w:val="0084117E"/>
    <w:rsid w:val="00842E88"/>
    <w:rsid w:val="00846799"/>
    <w:rsid w:val="0084762F"/>
    <w:rsid w:val="008500F7"/>
    <w:rsid w:val="00851926"/>
    <w:rsid w:val="00852597"/>
    <w:rsid w:val="00854704"/>
    <w:rsid w:val="008553C7"/>
    <w:rsid w:val="008603FE"/>
    <w:rsid w:val="00860AD2"/>
    <w:rsid w:val="00860C4B"/>
    <w:rsid w:val="00861A4A"/>
    <w:rsid w:val="008634A8"/>
    <w:rsid w:val="008658C5"/>
    <w:rsid w:val="008660F7"/>
    <w:rsid w:val="00873A1E"/>
    <w:rsid w:val="00875C48"/>
    <w:rsid w:val="008760E9"/>
    <w:rsid w:val="0087674D"/>
    <w:rsid w:val="00876B42"/>
    <w:rsid w:val="00877168"/>
    <w:rsid w:val="008841E8"/>
    <w:rsid w:val="00884279"/>
    <w:rsid w:val="00891EDC"/>
    <w:rsid w:val="008941EA"/>
    <w:rsid w:val="00895889"/>
    <w:rsid w:val="008A1998"/>
    <w:rsid w:val="008A3164"/>
    <w:rsid w:val="008A3E33"/>
    <w:rsid w:val="008A6BE1"/>
    <w:rsid w:val="008A6D8A"/>
    <w:rsid w:val="008B2184"/>
    <w:rsid w:val="008B2728"/>
    <w:rsid w:val="008B477B"/>
    <w:rsid w:val="008B6015"/>
    <w:rsid w:val="008B6318"/>
    <w:rsid w:val="008C048C"/>
    <w:rsid w:val="008C06D6"/>
    <w:rsid w:val="008C17E4"/>
    <w:rsid w:val="008C2E88"/>
    <w:rsid w:val="008C384B"/>
    <w:rsid w:val="008C4CAE"/>
    <w:rsid w:val="008C51EE"/>
    <w:rsid w:val="008C5DDC"/>
    <w:rsid w:val="008C6934"/>
    <w:rsid w:val="008D089B"/>
    <w:rsid w:val="008D1F00"/>
    <w:rsid w:val="008D4258"/>
    <w:rsid w:val="008D4D5B"/>
    <w:rsid w:val="008D5A89"/>
    <w:rsid w:val="008D6A92"/>
    <w:rsid w:val="008D6E84"/>
    <w:rsid w:val="008E16A5"/>
    <w:rsid w:val="008E1968"/>
    <w:rsid w:val="008E2E43"/>
    <w:rsid w:val="008E50FC"/>
    <w:rsid w:val="008F075B"/>
    <w:rsid w:val="008F2DD8"/>
    <w:rsid w:val="008F2E5E"/>
    <w:rsid w:val="008F55F7"/>
    <w:rsid w:val="008F6E92"/>
    <w:rsid w:val="008F78B2"/>
    <w:rsid w:val="00900B70"/>
    <w:rsid w:val="00906F30"/>
    <w:rsid w:val="009071EF"/>
    <w:rsid w:val="009072C8"/>
    <w:rsid w:val="00910212"/>
    <w:rsid w:val="00911583"/>
    <w:rsid w:val="00913551"/>
    <w:rsid w:val="00914069"/>
    <w:rsid w:val="009148A4"/>
    <w:rsid w:val="00914A29"/>
    <w:rsid w:val="00914FE5"/>
    <w:rsid w:val="009150C4"/>
    <w:rsid w:val="00915BBD"/>
    <w:rsid w:val="00916628"/>
    <w:rsid w:val="00920155"/>
    <w:rsid w:val="009205EA"/>
    <w:rsid w:val="00921805"/>
    <w:rsid w:val="00923DCA"/>
    <w:rsid w:val="00923EEF"/>
    <w:rsid w:val="009250F1"/>
    <w:rsid w:val="009266F7"/>
    <w:rsid w:val="00926AC1"/>
    <w:rsid w:val="00927968"/>
    <w:rsid w:val="00930138"/>
    <w:rsid w:val="00930C3D"/>
    <w:rsid w:val="00933173"/>
    <w:rsid w:val="00933D1B"/>
    <w:rsid w:val="00935B93"/>
    <w:rsid w:val="009360E1"/>
    <w:rsid w:val="00937BBB"/>
    <w:rsid w:val="009401BB"/>
    <w:rsid w:val="009406DC"/>
    <w:rsid w:val="0094089C"/>
    <w:rsid w:val="00941010"/>
    <w:rsid w:val="009432F5"/>
    <w:rsid w:val="009434FC"/>
    <w:rsid w:val="00944792"/>
    <w:rsid w:val="00945D8E"/>
    <w:rsid w:val="009465FC"/>
    <w:rsid w:val="0094797A"/>
    <w:rsid w:val="00951056"/>
    <w:rsid w:val="0095153A"/>
    <w:rsid w:val="0095163D"/>
    <w:rsid w:val="00951867"/>
    <w:rsid w:val="00951ED0"/>
    <w:rsid w:val="00952714"/>
    <w:rsid w:val="00955475"/>
    <w:rsid w:val="009558ED"/>
    <w:rsid w:val="00955CAF"/>
    <w:rsid w:val="00956B4C"/>
    <w:rsid w:val="00956EE8"/>
    <w:rsid w:val="009610B9"/>
    <w:rsid w:val="00962237"/>
    <w:rsid w:val="0096559A"/>
    <w:rsid w:val="009655A3"/>
    <w:rsid w:val="0096609B"/>
    <w:rsid w:val="00966372"/>
    <w:rsid w:val="00966B94"/>
    <w:rsid w:val="00967B47"/>
    <w:rsid w:val="00970C2F"/>
    <w:rsid w:val="009718EA"/>
    <w:rsid w:val="00972655"/>
    <w:rsid w:val="00973310"/>
    <w:rsid w:val="00974A48"/>
    <w:rsid w:val="00974A9F"/>
    <w:rsid w:val="00974B44"/>
    <w:rsid w:val="0097544A"/>
    <w:rsid w:val="00976935"/>
    <w:rsid w:val="00977448"/>
    <w:rsid w:val="00980A53"/>
    <w:rsid w:val="00980C4E"/>
    <w:rsid w:val="00980F81"/>
    <w:rsid w:val="009822B8"/>
    <w:rsid w:val="00983704"/>
    <w:rsid w:val="00985E58"/>
    <w:rsid w:val="00986C8E"/>
    <w:rsid w:val="00987620"/>
    <w:rsid w:val="009911CF"/>
    <w:rsid w:val="009918AA"/>
    <w:rsid w:val="009918BC"/>
    <w:rsid w:val="009925A0"/>
    <w:rsid w:val="00993E2A"/>
    <w:rsid w:val="00994490"/>
    <w:rsid w:val="00994C2D"/>
    <w:rsid w:val="009951B2"/>
    <w:rsid w:val="0099614A"/>
    <w:rsid w:val="00996B8B"/>
    <w:rsid w:val="00996D76"/>
    <w:rsid w:val="009A29C5"/>
    <w:rsid w:val="009A2E58"/>
    <w:rsid w:val="009A3889"/>
    <w:rsid w:val="009A601D"/>
    <w:rsid w:val="009A74A5"/>
    <w:rsid w:val="009A756A"/>
    <w:rsid w:val="009B2012"/>
    <w:rsid w:val="009B2846"/>
    <w:rsid w:val="009B30E0"/>
    <w:rsid w:val="009B32F6"/>
    <w:rsid w:val="009B33C5"/>
    <w:rsid w:val="009B54E9"/>
    <w:rsid w:val="009B5C6C"/>
    <w:rsid w:val="009B7212"/>
    <w:rsid w:val="009B734B"/>
    <w:rsid w:val="009B73BB"/>
    <w:rsid w:val="009C0D58"/>
    <w:rsid w:val="009C142E"/>
    <w:rsid w:val="009C14E4"/>
    <w:rsid w:val="009C17FE"/>
    <w:rsid w:val="009C181A"/>
    <w:rsid w:val="009C3555"/>
    <w:rsid w:val="009C3924"/>
    <w:rsid w:val="009C471F"/>
    <w:rsid w:val="009C6D1F"/>
    <w:rsid w:val="009D0570"/>
    <w:rsid w:val="009D4221"/>
    <w:rsid w:val="009D4D30"/>
    <w:rsid w:val="009D4E26"/>
    <w:rsid w:val="009D5842"/>
    <w:rsid w:val="009E13B2"/>
    <w:rsid w:val="009E1EAD"/>
    <w:rsid w:val="009E2753"/>
    <w:rsid w:val="009E2786"/>
    <w:rsid w:val="009E3A7B"/>
    <w:rsid w:val="009E56A4"/>
    <w:rsid w:val="009F0199"/>
    <w:rsid w:val="009F18D6"/>
    <w:rsid w:val="009F1EA4"/>
    <w:rsid w:val="009F2531"/>
    <w:rsid w:val="009F2C5F"/>
    <w:rsid w:val="009F2F48"/>
    <w:rsid w:val="009F5605"/>
    <w:rsid w:val="009F60F5"/>
    <w:rsid w:val="009F6B59"/>
    <w:rsid w:val="009F7256"/>
    <w:rsid w:val="009F73FF"/>
    <w:rsid w:val="00A02595"/>
    <w:rsid w:val="00A03E2D"/>
    <w:rsid w:val="00A03FE2"/>
    <w:rsid w:val="00A04545"/>
    <w:rsid w:val="00A05757"/>
    <w:rsid w:val="00A0628C"/>
    <w:rsid w:val="00A10517"/>
    <w:rsid w:val="00A122C0"/>
    <w:rsid w:val="00A128A2"/>
    <w:rsid w:val="00A12CC3"/>
    <w:rsid w:val="00A141F2"/>
    <w:rsid w:val="00A14F2F"/>
    <w:rsid w:val="00A171E0"/>
    <w:rsid w:val="00A25A59"/>
    <w:rsid w:val="00A2615A"/>
    <w:rsid w:val="00A26E7A"/>
    <w:rsid w:val="00A27409"/>
    <w:rsid w:val="00A30550"/>
    <w:rsid w:val="00A314FF"/>
    <w:rsid w:val="00A31649"/>
    <w:rsid w:val="00A31AE1"/>
    <w:rsid w:val="00A320BB"/>
    <w:rsid w:val="00A34505"/>
    <w:rsid w:val="00A34678"/>
    <w:rsid w:val="00A425AE"/>
    <w:rsid w:val="00A44160"/>
    <w:rsid w:val="00A45A16"/>
    <w:rsid w:val="00A46600"/>
    <w:rsid w:val="00A5127E"/>
    <w:rsid w:val="00A5473F"/>
    <w:rsid w:val="00A56BF3"/>
    <w:rsid w:val="00A60A67"/>
    <w:rsid w:val="00A6102D"/>
    <w:rsid w:val="00A626F8"/>
    <w:rsid w:val="00A63C79"/>
    <w:rsid w:val="00A6467E"/>
    <w:rsid w:val="00A65390"/>
    <w:rsid w:val="00A65AE9"/>
    <w:rsid w:val="00A66EA9"/>
    <w:rsid w:val="00A66EE0"/>
    <w:rsid w:val="00A7045A"/>
    <w:rsid w:val="00A71AF2"/>
    <w:rsid w:val="00A7315D"/>
    <w:rsid w:val="00A73482"/>
    <w:rsid w:val="00A7377C"/>
    <w:rsid w:val="00A73969"/>
    <w:rsid w:val="00A75442"/>
    <w:rsid w:val="00A75B48"/>
    <w:rsid w:val="00A772F9"/>
    <w:rsid w:val="00A778C8"/>
    <w:rsid w:val="00A8197C"/>
    <w:rsid w:val="00A824FC"/>
    <w:rsid w:val="00A83F42"/>
    <w:rsid w:val="00A87B56"/>
    <w:rsid w:val="00A91DF0"/>
    <w:rsid w:val="00A921B5"/>
    <w:rsid w:val="00A92C45"/>
    <w:rsid w:val="00A92E6D"/>
    <w:rsid w:val="00A93133"/>
    <w:rsid w:val="00A93697"/>
    <w:rsid w:val="00A95E02"/>
    <w:rsid w:val="00A977F2"/>
    <w:rsid w:val="00A97DF4"/>
    <w:rsid w:val="00AA093E"/>
    <w:rsid w:val="00AA11E9"/>
    <w:rsid w:val="00AA2A28"/>
    <w:rsid w:val="00AA34D3"/>
    <w:rsid w:val="00AA3672"/>
    <w:rsid w:val="00AA57CC"/>
    <w:rsid w:val="00AB02D1"/>
    <w:rsid w:val="00AB1331"/>
    <w:rsid w:val="00AB1926"/>
    <w:rsid w:val="00AB1F61"/>
    <w:rsid w:val="00AB409E"/>
    <w:rsid w:val="00AB4E4A"/>
    <w:rsid w:val="00AB62FC"/>
    <w:rsid w:val="00AB6FB0"/>
    <w:rsid w:val="00AC0E76"/>
    <w:rsid w:val="00AC1715"/>
    <w:rsid w:val="00AC35BF"/>
    <w:rsid w:val="00AC37B5"/>
    <w:rsid w:val="00AC55B2"/>
    <w:rsid w:val="00AC5705"/>
    <w:rsid w:val="00AC6AC7"/>
    <w:rsid w:val="00AD1717"/>
    <w:rsid w:val="00AD1BBD"/>
    <w:rsid w:val="00AD2D2A"/>
    <w:rsid w:val="00AD2E15"/>
    <w:rsid w:val="00AD321B"/>
    <w:rsid w:val="00AD4AAC"/>
    <w:rsid w:val="00AD4B0E"/>
    <w:rsid w:val="00AD4F8A"/>
    <w:rsid w:val="00AD5D82"/>
    <w:rsid w:val="00AD6239"/>
    <w:rsid w:val="00AD6D5B"/>
    <w:rsid w:val="00AD7189"/>
    <w:rsid w:val="00AD726B"/>
    <w:rsid w:val="00AD79A3"/>
    <w:rsid w:val="00AD7BB0"/>
    <w:rsid w:val="00AE0CC1"/>
    <w:rsid w:val="00AE3938"/>
    <w:rsid w:val="00AE39BF"/>
    <w:rsid w:val="00AE5D92"/>
    <w:rsid w:val="00AE699A"/>
    <w:rsid w:val="00AE707B"/>
    <w:rsid w:val="00AE729E"/>
    <w:rsid w:val="00AE7560"/>
    <w:rsid w:val="00AE7775"/>
    <w:rsid w:val="00AF027F"/>
    <w:rsid w:val="00AF0721"/>
    <w:rsid w:val="00AF2728"/>
    <w:rsid w:val="00AF334C"/>
    <w:rsid w:val="00AF3E67"/>
    <w:rsid w:val="00AF3F88"/>
    <w:rsid w:val="00AF50E2"/>
    <w:rsid w:val="00AF5FFB"/>
    <w:rsid w:val="00AF6E1F"/>
    <w:rsid w:val="00B03482"/>
    <w:rsid w:val="00B0377B"/>
    <w:rsid w:val="00B04011"/>
    <w:rsid w:val="00B063D5"/>
    <w:rsid w:val="00B075A1"/>
    <w:rsid w:val="00B14318"/>
    <w:rsid w:val="00B15FE6"/>
    <w:rsid w:val="00B166FA"/>
    <w:rsid w:val="00B1730F"/>
    <w:rsid w:val="00B177F7"/>
    <w:rsid w:val="00B17A59"/>
    <w:rsid w:val="00B238A9"/>
    <w:rsid w:val="00B23E00"/>
    <w:rsid w:val="00B24275"/>
    <w:rsid w:val="00B245ED"/>
    <w:rsid w:val="00B24EDC"/>
    <w:rsid w:val="00B25196"/>
    <w:rsid w:val="00B25F5E"/>
    <w:rsid w:val="00B313ED"/>
    <w:rsid w:val="00B33DAF"/>
    <w:rsid w:val="00B345E6"/>
    <w:rsid w:val="00B3553E"/>
    <w:rsid w:val="00B378D9"/>
    <w:rsid w:val="00B40D16"/>
    <w:rsid w:val="00B431B1"/>
    <w:rsid w:val="00B4332E"/>
    <w:rsid w:val="00B43986"/>
    <w:rsid w:val="00B43CFB"/>
    <w:rsid w:val="00B44F85"/>
    <w:rsid w:val="00B4608F"/>
    <w:rsid w:val="00B4664B"/>
    <w:rsid w:val="00B46C12"/>
    <w:rsid w:val="00B473AC"/>
    <w:rsid w:val="00B47406"/>
    <w:rsid w:val="00B53EAB"/>
    <w:rsid w:val="00B53F7A"/>
    <w:rsid w:val="00B55785"/>
    <w:rsid w:val="00B56D27"/>
    <w:rsid w:val="00B57540"/>
    <w:rsid w:val="00B57A56"/>
    <w:rsid w:val="00B57F63"/>
    <w:rsid w:val="00B6056A"/>
    <w:rsid w:val="00B61365"/>
    <w:rsid w:val="00B62B06"/>
    <w:rsid w:val="00B64434"/>
    <w:rsid w:val="00B64B8A"/>
    <w:rsid w:val="00B64BB5"/>
    <w:rsid w:val="00B65E23"/>
    <w:rsid w:val="00B66192"/>
    <w:rsid w:val="00B671B7"/>
    <w:rsid w:val="00B677C9"/>
    <w:rsid w:val="00B70FFA"/>
    <w:rsid w:val="00B741CC"/>
    <w:rsid w:val="00B771CA"/>
    <w:rsid w:val="00B8121D"/>
    <w:rsid w:val="00B813FD"/>
    <w:rsid w:val="00B856B3"/>
    <w:rsid w:val="00B8799C"/>
    <w:rsid w:val="00B90580"/>
    <w:rsid w:val="00B9078A"/>
    <w:rsid w:val="00B91410"/>
    <w:rsid w:val="00B91472"/>
    <w:rsid w:val="00B916D5"/>
    <w:rsid w:val="00B9229C"/>
    <w:rsid w:val="00B927A6"/>
    <w:rsid w:val="00B9283A"/>
    <w:rsid w:val="00B9431D"/>
    <w:rsid w:val="00B95015"/>
    <w:rsid w:val="00B95BB6"/>
    <w:rsid w:val="00B9647B"/>
    <w:rsid w:val="00BA056F"/>
    <w:rsid w:val="00BA1E2D"/>
    <w:rsid w:val="00BA4541"/>
    <w:rsid w:val="00BA4951"/>
    <w:rsid w:val="00BA5769"/>
    <w:rsid w:val="00BA57F1"/>
    <w:rsid w:val="00BA6635"/>
    <w:rsid w:val="00BB0C32"/>
    <w:rsid w:val="00BB0D42"/>
    <w:rsid w:val="00BB3D3A"/>
    <w:rsid w:val="00BB3E18"/>
    <w:rsid w:val="00BB4519"/>
    <w:rsid w:val="00BB466D"/>
    <w:rsid w:val="00BB5030"/>
    <w:rsid w:val="00BB5E9B"/>
    <w:rsid w:val="00BB6565"/>
    <w:rsid w:val="00BB7D39"/>
    <w:rsid w:val="00BC1522"/>
    <w:rsid w:val="00BC1E01"/>
    <w:rsid w:val="00BC222F"/>
    <w:rsid w:val="00BC713E"/>
    <w:rsid w:val="00BD0636"/>
    <w:rsid w:val="00BD0B98"/>
    <w:rsid w:val="00BD0CA7"/>
    <w:rsid w:val="00BD71BE"/>
    <w:rsid w:val="00BD7EDA"/>
    <w:rsid w:val="00BE10D3"/>
    <w:rsid w:val="00BE139C"/>
    <w:rsid w:val="00BE28D2"/>
    <w:rsid w:val="00BE29BF"/>
    <w:rsid w:val="00BE2F52"/>
    <w:rsid w:val="00BE407E"/>
    <w:rsid w:val="00BF00F9"/>
    <w:rsid w:val="00BF19E9"/>
    <w:rsid w:val="00BF544B"/>
    <w:rsid w:val="00BF5A52"/>
    <w:rsid w:val="00BF6B86"/>
    <w:rsid w:val="00C01798"/>
    <w:rsid w:val="00C024F6"/>
    <w:rsid w:val="00C028EB"/>
    <w:rsid w:val="00C02AD2"/>
    <w:rsid w:val="00C02C1B"/>
    <w:rsid w:val="00C0324B"/>
    <w:rsid w:val="00C03B4B"/>
    <w:rsid w:val="00C05E0A"/>
    <w:rsid w:val="00C1061B"/>
    <w:rsid w:val="00C11596"/>
    <w:rsid w:val="00C12171"/>
    <w:rsid w:val="00C12EDA"/>
    <w:rsid w:val="00C13BCB"/>
    <w:rsid w:val="00C15382"/>
    <w:rsid w:val="00C16201"/>
    <w:rsid w:val="00C16653"/>
    <w:rsid w:val="00C16E65"/>
    <w:rsid w:val="00C170BB"/>
    <w:rsid w:val="00C17726"/>
    <w:rsid w:val="00C225FC"/>
    <w:rsid w:val="00C23420"/>
    <w:rsid w:val="00C25604"/>
    <w:rsid w:val="00C25A6D"/>
    <w:rsid w:val="00C26F4E"/>
    <w:rsid w:val="00C279AE"/>
    <w:rsid w:val="00C304BC"/>
    <w:rsid w:val="00C322E8"/>
    <w:rsid w:val="00C33143"/>
    <w:rsid w:val="00C33510"/>
    <w:rsid w:val="00C3375E"/>
    <w:rsid w:val="00C33D50"/>
    <w:rsid w:val="00C344DB"/>
    <w:rsid w:val="00C344E1"/>
    <w:rsid w:val="00C400F5"/>
    <w:rsid w:val="00C43681"/>
    <w:rsid w:val="00C43734"/>
    <w:rsid w:val="00C45284"/>
    <w:rsid w:val="00C45CA7"/>
    <w:rsid w:val="00C45DB6"/>
    <w:rsid w:val="00C47C09"/>
    <w:rsid w:val="00C51937"/>
    <w:rsid w:val="00C53522"/>
    <w:rsid w:val="00C57D85"/>
    <w:rsid w:val="00C605FF"/>
    <w:rsid w:val="00C62770"/>
    <w:rsid w:val="00C728B8"/>
    <w:rsid w:val="00C73333"/>
    <w:rsid w:val="00C7425D"/>
    <w:rsid w:val="00C75C97"/>
    <w:rsid w:val="00C77B36"/>
    <w:rsid w:val="00C8100A"/>
    <w:rsid w:val="00C81038"/>
    <w:rsid w:val="00C813E4"/>
    <w:rsid w:val="00C85325"/>
    <w:rsid w:val="00C85357"/>
    <w:rsid w:val="00C85600"/>
    <w:rsid w:val="00C90DA6"/>
    <w:rsid w:val="00C91F49"/>
    <w:rsid w:val="00C92032"/>
    <w:rsid w:val="00C925A2"/>
    <w:rsid w:val="00C92954"/>
    <w:rsid w:val="00C9351A"/>
    <w:rsid w:val="00C93913"/>
    <w:rsid w:val="00C9492A"/>
    <w:rsid w:val="00CA138D"/>
    <w:rsid w:val="00CA2C07"/>
    <w:rsid w:val="00CA3F4F"/>
    <w:rsid w:val="00CA72C5"/>
    <w:rsid w:val="00CB1117"/>
    <w:rsid w:val="00CB11A4"/>
    <w:rsid w:val="00CB63CA"/>
    <w:rsid w:val="00CB6C79"/>
    <w:rsid w:val="00CC00E2"/>
    <w:rsid w:val="00CC4B5B"/>
    <w:rsid w:val="00CC641F"/>
    <w:rsid w:val="00CC6CA5"/>
    <w:rsid w:val="00CD08B6"/>
    <w:rsid w:val="00CD1563"/>
    <w:rsid w:val="00CD260E"/>
    <w:rsid w:val="00CD2C3E"/>
    <w:rsid w:val="00CD520C"/>
    <w:rsid w:val="00CD5BF9"/>
    <w:rsid w:val="00CD5CBF"/>
    <w:rsid w:val="00CD6841"/>
    <w:rsid w:val="00CD68F3"/>
    <w:rsid w:val="00CD7337"/>
    <w:rsid w:val="00CE051C"/>
    <w:rsid w:val="00CE12BE"/>
    <w:rsid w:val="00CE1303"/>
    <w:rsid w:val="00CE13EF"/>
    <w:rsid w:val="00CE492F"/>
    <w:rsid w:val="00CE70F0"/>
    <w:rsid w:val="00CE7C1D"/>
    <w:rsid w:val="00CF18AC"/>
    <w:rsid w:val="00CF1CB9"/>
    <w:rsid w:val="00CF2549"/>
    <w:rsid w:val="00CF4AAA"/>
    <w:rsid w:val="00CF5E9E"/>
    <w:rsid w:val="00CF6E2C"/>
    <w:rsid w:val="00D00D16"/>
    <w:rsid w:val="00D03C9A"/>
    <w:rsid w:val="00D04FF5"/>
    <w:rsid w:val="00D0594C"/>
    <w:rsid w:val="00D07A42"/>
    <w:rsid w:val="00D07B67"/>
    <w:rsid w:val="00D10E9D"/>
    <w:rsid w:val="00D1153C"/>
    <w:rsid w:val="00D121D5"/>
    <w:rsid w:val="00D1237A"/>
    <w:rsid w:val="00D13205"/>
    <w:rsid w:val="00D1393F"/>
    <w:rsid w:val="00D14287"/>
    <w:rsid w:val="00D147F4"/>
    <w:rsid w:val="00D15244"/>
    <w:rsid w:val="00D15984"/>
    <w:rsid w:val="00D16FB4"/>
    <w:rsid w:val="00D17A78"/>
    <w:rsid w:val="00D17F7A"/>
    <w:rsid w:val="00D24E6A"/>
    <w:rsid w:val="00D25B55"/>
    <w:rsid w:val="00D27344"/>
    <w:rsid w:val="00D278CA"/>
    <w:rsid w:val="00D33E0A"/>
    <w:rsid w:val="00D34BC1"/>
    <w:rsid w:val="00D36437"/>
    <w:rsid w:val="00D4070D"/>
    <w:rsid w:val="00D41F4E"/>
    <w:rsid w:val="00D43F5E"/>
    <w:rsid w:val="00D46C83"/>
    <w:rsid w:val="00D47EE3"/>
    <w:rsid w:val="00D50194"/>
    <w:rsid w:val="00D5029F"/>
    <w:rsid w:val="00D51496"/>
    <w:rsid w:val="00D52C73"/>
    <w:rsid w:val="00D52D9F"/>
    <w:rsid w:val="00D5365F"/>
    <w:rsid w:val="00D537DF"/>
    <w:rsid w:val="00D53BDE"/>
    <w:rsid w:val="00D55C83"/>
    <w:rsid w:val="00D61144"/>
    <w:rsid w:val="00D61DE9"/>
    <w:rsid w:val="00D620BB"/>
    <w:rsid w:val="00D6268E"/>
    <w:rsid w:val="00D63E94"/>
    <w:rsid w:val="00D649B6"/>
    <w:rsid w:val="00D660CC"/>
    <w:rsid w:val="00D66AFC"/>
    <w:rsid w:val="00D718B6"/>
    <w:rsid w:val="00D72ACF"/>
    <w:rsid w:val="00D741B9"/>
    <w:rsid w:val="00D76414"/>
    <w:rsid w:val="00D76F53"/>
    <w:rsid w:val="00D779E1"/>
    <w:rsid w:val="00D813E6"/>
    <w:rsid w:val="00D82A30"/>
    <w:rsid w:val="00D83155"/>
    <w:rsid w:val="00D84CA9"/>
    <w:rsid w:val="00D857A4"/>
    <w:rsid w:val="00D85809"/>
    <w:rsid w:val="00D86FF6"/>
    <w:rsid w:val="00D87198"/>
    <w:rsid w:val="00D904A4"/>
    <w:rsid w:val="00D90ABA"/>
    <w:rsid w:val="00D9127A"/>
    <w:rsid w:val="00D923E1"/>
    <w:rsid w:val="00D94BD4"/>
    <w:rsid w:val="00D95410"/>
    <w:rsid w:val="00D96834"/>
    <w:rsid w:val="00D96C09"/>
    <w:rsid w:val="00D96D9C"/>
    <w:rsid w:val="00DA0127"/>
    <w:rsid w:val="00DA21A2"/>
    <w:rsid w:val="00DA3238"/>
    <w:rsid w:val="00DA4936"/>
    <w:rsid w:val="00DA4C20"/>
    <w:rsid w:val="00DB07E0"/>
    <w:rsid w:val="00DB0A2D"/>
    <w:rsid w:val="00DB0F34"/>
    <w:rsid w:val="00DB1E23"/>
    <w:rsid w:val="00DB28A8"/>
    <w:rsid w:val="00DB32F9"/>
    <w:rsid w:val="00DB4BA5"/>
    <w:rsid w:val="00DB5E06"/>
    <w:rsid w:val="00DB620F"/>
    <w:rsid w:val="00DB743F"/>
    <w:rsid w:val="00DC0020"/>
    <w:rsid w:val="00DC00A0"/>
    <w:rsid w:val="00DC6975"/>
    <w:rsid w:val="00DC69B2"/>
    <w:rsid w:val="00DC7EAC"/>
    <w:rsid w:val="00DD063B"/>
    <w:rsid w:val="00DD121F"/>
    <w:rsid w:val="00DD1566"/>
    <w:rsid w:val="00DD21FB"/>
    <w:rsid w:val="00DD4371"/>
    <w:rsid w:val="00DE0030"/>
    <w:rsid w:val="00DE1AEB"/>
    <w:rsid w:val="00DE3249"/>
    <w:rsid w:val="00DE5BEE"/>
    <w:rsid w:val="00DE645B"/>
    <w:rsid w:val="00DE7971"/>
    <w:rsid w:val="00DF10D2"/>
    <w:rsid w:val="00DF1B47"/>
    <w:rsid w:val="00DF3F20"/>
    <w:rsid w:val="00DF4002"/>
    <w:rsid w:val="00DF5175"/>
    <w:rsid w:val="00DF5C9C"/>
    <w:rsid w:val="00E00EFB"/>
    <w:rsid w:val="00E01B7D"/>
    <w:rsid w:val="00E026DE"/>
    <w:rsid w:val="00E042B0"/>
    <w:rsid w:val="00E04D80"/>
    <w:rsid w:val="00E05B65"/>
    <w:rsid w:val="00E113A1"/>
    <w:rsid w:val="00E1423E"/>
    <w:rsid w:val="00E148C3"/>
    <w:rsid w:val="00E15042"/>
    <w:rsid w:val="00E155C2"/>
    <w:rsid w:val="00E159FF"/>
    <w:rsid w:val="00E1725F"/>
    <w:rsid w:val="00E17B2C"/>
    <w:rsid w:val="00E17C5E"/>
    <w:rsid w:val="00E201C6"/>
    <w:rsid w:val="00E20D55"/>
    <w:rsid w:val="00E21D0E"/>
    <w:rsid w:val="00E22EEA"/>
    <w:rsid w:val="00E23F19"/>
    <w:rsid w:val="00E24405"/>
    <w:rsid w:val="00E263BC"/>
    <w:rsid w:val="00E30A70"/>
    <w:rsid w:val="00E3187C"/>
    <w:rsid w:val="00E332C7"/>
    <w:rsid w:val="00E345EB"/>
    <w:rsid w:val="00E34E33"/>
    <w:rsid w:val="00E359A7"/>
    <w:rsid w:val="00E3610C"/>
    <w:rsid w:val="00E4188E"/>
    <w:rsid w:val="00E41976"/>
    <w:rsid w:val="00E41CCA"/>
    <w:rsid w:val="00E423AC"/>
    <w:rsid w:val="00E439F5"/>
    <w:rsid w:val="00E45236"/>
    <w:rsid w:val="00E460A7"/>
    <w:rsid w:val="00E46B80"/>
    <w:rsid w:val="00E475B4"/>
    <w:rsid w:val="00E50406"/>
    <w:rsid w:val="00E52149"/>
    <w:rsid w:val="00E52C34"/>
    <w:rsid w:val="00E541B4"/>
    <w:rsid w:val="00E542FE"/>
    <w:rsid w:val="00E550D9"/>
    <w:rsid w:val="00E55328"/>
    <w:rsid w:val="00E6041C"/>
    <w:rsid w:val="00E60668"/>
    <w:rsid w:val="00E606A8"/>
    <w:rsid w:val="00E608D4"/>
    <w:rsid w:val="00E60FAE"/>
    <w:rsid w:val="00E612FD"/>
    <w:rsid w:val="00E62E3F"/>
    <w:rsid w:val="00E65959"/>
    <w:rsid w:val="00E65DFF"/>
    <w:rsid w:val="00E7004D"/>
    <w:rsid w:val="00E70E98"/>
    <w:rsid w:val="00E72C99"/>
    <w:rsid w:val="00E72DE6"/>
    <w:rsid w:val="00E72E45"/>
    <w:rsid w:val="00E7343E"/>
    <w:rsid w:val="00E735EB"/>
    <w:rsid w:val="00E74AF9"/>
    <w:rsid w:val="00E7633E"/>
    <w:rsid w:val="00E828B4"/>
    <w:rsid w:val="00E83408"/>
    <w:rsid w:val="00E83A7C"/>
    <w:rsid w:val="00E85CCB"/>
    <w:rsid w:val="00E86C31"/>
    <w:rsid w:val="00E87795"/>
    <w:rsid w:val="00E908F9"/>
    <w:rsid w:val="00E93CE8"/>
    <w:rsid w:val="00E97395"/>
    <w:rsid w:val="00E97447"/>
    <w:rsid w:val="00EA13FC"/>
    <w:rsid w:val="00EA14B0"/>
    <w:rsid w:val="00EA233A"/>
    <w:rsid w:val="00EA2372"/>
    <w:rsid w:val="00EA4562"/>
    <w:rsid w:val="00EA4E34"/>
    <w:rsid w:val="00EA5A06"/>
    <w:rsid w:val="00EB0002"/>
    <w:rsid w:val="00EB34EC"/>
    <w:rsid w:val="00EB3A86"/>
    <w:rsid w:val="00EB601E"/>
    <w:rsid w:val="00EB6633"/>
    <w:rsid w:val="00EB78D8"/>
    <w:rsid w:val="00EC0FB2"/>
    <w:rsid w:val="00EC1B10"/>
    <w:rsid w:val="00EC2640"/>
    <w:rsid w:val="00EC5088"/>
    <w:rsid w:val="00EC6D21"/>
    <w:rsid w:val="00EC7580"/>
    <w:rsid w:val="00ED1A79"/>
    <w:rsid w:val="00ED1CBB"/>
    <w:rsid w:val="00ED22CA"/>
    <w:rsid w:val="00ED27F3"/>
    <w:rsid w:val="00ED3753"/>
    <w:rsid w:val="00ED58A9"/>
    <w:rsid w:val="00ED5A4A"/>
    <w:rsid w:val="00ED5B57"/>
    <w:rsid w:val="00ED6EDF"/>
    <w:rsid w:val="00EE1DF8"/>
    <w:rsid w:val="00EE2119"/>
    <w:rsid w:val="00EE2FD7"/>
    <w:rsid w:val="00EE40C8"/>
    <w:rsid w:val="00EE6171"/>
    <w:rsid w:val="00EF0DC2"/>
    <w:rsid w:val="00EF62F5"/>
    <w:rsid w:val="00EF6D0A"/>
    <w:rsid w:val="00EF7BFA"/>
    <w:rsid w:val="00F015D8"/>
    <w:rsid w:val="00F04C6E"/>
    <w:rsid w:val="00F05396"/>
    <w:rsid w:val="00F07595"/>
    <w:rsid w:val="00F114D2"/>
    <w:rsid w:val="00F14C53"/>
    <w:rsid w:val="00F14D3F"/>
    <w:rsid w:val="00F15C1C"/>
    <w:rsid w:val="00F16002"/>
    <w:rsid w:val="00F16F74"/>
    <w:rsid w:val="00F177BC"/>
    <w:rsid w:val="00F17E56"/>
    <w:rsid w:val="00F2153C"/>
    <w:rsid w:val="00F222A1"/>
    <w:rsid w:val="00F22EEA"/>
    <w:rsid w:val="00F23F1F"/>
    <w:rsid w:val="00F24ED7"/>
    <w:rsid w:val="00F261B1"/>
    <w:rsid w:val="00F26442"/>
    <w:rsid w:val="00F304D7"/>
    <w:rsid w:val="00F30638"/>
    <w:rsid w:val="00F30D14"/>
    <w:rsid w:val="00F3262A"/>
    <w:rsid w:val="00F34AC3"/>
    <w:rsid w:val="00F35EC2"/>
    <w:rsid w:val="00F3739F"/>
    <w:rsid w:val="00F37B64"/>
    <w:rsid w:val="00F407A1"/>
    <w:rsid w:val="00F44D5D"/>
    <w:rsid w:val="00F47532"/>
    <w:rsid w:val="00F50064"/>
    <w:rsid w:val="00F555C3"/>
    <w:rsid w:val="00F558FD"/>
    <w:rsid w:val="00F56C6D"/>
    <w:rsid w:val="00F6003F"/>
    <w:rsid w:val="00F6064B"/>
    <w:rsid w:val="00F6205B"/>
    <w:rsid w:val="00F62501"/>
    <w:rsid w:val="00F636AA"/>
    <w:rsid w:val="00F63A1D"/>
    <w:rsid w:val="00F642CE"/>
    <w:rsid w:val="00F64786"/>
    <w:rsid w:val="00F65141"/>
    <w:rsid w:val="00F652BB"/>
    <w:rsid w:val="00F70EE6"/>
    <w:rsid w:val="00F73273"/>
    <w:rsid w:val="00F74E8D"/>
    <w:rsid w:val="00F7683C"/>
    <w:rsid w:val="00F76885"/>
    <w:rsid w:val="00F772C4"/>
    <w:rsid w:val="00F81305"/>
    <w:rsid w:val="00F81379"/>
    <w:rsid w:val="00F81446"/>
    <w:rsid w:val="00F82A79"/>
    <w:rsid w:val="00F83C30"/>
    <w:rsid w:val="00F83F6B"/>
    <w:rsid w:val="00F864A4"/>
    <w:rsid w:val="00F86CDD"/>
    <w:rsid w:val="00F875B3"/>
    <w:rsid w:val="00F875C3"/>
    <w:rsid w:val="00F901C3"/>
    <w:rsid w:val="00F90BE2"/>
    <w:rsid w:val="00F95BD1"/>
    <w:rsid w:val="00FA048A"/>
    <w:rsid w:val="00FA11FC"/>
    <w:rsid w:val="00FA2448"/>
    <w:rsid w:val="00FA330C"/>
    <w:rsid w:val="00FA4508"/>
    <w:rsid w:val="00FA5097"/>
    <w:rsid w:val="00FA50E5"/>
    <w:rsid w:val="00FA591F"/>
    <w:rsid w:val="00FA6F18"/>
    <w:rsid w:val="00FA79D5"/>
    <w:rsid w:val="00FB1688"/>
    <w:rsid w:val="00FB1A8A"/>
    <w:rsid w:val="00FB351D"/>
    <w:rsid w:val="00FB4298"/>
    <w:rsid w:val="00FB6604"/>
    <w:rsid w:val="00FB7EED"/>
    <w:rsid w:val="00FC03EB"/>
    <w:rsid w:val="00FC662F"/>
    <w:rsid w:val="00FD21E7"/>
    <w:rsid w:val="00FD5B5B"/>
    <w:rsid w:val="00FD6FA2"/>
    <w:rsid w:val="00FD76C1"/>
    <w:rsid w:val="00FE012A"/>
    <w:rsid w:val="00FE0405"/>
    <w:rsid w:val="00FE2971"/>
    <w:rsid w:val="00FE2A2A"/>
    <w:rsid w:val="00FE2A45"/>
    <w:rsid w:val="00FE3450"/>
    <w:rsid w:val="00FE5B63"/>
    <w:rsid w:val="00FE7833"/>
    <w:rsid w:val="00FF0082"/>
    <w:rsid w:val="00FF0143"/>
    <w:rsid w:val="00FF0DD7"/>
    <w:rsid w:val="00FF0E19"/>
    <w:rsid w:val="00FF5161"/>
    <w:rsid w:val="00FF5637"/>
    <w:rsid w:val="00FF6529"/>
    <w:rsid w:val="00FF71E1"/>
    <w:rsid w:val="00FF7883"/>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colormru v:ext="edit" colors="#944697,#d8020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5"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E18"/>
    <w:rPr>
      <w:rFonts w:ascii="Arial" w:hAnsi="Arial"/>
      <w:color w:val="747378"/>
      <w:sz w:val="18"/>
      <w:szCs w:val="24"/>
      <w:lang w:eastAsia="en-US"/>
    </w:rPr>
  </w:style>
  <w:style w:type="paragraph" w:styleId="Heading1">
    <w:name w:val="heading 1"/>
    <w:basedOn w:val="Normal"/>
    <w:next w:val="Normal"/>
    <w:qFormat/>
    <w:rsid w:val="00A8197C"/>
    <w:pPr>
      <w:keepNext/>
      <w:pageBreakBefore/>
      <w:numPr>
        <w:numId w:val="13"/>
      </w:numPr>
      <w:spacing w:after="60" w:line="450" w:lineRule="atLeast"/>
      <w:outlineLvl w:val="0"/>
    </w:pPr>
    <w:rPr>
      <w:rFonts w:cs="Arial"/>
      <w:bCs/>
      <w:color w:val="7F7F7F" w:themeColor="text2"/>
      <w:kern w:val="32"/>
      <w:sz w:val="36"/>
      <w:szCs w:val="36"/>
    </w:rPr>
  </w:style>
  <w:style w:type="paragraph" w:styleId="Heading2">
    <w:name w:val="heading 2"/>
    <w:basedOn w:val="Normal"/>
    <w:next w:val="Normal"/>
    <w:qFormat/>
    <w:rsid w:val="00A8197C"/>
    <w:pPr>
      <w:keepNext/>
      <w:spacing w:before="430" w:after="60"/>
      <w:outlineLvl w:val="1"/>
    </w:pPr>
    <w:rPr>
      <w:rFonts w:cs="Arial"/>
      <w:bCs/>
      <w:iCs/>
      <w:color w:val="7F7F7F" w:themeColor="text2"/>
      <w:sz w:val="28"/>
      <w:szCs w:val="28"/>
    </w:rPr>
  </w:style>
  <w:style w:type="paragraph" w:styleId="Heading3">
    <w:name w:val="heading 3"/>
    <w:basedOn w:val="Normal"/>
    <w:next w:val="Normal"/>
    <w:qFormat/>
    <w:rsid w:val="00086DCD"/>
    <w:pPr>
      <w:keepNext/>
      <w:spacing w:before="70" w:after="80"/>
      <w:outlineLvl w:val="2"/>
    </w:pPr>
    <w:rPr>
      <w:rFonts w:cs="Arial"/>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85DBA"/>
    <w:pPr>
      <w:tabs>
        <w:tab w:val="center" w:pos="4320"/>
        <w:tab w:val="right" w:pos="8640"/>
      </w:tabs>
    </w:pPr>
  </w:style>
  <w:style w:type="paragraph" w:styleId="Footer">
    <w:name w:val="footer"/>
    <w:basedOn w:val="Normal"/>
    <w:link w:val="FooterChar"/>
    <w:uiPriority w:val="99"/>
    <w:rsid w:val="000D4779"/>
    <w:pPr>
      <w:tabs>
        <w:tab w:val="right" w:pos="8640"/>
      </w:tabs>
      <w:ind w:right="57"/>
      <w:jc w:val="right"/>
    </w:pPr>
    <w:rPr>
      <w:spacing w:val="-1"/>
      <w:sz w:val="14"/>
      <w:szCs w:val="14"/>
    </w:rPr>
  </w:style>
  <w:style w:type="paragraph" w:customStyle="1" w:styleId="ReportTitle">
    <w:name w:val="Report Title"/>
    <w:basedOn w:val="Normal"/>
    <w:rsid w:val="00BB6565"/>
    <w:pPr>
      <w:spacing w:after="35" w:line="480" w:lineRule="exact"/>
    </w:pPr>
    <w:rPr>
      <w:color w:val="D2000B"/>
      <w:spacing w:val="-12"/>
      <w:sz w:val="46"/>
      <w:szCs w:val="46"/>
    </w:rPr>
  </w:style>
  <w:style w:type="paragraph" w:customStyle="1" w:styleId="ReportSub-Title">
    <w:name w:val="Report Sub-Title"/>
    <w:basedOn w:val="Normal"/>
    <w:rsid w:val="00927968"/>
    <w:pPr>
      <w:spacing w:line="330" w:lineRule="exact"/>
    </w:pPr>
    <w:rPr>
      <w:color w:val="808080"/>
      <w:spacing w:val="-6"/>
      <w:sz w:val="28"/>
      <w:szCs w:val="28"/>
    </w:rPr>
  </w:style>
  <w:style w:type="paragraph" w:customStyle="1" w:styleId="CopyrightDetailsBold">
    <w:name w:val="Copyright Details Bold"/>
    <w:basedOn w:val="Normal"/>
    <w:rsid w:val="00F015D8"/>
    <w:pPr>
      <w:spacing w:line="260" w:lineRule="exact"/>
    </w:pPr>
    <w:rPr>
      <w:b/>
    </w:rPr>
  </w:style>
  <w:style w:type="paragraph" w:customStyle="1" w:styleId="CopyrightDetails">
    <w:name w:val="Copyright Details"/>
    <w:basedOn w:val="Normal"/>
    <w:rsid w:val="00F015D8"/>
    <w:pPr>
      <w:spacing w:line="260" w:lineRule="exact"/>
    </w:pPr>
  </w:style>
  <w:style w:type="paragraph" w:customStyle="1" w:styleId="CopyrightDetails-Logo">
    <w:name w:val="Copyright Details - Logo"/>
    <w:basedOn w:val="CopyrightDetails"/>
    <w:next w:val="CopyrightDetails"/>
    <w:rsid w:val="00AA11E9"/>
    <w:pPr>
      <w:spacing w:before="56" w:after="136" w:line="240" w:lineRule="auto"/>
    </w:pPr>
  </w:style>
  <w:style w:type="paragraph" w:customStyle="1" w:styleId="TOCTitle">
    <w:name w:val="TOC Title"/>
    <w:basedOn w:val="Header"/>
    <w:link w:val="TOCTitleChar"/>
    <w:rsid w:val="0002637D"/>
    <w:pPr>
      <w:ind w:left="-336"/>
    </w:pPr>
    <w:rPr>
      <w:color w:val="D2000B"/>
      <w:sz w:val="36"/>
      <w:szCs w:val="36"/>
    </w:rPr>
  </w:style>
  <w:style w:type="character" w:customStyle="1" w:styleId="HeaderChar">
    <w:name w:val="Header Char"/>
    <w:basedOn w:val="DefaultParagraphFont"/>
    <w:link w:val="Header"/>
    <w:rsid w:val="002A163D"/>
    <w:rPr>
      <w:rFonts w:ascii="Arial" w:hAnsi="Arial"/>
      <w:sz w:val="18"/>
      <w:szCs w:val="24"/>
      <w:lang w:val="en-AU" w:eastAsia="en-US" w:bidi="ar-SA"/>
    </w:rPr>
  </w:style>
  <w:style w:type="character" w:customStyle="1" w:styleId="TOCTitleChar">
    <w:name w:val="TOC Title Char"/>
    <w:basedOn w:val="HeaderChar"/>
    <w:link w:val="TOCTitle"/>
    <w:rsid w:val="0002637D"/>
    <w:rPr>
      <w:rFonts w:ascii="Arial" w:hAnsi="Arial"/>
      <w:color w:val="D2000B"/>
      <w:sz w:val="36"/>
      <w:szCs w:val="36"/>
      <w:lang w:val="en-AU" w:eastAsia="en-US" w:bidi="ar-SA"/>
    </w:rPr>
  </w:style>
  <w:style w:type="table" w:styleId="TableGrid">
    <w:name w:val="Table Grid"/>
    <w:basedOn w:val="TableNormal"/>
    <w:rsid w:val="00E72C99"/>
    <w:pPr>
      <w:spacing w:after="90" w:line="2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7C7E50"/>
    <w:pPr>
      <w:tabs>
        <w:tab w:val="left" w:pos="284"/>
        <w:tab w:val="right" w:pos="7502"/>
      </w:tabs>
      <w:spacing w:after="120"/>
    </w:pPr>
    <w:rPr>
      <w:b/>
      <w:bCs/>
      <w:iCs/>
      <w:sz w:val="19"/>
    </w:rPr>
  </w:style>
  <w:style w:type="character" w:styleId="PageNumber">
    <w:name w:val="page number"/>
    <w:basedOn w:val="DefaultParagraphFont"/>
    <w:rsid w:val="00BB6565"/>
  </w:style>
  <w:style w:type="paragraph" w:styleId="ListBullet">
    <w:name w:val="List Bullet"/>
    <w:basedOn w:val="Normal"/>
    <w:rsid w:val="0099614A"/>
    <w:pPr>
      <w:numPr>
        <w:numId w:val="4"/>
      </w:numPr>
      <w:spacing w:after="84"/>
    </w:pPr>
  </w:style>
  <w:style w:type="paragraph" w:styleId="TOC3">
    <w:name w:val="toc 3"/>
    <w:basedOn w:val="Normal"/>
    <w:next w:val="Normal"/>
    <w:autoRedefine/>
    <w:uiPriority w:val="39"/>
    <w:rsid w:val="00AF50E2"/>
    <w:pPr>
      <w:ind w:left="360"/>
    </w:pPr>
    <w:rPr>
      <w:rFonts w:ascii="Calibri" w:hAnsi="Calibri"/>
      <w:sz w:val="20"/>
      <w:szCs w:val="20"/>
    </w:rPr>
  </w:style>
  <w:style w:type="paragraph" w:styleId="TOC2">
    <w:name w:val="toc 2"/>
    <w:basedOn w:val="Normal"/>
    <w:next w:val="Normal"/>
    <w:uiPriority w:val="39"/>
    <w:rsid w:val="00A66EA9"/>
    <w:pPr>
      <w:spacing w:before="120" w:after="120" w:line="360" w:lineRule="auto"/>
      <w:ind w:left="709"/>
    </w:pPr>
    <w:rPr>
      <w:bCs/>
      <w:sz w:val="19"/>
      <w:szCs w:val="22"/>
    </w:rPr>
  </w:style>
  <w:style w:type="paragraph" w:styleId="Quote">
    <w:name w:val="Quote"/>
    <w:basedOn w:val="Normal"/>
    <w:link w:val="QuoteChar"/>
    <w:qFormat/>
    <w:rsid w:val="00A8197C"/>
    <w:rPr>
      <w:b/>
      <w:color w:val="7F7F7F" w:themeColor="text2"/>
      <w:sz w:val="19"/>
      <w:szCs w:val="19"/>
    </w:rPr>
  </w:style>
  <w:style w:type="paragraph" w:customStyle="1" w:styleId="Default">
    <w:name w:val="Default"/>
    <w:rsid w:val="00A97DF4"/>
    <w:pPr>
      <w:widowControl w:val="0"/>
      <w:autoSpaceDE w:val="0"/>
      <w:autoSpaceDN w:val="0"/>
      <w:adjustRightInd w:val="0"/>
    </w:pPr>
    <w:rPr>
      <w:rFonts w:ascii="Arial" w:hAnsi="Arial" w:cs="Arial"/>
      <w:color w:val="000000"/>
      <w:sz w:val="24"/>
      <w:szCs w:val="24"/>
      <w:lang w:val="en-US" w:eastAsia="en-US"/>
    </w:rPr>
  </w:style>
  <w:style w:type="paragraph" w:customStyle="1" w:styleId="Table-ColumnHeading">
    <w:name w:val="Table - Column Heading"/>
    <w:basedOn w:val="Default"/>
    <w:rsid w:val="00C322E8"/>
    <w:pPr>
      <w:tabs>
        <w:tab w:val="left" w:pos="205"/>
      </w:tabs>
    </w:pPr>
    <w:rPr>
      <w:b/>
      <w:bCs/>
      <w:color w:val="FFFFFF"/>
      <w:sz w:val="18"/>
      <w:szCs w:val="18"/>
    </w:rPr>
  </w:style>
  <w:style w:type="paragraph" w:styleId="Caption">
    <w:name w:val="caption"/>
    <w:basedOn w:val="Normal"/>
    <w:next w:val="Normal"/>
    <w:qFormat/>
    <w:rsid w:val="00F07595"/>
    <w:rPr>
      <w:b/>
      <w:bCs/>
      <w:color w:val="D2000B"/>
      <w:sz w:val="19"/>
      <w:szCs w:val="19"/>
    </w:rPr>
  </w:style>
  <w:style w:type="paragraph" w:customStyle="1" w:styleId="Table-Entry">
    <w:name w:val="Table - Entry"/>
    <w:basedOn w:val="Default"/>
    <w:rsid w:val="00C322E8"/>
    <w:pPr>
      <w:tabs>
        <w:tab w:val="left" w:pos="205"/>
      </w:tabs>
    </w:pPr>
    <w:rPr>
      <w:color w:val="737277"/>
      <w:sz w:val="18"/>
      <w:szCs w:val="18"/>
    </w:rPr>
  </w:style>
  <w:style w:type="paragraph" w:customStyle="1" w:styleId="Table-RowHeading">
    <w:name w:val="Table - Row Heading"/>
    <w:basedOn w:val="Default"/>
    <w:rsid w:val="00C322E8"/>
    <w:rPr>
      <w:color w:val="737277"/>
      <w:sz w:val="18"/>
      <w:szCs w:val="18"/>
    </w:rPr>
  </w:style>
  <w:style w:type="paragraph" w:customStyle="1" w:styleId="Source">
    <w:name w:val="Source"/>
    <w:basedOn w:val="Normal"/>
    <w:rsid w:val="007D5EE3"/>
    <w:pPr>
      <w:ind w:right="-142"/>
    </w:pPr>
    <w:rPr>
      <w:sz w:val="16"/>
      <w:szCs w:val="16"/>
    </w:rPr>
  </w:style>
  <w:style w:type="paragraph" w:customStyle="1" w:styleId="Spacer">
    <w:name w:val="Spacer"/>
    <w:basedOn w:val="Normal"/>
    <w:rsid w:val="005B48EA"/>
    <w:rPr>
      <w:sz w:val="6"/>
      <w:szCs w:val="6"/>
    </w:rPr>
  </w:style>
  <w:style w:type="paragraph" w:customStyle="1" w:styleId="TablePhoto">
    <w:name w:val="Table Photo"/>
    <w:basedOn w:val="Normal"/>
    <w:rsid w:val="00DF1B47"/>
  </w:style>
  <w:style w:type="paragraph" w:styleId="ListBullet2">
    <w:name w:val="List Bullet 2"/>
    <w:basedOn w:val="Normal"/>
    <w:rsid w:val="00D27344"/>
    <w:pPr>
      <w:numPr>
        <w:numId w:val="16"/>
      </w:numPr>
    </w:pPr>
  </w:style>
  <w:style w:type="character" w:customStyle="1" w:styleId="FooterChar">
    <w:name w:val="Footer Char"/>
    <w:basedOn w:val="DefaultParagraphFont"/>
    <w:link w:val="Footer"/>
    <w:uiPriority w:val="99"/>
    <w:rsid w:val="00DA3238"/>
    <w:rPr>
      <w:rFonts w:ascii="Arial" w:hAnsi="Arial"/>
      <w:color w:val="747378"/>
      <w:spacing w:val="-1"/>
      <w:sz w:val="14"/>
      <w:szCs w:val="14"/>
      <w:lang w:eastAsia="en-US"/>
    </w:rPr>
  </w:style>
  <w:style w:type="character" w:styleId="Emphasis">
    <w:name w:val="Emphasis"/>
    <w:qFormat/>
    <w:rsid w:val="00DA3238"/>
    <w:rPr>
      <w:rFonts w:ascii="Arial" w:hAnsi="Arial"/>
      <w:b/>
      <w:color w:val="03B085"/>
      <w:u w:color="03B085"/>
    </w:rPr>
  </w:style>
  <w:style w:type="character" w:styleId="Hyperlink">
    <w:name w:val="Hyperlink"/>
    <w:basedOn w:val="DefaultParagraphFont"/>
    <w:uiPriority w:val="99"/>
    <w:unhideWhenUsed/>
    <w:rsid w:val="00431919"/>
    <w:rPr>
      <w:color w:val="0000FF"/>
      <w:u w:val="single"/>
    </w:rPr>
  </w:style>
  <w:style w:type="character" w:styleId="Strong">
    <w:name w:val="Strong"/>
    <w:basedOn w:val="DefaultParagraphFont"/>
    <w:uiPriority w:val="22"/>
    <w:qFormat/>
    <w:rsid w:val="00431919"/>
    <w:rPr>
      <w:b/>
      <w:bCs/>
    </w:rPr>
  </w:style>
  <w:style w:type="paragraph" w:styleId="TOCHeading">
    <w:name w:val="TOC Heading"/>
    <w:basedOn w:val="Heading1"/>
    <w:next w:val="Normal"/>
    <w:uiPriority w:val="39"/>
    <w:semiHidden/>
    <w:unhideWhenUsed/>
    <w:qFormat/>
    <w:rsid w:val="00747E7B"/>
    <w:pPr>
      <w:keepLines/>
      <w:pageBreakBefore w:val="0"/>
      <w:numPr>
        <w:numId w:val="0"/>
      </w:numPr>
      <w:spacing w:before="480" w:after="0" w:line="276" w:lineRule="auto"/>
      <w:outlineLvl w:val="9"/>
    </w:pPr>
    <w:rPr>
      <w:rFonts w:ascii="Cambria" w:hAnsi="Cambria" w:cs="Times New Roman"/>
      <w:b/>
      <w:color w:val="365F91"/>
      <w:kern w:val="0"/>
      <w:sz w:val="28"/>
      <w:szCs w:val="28"/>
      <w:lang w:val="en-US"/>
    </w:rPr>
  </w:style>
  <w:style w:type="paragraph" w:styleId="TOC4">
    <w:name w:val="toc 4"/>
    <w:basedOn w:val="Normal"/>
    <w:next w:val="Normal"/>
    <w:autoRedefine/>
    <w:rsid w:val="000C1C22"/>
    <w:pPr>
      <w:ind w:left="540"/>
    </w:pPr>
    <w:rPr>
      <w:rFonts w:ascii="Calibri" w:hAnsi="Calibri"/>
      <w:sz w:val="20"/>
      <w:szCs w:val="20"/>
    </w:rPr>
  </w:style>
  <w:style w:type="paragraph" w:styleId="TOC5">
    <w:name w:val="toc 5"/>
    <w:basedOn w:val="Normal"/>
    <w:next w:val="Normal"/>
    <w:autoRedefine/>
    <w:qFormat/>
    <w:rsid w:val="000C1C22"/>
    <w:pPr>
      <w:ind w:left="720"/>
    </w:pPr>
    <w:rPr>
      <w:rFonts w:ascii="Calibri" w:hAnsi="Calibri"/>
      <w:sz w:val="20"/>
      <w:szCs w:val="20"/>
    </w:rPr>
  </w:style>
  <w:style w:type="paragraph" w:styleId="TOC6">
    <w:name w:val="toc 6"/>
    <w:basedOn w:val="Normal"/>
    <w:next w:val="Normal"/>
    <w:autoRedefine/>
    <w:rsid w:val="00747E7B"/>
    <w:pPr>
      <w:ind w:left="900"/>
    </w:pPr>
    <w:rPr>
      <w:rFonts w:ascii="Calibri" w:hAnsi="Calibri"/>
      <w:sz w:val="20"/>
      <w:szCs w:val="20"/>
    </w:rPr>
  </w:style>
  <w:style w:type="paragraph" w:styleId="TOC7">
    <w:name w:val="toc 7"/>
    <w:basedOn w:val="Normal"/>
    <w:next w:val="Normal"/>
    <w:autoRedefine/>
    <w:rsid w:val="00747E7B"/>
    <w:pPr>
      <w:ind w:left="1080"/>
    </w:pPr>
    <w:rPr>
      <w:rFonts w:ascii="Calibri" w:hAnsi="Calibri"/>
      <w:sz w:val="20"/>
      <w:szCs w:val="20"/>
    </w:rPr>
  </w:style>
  <w:style w:type="paragraph" w:styleId="TOC8">
    <w:name w:val="toc 8"/>
    <w:basedOn w:val="Normal"/>
    <w:next w:val="Normal"/>
    <w:autoRedefine/>
    <w:rsid w:val="00747E7B"/>
    <w:pPr>
      <w:ind w:left="1260"/>
    </w:pPr>
    <w:rPr>
      <w:rFonts w:ascii="Calibri" w:hAnsi="Calibri"/>
      <w:sz w:val="20"/>
      <w:szCs w:val="20"/>
    </w:rPr>
  </w:style>
  <w:style w:type="paragraph" w:styleId="TOC9">
    <w:name w:val="toc 9"/>
    <w:basedOn w:val="Normal"/>
    <w:next w:val="Normal"/>
    <w:autoRedefine/>
    <w:rsid w:val="00747E7B"/>
    <w:pPr>
      <w:ind w:left="1440"/>
    </w:pPr>
    <w:rPr>
      <w:rFonts w:ascii="Calibri" w:hAnsi="Calibri"/>
      <w:sz w:val="20"/>
      <w:szCs w:val="20"/>
    </w:rPr>
  </w:style>
  <w:style w:type="paragraph" w:styleId="BalloonText">
    <w:name w:val="Balloon Text"/>
    <w:basedOn w:val="Normal"/>
    <w:link w:val="BalloonTextChar"/>
    <w:rsid w:val="007113FE"/>
    <w:rPr>
      <w:rFonts w:ascii="Tahoma" w:hAnsi="Tahoma" w:cs="Tahoma"/>
      <w:sz w:val="16"/>
      <w:szCs w:val="16"/>
    </w:rPr>
  </w:style>
  <w:style w:type="character" w:customStyle="1" w:styleId="BalloonTextChar">
    <w:name w:val="Balloon Text Char"/>
    <w:basedOn w:val="DefaultParagraphFont"/>
    <w:link w:val="BalloonText"/>
    <w:rsid w:val="007113FE"/>
    <w:rPr>
      <w:rFonts w:ascii="Tahoma" w:hAnsi="Tahoma" w:cs="Tahoma"/>
      <w:color w:val="747378"/>
      <w:sz w:val="16"/>
      <w:szCs w:val="16"/>
      <w:lang w:eastAsia="en-US"/>
    </w:rPr>
  </w:style>
  <w:style w:type="character" w:styleId="SubtleReference">
    <w:name w:val="Subtle Reference"/>
    <w:basedOn w:val="DefaultParagraphFont"/>
    <w:uiPriority w:val="31"/>
    <w:qFormat/>
    <w:rsid w:val="00A8197C"/>
    <w:rPr>
      <w:smallCaps/>
      <w:color w:val="7F7F7F" w:themeColor="text2"/>
      <w:u w:val="single"/>
    </w:rPr>
  </w:style>
  <w:style w:type="character" w:styleId="IntenseReference">
    <w:name w:val="Intense Reference"/>
    <w:basedOn w:val="DefaultParagraphFont"/>
    <w:uiPriority w:val="32"/>
    <w:qFormat/>
    <w:rsid w:val="00A8197C"/>
    <w:rPr>
      <w:b/>
      <w:bCs/>
      <w:smallCaps/>
      <w:color w:val="7F7F7F" w:themeColor="text2"/>
      <w:spacing w:val="5"/>
      <w:u w:val="single"/>
    </w:rPr>
  </w:style>
  <w:style w:type="paragraph" w:styleId="ListParagraph">
    <w:name w:val="List Paragraph"/>
    <w:basedOn w:val="Normal"/>
    <w:uiPriority w:val="34"/>
    <w:qFormat/>
    <w:rsid w:val="00A8197C"/>
    <w:pPr>
      <w:ind w:left="720"/>
      <w:contextualSpacing/>
    </w:pPr>
  </w:style>
  <w:style w:type="paragraph" w:styleId="Subtitle">
    <w:name w:val="Subtitle"/>
    <w:basedOn w:val="Normal"/>
    <w:next w:val="Normal"/>
    <w:link w:val="SubtitleChar"/>
    <w:qFormat/>
    <w:rsid w:val="00974B44"/>
    <w:pPr>
      <w:numPr>
        <w:ilvl w:val="1"/>
      </w:numPr>
    </w:pPr>
    <w:rPr>
      <w:rFonts w:asciiTheme="majorHAnsi" w:eastAsiaTheme="majorEastAsia" w:hAnsiTheme="majorHAnsi" w:cstheme="majorBidi"/>
      <w:i/>
      <w:iCs/>
      <w:color w:val="B41F22" w:themeColor="accent1"/>
      <w:spacing w:val="15"/>
      <w:sz w:val="24"/>
    </w:rPr>
  </w:style>
  <w:style w:type="character" w:customStyle="1" w:styleId="SubtitleChar">
    <w:name w:val="Subtitle Char"/>
    <w:basedOn w:val="DefaultParagraphFont"/>
    <w:link w:val="Subtitle"/>
    <w:rsid w:val="00974B44"/>
    <w:rPr>
      <w:rFonts w:asciiTheme="majorHAnsi" w:eastAsiaTheme="majorEastAsia" w:hAnsiTheme="majorHAnsi" w:cstheme="majorBidi"/>
      <w:i/>
      <w:iCs/>
      <w:color w:val="B41F22" w:themeColor="accent1"/>
      <w:spacing w:val="15"/>
      <w:sz w:val="24"/>
      <w:szCs w:val="24"/>
      <w:lang w:eastAsia="en-US"/>
    </w:rPr>
  </w:style>
  <w:style w:type="paragraph" w:styleId="Title">
    <w:name w:val="Title"/>
    <w:basedOn w:val="Normal"/>
    <w:next w:val="Normal"/>
    <w:link w:val="TitleChar"/>
    <w:qFormat/>
    <w:rsid w:val="00974B44"/>
    <w:pPr>
      <w:pBdr>
        <w:bottom w:val="single" w:sz="8" w:space="4" w:color="B41F22" w:themeColor="accent1"/>
      </w:pBdr>
      <w:spacing w:after="300"/>
      <w:contextualSpacing/>
    </w:pPr>
    <w:rPr>
      <w:rFonts w:asciiTheme="majorHAnsi" w:eastAsiaTheme="majorEastAsia" w:hAnsiTheme="majorHAnsi" w:cstheme="majorBidi"/>
      <w:color w:val="5F5F5F" w:themeColor="text2" w:themeShade="BF"/>
      <w:spacing w:val="5"/>
      <w:kern w:val="28"/>
      <w:sz w:val="52"/>
      <w:szCs w:val="52"/>
    </w:rPr>
  </w:style>
  <w:style w:type="character" w:customStyle="1" w:styleId="TitleChar">
    <w:name w:val="Title Char"/>
    <w:basedOn w:val="DefaultParagraphFont"/>
    <w:link w:val="Title"/>
    <w:rsid w:val="00974B44"/>
    <w:rPr>
      <w:rFonts w:asciiTheme="majorHAnsi" w:eastAsiaTheme="majorEastAsia" w:hAnsiTheme="majorHAnsi" w:cstheme="majorBidi"/>
      <w:color w:val="5F5F5F" w:themeColor="text2" w:themeShade="BF"/>
      <w:spacing w:val="5"/>
      <w:kern w:val="28"/>
      <w:sz w:val="52"/>
      <w:szCs w:val="52"/>
      <w:lang w:eastAsia="en-US"/>
    </w:rPr>
  </w:style>
  <w:style w:type="paragraph" w:styleId="EndnoteText">
    <w:name w:val="endnote text"/>
    <w:basedOn w:val="Normal"/>
    <w:link w:val="EndnoteTextChar"/>
    <w:rsid w:val="00083374"/>
    <w:rPr>
      <w:sz w:val="20"/>
      <w:szCs w:val="20"/>
    </w:rPr>
  </w:style>
  <w:style w:type="character" w:customStyle="1" w:styleId="EndnoteTextChar">
    <w:name w:val="Endnote Text Char"/>
    <w:basedOn w:val="DefaultParagraphFont"/>
    <w:link w:val="EndnoteText"/>
    <w:rsid w:val="00083374"/>
    <w:rPr>
      <w:rFonts w:ascii="Arial" w:hAnsi="Arial"/>
      <w:color w:val="747378"/>
      <w:lang w:eastAsia="en-US"/>
    </w:rPr>
  </w:style>
  <w:style w:type="character" w:styleId="EndnoteReference">
    <w:name w:val="endnote reference"/>
    <w:basedOn w:val="DefaultParagraphFont"/>
    <w:rsid w:val="00083374"/>
    <w:rPr>
      <w:vertAlign w:val="superscript"/>
    </w:rPr>
  </w:style>
  <w:style w:type="paragraph" w:styleId="FootnoteText">
    <w:name w:val="footnote text"/>
    <w:basedOn w:val="Normal"/>
    <w:link w:val="FootnoteTextChar"/>
    <w:rsid w:val="00083374"/>
    <w:rPr>
      <w:sz w:val="20"/>
      <w:szCs w:val="20"/>
    </w:rPr>
  </w:style>
  <w:style w:type="character" w:customStyle="1" w:styleId="FootnoteTextChar">
    <w:name w:val="Footnote Text Char"/>
    <w:basedOn w:val="DefaultParagraphFont"/>
    <w:link w:val="FootnoteText"/>
    <w:rsid w:val="00083374"/>
    <w:rPr>
      <w:rFonts w:ascii="Arial" w:hAnsi="Arial"/>
      <w:color w:val="747378"/>
      <w:lang w:eastAsia="en-US"/>
    </w:rPr>
  </w:style>
  <w:style w:type="character" w:styleId="FootnoteReference">
    <w:name w:val="footnote reference"/>
    <w:basedOn w:val="DefaultParagraphFont"/>
    <w:rsid w:val="00083374"/>
    <w:rPr>
      <w:vertAlign w:val="superscript"/>
    </w:rPr>
  </w:style>
  <w:style w:type="paragraph" w:styleId="NoSpacing">
    <w:name w:val="No Spacing"/>
    <w:uiPriority w:val="1"/>
    <w:qFormat/>
    <w:rsid w:val="00DF5C9C"/>
    <w:rPr>
      <w:rFonts w:ascii="Arial" w:hAnsi="Arial"/>
      <w:color w:val="747378"/>
      <w:sz w:val="16"/>
      <w:szCs w:val="16"/>
      <w:lang w:eastAsia="en-US"/>
    </w:rPr>
  </w:style>
  <w:style w:type="paragraph" w:styleId="NormalWeb">
    <w:name w:val="Normal (Web)"/>
    <w:basedOn w:val="Normal"/>
    <w:uiPriority w:val="99"/>
    <w:unhideWhenUsed/>
    <w:rsid w:val="00FF71E1"/>
    <w:pPr>
      <w:spacing w:before="100" w:beforeAutospacing="1" w:after="100" w:afterAutospacing="1"/>
    </w:pPr>
    <w:rPr>
      <w:rFonts w:ascii="Times New Roman" w:hAnsi="Times New Roman"/>
      <w:color w:val="auto"/>
      <w:sz w:val="24"/>
      <w:lang w:eastAsia="en-AU"/>
    </w:rPr>
  </w:style>
  <w:style w:type="paragraph" w:customStyle="1" w:styleId="Note">
    <w:name w:val="Note"/>
    <w:basedOn w:val="Normal"/>
    <w:link w:val="NoteChar"/>
    <w:qFormat/>
    <w:rsid w:val="00DF5C9C"/>
    <w:rPr>
      <w:i/>
      <w:sz w:val="16"/>
      <w:szCs w:val="16"/>
    </w:rPr>
  </w:style>
  <w:style w:type="character" w:customStyle="1" w:styleId="NoteChar">
    <w:name w:val="Note Char"/>
    <w:basedOn w:val="DefaultParagraphFont"/>
    <w:link w:val="Note"/>
    <w:rsid w:val="00DF5C9C"/>
    <w:rPr>
      <w:rFonts w:ascii="Arial" w:hAnsi="Arial"/>
      <w:i/>
      <w:color w:val="747378"/>
      <w:sz w:val="16"/>
      <w:szCs w:val="16"/>
      <w:lang w:eastAsia="en-US"/>
    </w:rPr>
  </w:style>
  <w:style w:type="character" w:customStyle="1" w:styleId="QuoteChar">
    <w:name w:val="Quote Char"/>
    <w:basedOn w:val="DefaultParagraphFont"/>
    <w:link w:val="Quote"/>
    <w:rsid w:val="00627ACA"/>
    <w:rPr>
      <w:rFonts w:ascii="Arial" w:hAnsi="Arial"/>
      <w:b/>
      <w:color w:val="7F7F7F" w:themeColor="text2"/>
      <w:sz w:val="19"/>
      <w:szCs w:val="19"/>
      <w:lang w:eastAsia="en-US"/>
    </w:rPr>
  </w:style>
  <w:style w:type="paragraph" w:styleId="Revision">
    <w:name w:val="Revision"/>
    <w:hidden/>
    <w:uiPriority w:val="99"/>
    <w:semiHidden/>
    <w:rsid w:val="00BB466D"/>
    <w:rPr>
      <w:rFonts w:ascii="Arial" w:hAnsi="Arial"/>
      <w:color w:val="747378"/>
      <w:sz w:val="18"/>
      <w:szCs w:val="24"/>
      <w:lang w:eastAsia="en-US"/>
    </w:rPr>
  </w:style>
  <w:style w:type="character" w:styleId="CommentReference">
    <w:name w:val="annotation reference"/>
    <w:basedOn w:val="DefaultParagraphFont"/>
    <w:semiHidden/>
    <w:unhideWhenUsed/>
    <w:rsid w:val="00D61144"/>
    <w:rPr>
      <w:sz w:val="16"/>
      <w:szCs w:val="16"/>
    </w:rPr>
  </w:style>
  <w:style w:type="paragraph" w:styleId="CommentText">
    <w:name w:val="annotation text"/>
    <w:basedOn w:val="Normal"/>
    <w:link w:val="CommentTextChar"/>
    <w:semiHidden/>
    <w:unhideWhenUsed/>
    <w:rsid w:val="00D61144"/>
    <w:rPr>
      <w:sz w:val="20"/>
      <w:szCs w:val="20"/>
    </w:rPr>
  </w:style>
  <w:style w:type="character" w:customStyle="1" w:styleId="CommentTextChar">
    <w:name w:val="Comment Text Char"/>
    <w:basedOn w:val="DefaultParagraphFont"/>
    <w:link w:val="CommentText"/>
    <w:semiHidden/>
    <w:rsid w:val="00D61144"/>
    <w:rPr>
      <w:rFonts w:ascii="Arial" w:hAnsi="Arial"/>
      <w:color w:val="747378"/>
      <w:lang w:eastAsia="en-US"/>
    </w:rPr>
  </w:style>
  <w:style w:type="paragraph" w:styleId="CommentSubject">
    <w:name w:val="annotation subject"/>
    <w:basedOn w:val="CommentText"/>
    <w:next w:val="CommentText"/>
    <w:link w:val="CommentSubjectChar"/>
    <w:semiHidden/>
    <w:unhideWhenUsed/>
    <w:rsid w:val="00D61144"/>
    <w:rPr>
      <w:b/>
      <w:bCs/>
    </w:rPr>
  </w:style>
  <w:style w:type="character" w:customStyle="1" w:styleId="CommentSubjectChar">
    <w:name w:val="Comment Subject Char"/>
    <w:basedOn w:val="CommentTextChar"/>
    <w:link w:val="CommentSubject"/>
    <w:semiHidden/>
    <w:rsid w:val="00D61144"/>
    <w:rPr>
      <w:rFonts w:ascii="Arial" w:hAnsi="Arial"/>
      <w:b/>
      <w:bCs/>
      <w:color w:val="74737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5"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E18"/>
    <w:rPr>
      <w:rFonts w:ascii="Arial" w:hAnsi="Arial"/>
      <w:color w:val="747378"/>
      <w:sz w:val="18"/>
      <w:szCs w:val="24"/>
      <w:lang w:eastAsia="en-US"/>
    </w:rPr>
  </w:style>
  <w:style w:type="paragraph" w:styleId="Heading1">
    <w:name w:val="heading 1"/>
    <w:basedOn w:val="Normal"/>
    <w:next w:val="Normal"/>
    <w:qFormat/>
    <w:rsid w:val="00A8197C"/>
    <w:pPr>
      <w:keepNext/>
      <w:pageBreakBefore/>
      <w:numPr>
        <w:numId w:val="13"/>
      </w:numPr>
      <w:spacing w:after="60" w:line="450" w:lineRule="atLeast"/>
      <w:outlineLvl w:val="0"/>
    </w:pPr>
    <w:rPr>
      <w:rFonts w:cs="Arial"/>
      <w:bCs/>
      <w:color w:val="7F7F7F" w:themeColor="text2"/>
      <w:kern w:val="32"/>
      <w:sz w:val="36"/>
      <w:szCs w:val="36"/>
    </w:rPr>
  </w:style>
  <w:style w:type="paragraph" w:styleId="Heading2">
    <w:name w:val="heading 2"/>
    <w:basedOn w:val="Normal"/>
    <w:next w:val="Normal"/>
    <w:qFormat/>
    <w:rsid w:val="00A8197C"/>
    <w:pPr>
      <w:keepNext/>
      <w:spacing w:before="430" w:after="60"/>
      <w:outlineLvl w:val="1"/>
    </w:pPr>
    <w:rPr>
      <w:rFonts w:cs="Arial"/>
      <w:bCs/>
      <w:iCs/>
      <w:color w:val="7F7F7F" w:themeColor="text2"/>
      <w:sz w:val="28"/>
      <w:szCs w:val="28"/>
    </w:rPr>
  </w:style>
  <w:style w:type="paragraph" w:styleId="Heading3">
    <w:name w:val="heading 3"/>
    <w:basedOn w:val="Normal"/>
    <w:next w:val="Normal"/>
    <w:qFormat/>
    <w:rsid w:val="00086DCD"/>
    <w:pPr>
      <w:keepNext/>
      <w:spacing w:before="70" w:after="80"/>
      <w:outlineLvl w:val="2"/>
    </w:pPr>
    <w:rPr>
      <w:rFonts w:cs="Arial"/>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85DBA"/>
    <w:pPr>
      <w:tabs>
        <w:tab w:val="center" w:pos="4320"/>
        <w:tab w:val="right" w:pos="8640"/>
      </w:tabs>
    </w:pPr>
  </w:style>
  <w:style w:type="paragraph" w:styleId="Footer">
    <w:name w:val="footer"/>
    <w:basedOn w:val="Normal"/>
    <w:link w:val="FooterChar"/>
    <w:uiPriority w:val="99"/>
    <w:rsid w:val="000D4779"/>
    <w:pPr>
      <w:tabs>
        <w:tab w:val="right" w:pos="8640"/>
      </w:tabs>
      <w:ind w:right="57"/>
      <w:jc w:val="right"/>
    </w:pPr>
    <w:rPr>
      <w:spacing w:val="-1"/>
      <w:sz w:val="14"/>
      <w:szCs w:val="14"/>
    </w:rPr>
  </w:style>
  <w:style w:type="paragraph" w:customStyle="1" w:styleId="ReportTitle">
    <w:name w:val="Report Title"/>
    <w:basedOn w:val="Normal"/>
    <w:rsid w:val="00BB6565"/>
    <w:pPr>
      <w:spacing w:after="35" w:line="480" w:lineRule="exact"/>
    </w:pPr>
    <w:rPr>
      <w:color w:val="D2000B"/>
      <w:spacing w:val="-12"/>
      <w:sz w:val="46"/>
      <w:szCs w:val="46"/>
    </w:rPr>
  </w:style>
  <w:style w:type="paragraph" w:customStyle="1" w:styleId="ReportSub-Title">
    <w:name w:val="Report Sub-Title"/>
    <w:basedOn w:val="Normal"/>
    <w:rsid w:val="00927968"/>
    <w:pPr>
      <w:spacing w:line="330" w:lineRule="exact"/>
    </w:pPr>
    <w:rPr>
      <w:color w:val="808080"/>
      <w:spacing w:val="-6"/>
      <w:sz w:val="28"/>
      <w:szCs w:val="28"/>
    </w:rPr>
  </w:style>
  <w:style w:type="paragraph" w:customStyle="1" w:styleId="CopyrightDetailsBold">
    <w:name w:val="Copyright Details Bold"/>
    <w:basedOn w:val="Normal"/>
    <w:rsid w:val="00F015D8"/>
    <w:pPr>
      <w:spacing w:line="260" w:lineRule="exact"/>
    </w:pPr>
    <w:rPr>
      <w:b/>
    </w:rPr>
  </w:style>
  <w:style w:type="paragraph" w:customStyle="1" w:styleId="CopyrightDetails">
    <w:name w:val="Copyright Details"/>
    <w:basedOn w:val="Normal"/>
    <w:rsid w:val="00F015D8"/>
    <w:pPr>
      <w:spacing w:line="260" w:lineRule="exact"/>
    </w:pPr>
  </w:style>
  <w:style w:type="paragraph" w:customStyle="1" w:styleId="CopyrightDetails-Logo">
    <w:name w:val="Copyright Details - Logo"/>
    <w:basedOn w:val="CopyrightDetails"/>
    <w:next w:val="CopyrightDetails"/>
    <w:rsid w:val="00AA11E9"/>
    <w:pPr>
      <w:spacing w:before="56" w:after="136" w:line="240" w:lineRule="auto"/>
    </w:pPr>
  </w:style>
  <w:style w:type="paragraph" w:customStyle="1" w:styleId="TOCTitle">
    <w:name w:val="TOC Title"/>
    <w:basedOn w:val="Header"/>
    <w:link w:val="TOCTitleChar"/>
    <w:rsid w:val="0002637D"/>
    <w:pPr>
      <w:ind w:left="-336"/>
    </w:pPr>
    <w:rPr>
      <w:color w:val="D2000B"/>
      <w:sz w:val="36"/>
      <w:szCs w:val="36"/>
    </w:rPr>
  </w:style>
  <w:style w:type="character" w:customStyle="1" w:styleId="HeaderChar">
    <w:name w:val="Header Char"/>
    <w:basedOn w:val="DefaultParagraphFont"/>
    <w:link w:val="Header"/>
    <w:rsid w:val="002A163D"/>
    <w:rPr>
      <w:rFonts w:ascii="Arial" w:hAnsi="Arial"/>
      <w:sz w:val="18"/>
      <w:szCs w:val="24"/>
      <w:lang w:val="en-AU" w:eastAsia="en-US" w:bidi="ar-SA"/>
    </w:rPr>
  </w:style>
  <w:style w:type="character" w:customStyle="1" w:styleId="TOCTitleChar">
    <w:name w:val="TOC Title Char"/>
    <w:basedOn w:val="HeaderChar"/>
    <w:link w:val="TOCTitle"/>
    <w:rsid w:val="0002637D"/>
    <w:rPr>
      <w:rFonts w:ascii="Arial" w:hAnsi="Arial"/>
      <w:color w:val="D2000B"/>
      <w:sz w:val="36"/>
      <w:szCs w:val="36"/>
      <w:lang w:val="en-AU" w:eastAsia="en-US" w:bidi="ar-SA"/>
    </w:rPr>
  </w:style>
  <w:style w:type="table" w:styleId="TableGrid">
    <w:name w:val="Table Grid"/>
    <w:basedOn w:val="TableNormal"/>
    <w:rsid w:val="00E72C99"/>
    <w:pPr>
      <w:spacing w:after="90" w:line="2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7C7E50"/>
    <w:pPr>
      <w:tabs>
        <w:tab w:val="left" w:pos="284"/>
        <w:tab w:val="right" w:pos="7502"/>
      </w:tabs>
      <w:spacing w:after="120"/>
    </w:pPr>
    <w:rPr>
      <w:b/>
      <w:bCs/>
      <w:iCs/>
      <w:sz w:val="19"/>
    </w:rPr>
  </w:style>
  <w:style w:type="character" w:styleId="PageNumber">
    <w:name w:val="page number"/>
    <w:basedOn w:val="DefaultParagraphFont"/>
    <w:rsid w:val="00BB6565"/>
  </w:style>
  <w:style w:type="paragraph" w:styleId="ListBullet">
    <w:name w:val="List Bullet"/>
    <w:basedOn w:val="Normal"/>
    <w:rsid w:val="0099614A"/>
    <w:pPr>
      <w:numPr>
        <w:numId w:val="4"/>
      </w:numPr>
      <w:spacing w:after="84"/>
    </w:pPr>
  </w:style>
  <w:style w:type="paragraph" w:styleId="TOC3">
    <w:name w:val="toc 3"/>
    <w:basedOn w:val="Normal"/>
    <w:next w:val="Normal"/>
    <w:autoRedefine/>
    <w:uiPriority w:val="39"/>
    <w:rsid w:val="00AF50E2"/>
    <w:pPr>
      <w:ind w:left="360"/>
    </w:pPr>
    <w:rPr>
      <w:rFonts w:ascii="Calibri" w:hAnsi="Calibri"/>
      <w:sz w:val="20"/>
      <w:szCs w:val="20"/>
    </w:rPr>
  </w:style>
  <w:style w:type="paragraph" w:styleId="TOC2">
    <w:name w:val="toc 2"/>
    <w:basedOn w:val="Normal"/>
    <w:next w:val="Normal"/>
    <w:uiPriority w:val="39"/>
    <w:rsid w:val="00A66EA9"/>
    <w:pPr>
      <w:spacing w:before="120" w:after="120" w:line="360" w:lineRule="auto"/>
      <w:ind w:left="709"/>
    </w:pPr>
    <w:rPr>
      <w:bCs/>
      <w:sz w:val="19"/>
      <w:szCs w:val="22"/>
    </w:rPr>
  </w:style>
  <w:style w:type="paragraph" w:styleId="Quote">
    <w:name w:val="Quote"/>
    <w:basedOn w:val="Normal"/>
    <w:link w:val="QuoteChar"/>
    <w:qFormat/>
    <w:rsid w:val="00A8197C"/>
    <w:rPr>
      <w:b/>
      <w:color w:val="7F7F7F" w:themeColor="text2"/>
      <w:sz w:val="19"/>
      <w:szCs w:val="19"/>
    </w:rPr>
  </w:style>
  <w:style w:type="paragraph" w:customStyle="1" w:styleId="Default">
    <w:name w:val="Default"/>
    <w:rsid w:val="00A97DF4"/>
    <w:pPr>
      <w:widowControl w:val="0"/>
      <w:autoSpaceDE w:val="0"/>
      <w:autoSpaceDN w:val="0"/>
      <w:adjustRightInd w:val="0"/>
    </w:pPr>
    <w:rPr>
      <w:rFonts w:ascii="Arial" w:hAnsi="Arial" w:cs="Arial"/>
      <w:color w:val="000000"/>
      <w:sz w:val="24"/>
      <w:szCs w:val="24"/>
      <w:lang w:val="en-US" w:eastAsia="en-US"/>
    </w:rPr>
  </w:style>
  <w:style w:type="paragraph" w:customStyle="1" w:styleId="Table-ColumnHeading">
    <w:name w:val="Table - Column Heading"/>
    <w:basedOn w:val="Default"/>
    <w:rsid w:val="00C322E8"/>
    <w:pPr>
      <w:tabs>
        <w:tab w:val="left" w:pos="205"/>
      </w:tabs>
    </w:pPr>
    <w:rPr>
      <w:b/>
      <w:bCs/>
      <w:color w:val="FFFFFF"/>
      <w:sz w:val="18"/>
      <w:szCs w:val="18"/>
    </w:rPr>
  </w:style>
  <w:style w:type="paragraph" w:styleId="Caption">
    <w:name w:val="caption"/>
    <w:basedOn w:val="Normal"/>
    <w:next w:val="Normal"/>
    <w:qFormat/>
    <w:rsid w:val="00F07595"/>
    <w:rPr>
      <w:b/>
      <w:bCs/>
      <w:color w:val="D2000B"/>
      <w:sz w:val="19"/>
      <w:szCs w:val="19"/>
    </w:rPr>
  </w:style>
  <w:style w:type="paragraph" w:customStyle="1" w:styleId="Table-Entry">
    <w:name w:val="Table - Entry"/>
    <w:basedOn w:val="Default"/>
    <w:rsid w:val="00C322E8"/>
    <w:pPr>
      <w:tabs>
        <w:tab w:val="left" w:pos="205"/>
      </w:tabs>
    </w:pPr>
    <w:rPr>
      <w:color w:val="737277"/>
      <w:sz w:val="18"/>
      <w:szCs w:val="18"/>
    </w:rPr>
  </w:style>
  <w:style w:type="paragraph" w:customStyle="1" w:styleId="Table-RowHeading">
    <w:name w:val="Table - Row Heading"/>
    <w:basedOn w:val="Default"/>
    <w:rsid w:val="00C322E8"/>
    <w:rPr>
      <w:color w:val="737277"/>
      <w:sz w:val="18"/>
      <w:szCs w:val="18"/>
    </w:rPr>
  </w:style>
  <w:style w:type="paragraph" w:customStyle="1" w:styleId="Source">
    <w:name w:val="Source"/>
    <w:basedOn w:val="Normal"/>
    <w:rsid w:val="007D5EE3"/>
    <w:pPr>
      <w:ind w:right="-142"/>
    </w:pPr>
    <w:rPr>
      <w:sz w:val="16"/>
      <w:szCs w:val="16"/>
    </w:rPr>
  </w:style>
  <w:style w:type="paragraph" w:customStyle="1" w:styleId="Spacer">
    <w:name w:val="Spacer"/>
    <w:basedOn w:val="Normal"/>
    <w:rsid w:val="005B48EA"/>
    <w:rPr>
      <w:sz w:val="6"/>
      <w:szCs w:val="6"/>
    </w:rPr>
  </w:style>
  <w:style w:type="paragraph" w:customStyle="1" w:styleId="TablePhoto">
    <w:name w:val="Table Photo"/>
    <w:basedOn w:val="Normal"/>
    <w:rsid w:val="00DF1B47"/>
  </w:style>
  <w:style w:type="paragraph" w:styleId="ListBullet2">
    <w:name w:val="List Bullet 2"/>
    <w:basedOn w:val="Normal"/>
    <w:rsid w:val="00D27344"/>
    <w:pPr>
      <w:numPr>
        <w:numId w:val="16"/>
      </w:numPr>
    </w:pPr>
  </w:style>
  <w:style w:type="character" w:customStyle="1" w:styleId="FooterChar">
    <w:name w:val="Footer Char"/>
    <w:basedOn w:val="DefaultParagraphFont"/>
    <w:link w:val="Footer"/>
    <w:uiPriority w:val="99"/>
    <w:rsid w:val="00DA3238"/>
    <w:rPr>
      <w:rFonts w:ascii="Arial" w:hAnsi="Arial"/>
      <w:color w:val="747378"/>
      <w:spacing w:val="-1"/>
      <w:sz w:val="14"/>
      <w:szCs w:val="14"/>
      <w:lang w:eastAsia="en-US"/>
    </w:rPr>
  </w:style>
  <w:style w:type="character" w:styleId="Emphasis">
    <w:name w:val="Emphasis"/>
    <w:qFormat/>
    <w:rsid w:val="00DA3238"/>
    <w:rPr>
      <w:rFonts w:ascii="Arial" w:hAnsi="Arial"/>
      <w:b/>
      <w:color w:val="03B085"/>
      <w:u w:color="03B085"/>
    </w:rPr>
  </w:style>
  <w:style w:type="character" w:styleId="Hyperlink">
    <w:name w:val="Hyperlink"/>
    <w:basedOn w:val="DefaultParagraphFont"/>
    <w:uiPriority w:val="99"/>
    <w:unhideWhenUsed/>
    <w:rsid w:val="00431919"/>
    <w:rPr>
      <w:color w:val="0000FF"/>
      <w:u w:val="single"/>
    </w:rPr>
  </w:style>
  <w:style w:type="character" w:styleId="Strong">
    <w:name w:val="Strong"/>
    <w:basedOn w:val="DefaultParagraphFont"/>
    <w:uiPriority w:val="22"/>
    <w:qFormat/>
    <w:rsid w:val="00431919"/>
    <w:rPr>
      <w:b/>
      <w:bCs/>
    </w:rPr>
  </w:style>
  <w:style w:type="paragraph" w:styleId="TOCHeading">
    <w:name w:val="TOC Heading"/>
    <w:basedOn w:val="Heading1"/>
    <w:next w:val="Normal"/>
    <w:uiPriority w:val="39"/>
    <w:semiHidden/>
    <w:unhideWhenUsed/>
    <w:qFormat/>
    <w:rsid w:val="00747E7B"/>
    <w:pPr>
      <w:keepLines/>
      <w:pageBreakBefore w:val="0"/>
      <w:numPr>
        <w:numId w:val="0"/>
      </w:numPr>
      <w:spacing w:before="480" w:after="0" w:line="276" w:lineRule="auto"/>
      <w:outlineLvl w:val="9"/>
    </w:pPr>
    <w:rPr>
      <w:rFonts w:ascii="Cambria" w:hAnsi="Cambria" w:cs="Times New Roman"/>
      <w:b/>
      <w:color w:val="365F91"/>
      <w:kern w:val="0"/>
      <w:sz w:val="28"/>
      <w:szCs w:val="28"/>
      <w:lang w:val="en-US"/>
    </w:rPr>
  </w:style>
  <w:style w:type="paragraph" w:styleId="TOC4">
    <w:name w:val="toc 4"/>
    <w:basedOn w:val="Normal"/>
    <w:next w:val="Normal"/>
    <w:autoRedefine/>
    <w:rsid w:val="000C1C22"/>
    <w:pPr>
      <w:ind w:left="540"/>
    </w:pPr>
    <w:rPr>
      <w:rFonts w:ascii="Calibri" w:hAnsi="Calibri"/>
      <w:sz w:val="20"/>
      <w:szCs w:val="20"/>
    </w:rPr>
  </w:style>
  <w:style w:type="paragraph" w:styleId="TOC5">
    <w:name w:val="toc 5"/>
    <w:basedOn w:val="Normal"/>
    <w:next w:val="Normal"/>
    <w:autoRedefine/>
    <w:qFormat/>
    <w:rsid w:val="000C1C22"/>
    <w:pPr>
      <w:ind w:left="720"/>
    </w:pPr>
    <w:rPr>
      <w:rFonts w:ascii="Calibri" w:hAnsi="Calibri"/>
      <w:sz w:val="20"/>
      <w:szCs w:val="20"/>
    </w:rPr>
  </w:style>
  <w:style w:type="paragraph" w:styleId="TOC6">
    <w:name w:val="toc 6"/>
    <w:basedOn w:val="Normal"/>
    <w:next w:val="Normal"/>
    <w:autoRedefine/>
    <w:rsid w:val="00747E7B"/>
    <w:pPr>
      <w:ind w:left="900"/>
    </w:pPr>
    <w:rPr>
      <w:rFonts w:ascii="Calibri" w:hAnsi="Calibri"/>
      <w:sz w:val="20"/>
      <w:szCs w:val="20"/>
    </w:rPr>
  </w:style>
  <w:style w:type="paragraph" w:styleId="TOC7">
    <w:name w:val="toc 7"/>
    <w:basedOn w:val="Normal"/>
    <w:next w:val="Normal"/>
    <w:autoRedefine/>
    <w:rsid w:val="00747E7B"/>
    <w:pPr>
      <w:ind w:left="1080"/>
    </w:pPr>
    <w:rPr>
      <w:rFonts w:ascii="Calibri" w:hAnsi="Calibri"/>
      <w:sz w:val="20"/>
      <w:szCs w:val="20"/>
    </w:rPr>
  </w:style>
  <w:style w:type="paragraph" w:styleId="TOC8">
    <w:name w:val="toc 8"/>
    <w:basedOn w:val="Normal"/>
    <w:next w:val="Normal"/>
    <w:autoRedefine/>
    <w:rsid w:val="00747E7B"/>
    <w:pPr>
      <w:ind w:left="1260"/>
    </w:pPr>
    <w:rPr>
      <w:rFonts w:ascii="Calibri" w:hAnsi="Calibri"/>
      <w:sz w:val="20"/>
      <w:szCs w:val="20"/>
    </w:rPr>
  </w:style>
  <w:style w:type="paragraph" w:styleId="TOC9">
    <w:name w:val="toc 9"/>
    <w:basedOn w:val="Normal"/>
    <w:next w:val="Normal"/>
    <w:autoRedefine/>
    <w:rsid w:val="00747E7B"/>
    <w:pPr>
      <w:ind w:left="1440"/>
    </w:pPr>
    <w:rPr>
      <w:rFonts w:ascii="Calibri" w:hAnsi="Calibri"/>
      <w:sz w:val="20"/>
      <w:szCs w:val="20"/>
    </w:rPr>
  </w:style>
  <w:style w:type="paragraph" w:styleId="BalloonText">
    <w:name w:val="Balloon Text"/>
    <w:basedOn w:val="Normal"/>
    <w:link w:val="BalloonTextChar"/>
    <w:rsid w:val="007113FE"/>
    <w:rPr>
      <w:rFonts w:ascii="Tahoma" w:hAnsi="Tahoma" w:cs="Tahoma"/>
      <w:sz w:val="16"/>
      <w:szCs w:val="16"/>
    </w:rPr>
  </w:style>
  <w:style w:type="character" w:customStyle="1" w:styleId="BalloonTextChar">
    <w:name w:val="Balloon Text Char"/>
    <w:basedOn w:val="DefaultParagraphFont"/>
    <w:link w:val="BalloonText"/>
    <w:rsid w:val="007113FE"/>
    <w:rPr>
      <w:rFonts w:ascii="Tahoma" w:hAnsi="Tahoma" w:cs="Tahoma"/>
      <w:color w:val="747378"/>
      <w:sz w:val="16"/>
      <w:szCs w:val="16"/>
      <w:lang w:eastAsia="en-US"/>
    </w:rPr>
  </w:style>
  <w:style w:type="character" w:styleId="SubtleReference">
    <w:name w:val="Subtle Reference"/>
    <w:basedOn w:val="DefaultParagraphFont"/>
    <w:uiPriority w:val="31"/>
    <w:qFormat/>
    <w:rsid w:val="00A8197C"/>
    <w:rPr>
      <w:smallCaps/>
      <w:color w:val="7F7F7F" w:themeColor="text2"/>
      <w:u w:val="single"/>
    </w:rPr>
  </w:style>
  <w:style w:type="character" w:styleId="IntenseReference">
    <w:name w:val="Intense Reference"/>
    <w:basedOn w:val="DefaultParagraphFont"/>
    <w:uiPriority w:val="32"/>
    <w:qFormat/>
    <w:rsid w:val="00A8197C"/>
    <w:rPr>
      <w:b/>
      <w:bCs/>
      <w:smallCaps/>
      <w:color w:val="7F7F7F" w:themeColor="text2"/>
      <w:spacing w:val="5"/>
      <w:u w:val="single"/>
    </w:rPr>
  </w:style>
  <w:style w:type="paragraph" w:styleId="ListParagraph">
    <w:name w:val="List Paragraph"/>
    <w:basedOn w:val="Normal"/>
    <w:uiPriority w:val="34"/>
    <w:qFormat/>
    <w:rsid w:val="00A8197C"/>
    <w:pPr>
      <w:ind w:left="720"/>
      <w:contextualSpacing/>
    </w:pPr>
  </w:style>
  <w:style w:type="paragraph" w:styleId="Subtitle">
    <w:name w:val="Subtitle"/>
    <w:basedOn w:val="Normal"/>
    <w:next w:val="Normal"/>
    <w:link w:val="SubtitleChar"/>
    <w:qFormat/>
    <w:rsid w:val="00974B44"/>
    <w:pPr>
      <w:numPr>
        <w:ilvl w:val="1"/>
      </w:numPr>
    </w:pPr>
    <w:rPr>
      <w:rFonts w:asciiTheme="majorHAnsi" w:eastAsiaTheme="majorEastAsia" w:hAnsiTheme="majorHAnsi" w:cstheme="majorBidi"/>
      <w:i/>
      <w:iCs/>
      <w:color w:val="B41F22" w:themeColor="accent1"/>
      <w:spacing w:val="15"/>
      <w:sz w:val="24"/>
    </w:rPr>
  </w:style>
  <w:style w:type="character" w:customStyle="1" w:styleId="SubtitleChar">
    <w:name w:val="Subtitle Char"/>
    <w:basedOn w:val="DefaultParagraphFont"/>
    <w:link w:val="Subtitle"/>
    <w:rsid w:val="00974B44"/>
    <w:rPr>
      <w:rFonts w:asciiTheme="majorHAnsi" w:eastAsiaTheme="majorEastAsia" w:hAnsiTheme="majorHAnsi" w:cstheme="majorBidi"/>
      <w:i/>
      <w:iCs/>
      <w:color w:val="B41F22" w:themeColor="accent1"/>
      <w:spacing w:val="15"/>
      <w:sz w:val="24"/>
      <w:szCs w:val="24"/>
      <w:lang w:eastAsia="en-US"/>
    </w:rPr>
  </w:style>
  <w:style w:type="paragraph" w:styleId="Title">
    <w:name w:val="Title"/>
    <w:basedOn w:val="Normal"/>
    <w:next w:val="Normal"/>
    <w:link w:val="TitleChar"/>
    <w:qFormat/>
    <w:rsid w:val="00974B44"/>
    <w:pPr>
      <w:pBdr>
        <w:bottom w:val="single" w:sz="8" w:space="4" w:color="B41F22" w:themeColor="accent1"/>
      </w:pBdr>
      <w:spacing w:after="300"/>
      <w:contextualSpacing/>
    </w:pPr>
    <w:rPr>
      <w:rFonts w:asciiTheme="majorHAnsi" w:eastAsiaTheme="majorEastAsia" w:hAnsiTheme="majorHAnsi" w:cstheme="majorBidi"/>
      <w:color w:val="5F5F5F" w:themeColor="text2" w:themeShade="BF"/>
      <w:spacing w:val="5"/>
      <w:kern w:val="28"/>
      <w:sz w:val="52"/>
      <w:szCs w:val="52"/>
    </w:rPr>
  </w:style>
  <w:style w:type="character" w:customStyle="1" w:styleId="TitleChar">
    <w:name w:val="Title Char"/>
    <w:basedOn w:val="DefaultParagraphFont"/>
    <w:link w:val="Title"/>
    <w:rsid w:val="00974B44"/>
    <w:rPr>
      <w:rFonts w:asciiTheme="majorHAnsi" w:eastAsiaTheme="majorEastAsia" w:hAnsiTheme="majorHAnsi" w:cstheme="majorBidi"/>
      <w:color w:val="5F5F5F" w:themeColor="text2" w:themeShade="BF"/>
      <w:spacing w:val="5"/>
      <w:kern w:val="28"/>
      <w:sz w:val="52"/>
      <w:szCs w:val="52"/>
      <w:lang w:eastAsia="en-US"/>
    </w:rPr>
  </w:style>
  <w:style w:type="paragraph" w:styleId="EndnoteText">
    <w:name w:val="endnote text"/>
    <w:basedOn w:val="Normal"/>
    <w:link w:val="EndnoteTextChar"/>
    <w:rsid w:val="00083374"/>
    <w:rPr>
      <w:sz w:val="20"/>
      <w:szCs w:val="20"/>
    </w:rPr>
  </w:style>
  <w:style w:type="character" w:customStyle="1" w:styleId="EndnoteTextChar">
    <w:name w:val="Endnote Text Char"/>
    <w:basedOn w:val="DefaultParagraphFont"/>
    <w:link w:val="EndnoteText"/>
    <w:rsid w:val="00083374"/>
    <w:rPr>
      <w:rFonts w:ascii="Arial" w:hAnsi="Arial"/>
      <w:color w:val="747378"/>
      <w:lang w:eastAsia="en-US"/>
    </w:rPr>
  </w:style>
  <w:style w:type="character" w:styleId="EndnoteReference">
    <w:name w:val="endnote reference"/>
    <w:basedOn w:val="DefaultParagraphFont"/>
    <w:rsid w:val="00083374"/>
    <w:rPr>
      <w:vertAlign w:val="superscript"/>
    </w:rPr>
  </w:style>
  <w:style w:type="paragraph" w:styleId="FootnoteText">
    <w:name w:val="footnote text"/>
    <w:basedOn w:val="Normal"/>
    <w:link w:val="FootnoteTextChar"/>
    <w:rsid w:val="00083374"/>
    <w:rPr>
      <w:sz w:val="20"/>
      <w:szCs w:val="20"/>
    </w:rPr>
  </w:style>
  <w:style w:type="character" w:customStyle="1" w:styleId="FootnoteTextChar">
    <w:name w:val="Footnote Text Char"/>
    <w:basedOn w:val="DefaultParagraphFont"/>
    <w:link w:val="FootnoteText"/>
    <w:rsid w:val="00083374"/>
    <w:rPr>
      <w:rFonts w:ascii="Arial" w:hAnsi="Arial"/>
      <w:color w:val="747378"/>
      <w:lang w:eastAsia="en-US"/>
    </w:rPr>
  </w:style>
  <w:style w:type="character" w:styleId="FootnoteReference">
    <w:name w:val="footnote reference"/>
    <w:basedOn w:val="DefaultParagraphFont"/>
    <w:rsid w:val="00083374"/>
    <w:rPr>
      <w:vertAlign w:val="superscript"/>
    </w:rPr>
  </w:style>
  <w:style w:type="paragraph" w:styleId="NoSpacing">
    <w:name w:val="No Spacing"/>
    <w:uiPriority w:val="1"/>
    <w:qFormat/>
    <w:rsid w:val="00DF5C9C"/>
    <w:rPr>
      <w:rFonts w:ascii="Arial" w:hAnsi="Arial"/>
      <w:color w:val="747378"/>
      <w:sz w:val="16"/>
      <w:szCs w:val="16"/>
      <w:lang w:eastAsia="en-US"/>
    </w:rPr>
  </w:style>
  <w:style w:type="paragraph" w:styleId="NormalWeb">
    <w:name w:val="Normal (Web)"/>
    <w:basedOn w:val="Normal"/>
    <w:uiPriority w:val="99"/>
    <w:unhideWhenUsed/>
    <w:rsid w:val="00FF71E1"/>
    <w:pPr>
      <w:spacing w:before="100" w:beforeAutospacing="1" w:after="100" w:afterAutospacing="1"/>
    </w:pPr>
    <w:rPr>
      <w:rFonts w:ascii="Times New Roman" w:hAnsi="Times New Roman"/>
      <w:color w:val="auto"/>
      <w:sz w:val="24"/>
      <w:lang w:eastAsia="en-AU"/>
    </w:rPr>
  </w:style>
  <w:style w:type="paragraph" w:customStyle="1" w:styleId="Note">
    <w:name w:val="Note"/>
    <w:basedOn w:val="Normal"/>
    <w:link w:val="NoteChar"/>
    <w:qFormat/>
    <w:rsid w:val="00DF5C9C"/>
    <w:rPr>
      <w:i/>
      <w:sz w:val="16"/>
      <w:szCs w:val="16"/>
    </w:rPr>
  </w:style>
  <w:style w:type="character" w:customStyle="1" w:styleId="NoteChar">
    <w:name w:val="Note Char"/>
    <w:basedOn w:val="DefaultParagraphFont"/>
    <w:link w:val="Note"/>
    <w:rsid w:val="00DF5C9C"/>
    <w:rPr>
      <w:rFonts w:ascii="Arial" w:hAnsi="Arial"/>
      <w:i/>
      <w:color w:val="747378"/>
      <w:sz w:val="16"/>
      <w:szCs w:val="16"/>
      <w:lang w:eastAsia="en-US"/>
    </w:rPr>
  </w:style>
  <w:style w:type="character" w:customStyle="1" w:styleId="QuoteChar">
    <w:name w:val="Quote Char"/>
    <w:basedOn w:val="DefaultParagraphFont"/>
    <w:link w:val="Quote"/>
    <w:rsid w:val="00627ACA"/>
    <w:rPr>
      <w:rFonts w:ascii="Arial" w:hAnsi="Arial"/>
      <w:b/>
      <w:color w:val="7F7F7F" w:themeColor="text2"/>
      <w:sz w:val="19"/>
      <w:szCs w:val="19"/>
      <w:lang w:eastAsia="en-US"/>
    </w:rPr>
  </w:style>
  <w:style w:type="paragraph" w:styleId="Revision">
    <w:name w:val="Revision"/>
    <w:hidden/>
    <w:uiPriority w:val="99"/>
    <w:semiHidden/>
    <w:rsid w:val="00BB466D"/>
    <w:rPr>
      <w:rFonts w:ascii="Arial" w:hAnsi="Arial"/>
      <w:color w:val="747378"/>
      <w:sz w:val="18"/>
      <w:szCs w:val="24"/>
      <w:lang w:eastAsia="en-US"/>
    </w:rPr>
  </w:style>
  <w:style w:type="character" w:styleId="CommentReference">
    <w:name w:val="annotation reference"/>
    <w:basedOn w:val="DefaultParagraphFont"/>
    <w:semiHidden/>
    <w:unhideWhenUsed/>
    <w:rsid w:val="00D61144"/>
    <w:rPr>
      <w:sz w:val="16"/>
      <w:szCs w:val="16"/>
    </w:rPr>
  </w:style>
  <w:style w:type="paragraph" w:styleId="CommentText">
    <w:name w:val="annotation text"/>
    <w:basedOn w:val="Normal"/>
    <w:link w:val="CommentTextChar"/>
    <w:semiHidden/>
    <w:unhideWhenUsed/>
    <w:rsid w:val="00D61144"/>
    <w:rPr>
      <w:sz w:val="20"/>
      <w:szCs w:val="20"/>
    </w:rPr>
  </w:style>
  <w:style w:type="character" w:customStyle="1" w:styleId="CommentTextChar">
    <w:name w:val="Comment Text Char"/>
    <w:basedOn w:val="DefaultParagraphFont"/>
    <w:link w:val="CommentText"/>
    <w:semiHidden/>
    <w:rsid w:val="00D61144"/>
    <w:rPr>
      <w:rFonts w:ascii="Arial" w:hAnsi="Arial"/>
      <w:color w:val="747378"/>
      <w:lang w:eastAsia="en-US"/>
    </w:rPr>
  </w:style>
  <w:style w:type="paragraph" w:styleId="CommentSubject">
    <w:name w:val="annotation subject"/>
    <w:basedOn w:val="CommentText"/>
    <w:next w:val="CommentText"/>
    <w:link w:val="CommentSubjectChar"/>
    <w:semiHidden/>
    <w:unhideWhenUsed/>
    <w:rsid w:val="00D61144"/>
    <w:rPr>
      <w:b/>
      <w:bCs/>
    </w:rPr>
  </w:style>
  <w:style w:type="character" w:customStyle="1" w:styleId="CommentSubjectChar">
    <w:name w:val="Comment Subject Char"/>
    <w:basedOn w:val="CommentTextChar"/>
    <w:link w:val="CommentSubject"/>
    <w:semiHidden/>
    <w:rsid w:val="00D61144"/>
    <w:rPr>
      <w:rFonts w:ascii="Arial" w:hAnsi="Arial"/>
      <w:b/>
      <w:bCs/>
      <w:color w:val="74737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2670">
      <w:bodyDiv w:val="1"/>
      <w:marLeft w:val="0"/>
      <w:marRight w:val="0"/>
      <w:marTop w:val="0"/>
      <w:marBottom w:val="0"/>
      <w:divBdr>
        <w:top w:val="none" w:sz="0" w:space="0" w:color="auto"/>
        <w:left w:val="none" w:sz="0" w:space="0" w:color="auto"/>
        <w:bottom w:val="none" w:sz="0" w:space="0" w:color="auto"/>
        <w:right w:val="none" w:sz="0" w:space="0" w:color="auto"/>
      </w:divBdr>
    </w:div>
    <w:div w:id="14505943">
      <w:bodyDiv w:val="1"/>
      <w:marLeft w:val="0"/>
      <w:marRight w:val="0"/>
      <w:marTop w:val="0"/>
      <w:marBottom w:val="0"/>
      <w:divBdr>
        <w:top w:val="none" w:sz="0" w:space="0" w:color="auto"/>
        <w:left w:val="none" w:sz="0" w:space="0" w:color="auto"/>
        <w:bottom w:val="none" w:sz="0" w:space="0" w:color="auto"/>
        <w:right w:val="none" w:sz="0" w:space="0" w:color="auto"/>
      </w:divBdr>
    </w:div>
    <w:div w:id="21368531">
      <w:bodyDiv w:val="1"/>
      <w:marLeft w:val="0"/>
      <w:marRight w:val="0"/>
      <w:marTop w:val="0"/>
      <w:marBottom w:val="0"/>
      <w:divBdr>
        <w:top w:val="none" w:sz="0" w:space="0" w:color="auto"/>
        <w:left w:val="none" w:sz="0" w:space="0" w:color="auto"/>
        <w:bottom w:val="none" w:sz="0" w:space="0" w:color="auto"/>
        <w:right w:val="none" w:sz="0" w:space="0" w:color="auto"/>
      </w:divBdr>
    </w:div>
    <w:div w:id="24715678">
      <w:bodyDiv w:val="1"/>
      <w:marLeft w:val="0"/>
      <w:marRight w:val="0"/>
      <w:marTop w:val="0"/>
      <w:marBottom w:val="0"/>
      <w:divBdr>
        <w:top w:val="none" w:sz="0" w:space="0" w:color="auto"/>
        <w:left w:val="none" w:sz="0" w:space="0" w:color="auto"/>
        <w:bottom w:val="none" w:sz="0" w:space="0" w:color="auto"/>
        <w:right w:val="none" w:sz="0" w:space="0" w:color="auto"/>
      </w:divBdr>
    </w:div>
    <w:div w:id="28532865">
      <w:bodyDiv w:val="1"/>
      <w:marLeft w:val="0"/>
      <w:marRight w:val="0"/>
      <w:marTop w:val="0"/>
      <w:marBottom w:val="0"/>
      <w:divBdr>
        <w:top w:val="none" w:sz="0" w:space="0" w:color="auto"/>
        <w:left w:val="none" w:sz="0" w:space="0" w:color="auto"/>
        <w:bottom w:val="none" w:sz="0" w:space="0" w:color="auto"/>
        <w:right w:val="none" w:sz="0" w:space="0" w:color="auto"/>
      </w:divBdr>
    </w:div>
    <w:div w:id="35355424">
      <w:bodyDiv w:val="1"/>
      <w:marLeft w:val="0"/>
      <w:marRight w:val="0"/>
      <w:marTop w:val="0"/>
      <w:marBottom w:val="0"/>
      <w:divBdr>
        <w:top w:val="none" w:sz="0" w:space="0" w:color="auto"/>
        <w:left w:val="none" w:sz="0" w:space="0" w:color="auto"/>
        <w:bottom w:val="none" w:sz="0" w:space="0" w:color="auto"/>
        <w:right w:val="none" w:sz="0" w:space="0" w:color="auto"/>
      </w:divBdr>
    </w:div>
    <w:div w:id="40986290">
      <w:bodyDiv w:val="1"/>
      <w:marLeft w:val="0"/>
      <w:marRight w:val="0"/>
      <w:marTop w:val="0"/>
      <w:marBottom w:val="0"/>
      <w:divBdr>
        <w:top w:val="none" w:sz="0" w:space="0" w:color="auto"/>
        <w:left w:val="none" w:sz="0" w:space="0" w:color="auto"/>
        <w:bottom w:val="none" w:sz="0" w:space="0" w:color="auto"/>
        <w:right w:val="none" w:sz="0" w:space="0" w:color="auto"/>
      </w:divBdr>
    </w:div>
    <w:div w:id="57485903">
      <w:bodyDiv w:val="1"/>
      <w:marLeft w:val="0"/>
      <w:marRight w:val="0"/>
      <w:marTop w:val="0"/>
      <w:marBottom w:val="0"/>
      <w:divBdr>
        <w:top w:val="none" w:sz="0" w:space="0" w:color="auto"/>
        <w:left w:val="none" w:sz="0" w:space="0" w:color="auto"/>
        <w:bottom w:val="none" w:sz="0" w:space="0" w:color="auto"/>
        <w:right w:val="none" w:sz="0" w:space="0" w:color="auto"/>
      </w:divBdr>
    </w:div>
    <w:div w:id="60058834">
      <w:bodyDiv w:val="1"/>
      <w:marLeft w:val="0"/>
      <w:marRight w:val="0"/>
      <w:marTop w:val="0"/>
      <w:marBottom w:val="0"/>
      <w:divBdr>
        <w:top w:val="none" w:sz="0" w:space="0" w:color="auto"/>
        <w:left w:val="none" w:sz="0" w:space="0" w:color="auto"/>
        <w:bottom w:val="none" w:sz="0" w:space="0" w:color="auto"/>
        <w:right w:val="none" w:sz="0" w:space="0" w:color="auto"/>
      </w:divBdr>
    </w:div>
    <w:div w:id="64493688">
      <w:bodyDiv w:val="1"/>
      <w:marLeft w:val="0"/>
      <w:marRight w:val="0"/>
      <w:marTop w:val="0"/>
      <w:marBottom w:val="0"/>
      <w:divBdr>
        <w:top w:val="none" w:sz="0" w:space="0" w:color="auto"/>
        <w:left w:val="none" w:sz="0" w:space="0" w:color="auto"/>
        <w:bottom w:val="none" w:sz="0" w:space="0" w:color="auto"/>
        <w:right w:val="none" w:sz="0" w:space="0" w:color="auto"/>
      </w:divBdr>
    </w:div>
    <w:div w:id="75171085">
      <w:bodyDiv w:val="1"/>
      <w:marLeft w:val="0"/>
      <w:marRight w:val="0"/>
      <w:marTop w:val="0"/>
      <w:marBottom w:val="0"/>
      <w:divBdr>
        <w:top w:val="none" w:sz="0" w:space="0" w:color="auto"/>
        <w:left w:val="none" w:sz="0" w:space="0" w:color="auto"/>
        <w:bottom w:val="none" w:sz="0" w:space="0" w:color="auto"/>
        <w:right w:val="none" w:sz="0" w:space="0" w:color="auto"/>
      </w:divBdr>
    </w:div>
    <w:div w:id="84616986">
      <w:bodyDiv w:val="1"/>
      <w:marLeft w:val="0"/>
      <w:marRight w:val="0"/>
      <w:marTop w:val="0"/>
      <w:marBottom w:val="0"/>
      <w:divBdr>
        <w:top w:val="none" w:sz="0" w:space="0" w:color="auto"/>
        <w:left w:val="none" w:sz="0" w:space="0" w:color="auto"/>
        <w:bottom w:val="none" w:sz="0" w:space="0" w:color="auto"/>
        <w:right w:val="none" w:sz="0" w:space="0" w:color="auto"/>
      </w:divBdr>
    </w:div>
    <w:div w:id="87123536">
      <w:bodyDiv w:val="1"/>
      <w:marLeft w:val="0"/>
      <w:marRight w:val="0"/>
      <w:marTop w:val="0"/>
      <w:marBottom w:val="0"/>
      <w:divBdr>
        <w:top w:val="none" w:sz="0" w:space="0" w:color="auto"/>
        <w:left w:val="none" w:sz="0" w:space="0" w:color="auto"/>
        <w:bottom w:val="none" w:sz="0" w:space="0" w:color="auto"/>
        <w:right w:val="none" w:sz="0" w:space="0" w:color="auto"/>
      </w:divBdr>
    </w:div>
    <w:div w:id="91050588">
      <w:bodyDiv w:val="1"/>
      <w:marLeft w:val="0"/>
      <w:marRight w:val="0"/>
      <w:marTop w:val="0"/>
      <w:marBottom w:val="0"/>
      <w:divBdr>
        <w:top w:val="none" w:sz="0" w:space="0" w:color="auto"/>
        <w:left w:val="none" w:sz="0" w:space="0" w:color="auto"/>
        <w:bottom w:val="none" w:sz="0" w:space="0" w:color="auto"/>
        <w:right w:val="none" w:sz="0" w:space="0" w:color="auto"/>
      </w:divBdr>
    </w:div>
    <w:div w:id="93524525">
      <w:bodyDiv w:val="1"/>
      <w:marLeft w:val="0"/>
      <w:marRight w:val="0"/>
      <w:marTop w:val="0"/>
      <w:marBottom w:val="0"/>
      <w:divBdr>
        <w:top w:val="none" w:sz="0" w:space="0" w:color="auto"/>
        <w:left w:val="none" w:sz="0" w:space="0" w:color="auto"/>
        <w:bottom w:val="none" w:sz="0" w:space="0" w:color="auto"/>
        <w:right w:val="none" w:sz="0" w:space="0" w:color="auto"/>
      </w:divBdr>
    </w:div>
    <w:div w:id="94634383">
      <w:bodyDiv w:val="1"/>
      <w:marLeft w:val="0"/>
      <w:marRight w:val="0"/>
      <w:marTop w:val="0"/>
      <w:marBottom w:val="0"/>
      <w:divBdr>
        <w:top w:val="none" w:sz="0" w:space="0" w:color="auto"/>
        <w:left w:val="none" w:sz="0" w:space="0" w:color="auto"/>
        <w:bottom w:val="none" w:sz="0" w:space="0" w:color="auto"/>
        <w:right w:val="none" w:sz="0" w:space="0" w:color="auto"/>
      </w:divBdr>
    </w:div>
    <w:div w:id="104275738">
      <w:bodyDiv w:val="1"/>
      <w:marLeft w:val="0"/>
      <w:marRight w:val="0"/>
      <w:marTop w:val="0"/>
      <w:marBottom w:val="0"/>
      <w:divBdr>
        <w:top w:val="none" w:sz="0" w:space="0" w:color="auto"/>
        <w:left w:val="none" w:sz="0" w:space="0" w:color="auto"/>
        <w:bottom w:val="none" w:sz="0" w:space="0" w:color="auto"/>
        <w:right w:val="none" w:sz="0" w:space="0" w:color="auto"/>
      </w:divBdr>
    </w:div>
    <w:div w:id="107437242">
      <w:bodyDiv w:val="1"/>
      <w:marLeft w:val="0"/>
      <w:marRight w:val="0"/>
      <w:marTop w:val="0"/>
      <w:marBottom w:val="0"/>
      <w:divBdr>
        <w:top w:val="none" w:sz="0" w:space="0" w:color="auto"/>
        <w:left w:val="none" w:sz="0" w:space="0" w:color="auto"/>
        <w:bottom w:val="none" w:sz="0" w:space="0" w:color="auto"/>
        <w:right w:val="none" w:sz="0" w:space="0" w:color="auto"/>
      </w:divBdr>
    </w:div>
    <w:div w:id="111633250">
      <w:bodyDiv w:val="1"/>
      <w:marLeft w:val="0"/>
      <w:marRight w:val="0"/>
      <w:marTop w:val="0"/>
      <w:marBottom w:val="0"/>
      <w:divBdr>
        <w:top w:val="none" w:sz="0" w:space="0" w:color="auto"/>
        <w:left w:val="none" w:sz="0" w:space="0" w:color="auto"/>
        <w:bottom w:val="none" w:sz="0" w:space="0" w:color="auto"/>
        <w:right w:val="none" w:sz="0" w:space="0" w:color="auto"/>
      </w:divBdr>
    </w:div>
    <w:div w:id="118496355">
      <w:bodyDiv w:val="1"/>
      <w:marLeft w:val="0"/>
      <w:marRight w:val="0"/>
      <w:marTop w:val="0"/>
      <w:marBottom w:val="0"/>
      <w:divBdr>
        <w:top w:val="none" w:sz="0" w:space="0" w:color="auto"/>
        <w:left w:val="none" w:sz="0" w:space="0" w:color="auto"/>
        <w:bottom w:val="none" w:sz="0" w:space="0" w:color="auto"/>
        <w:right w:val="none" w:sz="0" w:space="0" w:color="auto"/>
      </w:divBdr>
    </w:div>
    <w:div w:id="121119220">
      <w:bodyDiv w:val="1"/>
      <w:marLeft w:val="0"/>
      <w:marRight w:val="0"/>
      <w:marTop w:val="0"/>
      <w:marBottom w:val="0"/>
      <w:divBdr>
        <w:top w:val="none" w:sz="0" w:space="0" w:color="auto"/>
        <w:left w:val="none" w:sz="0" w:space="0" w:color="auto"/>
        <w:bottom w:val="none" w:sz="0" w:space="0" w:color="auto"/>
        <w:right w:val="none" w:sz="0" w:space="0" w:color="auto"/>
      </w:divBdr>
    </w:div>
    <w:div w:id="130248564">
      <w:bodyDiv w:val="1"/>
      <w:marLeft w:val="0"/>
      <w:marRight w:val="0"/>
      <w:marTop w:val="0"/>
      <w:marBottom w:val="0"/>
      <w:divBdr>
        <w:top w:val="none" w:sz="0" w:space="0" w:color="auto"/>
        <w:left w:val="none" w:sz="0" w:space="0" w:color="auto"/>
        <w:bottom w:val="none" w:sz="0" w:space="0" w:color="auto"/>
        <w:right w:val="none" w:sz="0" w:space="0" w:color="auto"/>
      </w:divBdr>
    </w:div>
    <w:div w:id="142939497">
      <w:bodyDiv w:val="1"/>
      <w:marLeft w:val="0"/>
      <w:marRight w:val="0"/>
      <w:marTop w:val="0"/>
      <w:marBottom w:val="0"/>
      <w:divBdr>
        <w:top w:val="none" w:sz="0" w:space="0" w:color="auto"/>
        <w:left w:val="none" w:sz="0" w:space="0" w:color="auto"/>
        <w:bottom w:val="none" w:sz="0" w:space="0" w:color="auto"/>
        <w:right w:val="none" w:sz="0" w:space="0" w:color="auto"/>
      </w:divBdr>
    </w:div>
    <w:div w:id="146629396">
      <w:bodyDiv w:val="1"/>
      <w:marLeft w:val="0"/>
      <w:marRight w:val="0"/>
      <w:marTop w:val="0"/>
      <w:marBottom w:val="0"/>
      <w:divBdr>
        <w:top w:val="none" w:sz="0" w:space="0" w:color="auto"/>
        <w:left w:val="none" w:sz="0" w:space="0" w:color="auto"/>
        <w:bottom w:val="none" w:sz="0" w:space="0" w:color="auto"/>
        <w:right w:val="none" w:sz="0" w:space="0" w:color="auto"/>
      </w:divBdr>
    </w:div>
    <w:div w:id="149753021">
      <w:bodyDiv w:val="1"/>
      <w:marLeft w:val="0"/>
      <w:marRight w:val="0"/>
      <w:marTop w:val="0"/>
      <w:marBottom w:val="0"/>
      <w:divBdr>
        <w:top w:val="none" w:sz="0" w:space="0" w:color="auto"/>
        <w:left w:val="none" w:sz="0" w:space="0" w:color="auto"/>
        <w:bottom w:val="none" w:sz="0" w:space="0" w:color="auto"/>
        <w:right w:val="none" w:sz="0" w:space="0" w:color="auto"/>
      </w:divBdr>
    </w:div>
    <w:div w:id="150803405">
      <w:bodyDiv w:val="1"/>
      <w:marLeft w:val="0"/>
      <w:marRight w:val="0"/>
      <w:marTop w:val="0"/>
      <w:marBottom w:val="0"/>
      <w:divBdr>
        <w:top w:val="none" w:sz="0" w:space="0" w:color="auto"/>
        <w:left w:val="none" w:sz="0" w:space="0" w:color="auto"/>
        <w:bottom w:val="none" w:sz="0" w:space="0" w:color="auto"/>
        <w:right w:val="none" w:sz="0" w:space="0" w:color="auto"/>
      </w:divBdr>
    </w:div>
    <w:div w:id="160315619">
      <w:bodyDiv w:val="1"/>
      <w:marLeft w:val="0"/>
      <w:marRight w:val="0"/>
      <w:marTop w:val="0"/>
      <w:marBottom w:val="0"/>
      <w:divBdr>
        <w:top w:val="none" w:sz="0" w:space="0" w:color="auto"/>
        <w:left w:val="none" w:sz="0" w:space="0" w:color="auto"/>
        <w:bottom w:val="none" w:sz="0" w:space="0" w:color="auto"/>
        <w:right w:val="none" w:sz="0" w:space="0" w:color="auto"/>
      </w:divBdr>
    </w:div>
    <w:div w:id="169681108">
      <w:bodyDiv w:val="1"/>
      <w:marLeft w:val="0"/>
      <w:marRight w:val="0"/>
      <w:marTop w:val="0"/>
      <w:marBottom w:val="0"/>
      <w:divBdr>
        <w:top w:val="none" w:sz="0" w:space="0" w:color="auto"/>
        <w:left w:val="none" w:sz="0" w:space="0" w:color="auto"/>
        <w:bottom w:val="none" w:sz="0" w:space="0" w:color="auto"/>
        <w:right w:val="none" w:sz="0" w:space="0" w:color="auto"/>
      </w:divBdr>
    </w:div>
    <w:div w:id="174811271">
      <w:bodyDiv w:val="1"/>
      <w:marLeft w:val="0"/>
      <w:marRight w:val="0"/>
      <w:marTop w:val="0"/>
      <w:marBottom w:val="0"/>
      <w:divBdr>
        <w:top w:val="none" w:sz="0" w:space="0" w:color="auto"/>
        <w:left w:val="none" w:sz="0" w:space="0" w:color="auto"/>
        <w:bottom w:val="none" w:sz="0" w:space="0" w:color="auto"/>
        <w:right w:val="none" w:sz="0" w:space="0" w:color="auto"/>
      </w:divBdr>
    </w:div>
    <w:div w:id="175727284">
      <w:bodyDiv w:val="1"/>
      <w:marLeft w:val="0"/>
      <w:marRight w:val="0"/>
      <w:marTop w:val="0"/>
      <w:marBottom w:val="0"/>
      <w:divBdr>
        <w:top w:val="none" w:sz="0" w:space="0" w:color="auto"/>
        <w:left w:val="none" w:sz="0" w:space="0" w:color="auto"/>
        <w:bottom w:val="none" w:sz="0" w:space="0" w:color="auto"/>
        <w:right w:val="none" w:sz="0" w:space="0" w:color="auto"/>
      </w:divBdr>
    </w:div>
    <w:div w:id="189609085">
      <w:bodyDiv w:val="1"/>
      <w:marLeft w:val="0"/>
      <w:marRight w:val="0"/>
      <w:marTop w:val="0"/>
      <w:marBottom w:val="0"/>
      <w:divBdr>
        <w:top w:val="none" w:sz="0" w:space="0" w:color="auto"/>
        <w:left w:val="none" w:sz="0" w:space="0" w:color="auto"/>
        <w:bottom w:val="none" w:sz="0" w:space="0" w:color="auto"/>
        <w:right w:val="none" w:sz="0" w:space="0" w:color="auto"/>
      </w:divBdr>
    </w:div>
    <w:div w:id="190192173">
      <w:bodyDiv w:val="1"/>
      <w:marLeft w:val="0"/>
      <w:marRight w:val="0"/>
      <w:marTop w:val="0"/>
      <w:marBottom w:val="0"/>
      <w:divBdr>
        <w:top w:val="none" w:sz="0" w:space="0" w:color="auto"/>
        <w:left w:val="none" w:sz="0" w:space="0" w:color="auto"/>
        <w:bottom w:val="none" w:sz="0" w:space="0" w:color="auto"/>
        <w:right w:val="none" w:sz="0" w:space="0" w:color="auto"/>
      </w:divBdr>
    </w:div>
    <w:div w:id="208032365">
      <w:bodyDiv w:val="1"/>
      <w:marLeft w:val="0"/>
      <w:marRight w:val="0"/>
      <w:marTop w:val="0"/>
      <w:marBottom w:val="0"/>
      <w:divBdr>
        <w:top w:val="none" w:sz="0" w:space="0" w:color="auto"/>
        <w:left w:val="none" w:sz="0" w:space="0" w:color="auto"/>
        <w:bottom w:val="none" w:sz="0" w:space="0" w:color="auto"/>
        <w:right w:val="none" w:sz="0" w:space="0" w:color="auto"/>
      </w:divBdr>
    </w:div>
    <w:div w:id="215749673">
      <w:bodyDiv w:val="1"/>
      <w:marLeft w:val="0"/>
      <w:marRight w:val="0"/>
      <w:marTop w:val="0"/>
      <w:marBottom w:val="0"/>
      <w:divBdr>
        <w:top w:val="none" w:sz="0" w:space="0" w:color="auto"/>
        <w:left w:val="none" w:sz="0" w:space="0" w:color="auto"/>
        <w:bottom w:val="none" w:sz="0" w:space="0" w:color="auto"/>
        <w:right w:val="none" w:sz="0" w:space="0" w:color="auto"/>
      </w:divBdr>
    </w:div>
    <w:div w:id="216091305">
      <w:bodyDiv w:val="1"/>
      <w:marLeft w:val="0"/>
      <w:marRight w:val="0"/>
      <w:marTop w:val="0"/>
      <w:marBottom w:val="0"/>
      <w:divBdr>
        <w:top w:val="none" w:sz="0" w:space="0" w:color="auto"/>
        <w:left w:val="none" w:sz="0" w:space="0" w:color="auto"/>
        <w:bottom w:val="none" w:sz="0" w:space="0" w:color="auto"/>
        <w:right w:val="none" w:sz="0" w:space="0" w:color="auto"/>
      </w:divBdr>
    </w:div>
    <w:div w:id="224419107">
      <w:bodyDiv w:val="1"/>
      <w:marLeft w:val="0"/>
      <w:marRight w:val="0"/>
      <w:marTop w:val="0"/>
      <w:marBottom w:val="0"/>
      <w:divBdr>
        <w:top w:val="none" w:sz="0" w:space="0" w:color="auto"/>
        <w:left w:val="none" w:sz="0" w:space="0" w:color="auto"/>
        <w:bottom w:val="none" w:sz="0" w:space="0" w:color="auto"/>
        <w:right w:val="none" w:sz="0" w:space="0" w:color="auto"/>
      </w:divBdr>
    </w:div>
    <w:div w:id="229511518">
      <w:bodyDiv w:val="1"/>
      <w:marLeft w:val="0"/>
      <w:marRight w:val="0"/>
      <w:marTop w:val="0"/>
      <w:marBottom w:val="0"/>
      <w:divBdr>
        <w:top w:val="none" w:sz="0" w:space="0" w:color="auto"/>
        <w:left w:val="none" w:sz="0" w:space="0" w:color="auto"/>
        <w:bottom w:val="none" w:sz="0" w:space="0" w:color="auto"/>
        <w:right w:val="none" w:sz="0" w:space="0" w:color="auto"/>
      </w:divBdr>
    </w:div>
    <w:div w:id="237443528">
      <w:bodyDiv w:val="1"/>
      <w:marLeft w:val="0"/>
      <w:marRight w:val="0"/>
      <w:marTop w:val="0"/>
      <w:marBottom w:val="0"/>
      <w:divBdr>
        <w:top w:val="none" w:sz="0" w:space="0" w:color="auto"/>
        <w:left w:val="none" w:sz="0" w:space="0" w:color="auto"/>
        <w:bottom w:val="none" w:sz="0" w:space="0" w:color="auto"/>
        <w:right w:val="none" w:sz="0" w:space="0" w:color="auto"/>
      </w:divBdr>
    </w:div>
    <w:div w:id="238682916">
      <w:bodyDiv w:val="1"/>
      <w:marLeft w:val="0"/>
      <w:marRight w:val="0"/>
      <w:marTop w:val="0"/>
      <w:marBottom w:val="0"/>
      <w:divBdr>
        <w:top w:val="none" w:sz="0" w:space="0" w:color="auto"/>
        <w:left w:val="none" w:sz="0" w:space="0" w:color="auto"/>
        <w:bottom w:val="none" w:sz="0" w:space="0" w:color="auto"/>
        <w:right w:val="none" w:sz="0" w:space="0" w:color="auto"/>
      </w:divBdr>
    </w:div>
    <w:div w:id="239289960">
      <w:bodyDiv w:val="1"/>
      <w:marLeft w:val="0"/>
      <w:marRight w:val="0"/>
      <w:marTop w:val="0"/>
      <w:marBottom w:val="0"/>
      <w:divBdr>
        <w:top w:val="none" w:sz="0" w:space="0" w:color="auto"/>
        <w:left w:val="none" w:sz="0" w:space="0" w:color="auto"/>
        <w:bottom w:val="none" w:sz="0" w:space="0" w:color="auto"/>
        <w:right w:val="none" w:sz="0" w:space="0" w:color="auto"/>
      </w:divBdr>
    </w:div>
    <w:div w:id="246694397">
      <w:bodyDiv w:val="1"/>
      <w:marLeft w:val="0"/>
      <w:marRight w:val="0"/>
      <w:marTop w:val="0"/>
      <w:marBottom w:val="0"/>
      <w:divBdr>
        <w:top w:val="none" w:sz="0" w:space="0" w:color="auto"/>
        <w:left w:val="none" w:sz="0" w:space="0" w:color="auto"/>
        <w:bottom w:val="none" w:sz="0" w:space="0" w:color="auto"/>
        <w:right w:val="none" w:sz="0" w:space="0" w:color="auto"/>
      </w:divBdr>
    </w:div>
    <w:div w:id="257980980">
      <w:bodyDiv w:val="1"/>
      <w:marLeft w:val="0"/>
      <w:marRight w:val="0"/>
      <w:marTop w:val="0"/>
      <w:marBottom w:val="0"/>
      <w:divBdr>
        <w:top w:val="none" w:sz="0" w:space="0" w:color="auto"/>
        <w:left w:val="none" w:sz="0" w:space="0" w:color="auto"/>
        <w:bottom w:val="none" w:sz="0" w:space="0" w:color="auto"/>
        <w:right w:val="none" w:sz="0" w:space="0" w:color="auto"/>
      </w:divBdr>
    </w:div>
    <w:div w:id="262497899">
      <w:bodyDiv w:val="1"/>
      <w:marLeft w:val="0"/>
      <w:marRight w:val="0"/>
      <w:marTop w:val="0"/>
      <w:marBottom w:val="0"/>
      <w:divBdr>
        <w:top w:val="none" w:sz="0" w:space="0" w:color="auto"/>
        <w:left w:val="none" w:sz="0" w:space="0" w:color="auto"/>
        <w:bottom w:val="none" w:sz="0" w:space="0" w:color="auto"/>
        <w:right w:val="none" w:sz="0" w:space="0" w:color="auto"/>
      </w:divBdr>
    </w:div>
    <w:div w:id="269316060">
      <w:bodyDiv w:val="1"/>
      <w:marLeft w:val="0"/>
      <w:marRight w:val="0"/>
      <w:marTop w:val="0"/>
      <w:marBottom w:val="0"/>
      <w:divBdr>
        <w:top w:val="none" w:sz="0" w:space="0" w:color="auto"/>
        <w:left w:val="none" w:sz="0" w:space="0" w:color="auto"/>
        <w:bottom w:val="none" w:sz="0" w:space="0" w:color="auto"/>
        <w:right w:val="none" w:sz="0" w:space="0" w:color="auto"/>
      </w:divBdr>
    </w:div>
    <w:div w:id="271059917">
      <w:bodyDiv w:val="1"/>
      <w:marLeft w:val="0"/>
      <w:marRight w:val="0"/>
      <w:marTop w:val="0"/>
      <w:marBottom w:val="0"/>
      <w:divBdr>
        <w:top w:val="none" w:sz="0" w:space="0" w:color="auto"/>
        <w:left w:val="none" w:sz="0" w:space="0" w:color="auto"/>
        <w:bottom w:val="none" w:sz="0" w:space="0" w:color="auto"/>
        <w:right w:val="none" w:sz="0" w:space="0" w:color="auto"/>
      </w:divBdr>
    </w:div>
    <w:div w:id="299114095">
      <w:bodyDiv w:val="1"/>
      <w:marLeft w:val="0"/>
      <w:marRight w:val="0"/>
      <w:marTop w:val="0"/>
      <w:marBottom w:val="0"/>
      <w:divBdr>
        <w:top w:val="none" w:sz="0" w:space="0" w:color="auto"/>
        <w:left w:val="none" w:sz="0" w:space="0" w:color="auto"/>
        <w:bottom w:val="none" w:sz="0" w:space="0" w:color="auto"/>
        <w:right w:val="none" w:sz="0" w:space="0" w:color="auto"/>
      </w:divBdr>
    </w:div>
    <w:div w:id="303002845">
      <w:bodyDiv w:val="1"/>
      <w:marLeft w:val="0"/>
      <w:marRight w:val="0"/>
      <w:marTop w:val="0"/>
      <w:marBottom w:val="0"/>
      <w:divBdr>
        <w:top w:val="none" w:sz="0" w:space="0" w:color="auto"/>
        <w:left w:val="none" w:sz="0" w:space="0" w:color="auto"/>
        <w:bottom w:val="none" w:sz="0" w:space="0" w:color="auto"/>
        <w:right w:val="none" w:sz="0" w:space="0" w:color="auto"/>
      </w:divBdr>
    </w:div>
    <w:div w:id="306709810">
      <w:bodyDiv w:val="1"/>
      <w:marLeft w:val="0"/>
      <w:marRight w:val="0"/>
      <w:marTop w:val="0"/>
      <w:marBottom w:val="0"/>
      <w:divBdr>
        <w:top w:val="none" w:sz="0" w:space="0" w:color="auto"/>
        <w:left w:val="none" w:sz="0" w:space="0" w:color="auto"/>
        <w:bottom w:val="none" w:sz="0" w:space="0" w:color="auto"/>
        <w:right w:val="none" w:sz="0" w:space="0" w:color="auto"/>
      </w:divBdr>
    </w:div>
    <w:div w:id="307125719">
      <w:bodyDiv w:val="1"/>
      <w:marLeft w:val="0"/>
      <w:marRight w:val="0"/>
      <w:marTop w:val="0"/>
      <w:marBottom w:val="0"/>
      <w:divBdr>
        <w:top w:val="none" w:sz="0" w:space="0" w:color="auto"/>
        <w:left w:val="none" w:sz="0" w:space="0" w:color="auto"/>
        <w:bottom w:val="none" w:sz="0" w:space="0" w:color="auto"/>
        <w:right w:val="none" w:sz="0" w:space="0" w:color="auto"/>
      </w:divBdr>
    </w:div>
    <w:div w:id="325061315">
      <w:bodyDiv w:val="1"/>
      <w:marLeft w:val="0"/>
      <w:marRight w:val="0"/>
      <w:marTop w:val="0"/>
      <w:marBottom w:val="0"/>
      <w:divBdr>
        <w:top w:val="none" w:sz="0" w:space="0" w:color="auto"/>
        <w:left w:val="none" w:sz="0" w:space="0" w:color="auto"/>
        <w:bottom w:val="none" w:sz="0" w:space="0" w:color="auto"/>
        <w:right w:val="none" w:sz="0" w:space="0" w:color="auto"/>
      </w:divBdr>
    </w:div>
    <w:div w:id="332605785">
      <w:bodyDiv w:val="1"/>
      <w:marLeft w:val="0"/>
      <w:marRight w:val="0"/>
      <w:marTop w:val="0"/>
      <w:marBottom w:val="0"/>
      <w:divBdr>
        <w:top w:val="none" w:sz="0" w:space="0" w:color="auto"/>
        <w:left w:val="none" w:sz="0" w:space="0" w:color="auto"/>
        <w:bottom w:val="none" w:sz="0" w:space="0" w:color="auto"/>
        <w:right w:val="none" w:sz="0" w:space="0" w:color="auto"/>
      </w:divBdr>
    </w:div>
    <w:div w:id="351079418">
      <w:bodyDiv w:val="1"/>
      <w:marLeft w:val="0"/>
      <w:marRight w:val="0"/>
      <w:marTop w:val="0"/>
      <w:marBottom w:val="0"/>
      <w:divBdr>
        <w:top w:val="none" w:sz="0" w:space="0" w:color="auto"/>
        <w:left w:val="none" w:sz="0" w:space="0" w:color="auto"/>
        <w:bottom w:val="none" w:sz="0" w:space="0" w:color="auto"/>
        <w:right w:val="none" w:sz="0" w:space="0" w:color="auto"/>
      </w:divBdr>
    </w:div>
    <w:div w:id="360595654">
      <w:bodyDiv w:val="1"/>
      <w:marLeft w:val="0"/>
      <w:marRight w:val="0"/>
      <w:marTop w:val="0"/>
      <w:marBottom w:val="0"/>
      <w:divBdr>
        <w:top w:val="none" w:sz="0" w:space="0" w:color="auto"/>
        <w:left w:val="none" w:sz="0" w:space="0" w:color="auto"/>
        <w:bottom w:val="none" w:sz="0" w:space="0" w:color="auto"/>
        <w:right w:val="none" w:sz="0" w:space="0" w:color="auto"/>
      </w:divBdr>
    </w:div>
    <w:div w:id="374550874">
      <w:bodyDiv w:val="1"/>
      <w:marLeft w:val="0"/>
      <w:marRight w:val="0"/>
      <w:marTop w:val="0"/>
      <w:marBottom w:val="0"/>
      <w:divBdr>
        <w:top w:val="none" w:sz="0" w:space="0" w:color="auto"/>
        <w:left w:val="none" w:sz="0" w:space="0" w:color="auto"/>
        <w:bottom w:val="none" w:sz="0" w:space="0" w:color="auto"/>
        <w:right w:val="none" w:sz="0" w:space="0" w:color="auto"/>
      </w:divBdr>
    </w:div>
    <w:div w:id="376046165">
      <w:bodyDiv w:val="1"/>
      <w:marLeft w:val="0"/>
      <w:marRight w:val="0"/>
      <w:marTop w:val="0"/>
      <w:marBottom w:val="0"/>
      <w:divBdr>
        <w:top w:val="none" w:sz="0" w:space="0" w:color="auto"/>
        <w:left w:val="none" w:sz="0" w:space="0" w:color="auto"/>
        <w:bottom w:val="none" w:sz="0" w:space="0" w:color="auto"/>
        <w:right w:val="none" w:sz="0" w:space="0" w:color="auto"/>
      </w:divBdr>
    </w:div>
    <w:div w:id="406733459">
      <w:bodyDiv w:val="1"/>
      <w:marLeft w:val="0"/>
      <w:marRight w:val="0"/>
      <w:marTop w:val="0"/>
      <w:marBottom w:val="0"/>
      <w:divBdr>
        <w:top w:val="none" w:sz="0" w:space="0" w:color="auto"/>
        <w:left w:val="none" w:sz="0" w:space="0" w:color="auto"/>
        <w:bottom w:val="none" w:sz="0" w:space="0" w:color="auto"/>
        <w:right w:val="none" w:sz="0" w:space="0" w:color="auto"/>
      </w:divBdr>
    </w:div>
    <w:div w:id="408039737">
      <w:bodyDiv w:val="1"/>
      <w:marLeft w:val="0"/>
      <w:marRight w:val="0"/>
      <w:marTop w:val="0"/>
      <w:marBottom w:val="0"/>
      <w:divBdr>
        <w:top w:val="none" w:sz="0" w:space="0" w:color="auto"/>
        <w:left w:val="none" w:sz="0" w:space="0" w:color="auto"/>
        <w:bottom w:val="none" w:sz="0" w:space="0" w:color="auto"/>
        <w:right w:val="none" w:sz="0" w:space="0" w:color="auto"/>
      </w:divBdr>
    </w:div>
    <w:div w:id="416053434">
      <w:bodyDiv w:val="1"/>
      <w:marLeft w:val="0"/>
      <w:marRight w:val="0"/>
      <w:marTop w:val="0"/>
      <w:marBottom w:val="0"/>
      <w:divBdr>
        <w:top w:val="none" w:sz="0" w:space="0" w:color="auto"/>
        <w:left w:val="none" w:sz="0" w:space="0" w:color="auto"/>
        <w:bottom w:val="none" w:sz="0" w:space="0" w:color="auto"/>
        <w:right w:val="none" w:sz="0" w:space="0" w:color="auto"/>
      </w:divBdr>
    </w:div>
    <w:div w:id="437484425">
      <w:bodyDiv w:val="1"/>
      <w:marLeft w:val="0"/>
      <w:marRight w:val="0"/>
      <w:marTop w:val="0"/>
      <w:marBottom w:val="0"/>
      <w:divBdr>
        <w:top w:val="none" w:sz="0" w:space="0" w:color="auto"/>
        <w:left w:val="none" w:sz="0" w:space="0" w:color="auto"/>
        <w:bottom w:val="none" w:sz="0" w:space="0" w:color="auto"/>
        <w:right w:val="none" w:sz="0" w:space="0" w:color="auto"/>
      </w:divBdr>
    </w:div>
    <w:div w:id="453526048">
      <w:bodyDiv w:val="1"/>
      <w:marLeft w:val="0"/>
      <w:marRight w:val="0"/>
      <w:marTop w:val="0"/>
      <w:marBottom w:val="0"/>
      <w:divBdr>
        <w:top w:val="none" w:sz="0" w:space="0" w:color="auto"/>
        <w:left w:val="none" w:sz="0" w:space="0" w:color="auto"/>
        <w:bottom w:val="none" w:sz="0" w:space="0" w:color="auto"/>
        <w:right w:val="none" w:sz="0" w:space="0" w:color="auto"/>
      </w:divBdr>
    </w:div>
    <w:div w:id="455374008">
      <w:bodyDiv w:val="1"/>
      <w:marLeft w:val="0"/>
      <w:marRight w:val="0"/>
      <w:marTop w:val="0"/>
      <w:marBottom w:val="0"/>
      <w:divBdr>
        <w:top w:val="none" w:sz="0" w:space="0" w:color="auto"/>
        <w:left w:val="none" w:sz="0" w:space="0" w:color="auto"/>
        <w:bottom w:val="none" w:sz="0" w:space="0" w:color="auto"/>
        <w:right w:val="none" w:sz="0" w:space="0" w:color="auto"/>
      </w:divBdr>
    </w:div>
    <w:div w:id="458115201">
      <w:bodyDiv w:val="1"/>
      <w:marLeft w:val="0"/>
      <w:marRight w:val="0"/>
      <w:marTop w:val="0"/>
      <w:marBottom w:val="0"/>
      <w:divBdr>
        <w:top w:val="none" w:sz="0" w:space="0" w:color="auto"/>
        <w:left w:val="none" w:sz="0" w:space="0" w:color="auto"/>
        <w:bottom w:val="none" w:sz="0" w:space="0" w:color="auto"/>
        <w:right w:val="none" w:sz="0" w:space="0" w:color="auto"/>
      </w:divBdr>
    </w:div>
    <w:div w:id="458378372">
      <w:bodyDiv w:val="1"/>
      <w:marLeft w:val="0"/>
      <w:marRight w:val="0"/>
      <w:marTop w:val="0"/>
      <w:marBottom w:val="0"/>
      <w:divBdr>
        <w:top w:val="none" w:sz="0" w:space="0" w:color="auto"/>
        <w:left w:val="none" w:sz="0" w:space="0" w:color="auto"/>
        <w:bottom w:val="none" w:sz="0" w:space="0" w:color="auto"/>
        <w:right w:val="none" w:sz="0" w:space="0" w:color="auto"/>
      </w:divBdr>
    </w:div>
    <w:div w:id="466779850">
      <w:bodyDiv w:val="1"/>
      <w:marLeft w:val="0"/>
      <w:marRight w:val="0"/>
      <w:marTop w:val="0"/>
      <w:marBottom w:val="0"/>
      <w:divBdr>
        <w:top w:val="none" w:sz="0" w:space="0" w:color="auto"/>
        <w:left w:val="none" w:sz="0" w:space="0" w:color="auto"/>
        <w:bottom w:val="none" w:sz="0" w:space="0" w:color="auto"/>
        <w:right w:val="none" w:sz="0" w:space="0" w:color="auto"/>
      </w:divBdr>
    </w:div>
    <w:div w:id="472720194">
      <w:bodyDiv w:val="1"/>
      <w:marLeft w:val="0"/>
      <w:marRight w:val="0"/>
      <w:marTop w:val="0"/>
      <w:marBottom w:val="0"/>
      <w:divBdr>
        <w:top w:val="none" w:sz="0" w:space="0" w:color="auto"/>
        <w:left w:val="none" w:sz="0" w:space="0" w:color="auto"/>
        <w:bottom w:val="none" w:sz="0" w:space="0" w:color="auto"/>
        <w:right w:val="none" w:sz="0" w:space="0" w:color="auto"/>
      </w:divBdr>
    </w:div>
    <w:div w:id="491919406">
      <w:bodyDiv w:val="1"/>
      <w:marLeft w:val="0"/>
      <w:marRight w:val="0"/>
      <w:marTop w:val="0"/>
      <w:marBottom w:val="0"/>
      <w:divBdr>
        <w:top w:val="none" w:sz="0" w:space="0" w:color="auto"/>
        <w:left w:val="none" w:sz="0" w:space="0" w:color="auto"/>
        <w:bottom w:val="none" w:sz="0" w:space="0" w:color="auto"/>
        <w:right w:val="none" w:sz="0" w:space="0" w:color="auto"/>
      </w:divBdr>
    </w:div>
    <w:div w:id="496697458">
      <w:bodyDiv w:val="1"/>
      <w:marLeft w:val="0"/>
      <w:marRight w:val="0"/>
      <w:marTop w:val="0"/>
      <w:marBottom w:val="0"/>
      <w:divBdr>
        <w:top w:val="none" w:sz="0" w:space="0" w:color="auto"/>
        <w:left w:val="none" w:sz="0" w:space="0" w:color="auto"/>
        <w:bottom w:val="none" w:sz="0" w:space="0" w:color="auto"/>
        <w:right w:val="none" w:sz="0" w:space="0" w:color="auto"/>
      </w:divBdr>
    </w:div>
    <w:div w:id="496963743">
      <w:bodyDiv w:val="1"/>
      <w:marLeft w:val="0"/>
      <w:marRight w:val="0"/>
      <w:marTop w:val="0"/>
      <w:marBottom w:val="0"/>
      <w:divBdr>
        <w:top w:val="none" w:sz="0" w:space="0" w:color="auto"/>
        <w:left w:val="none" w:sz="0" w:space="0" w:color="auto"/>
        <w:bottom w:val="none" w:sz="0" w:space="0" w:color="auto"/>
        <w:right w:val="none" w:sz="0" w:space="0" w:color="auto"/>
      </w:divBdr>
    </w:div>
    <w:div w:id="505291603">
      <w:bodyDiv w:val="1"/>
      <w:marLeft w:val="0"/>
      <w:marRight w:val="0"/>
      <w:marTop w:val="0"/>
      <w:marBottom w:val="0"/>
      <w:divBdr>
        <w:top w:val="none" w:sz="0" w:space="0" w:color="auto"/>
        <w:left w:val="none" w:sz="0" w:space="0" w:color="auto"/>
        <w:bottom w:val="none" w:sz="0" w:space="0" w:color="auto"/>
        <w:right w:val="none" w:sz="0" w:space="0" w:color="auto"/>
      </w:divBdr>
    </w:div>
    <w:div w:id="515389452">
      <w:bodyDiv w:val="1"/>
      <w:marLeft w:val="0"/>
      <w:marRight w:val="0"/>
      <w:marTop w:val="0"/>
      <w:marBottom w:val="0"/>
      <w:divBdr>
        <w:top w:val="none" w:sz="0" w:space="0" w:color="auto"/>
        <w:left w:val="none" w:sz="0" w:space="0" w:color="auto"/>
        <w:bottom w:val="none" w:sz="0" w:space="0" w:color="auto"/>
        <w:right w:val="none" w:sz="0" w:space="0" w:color="auto"/>
      </w:divBdr>
    </w:div>
    <w:div w:id="525563396">
      <w:bodyDiv w:val="1"/>
      <w:marLeft w:val="0"/>
      <w:marRight w:val="0"/>
      <w:marTop w:val="0"/>
      <w:marBottom w:val="0"/>
      <w:divBdr>
        <w:top w:val="none" w:sz="0" w:space="0" w:color="auto"/>
        <w:left w:val="none" w:sz="0" w:space="0" w:color="auto"/>
        <w:bottom w:val="none" w:sz="0" w:space="0" w:color="auto"/>
        <w:right w:val="none" w:sz="0" w:space="0" w:color="auto"/>
      </w:divBdr>
    </w:div>
    <w:div w:id="529221846">
      <w:bodyDiv w:val="1"/>
      <w:marLeft w:val="0"/>
      <w:marRight w:val="0"/>
      <w:marTop w:val="0"/>
      <w:marBottom w:val="0"/>
      <w:divBdr>
        <w:top w:val="none" w:sz="0" w:space="0" w:color="auto"/>
        <w:left w:val="none" w:sz="0" w:space="0" w:color="auto"/>
        <w:bottom w:val="none" w:sz="0" w:space="0" w:color="auto"/>
        <w:right w:val="none" w:sz="0" w:space="0" w:color="auto"/>
      </w:divBdr>
    </w:div>
    <w:div w:id="561716445">
      <w:bodyDiv w:val="1"/>
      <w:marLeft w:val="0"/>
      <w:marRight w:val="0"/>
      <w:marTop w:val="0"/>
      <w:marBottom w:val="0"/>
      <w:divBdr>
        <w:top w:val="none" w:sz="0" w:space="0" w:color="auto"/>
        <w:left w:val="none" w:sz="0" w:space="0" w:color="auto"/>
        <w:bottom w:val="none" w:sz="0" w:space="0" w:color="auto"/>
        <w:right w:val="none" w:sz="0" w:space="0" w:color="auto"/>
      </w:divBdr>
    </w:div>
    <w:div w:id="562718469">
      <w:bodyDiv w:val="1"/>
      <w:marLeft w:val="0"/>
      <w:marRight w:val="0"/>
      <w:marTop w:val="0"/>
      <w:marBottom w:val="0"/>
      <w:divBdr>
        <w:top w:val="none" w:sz="0" w:space="0" w:color="auto"/>
        <w:left w:val="none" w:sz="0" w:space="0" w:color="auto"/>
        <w:bottom w:val="none" w:sz="0" w:space="0" w:color="auto"/>
        <w:right w:val="none" w:sz="0" w:space="0" w:color="auto"/>
      </w:divBdr>
    </w:div>
    <w:div w:id="567570431">
      <w:bodyDiv w:val="1"/>
      <w:marLeft w:val="0"/>
      <w:marRight w:val="0"/>
      <w:marTop w:val="0"/>
      <w:marBottom w:val="0"/>
      <w:divBdr>
        <w:top w:val="none" w:sz="0" w:space="0" w:color="auto"/>
        <w:left w:val="none" w:sz="0" w:space="0" w:color="auto"/>
        <w:bottom w:val="none" w:sz="0" w:space="0" w:color="auto"/>
        <w:right w:val="none" w:sz="0" w:space="0" w:color="auto"/>
      </w:divBdr>
    </w:div>
    <w:div w:id="569925026">
      <w:bodyDiv w:val="1"/>
      <w:marLeft w:val="0"/>
      <w:marRight w:val="0"/>
      <w:marTop w:val="0"/>
      <w:marBottom w:val="0"/>
      <w:divBdr>
        <w:top w:val="none" w:sz="0" w:space="0" w:color="auto"/>
        <w:left w:val="none" w:sz="0" w:space="0" w:color="auto"/>
        <w:bottom w:val="none" w:sz="0" w:space="0" w:color="auto"/>
        <w:right w:val="none" w:sz="0" w:space="0" w:color="auto"/>
      </w:divBdr>
    </w:div>
    <w:div w:id="575626929">
      <w:bodyDiv w:val="1"/>
      <w:marLeft w:val="0"/>
      <w:marRight w:val="0"/>
      <w:marTop w:val="0"/>
      <w:marBottom w:val="0"/>
      <w:divBdr>
        <w:top w:val="none" w:sz="0" w:space="0" w:color="auto"/>
        <w:left w:val="none" w:sz="0" w:space="0" w:color="auto"/>
        <w:bottom w:val="none" w:sz="0" w:space="0" w:color="auto"/>
        <w:right w:val="none" w:sz="0" w:space="0" w:color="auto"/>
      </w:divBdr>
    </w:div>
    <w:div w:id="579946259">
      <w:bodyDiv w:val="1"/>
      <w:marLeft w:val="0"/>
      <w:marRight w:val="0"/>
      <w:marTop w:val="0"/>
      <w:marBottom w:val="0"/>
      <w:divBdr>
        <w:top w:val="none" w:sz="0" w:space="0" w:color="auto"/>
        <w:left w:val="none" w:sz="0" w:space="0" w:color="auto"/>
        <w:bottom w:val="none" w:sz="0" w:space="0" w:color="auto"/>
        <w:right w:val="none" w:sz="0" w:space="0" w:color="auto"/>
      </w:divBdr>
    </w:div>
    <w:div w:id="583489296">
      <w:bodyDiv w:val="1"/>
      <w:marLeft w:val="0"/>
      <w:marRight w:val="0"/>
      <w:marTop w:val="0"/>
      <w:marBottom w:val="0"/>
      <w:divBdr>
        <w:top w:val="none" w:sz="0" w:space="0" w:color="auto"/>
        <w:left w:val="none" w:sz="0" w:space="0" w:color="auto"/>
        <w:bottom w:val="none" w:sz="0" w:space="0" w:color="auto"/>
        <w:right w:val="none" w:sz="0" w:space="0" w:color="auto"/>
      </w:divBdr>
    </w:div>
    <w:div w:id="591283096">
      <w:bodyDiv w:val="1"/>
      <w:marLeft w:val="0"/>
      <w:marRight w:val="0"/>
      <w:marTop w:val="0"/>
      <w:marBottom w:val="0"/>
      <w:divBdr>
        <w:top w:val="none" w:sz="0" w:space="0" w:color="auto"/>
        <w:left w:val="none" w:sz="0" w:space="0" w:color="auto"/>
        <w:bottom w:val="none" w:sz="0" w:space="0" w:color="auto"/>
        <w:right w:val="none" w:sz="0" w:space="0" w:color="auto"/>
      </w:divBdr>
    </w:div>
    <w:div w:id="594480397">
      <w:bodyDiv w:val="1"/>
      <w:marLeft w:val="0"/>
      <w:marRight w:val="0"/>
      <w:marTop w:val="0"/>
      <w:marBottom w:val="0"/>
      <w:divBdr>
        <w:top w:val="none" w:sz="0" w:space="0" w:color="auto"/>
        <w:left w:val="none" w:sz="0" w:space="0" w:color="auto"/>
        <w:bottom w:val="none" w:sz="0" w:space="0" w:color="auto"/>
        <w:right w:val="none" w:sz="0" w:space="0" w:color="auto"/>
      </w:divBdr>
    </w:div>
    <w:div w:id="613711729">
      <w:bodyDiv w:val="1"/>
      <w:marLeft w:val="0"/>
      <w:marRight w:val="0"/>
      <w:marTop w:val="0"/>
      <w:marBottom w:val="0"/>
      <w:divBdr>
        <w:top w:val="none" w:sz="0" w:space="0" w:color="auto"/>
        <w:left w:val="none" w:sz="0" w:space="0" w:color="auto"/>
        <w:bottom w:val="none" w:sz="0" w:space="0" w:color="auto"/>
        <w:right w:val="none" w:sz="0" w:space="0" w:color="auto"/>
      </w:divBdr>
    </w:div>
    <w:div w:id="623972918">
      <w:bodyDiv w:val="1"/>
      <w:marLeft w:val="0"/>
      <w:marRight w:val="0"/>
      <w:marTop w:val="0"/>
      <w:marBottom w:val="0"/>
      <w:divBdr>
        <w:top w:val="none" w:sz="0" w:space="0" w:color="auto"/>
        <w:left w:val="none" w:sz="0" w:space="0" w:color="auto"/>
        <w:bottom w:val="none" w:sz="0" w:space="0" w:color="auto"/>
        <w:right w:val="none" w:sz="0" w:space="0" w:color="auto"/>
      </w:divBdr>
    </w:div>
    <w:div w:id="625503350">
      <w:bodyDiv w:val="1"/>
      <w:marLeft w:val="0"/>
      <w:marRight w:val="0"/>
      <w:marTop w:val="0"/>
      <w:marBottom w:val="0"/>
      <w:divBdr>
        <w:top w:val="none" w:sz="0" w:space="0" w:color="auto"/>
        <w:left w:val="none" w:sz="0" w:space="0" w:color="auto"/>
        <w:bottom w:val="none" w:sz="0" w:space="0" w:color="auto"/>
        <w:right w:val="none" w:sz="0" w:space="0" w:color="auto"/>
      </w:divBdr>
    </w:div>
    <w:div w:id="630674398">
      <w:bodyDiv w:val="1"/>
      <w:marLeft w:val="0"/>
      <w:marRight w:val="0"/>
      <w:marTop w:val="0"/>
      <w:marBottom w:val="0"/>
      <w:divBdr>
        <w:top w:val="none" w:sz="0" w:space="0" w:color="auto"/>
        <w:left w:val="none" w:sz="0" w:space="0" w:color="auto"/>
        <w:bottom w:val="none" w:sz="0" w:space="0" w:color="auto"/>
        <w:right w:val="none" w:sz="0" w:space="0" w:color="auto"/>
      </w:divBdr>
    </w:div>
    <w:div w:id="631595283">
      <w:bodyDiv w:val="1"/>
      <w:marLeft w:val="0"/>
      <w:marRight w:val="0"/>
      <w:marTop w:val="0"/>
      <w:marBottom w:val="0"/>
      <w:divBdr>
        <w:top w:val="none" w:sz="0" w:space="0" w:color="auto"/>
        <w:left w:val="none" w:sz="0" w:space="0" w:color="auto"/>
        <w:bottom w:val="none" w:sz="0" w:space="0" w:color="auto"/>
        <w:right w:val="none" w:sz="0" w:space="0" w:color="auto"/>
      </w:divBdr>
    </w:div>
    <w:div w:id="632442095">
      <w:bodyDiv w:val="1"/>
      <w:marLeft w:val="0"/>
      <w:marRight w:val="0"/>
      <w:marTop w:val="0"/>
      <w:marBottom w:val="0"/>
      <w:divBdr>
        <w:top w:val="none" w:sz="0" w:space="0" w:color="auto"/>
        <w:left w:val="none" w:sz="0" w:space="0" w:color="auto"/>
        <w:bottom w:val="none" w:sz="0" w:space="0" w:color="auto"/>
        <w:right w:val="none" w:sz="0" w:space="0" w:color="auto"/>
      </w:divBdr>
    </w:div>
    <w:div w:id="633602340">
      <w:bodyDiv w:val="1"/>
      <w:marLeft w:val="0"/>
      <w:marRight w:val="0"/>
      <w:marTop w:val="0"/>
      <w:marBottom w:val="0"/>
      <w:divBdr>
        <w:top w:val="none" w:sz="0" w:space="0" w:color="auto"/>
        <w:left w:val="none" w:sz="0" w:space="0" w:color="auto"/>
        <w:bottom w:val="none" w:sz="0" w:space="0" w:color="auto"/>
        <w:right w:val="none" w:sz="0" w:space="0" w:color="auto"/>
      </w:divBdr>
    </w:div>
    <w:div w:id="642345373">
      <w:bodyDiv w:val="1"/>
      <w:marLeft w:val="0"/>
      <w:marRight w:val="0"/>
      <w:marTop w:val="0"/>
      <w:marBottom w:val="0"/>
      <w:divBdr>
        <w:top w:val="none" w:sz="0" w:space="0" w:color="auto"/>
        <w:left w:val="none" w:sz="0" w:space="0" w:color="auto"/>
        <w:bottom w:val="none" w:sz="0" w:space="0" w:color="auto"/>
        <w:right w:val="none" w:sz="0" w:space="0" w:color="auto"/>
      </w:divBdr>
    </w:div>
    <w:div w:id="647251002">
      <w:bodyDiv w:val="1"/>
      <w:marLeft w:val="0"/>
      <w:marRight w:val="0"/>
      <w:marTop w:val="0"/>
      <w:marBottom w:val="0"/>
      <w:divBdr>
        <w:top w:val="none" w:sz="0" w:space="0" w:color="auto"/>
        <w:left w:val="none" w:sz="0" w:space="0" w:color="auto"/>
        <w:bottom w:val="none" w:sz="0" w:space="0" w:color="auto"/>
        <w:right w:val="none" w:sz="0" w:space="0" w:color="auto"/>
      </w:divBdr>
    </w:div>
    <w:div w:id="680669429">
      <w:bodyDiv w:val="1"/>
      <w:marLeft w:val="0"/>
      <w:marRight w:val="0"/>
      <w:marTop w:val="0"/>
      <w:marBottom w:val="0"/>
      <w:divBdr>
        <w:top w:val="none" w:sz="0" w:space="0" w:color="auto"/>
        <w:left w:val="none" w:sz="0" w:space="0" w:color="auto"/>
        <w:bottom w:val="none" w:sz="0" w:space="0" w:color="auto"/>
        <w:right w:val="none" w:sz="0" w:space="0" w:color="auto"/>
      </w:divBdr>
    </w:div>
    <w:div w:id="684017833">
      <w:bodyDiv w:val="1"/>
      <w:marLeft w:val="0"/>
      <w:marRight w:val="0"/>
      <w:marTop w:val="0"/>
      <w:marBottom w:val="0"/>
      <w:divBdr>
        <w:top w:val="none" w:sz="0" w:space="0" w:color="auto"/>
        <w:left w:val="none" w:sz="0" w:space="0" w:color="auto"/>
        <w:bottom w:val="none" w:sz="0" w:space="0" w:color="auto"/>
        <w:right w:val="none" w:sz="0" w:space="0" w:color="auto"/>
      </w:divBdr>
    </w:div>
    <w:div w:id="687222526">
      <w:bodyDiv w:val="1"/>
      <w:marLeft w:val="0"/>
      <w:marRight w:val="0"/>
      <w:marTop w:val="0"/>
      <w:marBottom w:val="0"/>
      <w:divBdr>
        <w:top w:val="none" w:sz="0" w:space="0" w:color="auto"/>
        <w:left w:val="none" w:sz="0" w:space="0" w:color="auto"/>
        <w:bottom w:val="none" w:sz="0" w:space="0" w:color="auto"/>
        <w:right w:val="none" w:sz="0" w:space="0" w:color="auto"/>
      </w:divBdr>
    </w:div>
    <w:div w:id="708140613">
      <w:bodyDiv w:val="1"/>
      <w:marLeft w:val="0"/>
      <w:marRight w:val="0"/>
      <w:marTop w:val="0"/>
      <w:marBottom w:val="0"/>
      <w:divBdr>
        <w:top w:val="none" w:sz="0" w:space="0" w:color="auto"/>
        <w:left w:val="none" w:sz="0" w:space="0" w:color="auto"/>
        <w:bottom w:val="none" w:sz="0" w:space="0" w:color="auto"/>
        <w:right w:val="none" w:sz="0" w:space="0" w:color="auto"/>
      </w:divBdr>
    </w:div>
    <w:div w:id="720253596">
      <w:bodyDiv w:val="1"/>
      <w:marLeft w:val="0"/>
      <w:marRight w:val="0"/>
      <w:marTop w:val="0"/>
      <w:marBottom w:val="0"/>
      <w:divBdr>
        <w:top w:val="none" w:sz="0" w:space="0" w:color="auto"/>
        <w:left w:val="none" w:sz="0" w:space="0" w:color="auto"/>
        <w:bottom w:val="none" w:sz="0" w:space="0" w:color="auto"/>
        <w:right w:val="none" w:sz="0" w:space="0" w:color="auto"/>
      </w:divBdr>
    </w:div>
    <w:div w:id="724178124">
      <w:bodyDiv w:val="1"/>
      <w:marLeft w:val="0"/>
      <w:marRight w:val="0"/>
      <w:marTop w:val="0"/>
      <w:marBottom w:val="0"/>
      <w:divBdr>
        <w:top w:val="none" w:sz="0" w:space="0" w:color="auto"/>
        <w:left w:val="none" w:sz="0" w:space="0" w:color="auto"/>
        <w:bottom w:val="none" w:sz="0" w:space="0" w:color="auto"/>
        <w:right w:val="none" w:sz="0" w:space="0" w:color="auto"/>
      </w:divBdr>
    </w:div>
    <w:div w:id="731587028">
      <w:bodyDiv w:val="1"/>
      <w:marLeft w:val="0"/>
      <w:marRight w:val="0"/>
      <w:marTop w:val="0"/>
      <w:marBottom w:val="0"/>
      <w:divBdr>
        <w:top w:val="none" w:sz="0" w:space="0" w:color="auto"/>
        <w:left w:val="none" w:sz="0" w:space="0" w:color="auto"/>
        <w:bottom w:val="none" w:sz="0" w:space="0" w:color="auto"/>
        <w:right w:val="none" w:sz="0" w:space="0" w:color="auto"/>
      </w:divBdr>
    </w:div>
    <w:div w:id="734470683">
      <w:bodyDiv w:val="1"/>
      <w:marLeft w:val="0"/>
      <w:marRight w:val="0"/>
      <w:marTop w:val="0"/>
      <w:marBottom w:val="0"/>
      <w:divBdr>
        <w:top w:val="none" w:sz="0" w:space="0" w:color="auto"/>
        <w:left w:val="none" w:sz="0" w:space="0" w:color="auto"/>
        <w:bottom w:val="none" w:sz="0" w:space="0" w:color="auto"/>
        <w:right w:val="none" w:sz="0" w:space="0" w:color="auto"/>
      </w:divBdr>
    </w:div>
    <w:div w:id="745879306">
      <w:bodyDiv w:val="1"/>
      <w:marLeft w:val="0"/>
      <w:marRight w:val="0"/>
      <w:marTop w:val="0"/>
      <w:marBottom w:val="0"/>
      <w:divBdr>
        <w:top w:val="none" w:sz="0" w:space="0" w:color="auto"/>
        <w:left w:val="none" w:sz="0" w:space="0" w:color="auto"/>
        <w:bottom w:val="none" w:sz="0" w:space="0" w:color="auto"/>
        <w:right w:val="none" w:sz="0" w:space="0" w:color="auto"/>
      </w:divBdr>
    </w:div>
    <w:div w:id="753665618">
      <w:bodyDiv w:val="1"/>
      <w:marLeft w:val="0"/>
      <w:marRight w:val="0"/>
      <w:marTop w:val="0"/>
      <w:marBottom w:val="0"/>
      <w:divBdr>
        <w:top w:val="none" w:sz="0" w:space="0" w:color="auto"/>
        <w:left w:val="none" w:sz="0" w:space="0" w:color="auto"/>
        <w:bottom w:val="none" w:sz="0" w:space="0" w:color="auto"/>
        <w:right w:val="none" w:sz="0" w:space="0" w:color="auto"/>
      </w:divBdr>
    </w:div>
    <w:div w:id="755781419">
      <w:bodyDiv w:val="1"/>
      <w:marLeft w:val="0"/>
      <w:marRight w:val="0"/>
      <w:marTop w:val="0"/>
      <w:marBottom w:val="0"/>
      <w:divBdr>
        <w:top w:val="none" w:sz="0" w:space="0" w:color="auto"/>
        <w:left w:val="none" w:sz="0" w:space="0" w:color="auto"/>
        <w:bottom w:val="none" w:sz="0" w:space="0" w:color="auto"/>
        <w:right w:val="none" w:sz="0" w:space="0" w:color="auto"/>
      </w:divBdr>
    </w:div>
    <w:div w:id="761755918">
      <w:bodyDiv w:val="1"/>
      <w:marLeft w:val="0"/>
      <w:marRight w:val="0"/>
      <w:marTop w:val="0"/>
      <w:marBottom w:val="0"/>
      <w:divBdr>
        <w:top w:val="none" w:sz="0" w:space="0" w:color="auto"/>
        <w:left w:val="none" w:sz="0" w:space="0" w:color="auto"/>
        <w:bottom w:val="none" w:sz="0" w:space="0" w:color="auto"/>
        <w:right w:val="none" w:sz="0" w:space="0" w:color="auto"/>
      </w:divBdr>
    </w:div>
    <w:div w:id="775632951">
      <w:bodyDiv w:val="1"/>
      <w:marLeft w:val="0"/>
      <w:marRight w:val="0"/>
      <w:marTop w:val="0"/>
      <w:marBottom w:val="0"/>
      <w:divBdr>
        <w:top w:val="none" w:sz="0" w:space="0" w:color="auto"/>
        <w:left w:val="none" w:sz="0" w:space="0" w:color="auto"/>
        <w:bottom w:val="none" w:sz="0" w:space="0" w:color="auto"/>
        <w:right w:val="none" w:sz="0" w:space="0" w:color="auto"/>
      </w:divBdr>
    </w:div>
    <w:div w:id="780762141">
      <w:bodyDiv w:val="1"/>
      <w:marLeft w:val="0"/>
      <w:marRight w:val="0"/>
      <w:marTop w:val="0"/>
      <w:marBottom w:val="0"/>
      <w:divBdr>
        <w:top w:val="none" w:sz="0" w:space="0" w:color="auto"/>
        <w:left w:val="none" w:sz="0" w:space="0" w:color="auto"/>
        <w:bottom w:val="none" w:sz="0" w:space="0" w:color="auto"/>
        <w:right w:val="none" w:sz="0" w:space="0" w:color="auto"/>
      </w:divBdr>
    </w:div>
    <w:div w:id="784424841">
      <w:bodyDiv w:val="1"/>
      <w:marLeft w:val="0"/>
      <w:marRight w:val="0"/>
      <w:marTop w:val="0"/>
      <w:marBottom w:val="0"/>
      <w:divBdr>
        <w:top w:val="none" w:sz="0" w:space="0" w:color="auto"/>
        <w:left w:val="none" w:sz="0" w:space="0" w:color="auto"/>
        <w:bottom w:val="none" w:sz="0" w:space="0" w:color="auto"/>
        <w:right w:val="none" w:sz="0" w:space="0" w:color="auto"/>
      </w:divBdr>
    </w:div>
    <w:div w:id="785931125">
      <w:bodyDiv w:val="1"/>
      <w:marLeft w:val="0"/>
      <w:marRight w:val="0"/>
      <w:marTop w:val="0"/>
      <w:marBottom w:val="0"/>
      <w:divBdr>
        <w:top w:val="none" w:sz="0" w:space="0" w:color="auto"/>
        <w:left w:val="none" w:sz="0" w:space="0" w:color="auto"/>
        <w:bottom w:val="none" w:sz="0" w:space="0" w:color="auto"/>
        <w:right w:val="none" w:sz="0" w:space="0" w:color="auto"/>
      </w:divBdr>
    </w:div>
    <w:div w:id="787549681">
      <w:bodyDiv w:val="1"/>
      <w:marLeft w:val="0"/>
      <w:marRight w:val="0"/>
      <w:marTop w:val="0"/>
      <w:marBottom w:val="0"/>
      <w:divBdr>
        <w:top w:val="none" w:sz="0" w:space="0" w:color="auto"/>
        <w:left w:val="none" w:sz="0" w:space="0" w:color="auto"/>
        <w:bottom w:val="none" w:sz="0" w:space="0" w:color="auto"/>
        <w:right w:val="none" w:sz="0" w:space="0" w:color="auto"/>
      </w:divBdr>
    </w:div>
    <w:div w:id="789201889">
      <w:bodyDiv w:val="1"/>
      <w:marLeft w:val="0"/>
      <w:marRight w:val="0"/>
      <w:marTop w:val="0"/>
      <w:marBottom w:val="0"/>
      <w:divBdr>
        <w:top w:val="none" w:sz="0" w:space="0" w:color="auto"/>
        <w:left w:val="none" w:sz="0" w:space="0" w:color="auto"/>
        <w:bottom w:val="none" w:sz="0" w:space="0" w:color="auto"/>
        <w:right w:val="none" w:sz="0" w:space="0" w:color="auto"/>
      </w:divBdr>
    </w:div>
    <w:div w:id="792022373">
      <w:bodyDiv w:val="1"/>
      <w:marLeft w:val="0"/>
      <w:marRight w:val="0"/>
      <w:marTop w:val="0"/>
      <w:marBottom w:val="0"/>
      <w:divBdr>
        <w:top w:val="none" w:sz="0" w:space="0" w:color="auto"/>
        <w:left w:val="none" w:sz="0" w:space="0" w:color="auto"/>
        <w:bottom w:val="none" w:sz="0" w:space="0" w:color="auto"/>
        <w:right w:val="none" w:sz="0" w:space="0" w:color="auto"/>
      </w:divBdr>
    </w:div>
    <w:div w:id="794641024">
      <w:bodyDiv w:val="1"/>
      <w:marLeft w:val="0"/>
      <w:marRight w:val="0"/>
      <w:marTop w:val="0"/>
      <w:marBottom w:val="0"/>
      <w:divBdr>
        <w:top w:val="none" w:sz="0" w:space="0" w:color="auto"/>
        <w:left w:val="none" w:sz="0" w:space="0" w:color="auto"/>
        <w:bottom w:val="none" w:sz="0" w:space="0" w:color="auto"/>
        <w:right w:val="none" w:sz="0" w:space="0" w:color="auto"/>
      </w:divBdr>
    </w:div>
    <w:div w:id="795946697">
      <w:bodyDiv w:val="1"/>
      <w:marLeft w:val="0"/>
      <w:marRight w:val="0"/>
      <w:marTop w:val="0"/>
      <w:marBottom w:val="0"/>
      <w:divBdr>
        <w:top w:val="none" w:sz="0" w:space="0" w:color="auto"/>
        <w:left w:val="none" w:sz="0" w:space="0" w:color="auto"/>
        <w:bottom w:val="none" w:sz="0" w:space="0" w:color="auto"/>
        <w:right w:val="none" w:sz="0" w:space="0" w:color="auto"/>
      </w:divBdr>
    </w:div>
    <w:div w:id="797186142">
      <w:bodyDiv w:val="1"/>
      <w:marLeft w:val="0"/>
      <w:marRight w:val="0"/>
      <w:marTop w:val="0"/>
      <w:marBottom w:val="0"/>
      <w:divBdr>
        <w:top w:val="none" w:sz="0" w:space="0" w:color="auto"/>
        <w:left w:val="none" w:sz="0" w:space="0" w:color="auto"/>
        <w:bottom w:val="none" w:sz="0" w:space="0" w:color="auto"/>
        <w:right w:val="none" w:sz="0" w:space="0" w:color="auto"/>
      </w:divBdr>
    </w:div>
    <w:div w:id="802768242">
      <w:bodyDiv w:val="1"/>
      <w:marLeft w:val="0"/>
      <w:marRight w:val="0"/>
      <w:marTop w:val="0"/>
      <w:marBottom w:val="0"/>
      <w:divBdr>
        <w:top w:val="none" w:sz="0" w:space="0" w:color="auto"/>
        <w:left w:val="none" w:sz="0" w:space="0" w:color="auto"/>
        <w:bottom w:val="none" w:sz="0" w:space="0" w:color="auto"/>
        <w:right w:val="none" w:sz="0" w:space="0" w:color="auto"/>
      </w:divBdr>
    </w:div>
    <w:div w:id="806164151">
      <w:bodyDiv w:val="1"/>
      <w:marLeft w:val="0"/>
      <w:marRight w:val="0"/>
      <w:marTop w:val="0"/>
      <w:marBottom w:val="0"/>
      <w:divBdr>
        <w:top w:val="none" w:sz="0" w:space="0" w:color="auto"/>
        <w:left w:val="none" w:sz="0" w:space="0" w:color="auto"/>
        <w:bottom w:val="none" w:sz="0" w:space="0" w:color="auto"/>
        <w:right w:val="none" w:sz="0" w:space="0" w:color="auto"/>
      </w:divBdr>
    </w:div>
    <w:div w:id="806820651">
      <w:bodyDiv w:val="1"/>
      <w:marLeft w:val="0"/>
      <w:marRight w:val="0"/>
      <w:marTop w:val="0"/>
      <w:marBottom w:val="0"/>
      <w:divBdr>
        <w:top w:val="none" w:sz="0" w:space="0" w:color="auto"/>
        <w:left w:val="none" w:sz="0" w:space="0" w:color="auto"/>
        <w:bottom w:val="none" w:sz="0" w:space="0" w:color="auto"/>
        <w:right w:val="none" w:sz="0" w:space="0" w:color="auto"/>
      </w:divBdr>
    </w:div>
    <w:div w:id="816800632">
      <w:bodyDiv w:val="1"/>
      <w:marLeft w:val="0"/>
      <w:marRight w:val="0"/>
      <w:marTop w:val="0"/>
      <w:marBottom w:val="0"/>
      <w:divBdr>
        <w:top w:val="none" w:sz="0" w:space="0" w:color="auto"/>
        <w:left w:val="none" w:sz="0" w:space="0" w:color="auto"/>
        <w:bottom w:val="none" w:sz="0" w:space="0" w:color="auto"/>
        <w:right w:val="none" w:sz="0" w:space="0" w:color="auto"/>
      </w:divBdr>
    </w:div>
    <w:div w:id="825128778">
      <w:bodyDiv w:val="1"/>
      <w:marLeft w:val="0"/>
      <w:marRight w:val="0"/>
      <w:marTop w:val="0"/>
      <w:marBottom w:val="0"/>
      <w:divBdr>
        <w:top w:val="none" w:sz="0" w:space="0" w:color="auto"/>
        <w:left w:val="none" w:sz="0" w:space="0" w:color="auto"/>
        <w:bottom w:val="none" w:sz="0" w:space="0" w:color="auto"/>
        <w:right w:val="none" w:sz="0" w:space="0" w:color="auto"/>
      </w:divBdr>
    </w:div>
    <w:div w:id="840968681">
      <w:bodyDiv w:val="1"/>
      <w:marLeft w:val="0"/>
      <w:marRight w:val="0"/>
      <w:marTop w:val="0"/>
      <w:marBottom w:val="0"/>
      <w:divBdr>
        <w:top w:val="none" w:sz="0" w:space="0" w:color="auto"/>
        <w:left w:val="none" w:sz="0" w:space="0" w:color="auto"/>
        <w:bottom w:val="none" w:sz="0" w:space="0" w:color="auto"/>
        <w:right w:val="none" w:sz="0" w:space="0" w:color="auto"/>
      </w:divBdr>
    </w:div>
    <w:div w:id="841970326">
      <w:bodyDiv w:val="1"/>
      <w:marLeft w:val="0"/>
      <w:marRight w:val="0"/>
      <w:marTop w:val="0"/>
      <w:marBottom w:val="0"/>
      <w:divBdr>
        <w:top w:val="none" w:sz="0" w:space="0" w:color="auto"/>
        <w:left w:val="none" w:sz="0" w:space="0" w:color="auto"/>
        <w:bottom w:val="none" w:sz="0" w:space="0" w:color="auto"/>
        <w:right w:val="none" w:sz="0" w:space="0" w:color="auto"/>
      </w:divBdr>
    </w:div>
    <w:div w:id="845435960">
      <w:bodyDiv w:val="1"/>
      <w:marLeft w:val="0"/>
      <w:marRight w:val="0"/>
      <w:marTop w:val="0"/>
      <w:marBottom w:val="0"/>
      <w:divBdr>
        <w:top w:val="none" w:sz="0" w:space="0" w:color="auto"/>
        <w:left w:val="none" w:sz="0" w:space="0" w:color="auto"/>
        <w:bottom w:val="none" w:sz="0" w:space="0" w:color="auto"/>
        <w:right w:val="none" w:sz="0" w:space="0" w:color="auto"/>
      </w:divBdr>
    </w:div>
    <w:div w:id="872765091">
      <w:bodyDiv w:val="1"/>
      <w:marLeft w:val="0"/>
      <w:marRight w:val="0"/>
      <w:marTop w:val="0"/>
      <w:marBottom w:val="0"/>
      <w:divBdr>
        <w:top w:val="none" w:sz="0" w:space="0" w:color="auto"/>
        <w:left w:val="none" w:sz="0" w:space="0" w:color="auto"/>
        <w:bottom w:val="none" w:sz="0" w:space="0" w:color="auto"/>
        <w:right w:val="none" w:sz="0" w:space="0" w:color="auto"/>
      </w:divBdr>
    </w:div>
    <w:div w:id="873153751">
      <w:bodyDiv w:val="1"/>
      <w:marLeft w:val="0"/>
      <w:marRight w:val="0"/>
      <w:marTop w:val="0"/>
      <w:marBottom w:val="0"/>
      <w:divBdr>
        <w:top w:val="none" w:sz="0" w:space="0" w:color="auto"/>
        <w:left w:val="none" w:sz="0" w:space="0" w:color="auto"/>
        <w:bottom w:val="none" w:sz="0" w:space="0" w:color="auto"/>
        <w:right w:val="none" w:sz="0" w:space="0" w:color="auto"/>
      </w:divBdr>
    </w:div>
    <w:div w:id="887299089">
      <w:bodyDiv w:val="1"/>
      <w:marLeft w:val="0"/>
      <w:marRight w:val="0"/>
      <w:marTop w:val="0"/>
      <w:marBottom w:val="0"/>
      <w:divBdr>
        <w:top w:val="none" w:sz="0" w:space="0" w:color="auto"/>
        <w:left w:val="none" w:sz="0" w:space="0" w:color="auto"/>
        <w:bottom w:val="none" w:sz="0" w:space="0" w:color="auto"/>
        <w:right w:val="none" w:sz="0" w:space="0" w:color="auto"/>
      </w:divBdr>
    </w:div>
    <w:div w:id="900209785">
      <w:bodyDiv w:val="1"/>
      <w:marLeft w:val="0"/>
      <w:marRight w:val="0"/>
      <w:marTop w:val="0"/>
      <w:marBottom w:val="0"/>
      <w:divBdr>
        <w:top w:val="none" w:sz="0" w:space="0" w:color="auto"/>
        <w:left w:val="none" w:sz="0" w:space="0" w:color="auto"/>
        <w:bottom w:val="none" w:sz="0" w:space="0" w:color="auto"/>
        <w:right w:val="none" w:sz="0" w:space="0" w:color="auto"/>
      </w:divBdr>
    </w:div>
    <w:div w:id="900990535">
      <w:bodyDiv w:val="1"/>
      <w:marLeft w:val="0"/>
      <w:marRight w:val="0"/>
      <w:marTop w:val="0"/>
      <w:marBottom w:val="0"/>
      <w:divBdr>
        <w:top w:val="none" w:sz="0" w:space="0" w:color="auto"/>
        <w:left w:val="none" w:sz="0" w:space="0" w:color="auto"/>
        <w:bottom w:val="none" w:sz="0" w:space="0" w:color="auto"/>
        <w:right w:val="none" w:sz="0" w:space="0" w:color="auto"/>
      </w:divBdr>
    </w:div>
    <w:div w:id="901789627">
      <w:bodyDiv w:val="1"/>
      <w:marLeft w:val="0"/>
      <w:marRight w:val="0"/>
      <w:marTop w:val="0"/>
      <w:marBottom w:val="0"/>
      <w:divBdr>
        <w:top w:val="none" w:sz="0" w:space="0" w:color="auto"/>
        <w:left w:val="none" w:sz="0" w:space="0" w:color="auto"/>
        <w:bottom w:val="none" w:sz="0" w:space="0" w:color="auto"/>
        <w:right w:val="none" w:sz="0" w:space="0" w:color="auto"/>
      </w:divBdr>
    </w:div>
    <w:div w:id="905995309">
      <w:bodyDiv w:val="1"/>
      <w:marLeft w:val="0"/>
      <w:marRight w:val="0"/>
      <w:marTop w:val="0"/>
      <w:marBottom w:val="0"/>
      <w:divBdr>
        <w:top w:val="none" w:sz="0" w:space="0" w:color="auto"/>
        <w:left w:val="none" w:sz="0" w:space="0" w:color="auto"/>
        <w:bottom w:val="none" w:sz="0" w:space="0" w:color="auto"/>
        <w:right w:val="none" w:sz="0" w:space="0" w:color="auto"/>
      </w:divBdr>
    </w:div>
    <w:div w:id="927155036">
      <w:bodyDiv w:val="1"/>
      <w:marLeft w:val="0"/>
      <w:marRight w:val="0"/>
      <w:marTop w:val="0"/>
      <w:marBottom w:val="0"/>
      <w:divBdr>
        <w:top w:val="none" w:sz="0" w:space="0" w:color="auto"/>
        <w:left w:val="none" w:sz="0" w:space="0" w:color="auto"/>
        <w:bottom w:val="none" w:sz="0" w:space="0" w:color="auto"/>
        <w:right w:val="none" w:sz="0" w:space="0" w:color="auto"/>
      </w:divBdr>
    </w:div>
    <w:div w:id="928972824">
      <w:bodyDiv w:val="1"/>
      <w:marLeft w:val="0"/>
      <w:marRight w:val="0"/>
      <w:marTop w:val="0"/>
      <w:marBottom w:val="0"/>
      <w:divBdr>
        <w:top w:val="none" w:sz="0" w:space="0" w:color="auto"/>
        <w:left w:val="none" w:sz="0" w:space="0" w:color="auto"/>
        <w:bottom w:val="none" w:sz="0" w:space="0" w:color="auto"/>
        <w:right w:val="none" w:sz="0" w:space="0" w:color="auto"/>
      </w:divBdr>
    </w:div>
    <w:div w:id="932860200">
      <w:bodyDiv w:val="1"/>
      <w:marLeft w:val="0"/>
      <w:marRight w:val="0"/>
      <w:marTop w:val="0"/>
      <w:marBottom w:val="0"/>
      <w:divBdr>
        <w:top w:val="none" w:sz="0" w:space="0" w:color="auto"/>
        <w:left w:val="none" w:sz="0" w:space="0" w:color="auto"/>
        <w:bottom w:val="none" w:sz="0" w:space="0" w:color="auto"/>
        <w:right w:val="none" w:sz="0" w:space="0" w:color="auto"/>
      </w:divBdr>
    </w:div>
    <w:div w:id="935089784">
      <w:bodyDiv w:val="1"/>
      <w:marLeft w:val="0"/>
      <w:marRight w:val="0"/>
      <w:marTop w:val="0"/>
      <w:marBottom w:val="0"/>
      <w:divBdr>
        <w:top w:val="none" w:sz="0" w:space="0" w:color="auto"/>
        <w:left w:val="none" w:sz="0" w:space="0" w:color="auto"/>
        <w:bottom w:val="none" w:sz="0" w:space="0" w:color="auto"/>
        <w:right w:val="none" w:sz="0" w:space="0" w:color="auto"/>
      </w:divBdr>
    </w:div>
    <w:div w:id="940993987">
      <w:bodyDiv w:val="1"/>
      <w:marLeft w:val="0"/>
      <w:marRight w:val="0"/>
      <w:marTop w:val="0"/>
      <w:marBottom w:val="0"/>
      <w:divBdr>
        <w:top w:val="none" w:sz="0" w:space="0" w:color="auto"/>
        <w:left w:val="none" w:sz="0" w:space="0" w:color="auto"/>
        <w:bottom w:val="none" w:sz="0" w:space="0" w:color="auto"/>
        <w:right w:val="none" w:sz="0" w:space="0" w:color="auto"/>
      </w:divBdr>
    </w:div>
    <w:div w:id="951939312">
      <w:bodyDiv w:val="1"/>
      <w:marLeft w:val="0"/>
      <w:marRight w:val="0"/>
      <w:marTop w:val="0"/>
      <w:marBottom w:val="0"/>
      <w:divBdr>
        <w:top w:val="none" w:sz="0" w:space="0" w:color="auto"/>
        <w:left w:val="none" w:sz="0" w:space="0" w:color="auto"/>
        <w:bottom w:val="none" w:sz="0" w:space="0" w:color="auto"/>
        <w:right w:val="none" w:sz="0" w:space="0" w:color="auto"/>
      </w:divBdr>
    </w:div>
    <w:div w:id="956565930">
      <w:bodyDiv w:val="1"/>
      <w:marLeft w:val="0"/>
      <w:marRight w:val="0"/>
      <w:marTop w:val="0"/>
      <w:marBottom w:val="0"/>
      <w:divBdr>
        <w:top w:val="none" w:sz="0" w:space="0" w:color="auto"/>
        <w:left w:val="none" w:sz="0" w:space="0" w:color="auto"/>
        <w:bottom w:val="none" w:sz="0" w:space="0" w:color="auto"/>
        <w:right w:val="none" w:sz="0" w:space="0" w:color="auto"/>
      </w:divBdr>
    </w:div>
    <w:div w:id="960453296">
      <w:bodyDiv w:val="1"/>
      <w:marLeft w:val="0"/>
      <w:marRight w:val="0"/>
      <w:marTop w:val="0"/>
      <w:marBottom w:val="0"/>
      <w:divBdr>
        <w:top w:val="none" w:sz="0" w:space="0" w:color="auto"/>
        <w:left w:val="none" w:sz="0" w:space="0" w:color="auto"/>
        <w:bottom w:val="none" w:sz="0" w:space="0" w:color="auto"/>
        <w:right w:val="none" w:sz="0" w:space="0" w:color="auto"/>
      </w:divBdr>
    </w:div>
    <w:div w:id="960841178">
      <w:bodyDiv w:val="1"/>
      <w:marLeft w:val="0"/>
      <w:marRight w:val="0"/>
      <w:marTop w:val="0"/>
      <w:marBottom w:val="0"/>
      <w:divBdr>
        <w:top w:val="none" w:sz="0" w:space="0" w:color="auto"/>
        <w:left w:val="none" w:sz="0" w:space="0" w:color="auto"/>
        <w:bottom w:val="none" w:sz="0" w:space="0" w:color="auto"/>
        <w:right w:val="none" w:sz="0" w:space="0" w:color="auto"/>
      </w:divBdr>
    </w:div>
    <w:div w:id="963656061">
      <w:bodyDiv w:val="1"/>
      <w:marLeft w:val="0"/>
      <w:marRight w:val="0"/>
      <w:marTop w:val="0"/>
      <w:marBottom w:val="0"/>
      <w:divBdr>
        <w:top w:val="none" w:sz="0" w:space="0" w:color="auto"/>
        <w:left w:val="none" w:sz="0" w:space="0" w:color="auto"/>
        <w:bottom w:val="none" w:sz="0" w:space="0" w:color="auto"/>
        <w:right w:val="none" w:sz="0" w:space="0" w:color="auto"/>
      </w:divBdr>
    </w:div>
    <w:div w:id="964578792">
      <w:bodyDiv w:val="1"/>
      <w:marLeft w:val="0"/>
      <w:marRight w:val="0"/>
      <w:marTop w:val="0"/>
      <w:marBottom w:val="0"/>
      <w:divBdr>
        <w:top w:val="none" w:sz="0" w:space="0" w:color="auto"/>
        <w:left w:val="none" w:sz="0" w:space="0" w:color="auto"/>
        <w:bottom w:val="none" w:sz="0" w:space="0" w:color="auto"/>
        <w:right w:val="none" w:sz="0" w:space="0" w:color="auto"/>
      </w:divBdr>
    </w:div>
    <w:div w:id="964696259">
      <w:bodyDiv w:val="1"/>
      <w:marLeft w:val="0"/>
      <w:marRight w:val="0"/>
      <w:marTop w:val="0"/>
      <w:marBottom w:val="0"/>
      <w:divBdr>
        <w:top w:val="none" w:sz="0" w:space="0" w:color="auto"/>
        <w:left w:val="none" w:sz="0" w:space="0" w:color="auto"/>
        <w:bottom w:val="none" w:sz="0" w:space="0" w:color="auto"/>
        <w:right w:val="none" w:sz="0" w:space="0" w:color="auto"/>
      </w:divBdr>
    </w:div>
    <w:div w:id="965965789">
      <w:bodyDiv w:val="1"/>
      <w:marLeft w:val="0"/>
      <w:marRight w:val="0"/>
      <w:marTop w:val="0"/>
      <w:marBottom w:val="0"/>
      <w:divBdr>
        <w:top w:val="none" w:sz="0" w:space="0" w:color="auto"/>
        <w:left w:val="none" w:sz="0" w:space="0" w:color="auto"/>
        <w:bottom w:val="none" w:sz="0" w:space="0" w:color="auto"/>
        <w:right w:val="none" w:sz="0" w:space="0" w:color="auto"/>
      </w:divBdr>
    </w:div>
    <w:div w:id="972365240">
      <w:bodyDiv w:val="1"/>
      <w:marLeft w:val="0"/>
      <w:marRight w:val="0"/>
      <w:marTop w:val="0"/>
      <w:marBottom w:val="0"/>
      <w:divBdr>
        <w:top w:val="none" w:sz="0" w:space="0" w:color="auto"/>
        <w:left w:val="none" w:sz="0" w:space="0" w:color="auto"/>
        <w:bottom w:val="none" w:sz="0" w:space="0" w:color="auto"/>
        <w:right w:val="none" w:sz="0" w:space="0" w:color="auto"/>
      </w:divBdr>
    </w:div>
    <w:div w:id="974219063">
      <w:bodyDiv w:val="1"/>
      <w:marLeft w:val="0"/>
      <w:marRight w:val="0"/>
      <w:marTop w:val="0"/>
      <w:marBottom w:val="0"/>
      <w:divBdr>
        <w:top w:val="none" w:sz="0" w:space="0" w:color="auto"/>
        <w:left w:val="none" w:sz="0" w:space="0" w:color="auto"/>
        <w:bottom w:val="none" w:sz="0" w:space="0" w:color="auto"/>
        <w:right w:val="none" w:sz="0" w:space="0" w:color="auto"/>
      </w:divBdr>
    </w:div>
    <w:div w:id="975987007">
      <w:bodyDiv w:val="1"/>
      <w:marLeft w:val="0"/>
      <w:marRight w:val="0"/>
      <w:marTop w:val="0"/>
      <w:marBottom w:val="0"/>
      <w:divBdr>
        <w:top w:val="none" w:sz="0" w:space="0" w:color="auto"/>
        <w:left w:val="none" w:sz="0" w:space="0" w:color="auto"/>
        <w:bottom w:val="none" w:sz="0" w:space="0" w:color="auto"/>
        <w:right w:val="none" w:sz="0" w:space="0" w:color="auto"/>
      </w:divBdr>
    </w:div>
    <w:div w:id="976028434">
      <w:bodyDiv w:val="1"/>
      <w:marLeft w:val="0"/>
      <w:marRight w:val="0"/>
      <w:marTop w:val="0"/>
      <w:marBottom w:val="0"/>
      <w:divBdr>
        <w:top w:val="none" w:sz="0" w:space="0" w:color="auto"/>
        <w:left w:val="none" w:sz="0" w:space="0" w:color="auto"/>
        <w:bottom w:val="none" w:sz="0" w:space="0" w:color="auto"/>
        <w:right w:val="none" w:sz="0" w:space="0" w:color="auto"/>
      </w:divBdr>
    </w:div>
    <w:div w:id="982008391">
      <w:bodyDiv w:val="1"/>
      <w:marLeft w:val="0"/>
      <w:marRight w:val="0"/>
      <w:marTop w:val="0"/>
      <w:marBottom w:val="0"/>
      <w:divBdr>
        <w:top w:val="none" w:sz="0" w:space="0" w:color="auto"/>
        <w:left w:val="none" w:sz="0" w:space="0" w:color="auto"/>
        <w:bottom w:val="none" w:sz="0" w:space="0" w:color="auto"/>
        <w:right w:val="none" w:sz="0" w:space="0" w:color="auto"/>
      </w:divBdr>
    </w:div>
    <w:div w:id="986124823">
      <w:bodyDiv w:val="1"/>
      <w:marLeft w:val="0"/>
      <w:marRight w:val="0"/>
      <w:marTop w:val="0"/>
      <w:marBottom w:val="0"/>
      <w:divBdr>
        <w:top w:val="none" w:sz="0" w:space="0" w:color="auto"/>
        <w:left w:val="none" w:sz="0" w:space="0" w:color="auto"/>
        <w:bottom w:val="none" w:sz="0" w:space="0" w:color="auto"/>
        <w:right w:val="none" w:sz="0" w:space="0" w:color="auto"/>
      </w:divBdr>
    </w:div>
    <w:div w:id="988553005">
      <w:bodyDiv w:val="1"/>
      <w:marLeft w:val="0"/>
      <w:marRight w:val="0"/>
      <w:marTop w:val="0"/>
      <w:marBottom w:val="0"/>
      <w:divBdr>
        <w:top w:val="none" w:sz="0" w:space="0" w:color="auto"/>
        <w:left w:val="none" w:sz="0" w:space="0" w:color="auto"/>
        <w:bottom w:val="none" w:sz="0" w:space="0" w:color="auto"/>
        <w:right w:val="none" w:sz="0" w:space="0" w:color="auto"/>
      </w:divBdr>
    </w:div>
    <w:div w:id="992762300">
      <w:bodyDiv w:val="1"/>
      <w:marLeft w:val="0"/>
      <w:marRight w:val="0"/>
      <w:marTop w:val="0"/>
      <w:marBottom w:val="0"/>
      <w:divBdr>
        <w:top w:val="none" w:sz="0" w:space="0" w:color="auto"/>
        <w:left w:val="none" w:sz="0" w:space="0" w:color="auto"/>
        <w:bottom w:val="none" w:sz="0" w:space="0" w:color="auto"/>
        <w:right w:val="none" w:sz="0" w:space="0" w:color="auto"/>
      </w:divBdr>
    </w:div>
    <w:div w:id="999623659">
      <w:bodyDiv w:val="1"/>
      <w:marLeft w:val="0"/>
      <w:marRight w:val="0"/>
      <w:marTop w:val="0"/>
      <w:marBottom w:val="0"/>
      <w:divBdr>
        <w:top w:val="none" w:sz="0" w:space="0" w:color="auto"/>
        <w:left w:val="none" w:sz="0" w:space="0" w:color="auto"/>
        <w:bottom w:val="none" w:sz="0" w:space="0" w:color="auto"/>
        <w:right w:val="none" w:sz="0" w:space="0" w:color="auto"/>
      </w:divBdr>
    </w:div>
    <w:div w:id="1003439327">
      <w:bodyDiv w:val="1"/>
      <w:marLeft w:val="0"/>
      <w:marRight w:val="0"/>
      <w:marTop w:val="0"/>
      <w:marBottom w:val="0"/>
      <w:divBdr>
        <w:top w:val="none" w:sz="0" w:space="0" w:color="auto"/>
        <w:left w:val="none" w:sz="0" w:space="0" w:color="auto"/>
        <w:bottom w:val="none" w:sz="0" w:space="0" w:color="auto"/>
        <w:right w:val="none" w:sz="0" w:space="0" w:color="auto"/>
      </w:divBdr>
    </w:div>
    <w:div w:id="1003976305">
      <w:bodyDiv w:val="1"/>
      <w:marLeft w:val="0"/>
      <w:marRight w:val="0"/>
      <w:marTop w:val="0"/>
      <w:marBottom w:val="0"/>
      <w:divBdr>
        <w:top w:val="none" w:sz="0" w:space="0" w:color="auto"/>
        <w:left w:val="none" w:sz="0" w:space="0" w:color="auto"/>
        <w:bottom w:val="none" w:sz="0" w:space="0" w:color="auto"/>
        <w:right w:val="none" w:sz="0" w:space="0" w:color="auto"/>
      </w:divBdr>
    </w:div>
    <w:div w:id="1004167330">
      <w:bodyDiv w:val="1"/>
      <w:marLeft w:val="0"/>
      <w:marRight w:val="0"/>
      <w:marTop w:val="0"/>
      <w:marBottom w:val="0"/>
      <w:divBdr>
        <w:top w:val="none" w:sz="0" w:space="0" w:color="auto"/>
        <w:left w:val="none" w:sz="0" w:space="0" w:color="auto"/>
        <w:bottom w:val="none" w:sz="0" w:space="0" w:color="auto"/>
        <w:right w:val="none" w:sz="0" w:space="0" w:color="auto"/>
      </w:divBdr>
    </w:div>
    <w:div w:id="1005937557">
      <w:bodyDiv w:val="1"/>
      <w:marLeft w:val="0"/>
      <w:marRight w:val="0"/>
      <w:marTop w:val="0"/>
      <w:marBottom w:val="0"/>
      <w:divBdr>
        <w:top w:val="none" w:sz="0" w:space="0" w:color="auto"/>
        <w:left w:val="none" w:sz="0" w:space="0" w:color="auto"/>
        <w:bottom w:val="none" w:sz="0" w:space="0" w:color="auto"/>
        <w:right w:val="none" w:sz="0" w:space="0" w:color="auto"/>
      </w:divBdr>
    </w:div>
    <w:div w:id="1008368331">
      <w:bodyDiv w:val="1"/>
      <w:marLeft w:val="0"/>
      <w:marRight w:val="0"/>
      <w:marTop w:val="0"/>
      <w:marBottom w:val="0"/>
      <w:divBdr>
        <w:top w:val="none" w:sz="0" w:space="0" w:color="auto"/>
        <w:left w:val="none" w:sz="0" w:space="0" w:color="auto"/>
        <w:bottom w:val="none" w:sz="0" w:space="0" w:color="auto"/>
        <w:right w:val="none" w:sz="0" w:space="0" w:color="auto"/>
      </w:divBdr>
    </w:div>
    <w:div w:id="1010331458">
      <w:bodyDiv w:val="1"/>
      <w:marLeft w:val="0"/>
      <w:marRight w:val="0"/>
      <w:marTop w:val="0"/>
      <w:marBottom w:val="0"/>
      <w:divBdr>
        <w:top w:val="none" w:sz="0" w:space="0" w:color="auto"/>
        <w:left w:val="none" w:sz="0" w:space="0" w:color="auto"/>
        <w:bottom w:val="none" w:sz="0" w:space="0" w:color="auto"/>
        <w:right w:val="none" w:sz="0" w:space="0" w:color="auto"/>
      </w:divBdr>
    </w:div>
    <w:div w:id="1015423619">
      <w:bodyDiv w:val="1"/>
      <w:marLeft w:val="0"/>
      <w:marRight w:val="0"/>
      <w:marTop w:val="0"/>
      <w:marBottom w:val="0"/>
      <w:divBdr>
        <w:top w:val="none" w:sz="0" w:space="0" w:color="auto"/>
        <w:left w:val="none" w:sz="0" w:space="0" w:color="auto"/>
        <w:bottom w:val="none" w:sz="0" w:space="0" w:color="auto"/>
        <w:right w:val="none" w:sz="0" w:space="0" w:color="auto"/>
      </w:divBdr>
    </w:div>
    <w:div w:id="1043018406">
      <w:bodyDiv w:val="1"/>
      <w:marLeft w:val="0"/>
      <w:marRight w:val="0"/>
      <w:marTop w:val="0"/>
      <w:marBottom w:val="0"/>
      <w:divBdr>
        <w:top w:val="none" w:sz="0" w:space="0" w:color="auto"/>
        <w:left w:val="none" w:sz="0" w:space="0" w:color="auto"/>
        <w:bottom w:val="none" w:sz="0" w:space="0" w:color="auto"/>
        <w:right w:val="none" w:sz="0" w:space="0" w:color="auto"/>
      </w:divBdr>
    </w:div>
    <w:div w:id="1052847591">
      <w:bodyDiv w:val="1"/>
      <w:marLeft w:val="0"/>
      <w:marRight w:val="0"/>
      <w:marTop w:val="0"/>
      <w:marBottom w:val="0"/>
      <w:divBdr>
        <w:top w:val="none" w:sz="0" w:space="0" w:color="auto"/>
        <w:left w:val="none" w:sz="0" w:space="0" w:color="auto"/>
        <w:bottom w:val="none" w:sz="0" w:space="0" w:color="auto"/>
        <w:right w:val="none" w:sz="0" w:space="0" w:color="auto"/>
      </w:divBdr>
    </w:div>
    <w:div w:id="1057782792">
      <w:bodyDiv w:val="1"/>
      <w:marLeft w:val="0"/>
      <w:marRight w:val="0"/>
      <w:marTop w:val="0"/>
      <w:marBottom w:val="0"/>
      <w:divBdr>
        <w:top w:val="none" w:sz="0" w:space="0" w:color="auto"/>
        <w:left w:val="none" w:sz="0" w:space="0" w:color="auto"/>
        <w:bottom w:val="none" w:sz="0" w:space="0" w:color="auto"/>
        <w:right w:val="none" w:sz="0" w:space="0" w:color="auto"/>
      </w:divBdr>
    </w:div>
    <w:div w:id="1071462157">
      <w:bodyDiv w:val="1"/>
      <w:marLeft w:val="0"/>
      <w:marRight w:val="0"/>
      <w:marTop w:val="0"/>
      <w:marBottom w:val="0"/>
      <w:divBdr>
        <w:top w:val="none" w:sz="0" w:space="0" w:color="auto"/>
        <w:left w:val="none" w:sz="0" w:space="0" w:color="auto"/>
        <w:bottom w:val="none" w:sz="0" w:space="0" w:color="auto"/>
        <w:right w:val="none" w:sz="0" w:space="0" w:color="auto"/>
      </w:divBdr>
    </w:div>
    <w:div w:id="1071541768">
      <w:bodyDiv w:val="1"/>
      <w:marLeft w:val="0"/>
      <w:marRight w:val="0"/>
      <w:marTop w:val="0"/>
      <w:marBottom w:val="0"/>
      <w:divBdr>
        <w:top w:val="none" w:sz="0" w:space="0" w:color="auto"/>
        <w:left w:val="none" w:sz="0" w:space="0" w:color="auto"/>
        <w:bottom w:val="none" w:sz="0" w:space="0" w:color="auto"/>
        <w:right w:val="none" w:sz="0" w:space="0" w:color="auto"/>
      </w:divBdr>
    </w:div>
    <w:div w:id="1093208596">
      <w:bodyDiv w:val="1"/>
      <w:marLeft w:val="0"/>
      <w:marRight w:val="0"/>
      <w:marTop w:val="0"/>
      <w:marBottom w:val="0"/>
      <w:divBdr>
        <w:top w:val="none" w:sz="0" w:space="0" w:color="auto"/>
        <w:left w:val="none" w:sz="0" w:space="0" w:color="auto"/>
        <w:bottom w:val="none" w:sz="0" w:space="0" w:color="auto"/>
        <w:right w:val="none" w:sz="0" w:space="0" w:color="auto"/>
      </w:divBdr>
    </w:div>
    <w:div w:id="1094015431">
      <w:bodyDiv w:val="1"/>
      <w:marLeft w:val="0"/>
      <w:marRight w:val="0"/>
      <w:marTop w:val="0"/>
      <w:marBottom w:val="0"/>
      <w:divBdr>
        <w:top w:val="none" w:sz="0" w:space="0" w:color="auto"/>
        <w:left w:val="none" w:sz="0" w:space="0" w:color="auto"/>
        <w:bottom w:val="none" w:sz="0" w:space="0" w:color="auto"/>
        <w:right w:val="none" w:sz="0" w:space="0" w:color="auto"/>
      </w:divBdr>
    </w:div>
    <w:div w:id="1095981092">
      <w:bodyDiv w:val="1"/>
      <w:marLeft w:val="0"/>
      <w:marRight w:val="0"/>
      <w:marTop w:val="0"/>
      <w:marBottom w:val="0"/>
      <w:divBdr>
        <w:top w:val="none" w:sz="0" w:space="0" w:color="auto"/>
        <w:left w:val="none" w:sz="0" w:space="0" w:color="auto"/>
        <w:bottom w:val="none" w:sz="0" w:space="0" w:color="auto"/>
        <w:right w:val="none" w:sz="0" w:space="0" w:color="auto"/>
      </w:divBdr>
    </w:div>
    <w:div w:id="1111633361">
      <w:bodyDiv w:val="1"/>
      <w:marLeft w:val="0"/>
      <w:marRight w:val="0"/>
      <w:marTop w:val="0"/>
      <w:marBottom w:val="0"/>
      <w:divBdr>
        <w:top w:val="none" w:sz="0" w:space="0" w:color="auto"/>
        <w:left w:val="none" w:sz="0" w:space="0" w:color="auto"/>
        <w:bottom w:val="none" w:sz="0" w:space="0" w:color="auto"/>
        <w:right w:val="none" w:sz="0" w:space="0" w:color="auto"/>
      </w:divBdr>
    </w:div>
    <w:div w:id="1116561028">
      <w:bodyDiv w:val="1"/>
      <w:marLeft w:val="0"/>
      <w:marRight w:val="0"/>
      <w:marTop w:val="0"/>
      <w:marBottom w:val="0"/>
      <w:divBdr>
        <w:top w:val="none" w:sz="0" w:space="0" w:color="auto"/>
        <w:left w:val="none" w:sz="0" w:space="0" w:color="auto"/>
        <w:bottom w:val="none" w:sz="0" w:space="0" w:color="auto"/>
        <w:right w:val="none" w:sz="0" w:space="0" w:color="auto"/>
      </w:divBdr>
    </w:div>
    <w:div w:id="1118262088">
      <w:bodyDiv w:val="1"/>
      <w:marLeft w:val="0"/>
      <w:marRight w:val="0"/>
      <w:marTop w:val="0"/>
      <w:marBottom w:val="0"/>
      <w:divBdr>
        <w:top w:val="none" w:sz="0" w:space="0" w:color="auto"/>
        <w:left w:val="none" w:sz="0" w:space="0" w:color="auto"/>
        <w:bottom w:val="none" w:sz="0" w:space="0" w:color="auto"/>
        <w:right w:val="none" w:sz="0" w:space="0" w:color="auto"/>
      </w:divBdr>
    </w:div>
    <w:div w:id="1122846166">
      <w:bodyDiv w:val="1"/>
      <w:marLeft w:val="0"/>
      <w:marRight w:val="0"/>
      <w:marTop w:val="0"/>
      <w:marBottom w:val="0"/>
      <w:divBdr>
        <w:top w:val="none" w:sz="0" w:space="0" w:color="auto"/>
        <w:left w:val="none" w:sz="0" w:space="0" w:color="auto"/>
        <w:bottom w:val="none" w:sz="0" w:space="0" w:color="auto"/>
        <w:right w:val="none" w:sz="0" w:space="0" w:color="auto"/>
      </w:divBdr>
    </w:div>
    <w:div w:id="1129323217">
      <w:bodyDiv w:val="1"/>
      <w:marLeft w:val="0"/>
      <w:marRight w:val="0"/>
      <w:marTop w:val="0"/>
      <w:marBottom w:val="0"/>
      <w:divBdr>
        <w:top w:val="none" w:sz="0" w:space="0" w:color="auto"/>
        <w:left w:val="none" w:sz="0" w:space="0" w:color="auto"/>
        <w:bottom w:val="none" w:sz="0" w:space="0" w:color="auto"/>
        <w:right w:val="none" w:sz="0" w:space="0" w:color="auto"/>
      </w:divBdr>
    </w:div>
    <w:div w:id="1130897792">
      <w:bodyDiv w:val="1"/>
      <w:marLeft w:val="0"/>
      <w:marRight w:val="0"/>
      <w:marTop w:val="0"/>
      <w:marBottom w:val="0"/>
      <w:divBdr>
        <w:top w:val="none" w:sz="0" w:space="0" w:color="auto"/>
        <w:left w:val="none" w:sz="0" w:space="0" w:color="auto"/>
        <w:bottom w:val="none" w:sz="0" w:space="0" w:color="auto"/>
        <w:right w:val="none" w:sz="0" w:space="0" w:color="auto"/>
      </w:divBdr>
    </w:div>
    <w:div w:id="1140077785">
      <w:bodyDiv w:val="1"/>
      <w:marLeft w:val="0"/>
      <w:marRight w:val="0"/>
      <w:marTop w:val="0"/>
      <w:marBottom w:val="0"/>
      <w:divBdr>
        <w:top w:val="none" w:sz="0" w:space="0" w:color="auto"/>
        <w:left w:val="none" w:sz="0" w:space="0" w:color="auto"/>
        <w:bottom w:val="none" w:sz="0" w:space="0" w:color="auto"/>
        <w:right w:val="none" w:sz="0" w:space="0" w:color="auto"/>
      </w:divBdr>
    </w:div>
    <w:div w:id="1141730528">
      <w:bodyDiv w:val="1"/>
      <w:marLeft w:val="0"/>
      <w:marRight w:val="0"/>
      <w:marTop w:val="0"/>
      <w:marBottom w:val="0"/>
      <w:divBdr>
        <w:top w:val="none" w:sz="0" w:space="0" w:color="auto"/>
        <w:left w:val="none" w:sz="0" w:space="0" w:color="auto"/>
        <w:bottom w:val="none" w:sz="0" w:space="0" w:color="auto"/>
        <w:right w:val="none" w:sz="0" w:space="0" w:color="auto"/>
      </w:divBdr>
    </w:div>
    <w:div w:id="1147208604">
      <w:bodyDiv w:val="1"/>
      <w:marLeft w:val="0"/>
      <w:marRight w:val="0"/>
      <w:marTop w:val="0"/>
      <w:marBottom w:val="0"/>
      <w:divBdr>
        <w:top w:val="none" w:sz="0" w:space="0" w:color="auto"/>
        <w:left w:val="none" w:sz="0" w:space="0" w:color="auto"/>
        <w:bottom w:val="none" w:sz="0" w:space="0" w:color="auto"/>
        <w:right w:val="none" w:sz="0" w:space="0" w:color="auto"/>
      </w:divBdr>
    </w:div>
    <w:div w:id="1150706731">
      <w:bodyDiv w:val="1"/>
      <w:marLeft w:val="0"/>
      <w:marRight w:val="0"/>
      <w:marTop w:val="0"/>
      <w:marBottom w:val="0"/>
      <w:divBdr>
        <w:top w:val="none" w:sz="0" w:space="0" w:color="auto"/>
        <w:left w:val="none" w:sz="0" w:space="0" w:color="auto"/>
        <w:bottom w:val="none" w:sz="0" w:space="0" w:color="auto"/>
        <w:right w:val="none" w:sz="0" w:space="0" w:color="auto"/>
      </w:divBdr>
    </w:div>
    <w:div w:id="1152217224">
      <w:bodyDiv w:val="1"/>
      <w:marLeft w:val="0"/>
      <w:marRight w:val="0"/>
      <w:marTop w:val="0"/>
      <w:marBottom w:val="0"/>
      <w:divBdr>
        <w:top w:val="none" w:sz="0" w:space="0" w:color="auto"/>
        <w:left w:val="none" w:sz="0" w:space="0" w:color="auto"/>
        <w:bottom w:val="none" w:sz="0" w:space="0" w:color="auto"/>
        <w:right w:val="none" w:sz="0" w:space="0" w:color="auto"/>
      </w:divBdr>
    </w:div>
    <w:div w:id="1152673913">
      <w:bodyDiv w:val="1"/>
      <w:marLeft w:val="0"/>
      <w:marRight w:val="0"/>
      <w:marTop w:val="0"/>
      <w:marBottom w:val="0"/>
      <w:divBdr>
        <w:top w:val="none" w:sz="0" w:space="0" w:color="auto"/>
        <w:left w:val="none" w:sz="0" w:space="0" w:color="auto"/>
        <w:bottom w:val="none" w:sz="0" w:space="0" w:color="auto"/>
        <w:right w:val="none" w:sz="0" w:space="0" w:color="auto"/>
      </w:divBdr>
    </w:div>
    <w:div w:id="1159154119">
      <w:bodyDiv w:val="1"/>
      <w:marLeft w:val="0"/>
      <w:marRight w:val="0"/>
      <w:marTop w:val="0"/>
      <w:marBottom w:val="0"/>
      <w:divBdr>
        <w:top w:val="none" w:sz="0" w:space="0" w:color="auto"/>
        <w:left w:val="none" w:sz="0" w:space="0" w:color="auto"/>
        <w:bottom w:val="none" w:sz="0" w:space="0" w:color="auto"/>
        <w:right w:val="none" w:sz="0" w:space="0" w:color="auto"/>
      </w:divBdr>
    </w:div>
    <w:div w:id="1170750393">
      <w:bodyDiv w:val="1"/>
      <w:marLeft w:val="0"/>
      <w:marRight w:val="0"/>
      <w:marTop w:val="0"/>
      <w:marBottom w:val="0"/>
      <w:divBdr>
        <w:top w:val="none" w:sz="0" w:space="0" w:color="auto"/>
        <w:left w:val="none" w:sz="0" w:space="0" w:color="auto"/>
        <w:bottom w:val="none" w:sz="0" w:space="0" w:color="auto"/>
        <w:right w:val="none" w:sz="0" w:space="0" w:color="auto"/>
      </w:divBdr>
    </w:div>
    <w:div w:id="1174956999">
      <w:bodyDiv w:val="1"/>
      <w:marLeft w:val="0"/>
      <w:marRight w:val="0"/>
      <w:marTop w:val="0"/>
      <w:marBottom w:val="0"/>
      <w:divBdr>
        <w:top w:val="none" w:sz="0" w:space="0" w:color="auto"/>
        <w:left w:val="none" w:sz="0" w:space="0" w:color="auto"/>
        <w:bottom w:val="none" w:sz="0" w:space="0" w:color="auto"/>
        <w:right w:val="none" w:sz="0" w:space="0" w:color="auto"/>
      </w:divBdr>
    </w:div>
    <w:div w:id="1176650730">
      <w:bodyDiv w:val="1"/>
      <w:marLeft w:val="0"/>
      <w:marRight w:val="0"/>
      <w:marTop w:val="0"/>
      <w:marBottom w:val="0"/>
      <w:divBdr>
        <w:top w:val="none" w:sz="0" w:space="0" w:color="auto"/>
        <w:left w:val="none" w:sz="0" w:space="0" w:color="auto"/>
        <w:bottom w:val="none" w:sz="0" w:space="0" w:color="auto"/>
        <w:right w:val="none" w:sz="0" w:space="0" w:color="auto"/>
      </w:divBdr>
    </w:div>
    <w:div w:id="1186363560">
      <w:bodyDiv w:val="1"/>
      <w:marLeft w:val="0"/>
      <w:marRight w:val="0"/>
      <w:marTop w:val="0"/>
      <w:marBottom w:val="0"/>
      <w:divBdr>
        <w:top w:val="none" w:sz="0" w:space="0" w:color="auto"/>
        <w:left w:val="none" w:sz="0" w:space="0" w:color="auto"/>
        <w:bottom w:val="none" w:sz="0" w:space="0" w:color="auto"/>
        <w:right w:val="none" w:sz="0" w:space="0" w:color="auto"/>
      </w:divBdr>
    </w:div>
    <w:div w:id="1186821085">
      <w:bodyDiv w:val="1"/>
      <w:marLeft w:val="0"/>
      <w:marRight w:val="0"/>
      <w:marTop w:val="0"/>
      <w:marBottom w:val="0"/>
      <w:divBdr>
        <w:top w:val="none" w:sz="0" w:space="0" w:color="auto"/>
        <w:left w:val="none" w:sz="0" w:space="0" w:color="auto"/>
        <w:bottom w:val="none" w:sz="0" w:space="0" w:color="auto"/>
        <w:right w:val="none" w:sz="0" w:space="0" w:color="auto"/>
      </w:divBdr>
    </w:div>
    <w:div w:id="1198811329">
      <w:bodyDiv w:val="1"/>
      <w:marLeft w:val="0"/>
      <w:marRight w:val="0"/>
      <w:marTop w:val="0"/>
      <w:marBottom w:val="0"/>
      <w:divBdr>
        <w:top w:val="none" w:sz="0" w:space="0" w:color="auto"/>
        <w:left w:val="none" w:sz="0" w:space="0" w:color="auto"/>
        <w:bottom w:val="none" w:sz="0" w:space="0" w:color="auto"/>
        <w:right w:val="none" w:sz="0" w:space="0" w:color="auto"/>
      </w:divBdr>
    </w:div>
    <w:div w:id="1206139918">
      <w:bodyDiv w:val="1"/>
      <w:marLeft w:val="0"/>
      <w:marRight w:val="0"/>
      <w:marTop w:val="0"/>
      <w:marBottom w:val="0"/>
      <w:divBdr>
        <w:top w:val="none" w:sz="0" w:space="0" w:color="auto"/>
        <w:left w:val="none" w:sz="0" w:space="0" w:color="auto"/>
        <w:bottom w:val="none" w:sz="0" w:space="0" w:color="auto"/>
        <w:right w:val="none" w:sz="0" w:space="0" w:color="auto"/>
      </w:divBdr>
    </w:div>
    <w:div w:id="1231966155">
      <w:bodyDiv w:val="1"/>
      <w:marLeft w:val="0"/>
      <w:marRight w:val="0"/>
      <w:marTop w:val="0"/>
      <w:marBottom w:val="0"/>
      <w:divBdr>
        <w:top w:val="none" w:sz="0" w:space="0" w:color="auto"/>
        <w:left w:val="none" w:sz="0" w:space="0" w:color="auto"/>
        <w:bottom w:val="none" w:sz="0" w:space="0" w:color="auto"/>
        <w:right w:val="none" w:sz="0" w:space="0" w:color="auto"/>
      </w:divBdr>
    </w:div>
    <w:div w:id="1235779317">
      <w:bodyDiv w:val="1"/>
      <w:marLeft w:val="0"/>
      <w:marRight w:val="0"/>
      <w:marTop w:val="0"/>
      <w:marBottom w:val="0"/>
      <w:divBdr>
        <w:top w:val="none" w:sz="0" w:space="0" w:color="auto"/>
        <w:left w:val="none" w:sz="0" w:space="0" w:color="auto"/>
        <w:bottom w:val="none" w:sz="0" w:space="0" w:color="auto"/>
        <w:right w:val="none" w:sz="0" w:space="0" w:color="auto"/>
      </w:divBdr>
    </w:div>
    <w:div w:id="1238400090">
      <w:bodyDiv w:val="1"/>
      <w:marLeft w:val="0"/>
      <w:marRight w:val="0"/>
      <w:marTop w:val="0"/>
      <w:marBottom w:val="0"/>
      <w:divBdr>
        <w:top w:val="none" w:sz="0" w:space="0" w:color="auto"/>
        <w:left w:val="none" w:sz="0" w:space="0" w:color="auto"/>
        <w:bottom w:val="none" w:sz="0" w:space="0" w:color="auto"/>
        <w:right w:val="none" w:sz="0" w:space="0" w:color="auto"/>
      </w:divBdr>
    </w:div>
    <w:div w:id="1250387281">
      <w:bodyDiv w:val="1"/>
      <w:marLeft w:val="0"/>
      <w:marRight w:val="0"/>
      <w:marTop w:val="0"/>
      <w:marBottom w:val="0"/>
      <w:divBdr>
        <w:top w:val="none" w:sz="0" w:space="0" w:color="auto"/>
        <w:left w:val="none" w:sz="0" w:space="0" w:color="auto"/>
        <w:bottom w:val="none" w:sz="0" w:space="0" w:color="auto"/>
        <w:right w:val="none" w:sz="0" w:space="0" w:color="auto"/>
      </w:divBdr>
    </w:div>
    <w:div w:id="1251692572">
      <w:bodyDiv w:val="1"/>
      <w:marLeft w:val="0"/>
      <w:marRight w:val="0"/>
      <w:marTop w:val="0"/>
      <w:marBottom w:val="0"/>
      <w:divBdr>
        <w:top w:val="none" w:sz="0" w:space="0" w:color="auto"/>
        <w:left w:val="none" w:sz="0" w:space="0" w:color="auto"/>
        <w:bottom w:val="none" w:sz="0" w:space="0" w:color="auto"/>
        <w:right w:val="none" w:sz="0" w:space="0" w:color="auto"/>
      </w:divBdr>
    </w:div>
    <w:div w:id="1255356011">
      <w:bodyDiv w:val="1"/>
      <w:marLeft w:val="0"/>
      <w:marRight w:val="0"/>
      <w:marTop w:val="0"/>
      <w:marBottom w:val="0"/>
      <w:divBdr>
        <w:top w:val="none" w:sz="0" w:space="0" w:color="auto"/>
        <w:left w:val="none" w:sz="0" w:space="0" w:color="auto"/>
        <w:bottom w:val="none" w:sz="0" w:space="0" w:color="auto"/>
        <w:right w:val="none" w:sz="0" w:space="0" w:color="auto"/>
      </w:divBdr>
    </w:div>
    <w:div w:id="1255821229">
      <w:bodyDiv w:val="1"/>
      <w:marLeft w:val="0"/>
      <w:marRight w:val="0"/>
      <w:marTop w:val="0"/>
      <w:marBottom w:val="0"/>
      <w:divBdr>
        <w:top w:val="none" w:sz="0" w:space="0" w:color="auto"/>
        <w:left w:val="none" w:sz="0" w:space="0" w:color="auto"/>
        <w:bottom w:val="none" w:sz="0" w:space="0" w:color="auto"/>
        <w:right w:val="none" w:sz="0" w:space="0" w:color="auto"/>
      </w:divBdr>
    </w:div>
    <w:div w:id="1264336456">
      <w:bodyDiv w:val="1"/>
      <w:marLeft w:val="0"/>
      <w:marRight w:val="0"/>
      <w:marTop w:val="0"/>
      <w:marBottom w:val="0"/>
      <w:divBdr>
        <w:top w:val="none" w:sz="0" w:space="0" w:color="auto"/>
        <w:left w:val="none" w:sz="0" w:space="0" w:color="auto"/>
        <w:bottom w:val="none" w:sz="0" w:space="0" w:color="auto"/>
        <w:right w:val="none" w:sz="0" w:space="0" w:color="auto"/>
      </w:divBdr>
    </w:div>
    <w:div w:id="1266035640">
      <w:bodyDiv w:val="1"/>
      <w:marLeft w:val="0"/>
      <w:marRight w:val="0"/>
      <w:marTop w:val="0"/>
      <w:marBottom w:val="0"/>
      <w:divBdr>
        <w:top w:val="none" w:sz="0" w:space="0" w:color="auto"/>
        <w:left w:val="none" w:sz="0" w:space="0" w:color="auto"/>
        <w:bottom w:val="none" w:sz="0" w:space="0" w:color="auto"/>
        <w:right w:val="none" w:sz="0" w:space="0" w:color="auto"/>
      </w:divBdr>
    </w:div>
    <w:div w:id="1268537494">
      <w:bodyDiv w:val="1"/>
      <w:marLeft w:val="0"/>
      <w:marRight w:val="0"/>
      <w:marTop w:val="0"/>
      <w:marBottom w:val="0"/>
      <w:divBdr>
        <w:top w:val="none" w:sz="0" w:space="0" w:color="auto"/>
        <w:left w:val="none" w:sz="0" w:space="0" w:color="auto"/>
        <w:bottom w:val="none" w:sz="0" w:space="0" w:color="auto"/>
        <w:right w:val="none" w:sz="0" w:space="0" w:color="auto"/>
      </w:divBdr>
    </w:div>
    <w:div w:id="1270429142">
      <w:bodyDiv w:val="1"/>
      <w:marLeft w:val="0"/>
      <w:marRight w:val="0"/>
      <w:marTop w:val="0"/>
      <w:marBottom w:val="0"/>
      <w:divBdr>
        <w:top w:val="none" w:sz="0" w:space="0" w:color="auto"/>
        <w:left w:val="none" w:sz="0" w:space="0" w:color="auto"/>
        <w:bottom w:val="none" w:sz="0" w:space="0" w:color="auto"/>
        <w:right w:val="none" w:sz="0" w:space="0" w:color="auto"/>
      </w:divBdr>
    </w:div>
    <w:div w:id="1276134716">
      <w:bodyDiv w:val="1"/>
      <w:marLeft w:val="0"/>
      <w:marRight w:val="0"/>
      <w:marTop w:val="0"/>
      <w:marBottom w:val="0"/>
      <w:divBdr>
        <w:top w:val="none" w:sz="0" w:space="0" w:color="auto"/>
        <w:left w:val="none" w:sz="0" w:space="0" w:color="auto"/>
        <w:bottom w:val="none" w:sz="0" w:space="0" w:color="auto"/>
        <w:right w:val="none" w:sz="0" w:space="0" w:color="auto"/>
      </w:divBdr>
    </w:div>
    <w:div w:id="1290434431">
      <w:bodyDiv w:val="1"/>
      <w:marLeft w:val="0"/>
      <w:marRight w:val="0"/>
      <w:marTop w:val="0"/>
      <w:marBottom w:val="0"/>
      <w:divBdr>
        <w:top w:val="none" w:sz="0" w:space="0" w:color="auto"/>
        <w:left w:val="none" w:sz="0" w:space="0" w:color="auto"/>
        <w:bottom w:val="none" w:sz="0" w:space="0" w:color="auto"/>
        <w:right w:val="none" w:sz="0" w:space="0" w:color="auto"/>
      </w:divBdr>
    </w:div>
    <w:div w:id="1293094968">
      <w:bodyDiv w:val="1"/>
      <w:marLeft w:val="0"/>
      <w:marRight w:val="0"/>
      <w:marTop w:val="0"/>
      <w:marBottom w:val="0"/>
      <w:divBdr>
        <w:top w:val="none" w:sz="0" w:space="0" w:color="auto"/>
        <w:left w:val="none" w:sz="0" w:space="0" w:color="auto"/>
        <w:bottom w:val="none" w:sz="0" w:space="0" w:color="auto"/>
        <w:right w:val="none" w:sz="0" w:space="0" w:color="auto"/>
      </w:divBdr>
    </w:div>
    <w:div w:id="1293250816">
      <w:bodyDiv w:val="1"/>
      <w:marLeft w:val="0"/>
      <w:marRight w:val="0"/>
      <w:marTop w:val="0"/>
      <w:marBottom w:val="0"/>
      <w:divBdr>
        <w:top w:val="none" w:sz="0" w:space="0" w:color="auto"/>
        <w:left w:val="none" w:sz="0" w:space="0" w:color="auto"/>
        <w:bottom w:val="none" w:sz="0" w:space="0" w:color="auto"/>
        <w:right w:val="none" w:sz="0" w:space="0" w:color="auto"/>
      </w:divBdr>
    </w:div>
    <w:div w:id="1296251511">
      <w:bodyDiv w:val="1"/>
      <w:marLeft w:val="0"/>
      <w:marRight w:val="0"/>
      <w:marTop w:val="0"/>
      <w:marBottom w:val="0"/>
      <w:divBdr>
        <w:top w:val="none" w:sz="0" w:space="0" w:color="auto"/>
        <w:left w:val="none" w:sz="0" w:space="0" w:color="auto"/>
        <w:bottom w:val="none" w:sz="0" w:space="0" w:color="auto"/>
        <w:right w:val="none" w:sz="0" w:space="0" w:color="auto"/>
      </w:divBdr>
    </w:div>
    <w:div w:id="1297445004">
      <w:bodyDiv w:val="1"/>
      <w:marLeft w:val="0"/>
      <w:marRight w:val="0"/>
      <w:marTop w:val="0"/>
      <w:marBottom w:val="0"/>
      <w:divBdr>
        <w:top w:val="none" w:sz="0" w:space="0" w:color="auto"/>
        <w:left w:val="none" w:sz="0" w:space="0" w:color="auto"/>
        <w:bottom w:val="none" w:sz="0" w:space="0" w:color="auto"/>
        <w:right w:val="none" w:sz="0" w:space="0" w:color="auto"/>
      </w:divBdr>
    </w:div>
    <w:div w:id="1299988629">
      <w:bodyDiv w:val="1"/>
      <w:marLeft w:val="0"/>
      <w:marRight w:val="0"/>
      <w:marTop w:val="0"/>
      <w:marBottom w:val="0"/>
      <w:divBdr>
        <w:top w:val="none" w:sz="0" w:space="0" w:color="auto"/>
        <w:left w:val="none" w:sz="0" w:space="0" w:color="auto"/>
        <w:bottom w:val="none" w:sz="0" w:space="0" w:color="auto"/>
        <w:right w:val="none" w:sz="0" w:space="0" w:color="auto"/>
      </w:divBdr>
    </w:div>
    <w:div w:id="1308585356">
      <w:bodyDiv w:val="1"/>
      <w:marLeft w:val="0"/>
      <w:marRight w:val="0"/>
      <w:marTop w:val="0"/>
      <w:marBottom w:val="0"/>
      <w:divBdr>
        <w:top w:val="none" w:sz="0" w:space="0" w:color="auto"/>
        <w:left w:val="none" w:sz="0" w:space="0" w:color="auto"/>
        <w:bottom w:val="none" w:sz="0" w:space="0" w:color="auto"/>
        <w:right w:val="none" w:sz="0" w:space="0" w:color="auto"/>
      </w:divBdr>
    </w:div>
    <w:div w:id="1327435565">
      <w:bodyDiv w:val="1"/>
      <w:marLeft w:val="0"/>
      <w:marRight w:val="0"/>
      <w:marTop w:val="0"/>
      <w:marBottom w:val="0"/>
      <w:divBdr>
        <w:top w:val="none" w:sz="0" w:space="0" w:color="auto"/>
        <w:left w:val="none" w:sz="0" w:space="0" w:color="auto"/>
        <w:bottom w:val="none" w:sz="0" w:space="0" w:color="auto"/>
        <w:right w:val="none" w:sz="0" w:space="0" w:color="auto"/>
      </w:divBdr>
    </w:div>
    <w:div w:id="1336225571">
      <w:bodyDiv w:val="1"/>
      <w:marLeft w:val="0"/>
      <w:marRight w:val="0"/>
      <w:marTop w:val="0"/>
      <w:marBottom w:val="0"/>
      <w:divBdr>
        <w:top w:val="none" w:sz="0" w:space="0" w:color="auto"/>
        <w:left w:val="none" w:sz="0" w:space="0" w:color="auto"/>
        <w:bottom w:val="none" w:sz="0" w:space="0" w:color="auto"/>
        <w:right w:val="none" w:sz="0" w:space="0" w:color="auto"/>
      </w:divBdr>
    </w:div>
    <w:div w:id="1357459589">
      <w:bodyDiv w:val="1"/>
      <w:marLeft w:val="0"/>
      <w:marRight w:val="0"/>
      <w:marTop w:val="0"/>
      <w:marBottom w:val="0"/>
      <w:divBdr>
        <w:top w:val="none" w:sz="0" w:space="0" w:color="auto"/>
        <w:left w:val="none" w:sz="0" w:space="0" w:color="auto"/>
        <w:bottom w:val="none" w:sz="0" w:space="0" w:color="auto"/>
        <w:right w:val="none" w:sz="0" w:space="0" w:color="auto"/>
      </w:divBdr>
    </w:div>
    <w:div w:id="1360469303">
      <w:bodyDiv w:val="1"/>
      <w:marLeft w:val="0"/>
      <w:marRight w:val="0"/>
      <w:marTop w:val="0"/>
      <w:marBottom w:val="0"/>
      <w:divBdr>
        <w:top w:val="none" w:sz="0" w:space="0" w:color="auto"/>
        <w:left w:val="none" w:sz="0" w:space="0" w:color="auto"/>
        <w:bottom w:val="none" w:sz="0" w:space="0" w:color="auto"/>
        <w:right w:val="none" w:sz="0" w:space="0" w:color="auto"/>
      </w:divBdr>
    </w:div>
    <w:div w:id="1367675643">
      <w:bodyDiv w:val="1"/>
      <w:marLeft w:val="0"/>
      <w:marRight w:val="0"/>
      <w:marTop w:val="0"/>
      <w:marBottom w:val="0"/>
      <w:divBdr>
        <w:top w:val="none" w:sz="0" w:space="0" w:color="auto"/>
        <w:left w:val="none" w:sz="0" w:space="0" w:color="auto"/>
        <w:bottom w:val="none" w:sz="0" w:space="0" w:color="auto"/>
        <w:right w:val="none" w:sz="0" w:space="0" w:color="auto"/>
      </w:divBdr>
    </w:div>
    <w:div w:id="1381124237">
      <w:bodyDiv w:val="1"/>
      <w:marLeft w:val="0"/>
      <w:marRight w:val="0"/>
      <w:marTop w:val="0"/>
      <w:marBottom w:val="0"/>
      <w:divBdr>
        <w:top w:val="none" w:sz="0" w:space="0" w:color="auto"/>
        <w:left w:val="none" w:sz="0" w:space="0" w:color="auto"/>
        <w:bottom w:val="none" w:sz="0" w:space="0" w:color="auto"/>
        <w:right w:val="none" w:sz="0" w:space="0" w:color="auto"/>
      </w:divBdr>
    </w:div>
    <w:div w:id="1399785035">
      <w:bodyDiv w:val="1"/>
      <w:marLeft w:val="0"/>
      <w:marRight w:val="0"/>
      <w:marTop w:val="0"/>
      <w:marBottom w:val="0"/>
      <w:divBdr>
        <w:top w:val="none" w:sz="0" w:space="0" w:color="auto"/>
        <w:left w:val="none" w:sz="0" w:space="0" w:color="auto"/>
        <w:bottom w:val="none" w:sz="0" w:space="0" w:color="auto"/>
        <w:right w:val="none" w:sz="0" w:space="0" w:color="auto"/>
      </w:divBdr>
    </w:div>
    <w:div w:id="1401833399">
      <w:bodyDiv w:val="1"/>
      <w:marLeft w:val="0"/>
      <w:marRight w:val="0"/>
      <w:marTop w:val="0"/>
      <w:marBottom w:val="0"/>
      <w:divBdr>
        <w:top w:val="none" w:sz="0" w:space="0" w:color="auto"/>
        <w:left w:val="none" w:sz="0" w:space="0" w:color="auto"/>
        <w:bottom w:val="none" w:sz="0" w:space="0" w:color="auto"/>
        <w:right w:val="none" w:sz="0" w:space="0" w:color="auto"/>
      </w:divBdr>
    </w:div>
    <w:div w:id="1409691292">
      <w:bodyDiv w:val="1"/>
      <w:marLeft w:val="0"/>
      <w:marRight w:val="0"/>
      <w:marTop w:val="0"/>
      <w:marBottom w:val="0"/>
      <w:divBdr>
        <w:top w:val="none" w:sz="0" w:space="0" w:color="auto"/>
        <w:left w:val="none" w:sz="0" w:space="0" w:color="auto"/>
        <w:bottom w:val="none" w:sz="0" w:space="0" w:color="auto"/>
        <w:right w:val="none" w:sz="0" w:space="0" w:color="auto"/>
      </w:divBdr>
    </w:div>
    <w:div w:id="1410494533">
      <w:bodyDiv w:val="1"/>
      <w:marLeft w:val="0"/>
      <w:marRight w:val="0"/>
      <w:marTop w:val="0"/>
      <w:marBottom w:val="0"/>
      <w:divBdr>
        <w:top w:val="none" w:sz="0" w:space="0" w:color="auto"/>
        <w:left w:val="none" w:sz="0" w:space="0" w:color="auto"/>
        <w:bottom w:val="none" w:sz="0" w:space="0" w:color="auto"/>
        <w:right w:val="none" w:sz="0" w:space="0" w:color="auto"/>
      </w:divBdr>
    </w:div>
    <w:div w:id="1423139929">
      <w:bodyDiv w:val="1"/>
      <w:marLeft w:val="0"/>
      <w:marRight w:val="0"/>
      <w:marTop w:val="0"/>
      <w:marBottom w:val="0"/>
      <w:divBdr>
        <w:top w:val="none" w:sz="0" w:space="0" w:color="auto"/>
        <w:left w:val="none" w:sz="0" w:space="0" w:color="auto"/>
        <w:bottom w:val="none" w:sz="0" w:space="0" w:color="auto"/>
        <w:right w:val="none" w:sz="0" w:space="0" w:color="auto"/>
      </w:divBdr>
    </w:div>
    <w:div w:id="1425421107">
      <w:bodyDiv w:val="1"/>
      <w:marLeft w:val="0"/>
      <w:marRight w:val="0"/>
      <w:marTop w:val="0"/>
      <w:marBottom w:val="0"/>
      <w:divBdr>
        <w:top w:val="none" w:sz="0" w:space="0" w:color="auto"/>
        <w:left w:val="none" w:sz="0" w:space="0" w:color="auto"/>
        <w:bottom w:val="none" w:sz="0" w:space="0" w:color="auto"/>
        <w:right w:val="none" w:sz="0" w:space="0" w:color="auto"/>
      </w:divBdr>
    </w:div>
    <w:div w:id="1431195953">
      <w:bodyDiv w:val="1"/>
      <w:marLeft w:val="0"/>
      <w:marRight w:val="0"/>
      <w:marTop w:val="0"/>
      <w:marBottom w:val="0"/>
      <w:divBdr>
        <w:top w:val="none" w:sz="0" w:space="0" w:color="auto"/>
        <w:left w:val="none" w:sz="0" w:space="0" w:color="auto"/>
        <w:bottom w:val="none" w:sz="0" w:space="0" w:color="auto"/>
        <w:right w:val="none" w:sz="0" w:space="0" w:color="auto"/>
      </w:divBdr>
    </w:div>
    <w:div w:id="1440027778">
      <w:bodyDiv w:val="1"/>
      <w:marLeft w:val="0"/>
      <w:marRight w:val="0"/>
      <w:marTop w:val="0"/>
      <w:marBottom w:val="0"/>
      <w:divBdr>
        <w:top w:val="none" w:sz="0" w:space="0" w:color="auto"/>
        <w:left w:val="none" w:sz="0" w:space="0" w:color="auto"/>
        <w:bottom w:val="none" w:sz="0" w:space="0" w:color="auto"/>
        <w:right w:val="none" w:sz="0" w:space="0" w:color="auto"/>
      </w:divBdr>
    </w:div>
    <w:div w:id="1446383007">
      <w:bodyDiv w:val="1"/>
      <w:marLeft w:val="0"/>
      <w:marRight w:val="0"/>
      <w:marTop w:val="0"/>
      <w:marBottom w:val="0"/>
      <w:divBdr>
        <w:top w:val="none" w:sz="0" w:space="0" w:color="auto"/>
        <w:left w:val="none" w:sz="0" w:space="0" w:color="auto"/>
        <w:bottom w:val="none" w:sz="0" w:space="0" w:color="auto"/>
        <w:right w:val="none" w:sz="0" w:space="0" w:color="auto"/>
      </w:divBdr>
    </w:div>
    <w:div w:id="1449394302">
      <w:bodyDiv w:val="1"/>
      <w:marLeft w:val="0"/>
      <w:marRight w:val="0"/>
      <w:marTop w:val="0"/>
      <w:marBottom w:val="0"/>
      <w:divBdr>
        <w:top w:val="none" w:sz="0" w:space="0" w:color="auto"/>
        <w:left w:val="none" w:sz="0" w:space="0" w:color="auto"/>
        <w:bottom w:val="none" w:sz="0" w:space="0" w:color="auto"/>
        <w:right w:val="none" w:sz="0" w:space="0" w:color="auto"/>
      </w:divBdr>
    </w:div>
    <w:div w:id="1455056260">
      <w:bodyDiv w:val="1"/>
      <w:marLeft w:val="0"/>
      <w:marRight w:val="0"/>
      <w:marTop w:val="0"/>
      <w:marBottom w:val="0"/>
      <w:divBdr>
        <w:top w:val="none" w:sz="0" w:space="0" w:color="auto"/>
        <w:left w:val="none" w:sz="0" w:space="0" w:color="auto"/>
        <w:bottom w:val="none" w:sz="0" w:space="0" w:color="auto"/>
        <w:right w:val="none" w:sz="0" w:space="0" w:color="auto"/>
      </w:divBdr>
    </w:div>
    <w:div w:id="1463423155">
      <w:bodyDiv w:val="1"/>
      <w:marLeft w:val="0"/>
      <w:marRight w:val="0"/>
      <w:marTop w:val="0"/>
      <w:marBottom w:val="0"/>
      <w:divBdr>
        <w:top w:val="none" w:sz="0" w:space="0" w:color="auto"/>
        <w:left w:val="none" w:sz="0" w:space="0" w:color="auto"/>
        <w:bottom w:val="none" w:sz="0" w:space="0" w:color="auto"/>
        <w:right w:val="none" w:sz="0" w:space="0" w:color="auto"/>
      </w:divBdr>
    </w:div>
    <w:div w:id="1465849984">
      <w:bodyDiv w:val="1"/>
      <w:marLeft w:val="0"/>
      <w:marRight w:val="0"/>
      <w:marTop w:val="0"/>
      <w:marBottom w:val="0"/>
      <w:divBdr>
        <w:top w:val="none" w:sz="0" w:space="0" w:color="auto"/>
        <w:left w:val="none" w:sz="0" w:space="0" w:color="auto"/>
        <w:bottom w:val="none" w:sz="0" w:space="0" w:color="auto"/>
        <w:right w:val="none" w:sz="0" w:space="0" w:color="auto"/>
      </w:divBdr>
    </w:div>
    <w:div w:id="1489054284">
      <w:bodyDiv w:val="1"/>
      <w:marLeft w:val="0"/>
      <w:marRight w:val="0"/>
      <w:marTop w:val="0"/>
      <w:marBottom w:val="0"/>
      <w:divBdr>
        <w:top w:val="none" w:sz="0" w:space="0" w:color="auto"/>
        <w:left w:val="none" w:sz="0" w:space="0" w:color="auto"/>
        <w:bottom w:val="none" w:sz="0" w:space="0" w:color="auto"/>
        <w:right w:val="none" w:sz="0" w:space="0" w:color="auto"/>
      </w:divBdr>
    </w:div>
    <w:div w:id="1493064458">
      <w:bodyDiv w:val="1"/>
      <w:marLeft w:val="0"/>
      <w:marRight w:val="0"/>
      <w:marTop w:val="0"/>
      <w:marBottom w:val="0"/>
      <w:divBdr>
        <w:top w:val="none" w:sz="0" w:space="0" w:color="auto"/>
        <w:left w:val="none" w:sz="0" w:space="0" w:color="auto"/>
        <w:bottom w:val="none" w:sz="0" w:space="0" w:color="auto"/>
        <w:right w:val="none" w:sz="0" w:space="0" w:color="auto"/>
      </w:divBdr>
    </w:div>
    <w:div w:id="1494832119">
      <w:bodyDiv w:val="1"/>
      <w:marLeft w:val="0"/>
      <w:marRight w:val="0"/>
      <w:marTop w:val="0"/>
      <w:marBottom w:val="0"/>
      <w:divBdr>
        <w:top w:val="none" w:sz="0" w:space="0" w:color="auto"/>
        <w:left w:val="none" w:sz="0" w:space="0" w:color="auto"/>
        <w:bottom w:val="none" w:sz="0" w:space="0" w:color="auto"/>
        <w:right w:val="none" w:sz="0" w:space="0" w:color="auto"/>
      </w:divBdr>
    </w:div>
    <w:div w:id="1507986405">
      <w:bodyDiv w:val="1"/>
      <w:marLeft w:val="0"/>
      <w:marRight w:val="0"/>
      <w:marTop w:val="0"/>
      <w:marBottom w:val="0"/>
      <w:divBdr>
        <w:top w:val="none" w:sz="0" w:space="0" w:color="auto"/>
        <w:left w:val="none" w:sz="0" w:space="0" w:color="auto"/>
        <w:bottom w:val="none" w:sz="0" w:space="0" w:color="auto"/>
        <w:right w:val="none" w:sz="0" w:space="0" w:color="auto"/>
      </w:divBdr>
    </w:div>
    <w:div w:id="1510295047">
      <w:bodyDiv w:val="1"/>
      <w:marLeft w:val="0"/>
      <w:marRight w:val="0"/>
      <w:marTop w:val="0"/>
      <w:marBottom w:val="0"/>
      <w:divBdr>
        <w:top w:val="none" w:sz="0" w:space="0" w:color="auto"/>
        <w:left w:val="none" w:sz="0" w:space="0" w:color="auto"/>
        <w:bottom w:val="none" w:sz="0" w:space="0" w:color="auto"/>
        <w:right w:val="none" w:sz="0" w:space="0" w:color="auto"/>
      </w:divBdr>
    </w:div>
    <w:div w:id="1517961133">
      <w:bodyDiv w:val="1"/>
      <w:marLeft w:val="0"/>
      <w:marRight w:val="0"/>
      <w:marTop w:val="0"/>
      <w:marBottom w:val="0"/>
      <w:divBdr>
        <w:top w:val="none" w:sz="0" w:space="0" w:color="auto"/>
        <w:left w:val="none" w:sz="0" w:space="0" w:color="auto"/>
        <w:bottom w:val="none" w:sz="0" w:space="0" w:color="auto"/>
        <w:right w:val="none" w:sz="0" w:space="0" w:color="auto"/>
      </w:divBdr>
    </w:div>
    <w:div w:id="1528135583">
      <w:bodyDiv w:val="1"/>
      <w:marLeft w:val="0"/>
      <w:marRight w:val="0"/>
      <w:marTop w:val="0"/>
      <w:marBottom w:val="0"/>
      <w:divBdr>
        <w:top w:val="none" w:sz="0" w:space="0" w:color="auto"/>
        <w:left w:val="none" w:sz="0" w:space="0" w:color="auto"/>
        <w:bottom w:val="none" w:sz="0" w:space="0" w:color="auto"/>
        <w:right w:val="none" w:sz="0" w:space="0" w:color="auto"/>
      </w:divBdr>
    </w:div>
    <w:div w:id="1530070104">
      <w:bodyDiv w:val="1"/>
      <w:marLeft w:val="0"/>
      <w:marRight w:val="0"/>
      <w:marTop w:val="0"/>
      <w:marBottom w:val="0"/>
      <w:divBdr>
        <w:top w:val="none" w:sz="0" w:space="0" w:color="auto"/>
        <w:left w:val="none" w:sz="0" w:space="0" w:color="auto"/>
        <w:bottom w:val="none" w:sz="0" w:space="0" w:color="auto"/>
        <w:right w:val="none" w:sz="0" w:space="0" w:color="auto"/>
      </w:divBdr>
    </w:div>
    <w:div w:id="1530070909">
      <w:bodyDiv w:val="1"/>
      <w:marLeft w:val="0"/>
      <w:marRight w:val="0"/>
      <w:marTop w:val="0"/>
      <w:marBottom w:val="0"/>
      <w:divBdr>
        <w:top w:val="none" w:sz="0" w:space="0" w:color="auto"/>
        <w:left w:val="none" w:sz="0" w:space="0" w:color="auto"/>
        <w:bottom w:val="none" w:sz="0" w:space="0" w:color="auto"/>
        <w:right w:val="none" w:sz="0" w:space="0" w:color="auto"/>
      </w:divBdr>
    </w:div>
    <w:div w:id="1535581527">
      <w:bodyDiv w:val="1"/>
      <w:marLeft w:val="0"/>
      <w:marRight w:val="0"/>
      <w:marTop w:val="0"/>
      <w:marBottom w:val="0"/>
      <w:divBdr>
        <w:top w:val="none" w:sz="0" w:space="0" w:color="auto"/>
        <w:left w:val="none" w:sz="0" w:space="0" w:color="auto"/>
        <w:bottom w:val="none" w:sz="0" w:space="0" w:color="auto"/>
        <w:right w:val="none" w:sz="0" w:space="0" w:color="auto"/>
      </w:divBdr>
    </w:div>
    <w:div w:id="1535800313">
      <w:bodyDiv w:val="1"/>
      <w:marLeft w:val="0"/>
      <w:marRight w:val="0"/>
      <w:marTop w:val="0"/>
      <w:marBottom w:val="0"/>
      <w:divBdr>
        <w:top w:val="none" w:sz="0" w:space="0" w:color="auto"/>
        <w:left w:val="none" w:sz="0" w:space="0" w:color="auto"/>
        <w:bottom w:val="none" w:sz="0" w:space="0" w:color="auto"/>
        <w:right w:val="none" w:sz="0" w:space="0" w:color="auto"/>
      </w:divBdr>
    </w:div>
    <w:div w:id="1543446794">
      <w:bodyDiv w:val="1"/>
      <w:marLeft w:val="0"/>
      <w:marRight w:val="0"/>
      <w:marTop w:val="0"/>
      <w:marBottom w:val="0"/>
      <w:divBdr>
        <w:top w:val="none" w:sz="0" w:space="0" w:color="auto"/>
        <w:left w:val="none" w:sz="0" w:space="0" w:color="auto"/>
        <w:bottom w:val="none" w:sz="0" w:space="0" w:color="auto"/>
        <w:right w:val="none" w:sz="0" w:space="0" w:color="auto"/>
      </w:divBdr>
    </w:div>
    <w:div w:id="1575355376">
      <w:bodyDiv w:val="1"/>
      <w:marLeft w:val="0"/>
      <w:marRight w:val="0"/>
      <w:marTop w:val="0"/>
      <w:marBottom w:val="0"/>
      <w:divBdr>
        <w:top w:val="none" w:sz="0" w:space="0" w:color="auto"/>
        <w:left w:val="none" w:sz="0" w:space="0" w:color="auto"/>
        <w:bottom w:val="none" w:sz="0" w:space="0" w:color="auto"/>
        <w:right w:val="none" w:sz="0" w:space="0" w:color="auto"/>
      </w:divBdr>
    </w:div>
    <w:div w:id="1578440737">
      <w:bodyDiv w:val="1"/>
      <w:marLeft w:val="0"/>
      <w:marRight w:val="0"/>
      <w:marTop w:val="0"/>
      <w:marBottom w:val="0"/>
      <w:divBdr>
        <w:top w:val="none" w:sz="0" w:space="0" w:color="auto"/>
        <w:left w:val="none" w:sz="0" w:space="0" w:color="auto"/>
        <w:bottom w:val="none" w:sz="0" w:space="0" w:color="auto"/>
        <w:right w:val="none" w:sz="0" w:space="0" w:color="auto"/>
      </w:divBdr>
    </w:div>
    <w:div w:id="1600285757">
      <w:bodyDiv w:val="1"/>
      <w:marLeft w:val="0"/>
      <w:marRight w:val="0"/>
      <w:marTop w:val="0"/>
      <w:marBottom w:val="0"/>
      <w:divBdr>
        <w:top w:val="none" w:sz="0" w:space="0" w:color="auto"/>
        <w:left w:val="none" w:sz="0" w:space="0" w:color="auto"/>
        <w:bottom w:val="none" w:sz="0" w:space="0" w:color="auto"/>
        <w:right w:val="none" w:sz="0" w:space="0" w:color="auto"/>
      </w:divBdr>
    </w:div>
    <w:div w:id="1611862336">
      <w:bodyDiv w:val="1"/>
      <w:marLeft w:val="0"/>
      <w:marRight w:val="0"/>
      <w:marTop w:val="0"/>
      <w:marBottom w:val="0"/>
      <w:divBdr>
        <w:top w:val="none" w:sz="0" w:space="0" w:color="auto"/>
        <w:left w:val="none" w:sz="0" w:space="0" w:color="auto"/>
        <w:bottom w:val="none" w:sz="0" w:space="0" w:color="auto"/>
        <w:right w:val="none" w:sz="0" w:space="0" w:color="auto"/>
      </w:divBdr>
    </w:div>
    <w:div w:id="1623195954">
      <w:bodyDiv w:val="1"/>
      <w:marLeft w:val="0"/>
      <w:marRight w:val="0"/>
      <w:marTop w:val="0"/>
      <w:marBottom w:val="0"/>
      <w:divBdr>
        <w:top w:val="none" w:sz="0" w:space="0" w:color="auto"/>
        <w:left w:val="none" w:sz="0" w:space="0" w:color="auto"/>
        <w:bottom w:val="none" w:sz="0" w:space="0" w:color="auto"/>
        <w:right w:val="none" w:sz="0" w:space="0" w:color="auto"/>
      </w:divBdr>
    </w:div>
    <w:div w:id="1637294395">
      <w:bodyDiv w:val="1"/>
      <w:marLeft w:val="0"/>
      <w:marRight w:val="0"/>
      <w:marTop w:val="0"/>
      <w:marBottom w:val="0"/>
      <w:divBdr>
        <w:top w:val="none" w:sz="0" w:space="0" w:color="auto"/>
        <w:left w:val="none" w:sz="0" w:space="0" w:color="auto"/>
        <w:bottom w:val="none" w:sz="0" w:space="0" w:color="auto"/>
        <w:right w:val="none" w:sz="0" w:space="0" w:color="auto"/>
      </w:divBdr>
    </w:div>
    <w:div w:id="1641690553">
      <w:bodyDiv w:val="1"/>
      <w:marLeft w:val="0"/>
      <w:marRight w:val="0"/>
      <w:marTop w:val="0"/>
      <w:marBottom w:val="0"/>
      <w:divBdr>
        <w:top w:val="none" w:sz="0" w:space="0" w:color="auto"/>
        <w:left w:val="none" w:sz="0" w:space="0" w:color="auto"/>
        <w:bottom w:val="none" w:sz="0" w:space="0" w:color="auto"/>
        <w:right w:val="none" w:sz="0" w:space="0" w:color="auto"/>
      </w:divBdr>
    </w:div>
    <w:div w:id="1674407373">
      <w:bodyDiv w:val="1"/>
      <w:marLeft w:val="0"/>
      <w:marRight w:val="0"/>
      <w:marTop w:val="0"/>
      <w:marBottom w:val="0"/>
      <w:divBdr>
        <w:top w:val="none" w:sz="0" w:space="0" w:color="auto"/>
        <w:left w:val="none" w:sz="0" w:space="0" w:color="auto"/>
        <w:bottom w:val="none" w:sz="0" w:space="0" w:color="auto"/>
        <w:right w:val="none" w:sz="0" w:space="0" w:color="auto"/>
      </w:divBdr>
    </w:div>
    <w:div w:id="1681158124">
      <w:bodyDiv w:val="1"/>
      <w:marLeft w:val="0"/>
      <w:marRight w:val="0"/>
      <w:marTop w:val="0"/>
      <w:marBottom w:val="0"/>
      <w:divBdr>
        <w:top w:val="none" w:sz="0" w:space="0" w:color="auto"/>
        <w:left w:val="none" w:sz="0" w:space="0" w:color="auto"/>
        <w:bottom w:val="none" w:sz="0" w:space="0" w:color="auto"/>
        <w:right w:val="none" w:sz="0" w:space="0" w:color="auto"/>
      </w:divBdr>
    </w:div>
    <w:div w:id="1683581216">
      <w:bodyDiv w:val="1"/>
      <w:marLeft w:val="0"/>
      <w:marRight w:val="0"/>
      <w:marTop w:val="0"/>
      <w:marBottom w:val="0"/>
      <w:divBdr>
        <w:top w:val="none" w:sz="0" w:space="0" w:color="auto"/>
        <w:left w:val="none" w:sz="0" w:space="0" w:color="auto"/>
        <w:bottom w:val="none" w:sz="0" w:space="0" w:color="auto"/>
        <w:right w:val="none" w:sz="0" w:space="0" w:color="auto"/>
      </w:divBdr>
    </w:div>
    <w:div w:id="1689402203">
      <w:bodyDiv w:val="1"/>
      <w:marLeft w:val="0"/>
      <w:marRight w:val="0"/>
      <w:marTop w:val="0"/>
      <w:marBottom w:val="0"/>
      <w:divBdr>
        <w:top w:val="none" w:sz="0" w:space="0" w:color="auto"/>
        <w:left w:val="none" w:sz="0" w:space="0" w:color="auto"/>
        <w:bottom w:val="none" w:sz="0" w:space="0" w:color="auto"/>
        <w:right w:val="none" w:sz="0" w:space="0" w:color="auto"/>
      </w:divBdr>
    </w:div>
    <w:div w:id="1704793433">
      <w:bodyDiv w:val="1"/>
      <w:marLeft w:val="0"/>
      <w:marRight w:val="0"/>
      <w:marTop w:val="0"/>
      <w:marBottom w:val="0"/>
      <w:divBdr>
        <w:top w:val="none" w:sz="0" w:space="0" w:color="auto"/>
        <w:left w:val="none" w:sz="0" w:space="0" w:color="auto"/>
        <w:bottom w:val="none" w:sz="0" w:space="0" w:color="auto"/>
        <w:right w:val="none" w:sz="0" w:space="0" w:color="auto"/>
      </w:divBdr>
    </w:div>
    <w:div w:id="1706902326">
      <w:bodyDiv w:val="1"/>
      <w:marLeft w:val="0"/>
      <w:marRight w:val="0"/>
      <w:marTop w:val="0"/>
      <w:marBottom w:val="0"/>
      <w:divBdr>
        <w:top w:val="none" w:sz="0" w:space="0" w:color="auto"/>
        <w:left w:val="none" w:sz="0" w:space="0" w:color="auto"/>
        <w:bottom w:val="none" w:sz="0" w:space="0" w:color="auto"/>
        <w:right w:val="none" w:sz="0" w:space="0" w:color="auto"/>
      </w:divBdr>
    </w:div>
    <w:div w:id="1712655657">
      <w:bodyDiv w:val="1"/>
      <w:marLeft w:val="0"/>
      <w:marRight w:val="0"/>
      <w:marTop w:val="0"/>
      <w:marBottom w:val="0"/>
      <w:divBdr>
        <w:top w:val="none" w:sz="0" w:space="0" w:color="auto"/>
        <w:left w:val="none" w:sz="0" w:space="0" w:color="auto"/>
        <w:bottom w:val="none" w:sz="0" w:space="0" w:color="auto"/>
        <w:right w:val="none" w:sz="0" w:space="0" w:color="auto"/>
      </w:divBdr>
    </w:div>
    <w:div w:id="1724403362">
      <w:bodyDiv w:val="1"/>
      <w:marLeft w:val="0"/>
      <w:marRight w:val="0"/>
      <w:marTop w:val="0"/>
      <w:marBottom w:val="0"/>
      <w:divBdr>
        <w:top w:val="none" w:sz="0" w:space="0" w:color="auto"/>
        <w:left w:val="none" w:sz="0" w:space="0" w:color="auto"/>
        <w:bottom w:val="none" w:sz="0" w:space="0" w:color="auto"/>
        <w:right w:val="none" w:sz="0" w:space="0" w:color="auto"/>
      </w:divBdr>
    </w:div>
    <w:div w:id="1724794286">
      <w:bodyDiv w:val="1"/>
      <w:marLeft w:val="0"/>
      <w:marRight w:val="0"/>
      <w:marTop w:val="0"/>
      <w:marBottom w:val="0"/>
      <w:divBdr>
        <w:top w:val="none" w:sz="0" w:space="0" w:color="auto"/>
        <w:left w:val="none" w:sz="0" w:space="0" w:color="auto"/>
        <w:bottom w:val="none" w:sz="0" w:space="0" w:color="auto"/>
        <w:right w:val="none" w:sz="0" w:space="0" w:color="auto"/>
      </w:divBdr>
    </w:div>
    <w:div w:id="1725255043">
      <w:bodyDiv w:val="1"/>
      <w:marLeft w:val="0"/>
      <w:marRight w:val="0"/>
      <w:marTop w:val="0"/>
      <w:marBottom w:val="0"/>
      <w:divBdr>
        <w:top w:val="none" w:sz="0" w:space="0" w:color="auto"/>
        <w:left w:val="none" w:sz="0" w:space="0" w:color="auto"/>
        <w:bottom w:val="none" w:sz="0" w:space="0" w:color="auto"/>
        <w:right w:val="none" w:sz="0" w:space="0" w:color="auto"/>
      </w:divBdr>
    </w:div>
    <w:div w:id="1728919560">
      <w:bodyDiv w:val="1"/>
      <w:marLeft w:val="0"/>
      <w:marRight w:val="0"/>
      <w:marTop w:val="0"/>
      <w:marBottom w:val="0"/>
      <w:divBdr>
        <w:top w:val="none" w:sz="0" w:space="0" w:color="auto"/>
        <w:left w:val="none" w:sz="0" w:space="0" w:color="auto"/>
        <w:bottom w:val="none" w:sz="0" w:space="0" w:color="auto"/>
        <w:right w:val="none" w:sz="0" w:space="0" w:color="auto"/>
      </w:divBdr>
    </w:div>
    <w:div w:id="1734546601">
      <w:bodyDiv w:val="1"/>
      <w:marLeft w:val="0"/>
      <w:marRight w:val="0"/>
      <w:marTop w:val="0"/>
      <w:marBottom w:val="0"/>
      <w:divBdr>
        <w:top w:val="none" w:sz="0" w:space="0" w:color="auto"/>
        <w:left w:val="none" w:sz="0" w:space="0" w:color="auto"/>
        <w:bottom w:val="none" w:sz="0" w:space="0" w:color="auto"/>
        <w:right w:val="none" w:sz="0" w:space="0" w:color="auto"/>
      </w:divBdr>
    </w:div>
    <w:div w:id="1746414679">
      <w:bodyDiv w:val="1"/>
      <w:marLeft w:val="0"/>
      <w:marRight w:val="0"/>
      <w:marTop w:val="0"/>
      <w:marBottom w:val="0"/>
      <w:divBdr>
        <w:top w:val="none" w:sz="0" w:space="0" w:color="auto"/>
        <w:left w:val="none" w:sz="0" w:space="0" w:color="auto"/>
        <w:bottom w:val="none" w:sz="0" w:space="0" w:color="auto"/>
        <w:right w:val="none" w:sz="0" w:space="0" w:color="auto"/>
      </w:divBdr>
    </w:div>
    <w:div w:id="1757052294">
      <w:bodyDiv w:val="1"/>
      <w:marLeft w:val="0"/>
      <w:marRight w:val="0"/>
      <w:marTop w:val="0"/>
      <w:marBottom w:val="0"/>
      <w:divBdr>
        <w:top w:val="none" w:sz="0" w:space="0" w:color="auto"/>
        <w:left w:val="none" w:sz="0" w:space="0" w:color="auto"/>
        <w:bottom w:val="none" w:sz="0" w:space="0" w:color="auto"/>
        <w:right w:val="none" w:sz="0" w:space="0" w:color="auto"/>
      </w:divBdr>
    </w:div>
    <w:div w:id="1767536317">
      <w:bodyDiv w:val="1"/>
      <w:marLeft w:val="0"/>
      <w:marRight w:val="0"/>
      <w:marTop w:val="0"/>
      <w:marBottom w:val="0"/>
      <w:divBdr>
        <w:top w:val="none" w:sz="0" w:space="0" w:color="auto"/>
        <w:left w:val="none" w:sz="0" w:space="0" w:color="auto"/>
        <w:bottom w:val="none" w:sz="0" w:space="0" w:color="auto"/>
        <w:right w:val="none" w:sz="0" w:space="0" w:color="auto"/>
      </w:divBdr>
    </w:div>
    <w:div w:id="1769886250">
      <w:bodyDiv w:val="1"/>
      <w:marLeft w:val="0"/>
      <w:marRight w:val="0"/>
      <w:marTop w:val="0"/>
      <w:marBottom w:val="0"/>
      <w:divBdr>
        <w:top w:val="none" w:sz="0" w:space="0" w:color="auto"/>
        <w:left w:val="none" w:sz="0" w:space="0" w:color="auto"/>
        <w:bottom w:val="none" w:sz="0" w:space="0" w:color="auto"/>
        <w:right w:val="none" w:sz="0" w:space="0" w:color="auto"/>
      </w:divBdr>
    </w:div>
    <w:div w:id="1781954705">
      <w:bodyDiv w:val="1"/>
      <w:marLeft w:val="0"/>
      <w:marRight w:val="0"/>
      <w:marTop w:val="0"/>
      <w:marBottom w:val="0"/>
      <w:divBdr>
        <w:top w:val="none" w:sz="0" w:space="0" w:color="auto"/>
        <w:left w:val="none" w:sz="0" w:space="0" w:color="auto"/>
        <w:bottom w:val="none" w:sz="0" w:space="0" w:color="auto"/>
        <w:right w:val="none" w:sz="0" w:space="0" w:color="auto"/>
      </w:divBdr>
    </w:div>
    <w:div w:id="1795714039">
      <w:bodyDiv w:val="1"/>
      <w:marLeft w:val="0"/>
      <w:marRight w:val="0"/>
      <w:marTop w:val="0"/>
      <w:marBottom w:val="0"/>
      <w:divBdr>
        <w:top w:val="none" w:sz="0" w:space="0" w:color="auto"/>
        <w:left w:val="none" w:sz="0" w:space="0" w:color="auto"/>
        <w:bottom w:val="none" w:sz="0" w:space="0" w:color="auto"/>
        <w:right w:val="none" w:sz="0" w:space="0" w:color="auto"/>
      </w:divBdr>
    </w:div>
    <w:div w:id="1799296703">
      <w:bodyDiv w:val="1"/>
      <w:marLeft w:val="0"/>
      <w:marRight w:val="0"/>
      <w:marTop w:val="0"/>
      <w:marBottom w:val="0"/>
      <w:divBdr>
        <w:top w:val="none" w:sz="0" w:space="0" w:color="auto"/>
        <w:left w:val="none" w:sz="0" w:space="0" w:color="auto"/>
        <w:bottom w:val="none" w:sz="0" w:space="0" w:color="auto"/>
        <w:right w:val="none" w:sz="0" w:space="0" w:color="auto"/>
      </w:divBdr>
    </w:div>
    <w:div w:id="1800760957">
      <w:bodyDiv w:val="1"/>
      <w:marLeft w:val="0"/>
      <w:marRight w:val="0"/>
      <w:marTop w:val="0"/>
      <w:marBottom w:val="0"/>
      <w:divBdr>
        <w:top w:val="none" w:sz="0" w:space="0" w:color="auto"/>
        <w:left w:val="none" w:sz="0" w:space="0" w:color="auto"/>
        <w:bottom w:val="none" w:sz="0" w:space="0" w:color="auto"/>
        <w:right w:val="none" w:sz="0" w:space="0" w:color="auto"/>
      </w:divBdr>
    </w:div>
    <w:div w:id="1801916977">
      <w:bodyDiv w:val="1"/>
      <w:marLeft w:val="0"/>
      <w:marRight w:val="0"/>
      <w:marTop w:val="0"/>
      <w:marBottom w:val="0"/>
      <w:divBdr>
        <w:top w:val="none" w:sz="0" w:space="0" w:color="auto"/>
        <w:left w:val="none" w:sz="0" w:space="0" w:color="auto"/>
        <w:bottom w:val="none" w:sz="0" w:space="0" w:color="auto"/>
        <w:right w:val="none" w:sz="0" w:space="0" w:color="auto"/>
      </w:divBdr>
    </w:div>
    <w:div w:id="1805540557">
      <w:bodyDiv w:val="1"/>
      <w:marLeft w:val="0"/>
      <w:marRight w:val="0"/>
      <w:marTop w:val="0"/>
      <w:marBottom w:val="0"/>
      <w:divBdr>
        <w:top w:val="none" w:sz="0" w:space="0" w:color="auto"/>
        <w:left w:val="none" w:sz="0" w:space="0" w:color="auto"/>
        <w:bottom w:val="none" w:sz="0" w:space="0" w:color="auto"/>
        <w:right w:val="none" w:sz="0" w:space="0" w:color="auto"/>
      </w:divBdr>
    </w:div>
    <w:div w:id="1809660808">
      <w:bodyDiv w:val="1"/>
      <w:marLeft w:val="0"/>
      <w:marRight w:val="0"/>
      <w:marTop w:val="0"/>
      <w:marBottom w:val="0"/>
      <w:divBdr>
        <w:top w:val="none" w:sz="0" w:space="0" w:color="auto"/>
        <w:left w:val="none" w:sz="0" w:space="0" w:color="auto"/>
        <w:bottom w:val="none" w:sz="0" w:space="0" w:color="auto"/>
        <w:right w:val="none" w:sz="0" w:space="0" w:color="auto"/>
      </w:divBdr>
    </w:div>
    <w:div w:id="1812165128">
      <w:bodyDiv w:val="1"/>
      <w:marLeft w:val="0"/>
      <w:marRight w:val="0"/>
      <w:marTop w:val="0"/>
      <w:marBottom w:val="0"/>
      <w:divBdr>
        <w:top w:val="none" w:sz="0" w:space="0" w:color="auto"/>
        <w:left w:val="none" w:sz="0" w:space="0" w:color="auto"/>
        <w:bottom w:val="none" w:sz="0" w:space="0" w:color="auto"/>
        <w:right w:val="none" w:sz="0" w:space="0" w:color="auto"/>
      </w:divBdr>
    </w:div>
    <w:div w:id="1820540439">
      <w:bodyDiv w:val="1"/>
      <w:marLeft w:val="0"/>
      <w:marRight w:val="0"/>
      <w:marTop w:val="0"/>
      <w:marBottom w:val="0"/>
      <w:divBdr>
        <w:top w:val="none" w:sz="0" w:space="0" w:color="auto"/>
        <w:left w:val="none" w:sz="0" w:space="0" w:color="auto"/>
        <w:bottom w:val="none" w:sz="0" w:space="0" w:color="auto"/>
        <w:right w:val="none" w:sz="0" w:space="0" w:color="auto"/>
      </w:divBdr>
    </w:div>
    <w:div w:id="1822962030">
      <w:bodyDiv w:val="1"/>
      <w:marLeft w:val="0"/>
      <w:marRight w:val="0"/>
      <w:marTop w:val="0"/>
      <w:marBottom w:val="0"/>
      <w:divBdr>
        <w:top w:val="none" w:sz="0" w:space="0" w:color="auto"/>
        <w:left w:val="none" w:sz="0" w:space="0" w:color="auto"/>
        <w:bottom w:val="none" w:sz="0" w:space="0" w:color="auto"/>
        <w:right w:val="none" w:sz="0" w:space="0" w:color="auto"/>
      </w:divBdr>
    </w:div>
    <w:div w:id="1832865322">
      <w:bodyDiv w:val="1"/>
      <w:marLeft w:val="0"/>
      <w:marRight w:val="0"/>
      <w:marTop w:val="0"/>
      <w:marBottom w:val="0"/>
      <w:divBdr>
        <w:top w:val="none" w:sz="0" w:space="0" w:color="auto"/>
        <w:left w:val="none" w:sz="0" w:space="0" w:color="auto"/>
        <w:bottom w:val="none" w:sz="0" w:space="0" w:color="auto"/>
        <w:right w:val="none" w:sz="0" w:space="0" w:color="auto"/>
      </w:divBdr>
    </w:div>
    <w:div w:id="1837375234">
      <w:bodyDiv w:val="1"/>
      <w:marLeft w:val="0"/>
      <w:marRight w:val="0"/>
      <w:marTop w:val="0"/>
      <w:marBottom w:val="0"/>
      <w:divBdr>
        <w:top w:val="none" w:sz="0" w:space="0" w:color="auto"/>
        <w:left w:val="none" w:sz="0" w:space="0" w:color="auto"/>
        <w:bottom w:val="none" w:sz="0" w:space="0" w:color="auto"/>
        <w:right w:val="none" w:sz="0" w:space="0" w:color="auto"/>
      </w:divBdr>
    </w:div>
    <w:div w:id="1845895309">
      <w:bodyDiv w:val="1"/>
      <w:marLeft w:val="0"/>
      <w:marRight w:val="0"/>
      <w:marTop w:val="0"/>
      <w:marBottom w:val="0"/>
      <w:divBdr>
        <w:top w:val="none" w:sz="0" w:space="0" w:color="auto"/>
        <w:left w:val="none" w:sz="0" w:space="0" w:color="auto"/>
        <w:bottom w:val="none" w:sz="0" w:space="0" w:color="auto"/>
        <w:right w:val="none" w:sz="0" w:space="0" w:color="auto"/>
      </w:divBdr>
    </w:div>
    <w:div w:id="1853179206">
      <w:bodyDiv w:val="1"/>
      <w:marLeft w:val="0"/>
      <w:marRight w:val="0"/>
      <w:marTop w:val="0"/>
      <w:marBottom w:val="0"/>
      <w:divBdr>
        <w:top w:val="none" w:sz="0" w:space="0" w:color="auto"/>
        <w:left w:val="none" w:sz="0" w:space="0" w:color="auto"/>
        <w:bottom w:val="none" w:sz="0" w:space="0" w:color="auto"/>
        <w:right w:val="none" w:sz="0" w:space="0" w:color="auto"/>
      </w:divBdr>
    </w:div>
    <w:div w:id="1853496415">
      <w:bodyDiv w:val="1"/>
      <w:marLeft w:val="0"/>
      <w:marRight w:val="0"/>
      <w:marTop w:val="0"/>
      <w:marBottom w:val="0"/>
      <w:divBdr>
        <w:top w:val="none" w:sz="0" w:space="0" w:color="auto"/>
        <w:left w:val="none" w:sz="0" w:space="0" w:color="auto"/>
        <w:bottom w:val="none" w:sz="0" w:space="0" w:color="auto"/>
        <w:right w:val="none" w:sz="0" w:space="0" w:color="auto"/>
      </w:divBdr>
    </w:div>
    <w:div w:id="1857111234">
      <w:bodyDiv w:val="1"/>
      <w:marLeft w:val="0"/>
      <w:marRight w:val="0"/>
      <w:marTop w:val="0"/>
      <w:marBottom w:val="0"/>
      <w:divBdr>
        <w:top w:val="none" w:sz="0" w:space="0" w:color="auto"/>
        <w:left w:val="none" w:sz="0" w:space="0" w:color="auto"/>
        <w:bottom w:val="none" w:sz="0" w:space="0" w:color="auto"/>
        <w:right w:val="none" w:sz="0" w:space="0" w:color="auto"/>
      </w:divBdr>
    </w:div>
    <w:div w:id="1864398807">
      <w:bodyDiv w:val="1"/>
      <w:marLeft w:val="0"/>
      <w:marRight w:val="0"/>
      <w:marTop w:val="0"/>
      <w:marBottom w:val="0"/>
      <w:divBdr>
        <w:top w:val="none" w:sz="0" w:space="0" w:color="auto"/>
        <w:left w:val="none" w:sz="0" w:space="0" w:color="auto"/>
        <w:bottom w:val="none" w:sz="0" w:space="0" w:color="auto"/>
        <w:right w:val="none" w:sz="0" w:space="0" w:color="auto"/>
      </w:divBdr>
    </w:div>
    <w:div w:id="1867863485">
      <w:bodyDiv w:val="1"/>
      <w:marLeft w:val="0"/>
      <w:marRight w:val="0"/>
      <w:marTop w:val="0"/>
      <w:marBottom w:val="0"/>
      <w:divBdr>
        <w:top w:val="none" w:sz="0" w:space="0" w:color="auto"/>
        <w:left w:val="none" w:sz="0" w:space="0" w:color="auto"/>
        <w:bottom w:val="none" w:sz="0" w:space="0" w:color="auto"/>
        <w:right w:val="none" w:sz="0" w:space="0" w:color="auto"/>
      </w:divBdr>
    </w:div>
    <w:div w:id="1886747346">
      <w:bodyDiv w:val="1"/>
      <w:marLeft w:val="0"/>
      <w:marRight w:val="0"/>
      <w:marTop w:val="0"/>
      <w:marBottom w:val="0"/>
      <w:divBdr>
        <w:top w:val="none" w:sz="0" w:space="0" w:color="auto"/>
        <w:left w:val="none" w:sz="0" w:space="0" w:color="auto"/>
        <w:bottom w:val="none" w:sz="0" w:space="0" w:color="auto"/>
        <w:right w:val="none" w:sz="0" w:space="0" w:color="auto"/>
      </w:divBdr>
    </w:div>
    <w:div w:id="1890149717">
      <w:bodyDiv w:val="1"/>
      <w:marLeft w:val="0"/>
      <w:marRight w:val="0"/>
      <w:marTop w:val="0"/>
      <w:marBottom w:val="0"/>
      <w:divBdr>
        <w:top w:val="none" w:sz="0" w:space="0" w:color="auto"/>
        <w:left w:val="none" w:sz="0" w:space="0" w:color="auto"/>
        <w:bottom w:val="none" w:sz="0" w:space="0" w:color="auto"/>
        <w:right w:val="none" w:sz="0" w:space="0" w:color="auto"/>
      </w:divBdr>
    </w:div>
    <w:div w:id="1892572712">
      <w:bodyDiv w:val="1"/>
      <w:marLeft w:val="0"/>
      <w:marRight w:val="0"/>
      <w:marTop w:val="0"/>
      <w:marBottom w:val="0"/>
      <w:divBdr>
        <w:top w:val="none" w:sz="0" w:space="0" w:color="auto"/>
        <w:left w:val="none" w:sz="0" w:space="0" w:color="auto"/>
        <w:bottom w:val="none" w:sz="0" w:space="0" w:color="auto"/>
        <w:right w:val="none" w:sz="0" w:space="0" w:color="auto"/>
      </w:divBdr>
    </w:div>
    <w:div w:id="1898278383">
      <w:bodyDiv w:val="1"/>
      <w:marLeft w:val="0"/>
      <w:marRight w:val="0"/>
      <w:marTop w:val="0"/>
      <w:marBottom w:val="0"/>
      <w:divBdr>
        <w:top w:val="none" w:sz="0" w:space="0" w:color="auto"/>
        <w:left w:val="none" w:sz="0" w:space="0" w:color="auto"/>
        <w:bottom w:val="none" w:sz="0" w:space="0" w:color="auto"/>
        <w:right w:val="none" w:sz="0" w:space="0" w:color="auto"/>
      </w:divBdr>
    </w:div>
    <w:div w:id="1899583885">
      <w:bodyDiv w:val="1"/>
      <w:marLeft w:val="0"/>
      <w:marRight w:val="0"/>
      <w:marTop w:val="0"/>
      <w:marBottom w:val="0"/>
      <w:divBdr>
        <w:top w:val="none" w:sz="0" w:space="0" w:color="auto"/>
        <w:left w:val="none" w:sz="0" w:space="0" w:color="auto"/>
        <w:bottom w:val="none" w:sz="0" w:space="0" w:color="auto"/>
        <w:right w:val="none" w:sz="0" w:space="0" w:color="auto"/>
      </w:divBdr>
    </w:div>
    <w:div w:id="1901473769">
      <w:bodyDiv w:val="1"/>
      <w:marLeft w:val="0"/>
      <w:marRight w:val="0"/>
      <w:marTop w:val="0"/>
      <w:marBottom w:val="0"/>
      <w:divBdr>
        <w:top w:val="none" w:sz="0" w:space="0" w:color="auto"/>
        <w:left w:val="none" w:sz="0" w:space="0" w:color="auto"/>
        <w:bottom w:val="none" w:sz="0" w:space="0" w:color="auto"/>
        <w:right w:val="none" w:sz="0" w:space="0" w:color="auto"/>
      </w:divBdr>
    </w:div>
    <w:div w:id="1907256275">
      <w:bodyDiv w:val="1"/>
      <w:marLeft w:val="0"/>
      <w:marRight w:val="0"/>
      <w:marTop w:val="0"/>
      <w:marBottom w:val="0"/>
      <w:divBdr>
        <w:top w:val="none" w:sz="0" w:space="0" w:color="auto"/>
        <w:left w:val="none" w:sz="0" w:space="0" w:color="auto"/>
        <w:bottom w:val="none" w:sz="0" w:space="0" w:color="auto"/>
        <w:right w:val="none" w:sz="0" w:space="0" w:color="auto"/>
      </w:divBdr>
    </w:div>
    <w:div w:id="1908955184">
      <w:bodyDiv w:val="1"/>
      <w:marLeft w:val="0"/>
      <w:marRight w:val="0"/>
      <w:marTop w:val="0"/>
      <w:marBottom w:val="0"/>
      <w:divBdr>
        <w:top w:val="none" w:sz="0" w:space="0" w:color="auto"/>
        <w:left w:val="none" w:sz="0" w:space="0" w:color="auto"/>
        <w:bottom w:val="none" w:sz="0" w:space="0" w:color="auto"/>
        <w:right w:val="none" w:sz="0" w:space="0" w:color="auto"/>
      </w:divBdr>
    </w:div>
    <w:div w:id="1922327093">
      <w:bodyDiv w:val="1"/>
      <w:marLeft w:val="0"/>
      <w:marRight w:val="0"/>
      <w:marTop w:val="0"/>
      <w:marBottom w:val="0"/>
      <w:divBdr>
        <w:top w:val="none" w:sz="0" w:space="0" w:color="auto"/>
        <w:left w:val="none" w:sz="0" w:space="0" w:color="auto"/>
        <w:bottom w:val="none" w:sz="0" w:space="0" w:color="auto"/>
        <w:right w:val="none" w:sz="0" w:space="0" w:color="auto"/>
      </w:divBdr>
    </w:div>
    <w:div w:id="1925143116">
      <w:bodyDiv w:val="1"/>
      <w:marLeft w:val="0"/>
      <w:marRight w:val="0"/>
      <w:marTop w:val="0"/>
      <w:marBottom w:val="0"/>
      <w:divBdr>
        <w:top w:val="none" w:sz="0" w:space="0" w:color="auto"/>
        <w:left w:val="none" w:sz="0" w:space="0" w:color="auto"/>
        <w:bottom w:val="none" w:sz="0" w:space="0" w:color="auto"/>
        <w:right w:val="none" w:sz="0" w:space="0" w:color="auto"/>
      </w:divBdr>
    </w:div>
    <w:div w:id="1929458708">
      <w:bodyDiv w:val="1"/>
      <w:marLeft w:val="0"/>
      <w:marRight w:val="0"/>
      <w:marTop w:val="0"/>
      <w:marBottom w:val="0"/>
      <w:divBdr>
        <w:top w:val="none" w:sz="0" w:space="0" w:color="auto"/>
        <w:left w:val="none" w:sz="0" w:space="0" w:color="auto"/>
        <w:bottom w:val="none" w:sz="0" w:space="0" w:color="auto"/>
        <w:right w:val="none" w:sz="0" w:space="0" w:color="auto"/>
      </w:divBdr>
    </w:div>
    <w:div w:id="1939094138">
      <w:bodyDiv w:val="1"/>
      <w:marLeft w:val="0"/>
      <w:marRight w:val="0"/>
      <w:marTop w:val="0"/>
      <w:marBottom w:val="0"/>
      <w:divBdr>
        <w:top w:val="none" w:sz="0" w:space="0" w:color="auto"/>
        <w:left w:val="none" w:sz="0" w:space="0" w:color="auto"/>
        <w:bottom w:val="none" w:sz="0" w:space="0" w:color="auto"/>
        <w:right w:val="none" w:sz="0" w:space="0" w:color="auto"/>
      </w:divBdr>
    </w:div>
    <w:div w:id="1940792264">
      <w:bodyDiv w:val="1"/>
      <w:marLeft w:val="0"/>
      <w:marRight w:val="0"/>
      <w:marTop w:val="0"/>
      <w:marBottom w:val="0"/>
      <w:divBdr>
        <w:top w:val="none" w:sz="0" w:space="0" w:color="auto"/>
        <w:left w:val="none" w:sz="0" w:space="0" w:color="auto"/>
        <w:bottom w:val="none" w:sz="0" w:space="0" w:color="auto"/>
        <w:right w:val="none" w:sz="0" w:space="0" w:color="auto"/>
      </w:divBdr>
    </w:div>
    <w:div w:id="1941139972">
      <w:bodyDiv w:val="1"/>
      <w:marLeft w:val="0"/>
      <w:marRight w:val="0"/>
      <w:marTop w:val="0"/>
      <w:marBottom w:val="0"/>
      <w:divBdr>
        <w:top w:val="none" w:sz="0" w:space="0" w:color="auto"/>
        <w:left w:val="none" w:sz="0" w:space="0" w:color="auto"/>
        <w:bottom w:val="none" w:sz="0" w:space="0" w:color="auto"/>
        <w:right w:val="none" w:sz="0" w:space="0" w:color="auto"/>
      </w:divBdr>
    </w:div>
    <w:div w:id="1946039202">
      <w:bodyDiv w:val="1"/>
      <w:marLeft w:val="0"/>
      <w:marRight w:val="0"/>
      <w:marTop w:val="0"/>
      <w:marBottom w:val="0"/>
      <w:divBdr>
        <w:top w:val="none" w:sz="0" w:space="0" w:color="auto"/>
        <w:left w:val="none" w:sz="0" w:space="0" w:color="auto"/>
        <w:bottom w:val="none" w:sz="0" w:space="0" w:color="auto"/>
        <w:right w:val="none" w:sz="0" w:space="0" w:color="auto"/>
      </w:divBdr>
    </w:div>
    <w:div w:id="1947225626">
      <w:bodyDiv w:val="1"/>
      <w:marLeft w:val="0"/>
      <w:marRight w:val="0"/>
      <w:marTop w:val="0"/>
      <w:marBottom w:val="0"/>
      <w:divBdr>
        <w:top w:val="none" w:sz="0" w:space="0" w:color="auto"/>
        <w:left w:val="none" w:sz="0" w:space="0" w:color="auto"/>
        <w:bottom w:val="none" w:sz="0" w:space="0" w:color="auto"/>
        <w:right w:val="none" w:sz="0" w:space="0" w:color="auto"/>
      </w:divBdr>
    </w:div>
    <w:div w:id="1950236571">
      <w:bodyDiv w:val="1"/>
      <w:marLeft w:val="0"/>
      <w:marRight w:val="0"/>
      <w:marTop w:val="0"/>
      <w:marBottom w:val="0"/>
      <w:divBdr>
        <w:top w:val="none" w:sz="0" w:space="0" w:color="auto"/>
        <w:left w:val="none" w:sz="0" w:space="0" w:color="auto"/>
        <w:bottom w:val="none" w:sz="0" w:space="0" w:color="auto"/>
        <w:right w:val="none" w:sz="0" w:space="0" w:color="auto"/>
      </w:divBdr>
    </w:div>
    <w:div w:id="1950697358">
      <w:bodyDiv w:val="1"/>
      <w:marLeft w:val="0"/>
      <w:marRight w:val="0"/>
      <w:marTop w:val="0"/>
      <w:marBottom w:val="0"/>
      <w:divBdr>
        <w:top w:val="none" w:sz="0" w:space="0" w:color="auto"/>
        <w:left w:val="none" w:sz="0" w:space="0" w:color="auto"/>
        <w:bottom w:val="none" w:sz="0" w:space="0" w:color="auto"/>
        <w:right w:val="none" w:sz="0" w:space="0" w:color="auto"/>
      </w:divBdr>
    </w:div>
    <w:div w:id="1951621177">
      <w:bodyDiv w:val="1"/>
      <w:marLeft w:val="0"/>
      <w:marRight w:val="0"/>
      <w:marTop w:val="0"/>
      <w:marBottom w:val="0"/>
      <w:divBdr>
        <w:top w:val="none" w:sz="0" w:space="0" w:color="auto"/>
        <w:left w:val="none" w:sz="0" w:space="0" w:color="auto"/>
        <w:bottom w:val="none" w:sz="0" w:space="0" w:color="auto"/>
        <w:right w:val="none" w:sz="0" w:space="0" w:color="auto"/>
      </w:divBdr>
    </w:div>
    <w:div w:id="1951811178">
      <w:bodyDiv w:val="1"/>
      <w:marLeft w:val="0"/>
      <w:marRight w:val="0"/>
      <w:marTop w:val="0"/>
      <w:marBottom w:val="0"/>
      <w:divBdr>
        <w:top w:val="none" w:sz="0" w:space="0" w:color="auto"/>
        <w:left w:val="none" w:sz="0" w:space="0" w:color="auto"/>
        <w:bottom w:val="none" w:sz="0" w:space="0" w:color="auto"/>
        <w:right w:val="none" w:sz="0" w:space="0" w:color="auto"/>
      </w:divBdr>
    </w:div>
    <w:div w:id="1954051099">
      <w:bodyDiv w:val="1"/>
      <w:marLeft w:val="0"/>
      <w:marRight w:val="0"/>
      <w:marTop w:val="0"/>
      <w:marBottom w:val="0"/>
      <w:divBdr>
        <w:top w:val="none" w:sz="0" w:space="0" w:color="auto"/>
        <w:left w:val="none" w:sz="0" w:space="0" w:color="auto"/>
        <w:bottom w:val="none" w:sz="0" w:space="0" w:color="auto"/>
        <w:right w:val="none" w:sz="0" w:space="0" w:color="auto"/>
      </w:divBdr>
    </w:div>
    <w:div w:id="1956519815">
      <w:bodyDiv w:val="1"/>
      <w:marLeft w:val="0"/>
      <w:marRight w:val="0"/>
      <w:marTop w:val="0"/>
      <w:marBottom w:val="0"/>
      <w:divBdr>
        <w:top w:val="none" w:sz="0" w:space="0" w:color="auto"/>
        <w:left w:val="none" w:sz="0" w:space="0" w:color="auto"/>
        <w:bottom w:val="none" w:sz="0" w:space="0" w:color="auto"/>
        <w:right w:val="none" w:sz="0" w:space="0" w:color="auto"/>
      </w:divBdr>
    </w:div>
    <w:div w:id="1962564391">
      <w:bodyDiv w:val="1"/>
      <w:marLeft w:val="0"/>
      <w:marRight w:val="0"/>
      <w:marTop w:val="0"/>
      <w:marBottom w:val="0"/>
      <w:divBdr>
        <w:top w:val="none" w:sz="0" w:space="0" w:color="auto"/>
        <w:left w:val="none" w:sz="0" w:space="0" w:color="auto"/>
        <w:bottom w:val="none" w:sz="0" w:space="0" w:color="auto"/>
        <w:right w:val="none" w:sz="0" w:space="0" w:color="auto"/>
      </w:divBdr>
    </w:div>
    <w:div w:id="1964076486">
      <w:bodyDiv w:val="1"/>
      <w:marLeft w:val="0"/>
      <w:marRight w:val="0"/>
      <w:marTop w:val="0"/>
      <w:marBottom w:val="0"/>
      <w:divBdr>
        <w:top w:val="none" w:sz="0" w:space="0" w:color="auto"/>
        <w:left w:val="none" w:sz="0" w:space="0" w:color="auto"/>
        <w:bottom w:val="none" w:sz="0" w:space="0" w:color="auto"/>
        <w:right w:val="none" w:sz="0" w:space="0" w:color="auto"/>
      </w:divBdr>
    </w:div>
    <w:div w:id="1989825860">
      <w:bodyDiv w:val="1"/>
      <w:marLeft w:val="0"/>
      <w:marRight w:val="0"/>
      <w:marTop w:val="0"/>
      <w:marBottom w:val="0"/>
      <w:divBdr>
        <w:top w:val="none" w:sz="0" w:space="0" w:color="auto"/>
        <w:left w:val="none" w:sz="0" w:space="0" w:color="auto"/>
        <w:bottom w:val="none" w:sz="0" w:space="0" w:color="auto"/>
        <w:right w:val="none" w:sz="0" w:space="0" w:color="auto"/>
      </w:divBdr>
    </w:div>
    <w:div w:id="1990936775">
      <w:bodyDiv w:val="1"/>
      <w:marLeft w:val="0"/>
      <w:marRight w:val="0"/>
      <w:marTop w:val="0"/>
      <w:marBottom w:val="0"/>
      <w:divBdr>
        <w:top w:val="none" w:sz="0" w:space="0" w:color="auto"/>
        <w:left w:val="none" w:sz="0" w:space="0" w:color="auto"/>
        <w:bottom w:val="none" w:sz="0" w:space="0" w:color="auto"/>
        <w:right w:val="none" w:sz="0" w:space="0" w:color="auto"/>
      </w:divBdr>
    </w:div>
    <w:div w:id="2001275373">
      <w:bodyDiv w:val="1"/>
      <w:marLeft w:val="0"/>
      <w:marRight w:val="0"/>
      <w:marTop w:val="0"/>
      <w:marBottom w:val="0"/>
      <w:divBdr>
        <w:top w:val="none" w:sz="0" w:space="0" w:color="auto"/>
        <w:left w:val="none" w:sz="0" w:space="0" w:color="auto"/>
        <w:bottom w:val="none" w:sz="0" w:space="0" w:color="auto"/>
        <w:right w:val="none" w:sz="0" w:space="0" w:color="auto"/>
      </w:divBdr>
    </w:div>
    <w:div w:id="2011710522">
      <w:bodyDiv w:val="1"/>
      <w:marLeft w:val="0"/>
      <w:marRight w:val="0"/>
      <w:marTop w:val="0"/>
      <w:marBottom w:val="0"/>
      <w:divBdr>
        <w:top w:val="none" w:sz="0" w:space="0" w:color="auto"/>
        <w:left w:val="none" w:sz="0" w:space="0" w:color="auto"/>
        <w:bottom w:val="none" w:sz="0" w:space="0" w:color="auto"/>
        <w:right w:val="none" w:sz="0" w:space="0" w:color="auto"/>
      </w:divBdr>
    </w:div>
    <w:div w:id="2014797687">
      <w:bodyDiv w:val="1"/>
      <w:marLeft w:val="0"/>
      <w:marRight w:val="0"/>
      <w:marTop w:val="0"/>
      <w:marBottom w:val="0"/>
      <w:divBdr>
        <w:top w:val="none" w:sz="0" w:space="0" w:color="auto"/>
        <w:left w:val="none" w:sz="0" w:space="0" w:color="auto"/>
        <w:bottom w:val="none" w:sz="0" w:space="0" w:color="auto"/>
        <w:right w:val="none" w:sz="0" w:space="0" w:color="auto"/>
      </w:divBdr>
    </w:div>
    <w:div w:id="2014993326">
      <w:bodyDiv w:val="1"/>
      <w:marLeft w:val="0"/>
      <w:marRight w:val="0"/>
      <w:marTop w:val="0"/>
      <w:marBottom w:val="0"/>
      <w:divBdr>
        <w:top w:val="none" w:sz="0" w:space="0" w:color="auto"/>
        <w:left w:val="none" w:sz="0" w:space="0" w:color="auto"/>
        <w:bottom w:val="none" w:sz="0" w:space="0" w:color="auto"/>
        <w:right w:val="none" w:sz="0" w:space="0" w:color="auto"/>
      </w:divBdr>
    </w:div>
    <w:div w:id="2019887125">
      <w:bodyDiv w:val="1"/>
      <w:marLeft w:val="0"/>
      <w:marRight w:val="0"/>
      <w:marTop w:val="0"/>
      <w:marBottom w:val="0"/>
      <w:divBdr>
        <w:top w:val="none" w:sz="0" w:space="0" w:color="auto"/>
        <w:left w:val="none" w:sz="0" w:space="0" w:color="auto"/>
        <w:bottom w:val="none" w:sz="0" w:space="0" w:color="auto"/>
        <w:right w:val="none" w:sz="0" w:space="0" w:color="auto"/>
      </w:divBdr>
    </w:div>
    <w:div w:id="2026667892">
      <w:bodyDiv w:val="1"/>
      <w:marLeft w:val="0"/>
      <w:marRight w:val="0"/>
      <w:marTop w:val="0"/>
      <w:marBottom w:val="0"/>
      <w:divBdr>
        <w:top w:val="none" w:sz="0" w:space="0" w:color="auto"/>
        <w:left w:val="none" w:sz="0" w:space="0" w:color="auto"/>
        <w:bottom w:val="none" w:sz="0" w:space="0" w:color="auto"/>
        <w:right w:val="none" w:sz="0" w:space="0" w:color="auto"/>
      </w:divBdr>
    </w:div>
    <w:div w:id="2033260788">
      <w:bodyDiv w:val="1"/>
      <w:marLeft w:val="0"/>
      <w:marRight w:val="0"/>
      <w:marTop w:val="0"/>
      <w:marBottom w:val="0"/>
      <w:divBdr>
        <w:top w:val="none" w:sz="0" w:space="0" w:color="auto"/>
        <w:left w:val="none" w:sz="0" w:space="0" w:color="auto"/>
        <w:bottom w:val="none" w:sz="0" w:space="0" w:color="auto"/>
        <w:right w:val="none" w:sz="0" w:space="0" w:color="auto"/>
      </w:divBdr>
    </w:div>
    <w:div w:id="2044358653">
      <w:bodyDiv w:val="1"/>
      <w:marLeft w:val="0"/>
      <w:marRight w:val="0"/>
      <w:marTop w:val="0"/>
      <w:marBottom w:val="0"/>
      <w:divBdr>
        <w:top w:val="none" w:sz="0" w:space="0" w:color="auto"/>
        <w:left w:val="none" w:sz="0" w:space="0" w:color="auto"/>
        <w:bottom w:val="none" w:sz="0" w:space="0" w:color="auto"/>
        <w:right w:val="none" w:sz="0" w:space="0" w:color="auto"/>
      </w:divBdr>
    </w:div>
    <w:div w:id="2053335392">
      <w:bodyDiv w:val="1"/>
      <w:marLeft w:val="0"/>
      <w:marRight w:val="0"/>
      <w:marTop w:val="0"/>
      <w:marBottom w:val="0"/>
      <w:divBdr>
        <w:top w:val="none" w:sz="0" w:space="0" w:color="auto"/>
        <w:left w:val="none" w:sz="0" w:space="0" w:color="auto"/>
        <w:bottom w:val="none" w:sz="0" w:space="0" w:color="auto"/>
        <w:right w:val="none" w:sz="0" w:space="0" w:color="auto"/>
      </w:divBdr>
    </w:div>
    <w:div w:id="2061400145">
      <w:bodyDiv w:val="1"/>
      <w:marLeft w:val="0"/>
      <w:marRight w:val="0"/>
      <w:marTop w:val="0"/>
      <w:marBottom w:val="0"/>
      <w:divBdr>
        <w:top w:val="none" w:sz="0" w:space="0" w:color="auto"/>
        <w:left w:val="none" w:sz="0" w:space="0" w:color="auto"/>
        <w:bottom w:val="none" w:sz="0" w:space="0" w:color="auto"/>
        <w:right w:val="none" w:sz="0" w:space="0" w:color="auto"/>
      </w:divBdr>
    </w:div>
    <w:div w:id="2078480273">
      <w:bodyDiv w:val="1"/>
      <w:marLeft w:val="0"/>
      <w:marRight w:val="0"/>
      <w:marTop w:val="0"/>
      <w:marBottom w:val="0"/>
      <w:divBdr>
        <w:top w:val="none" w:sz="0" w:space="0" w:color="auto"/>
        <w:left w:val="none" w:sz="0" w:space="0" w:color="auto"/>
        <w:bottom w:val="none" w:sz="0" w:space="0" w:color="auto"/>
        <w:right w:val="none" w:sz="0" w:space="0" w:color="auto"/>
      </w:divBdr>
    </w:div>
    <w:div w:id="2083212639">
      <w:bodyDiv w:val="1"/>
      <w:marLeft w:val="0"/>
      <w:marRight w:val="0"/>
      <w:marTop w:val="0"/>
      <w:marBottom w:val="0"/>
      <w:divBdr>
        <w:top w:val="none" w:sz="0" w:space="0" w:color="auto"/>
        <w:left w:val="none" w:sz="0" w:space="0" w:color="auto"/>
        <w:bottom w:val="none" w:sz="0" w:space="0" w:color="auto"/>
        <w:right w:val="none" w:sz="0" w:space="0" w:color="auto"/>
      </w:divBdr>
    </w:div>
    <w:div w:id="2084839221">
      <w:bodyDiv w:val="1"/>
      <w:marLeft w:val="0"/>
      <w:marRight w:val="0"/>
      <w:marTop w:val="0"/>
      <w:marBottom w:val="0"/>
      <w:divBdr>
        <w:top w:val="none" w:sz="0" w:space="0" w:color="auto"/>
        <w:left w:val="none" w:sz="0" w:space="0" w:color="auto"/>
        <w:bottom w:val="none" w:sz="0" w:space="0" w:color="auto"/>
        <w:right w:val="none" w:sz="0" w:space="0" w:color="auto"/>
      </w:divBdr>
    </w:div>
    <w:div w:id="2085179505">
      <w:bodyDiv w:val="1"/>
      <w:marLeft w:val="0"/>
      <w:marRight w:val="0"/>
      <w:marTop w:val="0"/>
      <w:marBottom w:val="0"/>
      <w:divBdr>
        <w:top w:val="none" w:sz="0" w:space="0" w:color="auto"/>
        <w:left w:val="none" w:sz="0" w:space="0" w:color="auto"/>
        <w:bottom w:val="none" w:sz="0" w:space="0" w:color="auto"/>
        <w:right w:val="none" w:sz="0" w:space="0" w:color="auto"/>
      </w:divBdr>
    </w:div>
    <w:div w:id="2098012621">
      <w:bodyDiv w:val="1"/>
      <w:marLeft w:val="0"/>
      <w:marRight w:val="0"/>
      <w:marTop w:val="0"/>
      <w:marBottom w:val="0"/>
      <w:divBdr>
        <w:top w:val="none" w:sz="0" w:space="0" w:color="auto"/>
        <w:left w:val="none" w:sz="0" w:space="0" w:color="auto"/>
        <w:bottom w:val="none" w:sz="0" w:space="0" w:color="auto"/>
        <w:right w:val="none" w:sz="0" w:space="0" w:color="auto"/>
      </w:divBdr>
    </w:div>
    <w:div w:id="2119641531">
      <w:bodyDiv w:val="1"/>
      <w:marLeft w:val="0"/>
      <w:marRight w:val="0"/>
      <w:marTop w:val="0"/>
      <w:marBottom w:val="0"/>
      <w:divBdr>
        <w:top w:val="none" w:sz="0" w:space="0" w:color="auto"/>
        <w:left w:val="none" w:sz="0" w:space="0" w:color="auto"/>
        <w:bottom w:val="none" w:sz="0" w:space="0" w:color="auto"/>
        <w:right w:val="none" w:sz="0" w:space="0" w:color="auto"/>
      </w:divBdr>
    </w:div>
    <w:div w:id="2132164554">
      <w:bodyDiv w:val="1"/>
      <w:marLeft w:val="0"/>
      <w:marRight w:val="0"/>
      <w:marTop w:val="0"/>
      <w:marBottom w:val="0"/>
      <w:divBdr>
        <w:top w:val="none" w:sz="0" w:space="0" w:color="auto"/>
        <w:left w:val="none" w:sz="0" w:space="0" w:color="auto"/>
        <w:bottom w:val="none" w:sz="0" w:space="0" w:color="auto"/>
        <w:right w:val="none" w:sz="0" w:space="0" w:color="auto"/>
      </w:divBdr>
    </w:div>
    <w:div w:id="2137720680">
      <w:bodyDiv w:val="1"/>
      <w:marLeft w:val="0"/>
      <w:marRight w:val="0"/>
      <w:marTop w:val="0"/>
      <w:marBottom w:val="0"/>
      <w:divBdr>
        <w:top w:val="none" w:sz="0" w:space="0" w:color="auto"/>
        <w:left w:val="none" w:sz="0" w:space="0" w:color="auto"/>
        <w:bottom w:val="none" w:sz="0" w:space="0" w:color="auto"/>
        <w:right w:val="none" w:sz="0" w:space="0" w:color="auto"/>
      </w:divBdr>
    </w:div>
    <w:div w:id="2139569393">
      <w:bodyDiv w:val="1"/>
      <w:marLeft w:val="0"/>
      <w:marRight w:val="0"/>
      <w:marTop w:val="0"/>
      <w:marBottom w:val="0"/>
      <w:divBdr>
        <w:top w:val="none" w:sz="0" w:space="0" w:color="auto"/>
        <w:left w:val="none" w:sz="0" w:space="0" w:color="auto"/>
        <w:bottom w:val="none" w:sz="0" w:space="0" w:color="auto"/>
        <w:right w:val="none" w:sz="0" w:space="0" w:color="auto"/>
      </w:divBdr>
    </w:div>
    <w:div w:id="214345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image" Target="media/image7.png"/><Relationship Id="rId39" Type="http://schemas.openxmlformats.org/officeDocument/2006/relationships/image" Target="media/image17.png"/><Relationship Id="rId3" Type="http://schemas.openxmlformats.org/officeDocument/2006/relationships/customXml" Target="../customXml/item3.xml"/><Relationship Id="rId21" Type="http://schemas.openxmlformats.org/officeDocument/2006/relationships/hyperlink" Target="http://www.ames.net.au/" TargetMode="External"/><Relationship Id="rId34" Type="http://schemas.openxmlformats.org/officeDocument/2006/relationships/image" Target="media/image14.png"/><Relationship Id="rId42"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image" Target="media/image6.png"/><Relationship Id="rId33" Type="http://schemas.openxmlformats.org/officeDocument/2006/relationships/hyperlink" Target="http://www.education.vic.gov.au/Documents/about/research/acfepublications/hardtoreachlearn.pdf" TargetMode="External"/><Relationship Id="rId38" Type="http://schemas.openxmlformats.org/officeDocument/2006/relationships/image" Target="media/image16.png"/><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cae.edu.au/" TargetMode="External"/><Relationship Id="rId29" Type="http://schemas.openxmlformats.org/officeDocument/2006/relationships/image" Target="media/image10.png"/><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5.png"/><Relationship Id="rId32" Type="http://schemas.openxmlformats.org/officeDocument/2006/relationships/image" Target="media/image13.png"/><Relationship Id="rId37" Type="http://schemas.openxmlformats.org/officeDocument/2006/relationships/chart" Target="charts/chart1.xml"/><Relationship Id="rId40" Type="http://schemas.openxmlformats.org/officeDocument/2006/relationships/header" Target="header5.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image" Target="media/image15.png"/><Relationship Id="rId10" Type="http://schemas.openxmlformats.org/officeDocument/2006/relationships/footnotes" Target="footnotes.xml"/><Relationship Id="rId19" Type="http://schemas.openxmlformats.org/officeDocument/2006/relationships/hyperlink" Target="http://www.education.vic.gov.au/training/learners/learnlocal/pages/default.aspx" TargetMode="External"/><Relationship Id="rId31" Type="http://schemas.openxmlformats.org/officeDocument/2006/relationships/image" Target="media/image12.png"/><Relationship Id="rId44"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hyperlink" Target="http://www.education.vic.gov.au/Documents/about/research/acfepublications/hardtoreachlearn.pdf" TargetMode="External"/><Relationship Id="rId43" Type="http://schemas.openxmlformats.org/officeDocument/2006/relationships/footer" Target="footer5.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01980853\AppData\Local\Microsoft\Windows\Temporary%20Internet%20Files\Content.Outlook\CHG3CWA2\table%20(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3434022343499541E-2"/>
          <c:y val="4.2698862839450721E-2"/>
          <c:w val="0.87499448377730948"/>
          <c:h val="0.72200138425636839"/>
        </c:manualLayout>
      </c:layout>
      <c:lineChart>
        <c:grouping val="standard"/>
        <c:varyColors val="0"/>
        <c:ser>
          <c:idx val="0"/>
          <c:order val="0"/>
          <c:tx>
            <c:strRef>
              <c:f>'Data Sheet 0'!$C$16</c:f>
              <c:strCache>
                <c:ptCount val="1"/>
                <c:pt idx="0">
                  <c:v>New South Wales</c:v>
                </c:pt>
              </c:strCache>
            </c:strRef>
          </c:tx>
          <c:spPr>
            <a:ln>
              <a:solidFill>
                <a:schemeClr val="tx2"/>
              </a:solidFill>
            </a:ln>
          </c:spPr>
          <c:marker>
            <c:symbol val="none"/>
          </c:marker>
          <c:cat>
            <c:strRef>
              <c:f>'Data Sheet 0'!$B$17:$B$98</c:f>
              <c:strCache>
                <c:ptCount val="82"/>
                <c:pt idx="0">
                  <c:v>Jul - Sep 1994</c:v>
                </c:pt>
                <c:pt idx="1">
                  <c:v>Oct - Dec 1994</c:v>
                </c:pt>
                <c:pt idx="2">
                  <c:v>Jan - Mar 1995</c:v>
                </c:pt>
                <c:pt idx="3">
                  <c:v>Apr - Jun 1995</c:v>
                </c:pt>
                <c:pt idx="4">
                  <c:v>Jul - Sep 1995</c:v>
                </c:pt>
                <c:pt idx="5">
                  <c:v>Oct - Dec 1995</c:v>
                </c:pt>
                <c:pt idx="6">
                  <c:v>Jan - Mar 1996</c:v>
                </c:pt>
                <c:pt idx="7">
                  <c:v>Apr - Jun 1996</c:v>
                </c:pt>
                <c:pt idx="8">
                  <c:v>Jul - Sep 1996</c:v>
                </c:pt>
                <c:pt idx="9">
                  <c:v>Oct - Dec 1996</c:v>
                </c:pt>
                <c:pt idx="10">
                  <c:v>Jan - Mar 1997</c:v>
                </c:pt>
                <c:pt idx="11">
                  <c:v>Apr - Jun 1997</c:v>
                </c:pt>
                <c:pt idx="12">
                  <c:v>Jul - Sep 1997</c:v>
                </c:pt>
                <c:pt idx="13">
                  <c:v>Oct - Dec 1997</c:v>
                </c:pt>
                <c:pt idx="14">
                  <c:v>Jan - Mar 1998</c:v>
                </c:pt>
                <c:pt idx="15">
                  <c:v>Apr - Jun 1998</c:v>
                </c:pt>
                <c:pt idx="16">
                  <c:v>Jul - Sep 1998</c:v>
                </c:pt>
                <c:pt idx="17">
                  <c:v>Oct - Dec 1998</c:v>
                </c:pt>
                <c:pt idx="18">
                  <c:v>Jan - Mar 1999</c:v>
                </c:pt>
                <c:pt idx="19">
                  <c:v>Apr - Jun 1999</c:v>
                </c:pt>
                <c:pt idx="20">
                  <c:v>Jul - Sep 1999</c:v>
                </c:pt>
                <c:pt idx="21">
                  <c:v>Oct - Dec 1999</c:v>
                </c:pt>
                <c:pt idx="22">
                  <c:v>Jan - Mar 2000</c:v>
                </c:pt>
                <c:pt idx="23">
                  <c:v>Apr - Jun 2000</c:v>
                </c:pt>
                <c:pt idx="24">
                  <c:v>Jul - Sep 2000</c:v>
                </c:pt>
                <c:pt idx="25">
                  <c:v>Oct - Dec 2000</c:v>
                </c:pt>
                <c:pt idx="26">
                  <c:v>Jan - Mar 2001</c:v>
                </c:pt>
                <c:pt idx="27">
                  <c:v>Apr - Jun 2001</c:v>
                </c:pt>
                <c:pt idx="28">
                  <c:v>Jul - Sep 2001</c:v>
                </c:pt>
                <c:pt idx="29">
                  <c:v>Oct - Dec 2001</c:v>
                </c:pt>
                <c:pt idx="30">
                  <c:v>Jan - Mar 2002</c:v>
                </c:pt>
                <c:pt idx="31">
                  <c:v>Apr - Jun 2002</c:v>
                </c:pt>
                <c:pt idx="32">
                  <c:v>Jul - Sep 2002</c:v>
                </c:pt>
                <c:pt idx="33">
                  <c:v>Oct - Dec 2002</c:v>
                </c:pt>
                <c:pt idx="34">
                  <c:v>Jan - Mar 2003</c:v>
                </c:pt>
                <c:pt idx="35">
                  <c:v>Apr - Jun 2003</c:v>
                </c:pt>
                <c:pt idx="36">
                  <c:v>Jul - Sep 2003</c:v>
                </c:pt>
                <c:pt idx="37">
                  <c:v>Oct - Dec 2003</c:v>
                </c:pt>
                <c:pt idx="38">
                  <c:v>Jan - Mar 2004</c:v>
                </c:pt>
                <c:pt idx="39">
                  <c:v>Apr - Jun 2004</c:v>
                </c:pt>
                <c:pt idx="40">
                  <c:v>Jul - Sep 2004</c:v>
                </c:pt>
                <c:pt idx="41">
                  <c:v>Oct - Dec 2004</c:v>
                </c:pt>
                <c:pt idx="42">
                  <c:v>Jan - Mar 2005</c:v>
                </c:pt>
                <c:pt idx="43">
                  <c:v>Apr - Jun 2005</c:v>
                </c:pt>
                <c:pt idx="44">
                  <c:v>Jul - Sep 2005</c:v>
                </c:pt>
                <c:pt idx="45">
                  <c:v>Oct - Dec 2005</c:v>
                </c:pt>
                <c:pt idx="46">
                  <c:v>Jan - Mar 2006</c:v>
                </c:pt>
                <c:pt idx="47">
                  <c:v>Apr - Jun 2006</c:v>
                </c:pt>
                <c:pt idx="48">
                  <c:v>Jul - Sep 2006</c:v>
                </c:pt>
                <c:pt idx="49">
                  <c:v>Oct - Dec 2006</c:v>
                </c:pt>
                <c:pt idx="50">
                  <c:v>Jan - Mar 2007</c:v>
                </c:pt>
                <c:pt idx="51">
                  <c:v>Apr - Jun 2007</c:v>
                </c:pt>
                <c:pt idx="52">
                  <c:v>Jul - Sep 2007</c:v>
                </c:pt>
                <c:pt idx="53">
                  <c:v>Oct - Dec 2007</c:v>
                </c:pt>
                <c:pt idx="54">
                  <c:v>Jan - Mar 2008</c:v>
                </c:pt>
                <c:pt idx="55">
                  <c:v>Apr - Jun 2008</c:v>
                </c:pt>
                <c:pt idx="56">
                  <c:v>Jul - Sep 2008</c:v>
                </c:pt>
                <c:pt idx="57">
                  <c:v>Oct - Dec 2008</c:v>
                </c:pt>
                <c:pt idx="58">
                  <c:v>Jan - Mar 2009</c:v>
                </c:pt>
                <c:pt idx="59">
                  <c:v>Apr - Jun 2009</c:v>
                </c:pt>
                <c:pt idx="60">
                  <c:v>Jul - Sep 2009</c:v>
                </c:pt>
                <c:pt idx="61">
                  <c:v>Oct - Dec 2009</c:v>
                </c:pt>
                <c:pt idx="62">
                  <c:v>Jan - Mar 2010</c:v>
                </c:pt>
                <c:pt idx="63">
                  <c:v>Apr - Jun 2010</c:v>
                </c:pt>
                <c:pt idx="64">
                  <c:v>Jul - Sep 2010</c:v>
                </c:pt>
                <c:pt idx="65">
                  <c:v>Oct - Dec 2010</c:v>
                </c:pt>
                <c:pt idx="66">
                  <c:v>Jan - Mar 2011</c:v>
                </c:pt>
                <c:pt idx="67">
                  <c:v>Apr - Jun 2011</c:v>
                </c:pt>
                <c:pt idx="68">
                  <c:v>Jul - Sep 2011</c:v>
                </c:pt>
                <c:pt idx="69">
                  <c:v>Oct - Dec 2011</c:v>
                </c:pt>
                <c:pt idx="70">
                  <c:v>Jan - Mar 2012</c:v>
                </c:pt>
                <c:pt idx="71">
                  <c:v>Apr - Jun 2012</c:v>
                </c:pt>
                <c:pt idx="72">
                  <c:v>Jul - Sep 2012</c:v>
                </c:pt>
                <c:pt idx="73">
                  <c:v>Oct - Dec 2012</c:v>
                </c:pt>
                <c:pt idx="74">
                  <c:v>Jan - Mar 2013</c:v>
                </c:pt>
                <c:pt idx="75">
                  <c:v>Apr - Jun 2013</c:v>
                </c:pt>
                <c:pt idx="76">
                  <c:v>Jul - Sep 2013</c:v>
                </c:pt>
                <c:pt idx="77">
                  <c:v>Oct - Dec 2013</c:v>
                </c:pt>
                <c:pt idx="78">
                  <c:v>Jan - Mar 2014</c:v>
                </c:pt>
                <c:pt idx="79">
                  <c:v>Apr - Jun 2014</c:v>
                </c:pt>
                <c:pt idx="80">
                  <c:v>Jul - Sep 2014</c:v>
                </c:pt>
                <c:pt idx="81">
                  <c:v>Oct - Dec 2014</c:v>
                </c:pt>
              </c:strCache>
            </c:strRef>
          </c:cat>
          <c:val>
            <c:numRef>
              <c:f>'Data Sheet 0'!$C$17:$C$98</c:f>
              <c:numCache>
                <c:formatCode>General</c:formatCode>
                <c:ptCount val="82"/>
                <c:pt idx="0">
                  <c:v>4961</c:v>
                </c:pt>
                <c:pt idx="1">
                  <c:v>4448</c:v>
                </c:pt>
                <c:pt idx="2">
                  <c:v>4565</c:v>
                </c:pt>
                <c:pt idx="3">
                  <c:v>4570</c:v>
                </c:pt>
                <c:pt idx="4">
                  <c:v>4976</c:v>
                </c:pt>
                <c:pt idx="5">
                  <c:v>5483</c:v>
                </c:pt>
                <c:pt idx="6">
                  <c:v>7417</c:v>
                </c:pt>
                <c:pt idx="7">
                  <c:v>8127</c:v>
                </c:pt>
                <c:pt idx="8">
                  <c:v>9162</c:v>
                </c:pt>
                <c:pt idx="9">
                  <c:v>9818</c:v>
                </c:pt>
                <c:pt idx="10">
                  <c:v>9960</c:v>
                </c:pt>
                <c:pt idx="11">
                  <c:v>10326</c:v>
                </c:pt>
                <c:pt idx="12">
                  <c:v>11508</c:v>
                </c:pt>
                <c:pt idx="13">
                  <c:v>12717</c:v>
                </c:pt>
                <c:pt idx="14">
                  <c:v>13228</c:v>
                </c:pt>
                <c:pt idx="15">
                  <c:v>13063</c:v>
                </c:pt>
                <c:pt idx="16">
                  <c:v>12673</c:v>
                </c:pt>
                <c:pt idx="17">
                  <c:v>12532</c:v>
                </c:pt>
                <c:pt idx="18">
                  <c:v>14615</c:v>
                </c:pt>
                <c:pt idx="19">
                  <c:v>23046</c:v>
                </c:pt>
                <c:pt idx="20">
                  <c:v>25914</c:v>
                </c:pt>
                <c:pt idx="21">
                  <c:v>29574</c:v>
                </c:pt>
                <c:pt idx="22">
                  <c:v>35760</c:v>
                </c:pt>
                <c:pt idx="23">
                  <c:v>37277</c:v>
                </c:pt>
                <c:pt idx="24">
                  <c:v>40972</c:v>
                </c:pt>
                <c:pt idx="25">
                  <c:v>43181</c:v>
                </c:pt>
                <c:pt idx="26">
                  <c:v>47534</c:v>
                </c:pt>
                <c:pt idx="27">
                  <c:v>51089</c:v>
                </c:pt>
                <c:pt idx="28">
                  <c:v>54430</c:v>
                </c:pt>
                <c:pt idx="29">
                  <c:v>56347</c:v>
                </c:pt>
                <c:pt idx="30">
                  <c:v>58039</c:v>
                </c:pt>
                <c:pt idx="31">
                  <c:v>61603</c:v>
                </c:pt>
                <c:pt idx="32">
                  <c:v>66558</c:v>
                </c:pt>
                <c:pt idx="33">
                  <c:v>69333</c:v>
                </c:pt>
                <c:pt idx="34">
                  <c:v>71724</c:v>
                </c:pt>
                <c:pt idx="35">
                  <c:v>74511</c:v>
                </c:pt>
                <c:pt idx="36">
                  <c:v>75656</c:v>
                </c:pt>
                <c:pt idx="37">
                  <c:v>78086</c:v>
                </c:pt>
                <c:pt idx="38">
                  <c:v>76110</c:v>
                </c:pt>
                <c:pt idx="39">
                  <c:v>75214</c:v>
                </c:pt>
                <c:pt idx="40">
                  <c:v>74282</c:v>
                </c:pt>
                <c:pt idx="41">
                  <c:v>72459</c:v>
                </c:pt>
                <c:pt idx="42">
                  <c:v>71935</c:v>
                </c:pt>
                <c:pt idx="43">
                  <c:v>70695</c:v>
                </c:pt>
                <c:pt idx="44">
                  <c:v>70496.000007099996</c:v>
                </c:pt>
                <c:pt idx="45">
                  <c:v>69858.000006999995</c:v>
                </c:pt>
                <c:pt idx="46">
                  <c:v>71806.000007199997</c:v>
                </c:pt>
                <c:pt idx="47">
                  <c:v>70927.000007099996</c:v>
                </c:pt>
                <c:pt idx="48">
                  <c:v>72438.000007199997</c:v>
                </c:pt>
                <c:pt idx="49">
                  <c:v>72368.000007199997</c:v>
                </c:pt>
                <c:pt idx="50">
                  <c:v>74090.000007399998</c:v>
                </c:pt>
                <c:pt idx="51">
                  <c:v>74211.000007399998</c:v>
                </c:pt>
                <c:pt idx="52">
                  <c:v>76350.0000076</c:v>
                </c:pt>
                <c:pt idx="53">
                  <c:v>75935.0000076</c:v>
                </c:pt>
                <c:pt idx="54">
                  <c:v>78248.000007900002</c:v>
                </c:pt>
                <c:pt idx="55">
                  <c:v>80801.000008100003</c:v>
                </c:pt>
                <c:pt idx="56">
                  <c:v>82848.000008300005</c:v>
                </c:pt>
                <c:pt idx="57">
                  <c:v>80374.000008100003</c:v>
                </c:pt>
                <c:pt idx="58">
                  <c:v>81450.000008200004</c:v>
                </c:pt>
                <c:pt idx="59">
                  <c:v>80930.000008100003</c:v>
                </c:pt>
                <c:pt idx="60">
                  <c:v>81000.000008100003</c:v>
                </c:pt>
                <c:pt idx="61">
                  <c:v>79869.000008000003</c:v>
                </c:pt>
                <c:pt idx="62">
                  <c:v>82545.000008300005</c:v>
                </c:pt>
                <c:pt idx="63">
                  <c:v>82789.000008300005</c:v>
                </c:pt>
                <c:pt idx="64">
                  <c:v>84773.000008500007</c:v>
                </c:pt>
                <c:pt idx="65">
                  <c:v>84224.000008500007</c:v>
                </c:pt>
                <c:pt idx="66">
                  <c:v>85868.000008600007</c:v>
                </c:pt>
                <c:pt idx="67">
                  <c:v>83597.000008400006</c:v>
                </c:pt>
                <c:pt idx="68">
                  <c:v>83991.000008400006</c:v>
                </c:pt>
                <c:pt idx="69">
                  <c:v>81868.000008200004</c:v>
                </c:pt>
                <c:pt idx="70">
                  <c:v>84270.000008500007</c:v>
                </c:pt>
                <c:pt idx="71">
                  <c:v>96158.000009700001</c:v>
                </c:pt>
                <c:pt idx="72">
                  <c:v>88714.000008899995</c:v>
                </c:pt>
                <c:pt idx="73">
                  <c:v>80835.000008100003</c:v>
                </c:pt>
                <c:pt idx="74">
                  <c:v>74349.000007499999</c:v>
                </c:pt>
                <c:pt idx="75">
                  <c:v>64594.103484200001</c:v>
                </c:pt>
                <c:pt idx="76">
                  <c:v>66545.154699399995</c:v>
                </c:pt>
                <c:pt idx="77">
                  <c:v>60101.325993899998</c:v>
                </c:pt>
                <c:pt idx="78">
                  <c:v>56162.382769900003</c:v>
                </c:pt>
                <c:pt idx="79">
                  <c:v>49467.358760700001</c:v>
                </c:pt>
                <c:pt idx="80">
                  <c:v>46847.854570000003</c:v>
                </c:pt>
                <c:pt idx="81">
                  <c:v>41286.959673500001</c:v>
                </c:pt>
              </c:numCache>
            </c:numRef>
          </c:val>
          <c:smooth val="0"/>
        </c:ser>
        <c:ser>
          <c:idx val="1"/>
          <c:order val="1"/>
          <c:tx>
            <c:strRef>
              <c:f>'Data Sheet 0'!$D$16</c:f>
              <c:strCache>
                <c:ptCount val="1"/>
                <c:pt idx="0">
                  <c:v>Victoria</c:v>
                </c:pt>
              </c:strCache>
            </c:strRef>
          </c:tx>
          <c:marker>
            <c:symbol val="none"/>
          </c:marker>
          <c:cat>
            <c:strRef>
              <c:f>'Data Sheet 0'!$B$17:$B$98</c:f>
              <c:strCache>
                <c:ptCount val="82"/>
                <c:pt idx="0">
                  <c:v>Jul - Sep 1994</c:v>
                </c:pt>
                <c:pt idx="1">
                  <c:v>Oct - Dec 1994</c:v>
                </c:pt>
                <c:pt idx="2">
                  <c:v>Jan - Mar 1995</c:v>
                </c:pt>
                <c:pt idx="3">
                  <c:v>Apr - Jun 1995</c:v>
                </c:pt>
                <c:pt idx="4">
                  <c:v>Jul - Sep 1995</c:v>
                </c:pt>
                <c:pt idx="5">
                  <c:v>Oct - Dec 1995</c:v>
                </c:pt>
                <c:pt idx="6">
                  <c:v>Jan - Mar 1996</c:v>
                </c:pt>
                <c:pt idx="7">
                  <c:v>Apr - Jun 1996</c:v>
                </c:pt>
                <c:pt idx="8">
                  <c:v>Jul - Sep 1996</c:v>
                </c:pt>
                <c:pt idx="9">
                  <c:v>Oct - Dec 1996</c:v>
                </c:pt>
                <c:pt idx="10">
                  <c:v>Jan - Mar 1997</c:v>
                </c:pt>
                <c:pt idx="11">
                  <c:v>Apr - Jun 1997</c:v>
                </c:pt>
                <c:pt idx="12">
                  <c:v>Jul - Sep 1997</c:v>
                </c:pt>
                <c:pt idx="13">
                  <c:v>Oct - Dec 1997</c:v>
                </c:pt>
                <c:pt idx="14">
                  <c:v>Jan - Mar 1998</c:v>
                </c:pt>
                <c:pt idx="15">
                  <c:v>Apr - Jun 1998</c:v>
                </c:pt>
                <c:pt idx="16">
                  <c:v>Jul - Sep 1998</c:v>
                </c:pt>
                <c:pt idx="17">
                  <c:v>Oct - Dec 1998</c:v>
                </c:pt>
                <c:pt idx="18">
                  <c:v>Jan - Mar 1999</c:v>
                </c:pt>
                <c:pt idx="19">
                  <c:v>Apr - Jun 1999</c:v>
                </c:pt>
                <c:pt idx="20">
                  <c:v>Jul - Sep 1999</c:v>
                </c:pt>
                <c:pt idx="21">
                  <c:v>Oct - Dec 1999</c:v>
                </c:pt>
                <c:pt idx="22">
                  <c:v>Jan - Mar 2000</c:v>
                </c:pt>
                <c:pt idx="23">
                  <c:v>Apr - Jun 2000</c:v>
                </c:pt>
                <c:pt idx="24">
                  <c:v>Jul - Sep 2000</c:v>
                </c:pt>
                <c:pt idx="25">
                  <c:v>Oct - Dec 2000</c:v>
                </c:pt>
                <c:pt idx="26">
                  <c:v>Jan - Mar 2001</c:v>
                </c:pt>
                <c:pt idx="27">
                  <c:v>Apr - Jun 2001</c:v>
                </c:pt>
                <c:pt idx="28">
                  <c:v>Jul - Sep 2001</c:v>
                </c:pt>
                <c:pt idx="29">
                  <c:v>Oct - Dec 2001</c:v>
                </c:pt>
                <c:pt idx="30">
                  <c:v>Jan - Mar 2002</c:v>
                </c:pt>
                <c:pt idx="31">
                  <c:v>Apr - Jun 2002</c:v>
                </c:pt>
                <c:pt idx="32">
                  <c:v>Jul - Sep 2002</c:v>
                </c:pt>
                <c:pt idx="33">
                  <c:v>Oct - Dec 2002</c:v>
                </c:pt>
                <c:pt idx="34">
                  <c:v>Jan - Mar 2003</c:v>
                </c:pt>
                <c:pt idx="35">
                  <c:v>Apr - Jun 2003</c:v>
                </c:pt>
                <c:pt idx="36">
                  <c:v>Jul - Sep 2003</c:v>
                </c:pt>
                <c:pt idx="37">
                  <c:v>Oct - Dec 2003</c:v>
                </c:pt>
                <c:pt idx="38">
                  <c:v>Jan - Mar 2004</c:v>
                </c:pt>
                <c:pt idx="39">
                  <c:v>Apr - Jun 2004</c:v>
                </c:pt>
                <c:pt idx="40">
                  <c:v>Jul - Sep 2004</c:v>
                </c:pt>
                <c:pt idx="41">
                  <c:v>Oct - Dec 2004</c:v>
                </c:pt>
                <c:pt idx="42">
                  <c:v>Jan - Mar 2005</c:v>
                </c:pt>
                <c:pt idx="43">
                  <c:v>Apr - Jun 2005</c:v>
                </c:pt>
                <c:pt idx="44">
                  <c:v>Jul - Sep 2005</c:v>
                </c:pt>
                <c:pt idx="45">
                  <c:v>Oct - Dec 2005</c:v>
                </c:pt>
                <c:pt idx="46">
                  <c:v>Jan - Mar 2006</c:v>
                </c:pt>
                <c:pt idx="47">
                  <c:v>Apr - Jun 2006</c:v>
                </c:pt>
                <c:pt idx="48">
                  <c:v>Jul - Sep 2006</c:v>
                </c:pt>
                <c:pt idx="49">
                  <c:v>Oct - Dec 2006</c:v>
                </c:pt>
                <c:pt idx="50">
                  <c:v>Jan - Mar 2007</c:v>
                </c:pt>
                <c:pt idx="51">
                  <c:v>Apr - Jun 2007</c:v>
                </c:pt>
                <c:pt idx="52">
                  <c:v>Jul - Sep 2007</c:v>
                </c:pt>
                <c:pt idx="53">
                  <c:v>Oct - Dec 2007</c:v>
                </c:pt>
                <c:pt idx="54">
                  <c:v>Jan - Mar 2008</c:v>
                </c:pt>
                <c:pt idx="55">
                  <c:v>Apr - Jun 2008</c:v>
                </c:pt>
                <c:pt idx="56">
                  <c:v>Jul - Sep 2008</c:v>
                </c:pt>
                <c:pt idx="57">
                  <c:v>Oct - Dec 2008</c:v>
                </c:pt>
                <c:pt idx="58">
                  <c:v>Jan - Mar 2009</c:v>
                </c:pt>
                <c:pt idx="59">
                  <c:v>Apr - Jun 2009</c:v>
                </c:pt>
                <c:pt idx="60">
                  <c:v>Jul - Sep 2009</c:v>
                </c:pt>
                <c:pt idx="61">
                  <c:v>Oct - Dec 2009</c:v>
                </c:pt>
                <c:pt idx="62">
                  <c:v>Jan - Mar 2010</c:v>
                </c:pt>
                <c:pt idx="63">
                  <c:v>Apr - Jun 2010</c:v>
                </c:pt>
                <c:pt idx="64">
                  <c:v>Jul - Sep 2010</c:v>
                </c:pt>
                <c:pt idx="65">
                  <c:v>Oct - Dec 2010</c:v>
                </c:pt>
                <c:pt idx="66">
                  <c:v>Jan - Mar 2011</c:v>
                </c:pt>
                <c:pt idx="67">
                  <c:v>Apr - Jun 2011</c:v>
                </c:pt>
                <c:pt idx="68">
                  <c:v>Jul - Sep 2011</c:v>
                </c:pt>
                <c:pt idx="69">
                  <c:v>Oct - Dec 2011</c:v>
                </c:pt>
                <c:pt idx="70">
                  <c:v>Jan - Mar 2012</c:v>
                </c:pt>
                <c:pt idx="71">
                  <c:v>Apr - Jun 2012</c:v>
                </c:pt>
                <c:pt idx="72">
                  <c:v>Jul - Sep 2012</c:v>
                </c:pt>
                <c:pt idx="73">
                  <c:v>Oct - Dec 2012</c:v>
                </c:pt>
                <c:pt idx="74">
                  <c:v>Jan - Mar 2013</c:v>
                </c:pt>
                <c:pt idx="75">
                  <c:v>Apr - Jun 2013</c:v>
                </c:pt>
                <c:pt idx="76">
                  <c:v>Jul - Sep 2013</c:v>
                </c:pt>
                <c:pt idx="77">
                  <c:v>Oct - Dec 2013</c:v>
                </c:pt>
                <c:pt idx="78">
                  <c:v>Jan - Mar 2014</c:v>
                </c:pt>
                <c:pt idx="79">
                  <c:v>Apr - Jun 2014</c:v>
                </c:pt>
                <c:pt idx="80">
                  <c:v>Jul - Sep 2014</c:v>
                </c:pt>
                <c:pt idx="81">
                  <c:v>Oct - Dec 2014</c:v>
                </c:pt>
              </c:strCache>
            </c:strRef>
          </c:cat>
          <c:val>
            <c:numRef>
              <c:f>'Data Sheet 0'!$D$17:$D$98</c:f>
              <c:numCache>
                <c:formatCode>General</c:formatCode>
                <c:ptCount val="82"/>
                <c:pt idx="0">
                  <c:v>1917</c:v>
                </c:pt>
                <c:pt idx="1">
                  <c:v>1808</c:v>
                </c:pt>
                <c:pt idx="2">
                  <c:v>2143</c:v>
                </c:pt>
                <c:pt idx="3">
                  <c:v>2695</c:v>
                </c:pt>
                <c:pt idx="4">
                  <c:v>3723</c:v>
                </c:pt>
                <c:pt idx="5">
                  <c:v>4488</c:v>
                </c:pt>
                <c:pt idx="6">
                  <c:v>6077</c:v>
                </c:pt>
                <c:pt idx="7">
                  <c:v>7328</c:v>
                </c:pt>
                <c:pt idx="8">
                  <c:v>8727</c:v>
                </c:pt>
                <c:pt idx="9">
                  <c:v>10051</c:v>
                </c:pt>
                <c:pt idx="10">
                  <c:v>10625</c:v>
                </c:pt>
                <c:pt idx="11">
                  <c:v>11375</c:v>
                </c:pt>
                <c:pt idx="12">
                  <c:v>12730</c:v>
                </c:pt>
                <c:pt idx="13">
                  <c:v>13446</c:v>
                </c:pt>
                <c:pt idx="14">
                  <c:v>15000</c:v>
                </c:pt>
                <c:pt idx="15">
                  <c:v>15663</c:v>
                </c:pt>
                <c:pt idx="16">
                  <c:v>17235</c:v>
                </c:pt>
                <c:pt idx="17">
                  <c:v>24879</c:v>
                </c:pt>
                <c:pt idx="18">
                  <c:v>28518</c:v>
                </c:pt>
                <c:pt idx="19">
                  <c:v>34701</c:v>
                </c:pt>
                <c:pt idx="20">
                  <c:v>37084</c:v>
                </c:pt>
                <c:pt idx="21">
                  <c:v>37492</c:v>
                </c:pt>
                <c:pt idx="22">
                  <c:v>39608</c:v>
                </c:pt>
                <c:pt idx="23">
                  <c:v>40814</c:v>
                </c:pt>
                <c:pt idx="24">
                  <c:v>45633</c:v>
                </c:pt>
                <c:pt idx="25">
                  <c:v>49479</c:v>
                </c:pt>
                <c:pt idx="26">
                  <c:v>54249</c:v>
                </c:pt>
                <c:pt idx="27">
                  <c:v>58812</c:v>
                </c:pt>
                <c:pt idx="28">
                  <c:v>63989</c:v>
                </c:pt>
                <c:pt idx="29">
                  <c:v>65280</c:v>
                </c:pt>
                <c:pt idx="30">
                  <c:v>69360</c:v>
                </c:pt>
                <c:pt idx="31">
                  <c:v>74406</c:v>
                </c:pt>
                <c:pt idx="32">
                  <c:v>77511</c:v>
                </c:pt>
                <c:pt idx="33">
                  <c:v>77668</c:v>
                </c:pt>
                <c:pt idx="34">
                  <c:v>82533</c:v>
                </c:pt>
                <c:pt idx="35">
                  <c:v>93247</c:v>
                </c:pt>
                <c:pt idx="36">
                  <c:v>91927</c:v>
                </c:pt>
                <c:pt idx="37">
                  <c:v>84732</c:v>
                </c:pt>
                <c:pt idx="38">
                  <c:v>83253</c:v>
                </c:pt>
                <c:pt idx="39">
                  <c:v>80030</c:v>
                </c:pt>
                <c:pt idx="40">
                  <c:v>77968</c:v>
                </c:pt>
                <c:pt idx="41">
                  <c:v>74558</c:v>
                </c:pt>
                <c:pt idx="42">
                  <c:v>73410</c:v>
                </c:pt>
                <c:pt idx="43">
                  <c:v>71109</c:v>
                </c:pt>
                <c:pt idx="44">
                  <c:v>70637.000007099996</c:v>
                </c:pt>
                <c:pt idx="45">
                  <c:v>67229.000006699993</c:v>
                </c:pt>
                <c:pt idx="46">
                  <c:v>67162.000006699993</c:v>
                </c:pt>
                <c:pt idx="47">
                  <c:v>64949.000006499999</c:v>
                </c:pt>
                <c:pt idx="48">
                  <c:v>63844.000006399998</c:v>
                </c:pt>
                <c:pt idx="49">
                  <c:v>59448.000006000002</c:v>
                </c:pt>
                <c:pt idx="50">
                  <c:v>59778.000006000002</c:v>
                </c:pt>
                <c:pt idx="51">
                  <c:v>59553.000006000002</c:v>
                </c:pt>
                <c:pt idx="52">
                  <c:v>58461.000005900001</c:v>
                </c:pt>
                <c:pt idx="53">
                  <c:v>53748.000005399997</c:v>
                </c:pt>
                <c:pt idx="54">
                  <c:v>55165.000005499998</c:v>
                </c:pt>
                <c:pt idx="55">
                  <c:v>55974.000005599999</c:v>
                </c:pt>
                <c:pt idx="56">
                  <c:v>56054.000005599999</c:v>
                </c:pt>
                <c:pt idx="57">
                  <c:v>52783.000005299997</c:v>
                </c:pt>
                <c:pt idx="58">
                  <c:v>54025.000005399997</c:v>
                </c:pt>
                <c:pt idx="59">
                  <c:v>54198.000005399997</c:v>
                </c:pt>
                <c:pt idx="60">
                  <c:v>54406.000005499998</c:v>
                </c:pt>
                <c:pt idx="61">
                  <c:v>51111.000005100002</c:v>
                </c:pt>
                <c:pt idx="62">
                  <c:v>52364.000005200003</c:v>
                </c:pt>
                <c:pt idx="63">
                  <c:v>53665.000005399997</c:v>
                </c:pt>
                <c:pt idx="64">
                  <c:v>56357.0000057</c:v>
                </c:pt>
                <c:pt idx="65">
                  <c:v>54508.000005499998</c:v>
                </c:pt>
                <c:pt idx="66">
                  <c:v>60006.000006000002</c:v>
                </c:pt>
                <c:pt idx="67">
                  <c:v>64211.000006499999</c:v>
                </c:pt>
                <c:pt idx="68">
                  <c:v>65653.000006600007</c:v>
                </c:pt>
                <c:pt idx="69">
                  <c:v>63670.000006399998</c:v>
                </c:pt>
                <c:pt idx="70">
                  <c:v>67706.000006799994</c:v>
                </c:pt>
                <c:pt idx="71">
                  <c:v>82378.000008300005</c:v>
                </c:pt>
                <c:pt idx="72">
                  <c:v>71962.000007199997</c:v>
                </c:pt>
                <c:pt idx="73">
                  <c:v>55892.000005599999</c:v>
                </c:pt>
                <c:pt idx="74">
                  <c:v>51143.000005100002</c:v>
                </c:pt>
                <c:pt idx="75">
                  <c:v>43354.6196547</c:v>
                </c:pt>
                <c:pt idx="76">
                  <c:v>45719.421060499997</c:v>
                </c:pt>
                <c:pt idx="77">
                  <c:v>39040.056053100001</c:v>
                </c:pt>
                <c:pt idx="78">
                  <c:v>38526.1037086</c:v>
                </c:pt>
                <c:pt idx="79">
                  <c:v>35147.841949499998</c:v>
                </c:pt>
                <c:pt idx="80">
                  <c:v>32556.376585099999</c:v>
                </c:pt>
                <c:pt idx="81">
                  <c:v>27340.937914400001</c:v>
                </c:pt>
              </c:numCache>
            </c:numRef>
          </c:val>
          <c:smooth val="0"/>
        </c:ser>
        <c:ser>
          <c:idx val="2"/>
          <c:order val="2"/>
          <c:tx>
            <c:strRef>
              <c:f>'Data Sheet 0'!$E$16</c:f>
              <c:strCache>
                <c:ptCount val="1"/>
                <c:pt idx="0">
                  <c:v>Queensland</c:v>
                </c:pt>
              </c:strCache>
            </c:strRef>
          </c:tx>
          <c:spPr>
            <a:ln>
              <a:solidFill>
                <a:schemeClr val="accent2">
                  <a:lumMod val="60000"/>
                  <a:lumOff val="40000"/>
                </a:schemeClr>
              </a:solidFill>
            </a:ln>
          </c:spPr>
          <c:marker>
            <c:symbol val="none"/>
          </c:marker>
          <c:cat>
            <c:strRef>
              <c:f>'Data Sheet 0'!$B$17:$B$98</c:f>
              <c:strCache>
                <c:ptCount val="82"/>
                <c:pt idx="0">
                  <c:v>Jul - Sep 1994</c:v>
                </c:pt>
                <c:pt idx="1">
                  <c:v>Oct - Dec 1994</c:v>
                </c:pt>
                <c:pt idx="2">
                  <c:v>Jan - Mar 1995</c:v>
                </c:pt>
                <c:pt idx="3">
                  <c:v>Apr - Jun 1995</c:v>
                </c:pt>
                <c:pt idx="4">
                  <c:v>Jul - Sep 1995</c:v>
                </c:pt>
                <c:pt idx="5">
                  <c:v>Oct - Dec 1995</c:v>
                </c:pt>
                <c:pt idx="6">
                  <c:v>Jan - Mar 1996</c:v>
                </c:pt>
                <c:pt idx="7">
                  <c:v>Apr - Jun 1996</c:v>
                </c:pt>
                <c:pt idx="8">
                  <c:v>Jul - Sep 1996</c:v>
                </c:pt>
                <c:pt idx="9">
                  <c:v>Oct - Dec 1996</c:v>
                </c:pt>
                <c:pt idx="10">
                  <c:v>Jan - Mar 1997</c:v>
                </c:pt>
                <c:pt idx="11">
                  <c:v>Apr - Jun 1997</c:v>
                </c:pt>
                <c:pt idx="12">
                  <c:v>Jul - Sep 1997</c:v>
                </c:pt>
                <c:pt idx="13">
                  <c:v>Oct - Dec 1997</c:v>
                </c:pt>
                <c:pt idx="14">
                  <c:v>Jan - Mar 1998</c:v>
                </c:pt>
                <c:pt idx="15">
                  <c:v>Apr - Jun 1998</c:v>
                </c:pt>
                <c:pt idx="16">
                  <c:v>Jul - Sep 1998</c:v>
                </c:pt>
                <c:pt idx="17">
                  <c:v>Oct - Dec 1998</c:v>
                </c:pt>
                <c:pt idx="18">
                  <c:v>Jan - Mar 1999</c:v>
                </c:pt>
                <c:pt idx="19">
                  <c:v>Apr - Jun 1999</c:v>
                </c:pt>
                <c:pt idx="20">
                  <c:v>Jul - Sep 1999</c:v>
                </c:pt>
                <c:pt idx="21">
                  <c:v>Oct - Dec 1999</c:v>
                </c:pt>
                <c:pt idx="22">
                  <c:v>Jan - Mar 2000</c:v>
                </c:pt>
                <c:pt idx="23">
                  <c:v>Apr - Jun 2000</c:v>
                </c:pt>
                <c:pt idx="24">
                  <c:v>Jul - Sep 2000</c:v>
                </c:pt>
                <c:pt idx="25">
                  <c:v>Oct - Dec 2000</c:v>
                </c:pt>
                <c:pt idx="26">
                  <c:v>Jan - Mar 2001</c:v>
                </c:pt>
                <c:pt idx="27">
                  <c:v>Apr - Jun 2001</c:v>
                </c:pt>
                <c:pt idx="28">
                  <c:v>Jul - Sep 2001</c:v>
                </c:pt>
                <c:pt idx="29">
                  <c:v>Oct - Dec 2001</c:v>
                </c:pt>
                <c:pt idx="30">
                  <c:v>Jan - Mar 2002</c:v>
                </c:pt>
                <c:pt idx="31">
                  <c:v>Apr - Jun 2002</c:v>
                </c:pt>
                <c:pt idx="32">
                  <c:v>Jul - Sep 2002</c:v>
                </c:pt>
                <c:pt idx="33">
                  <c:v>Oct - Dec 2002</c:v>
                </c:pt>
                <c:pt idx="34">
                  <c:v>Jan - Mar 2003</c:v>
                </c:pt>
                <c:pt idx="35">
                  <c:v>Apr - Jun 2003</c:v>
                </c:pt>
                <c:pt idx="36">
                  <c:v>Jul - Sep 2003</c:v>
                </c:pt>
                <c:pt idx="37">
                  <c:v>Oct - Dec 2003</c:v>
                </c:pt>
                <c:pt idx="38">
                  <c:v>Jan - Mar 2004</c:v>
                </c:pt>
                <c:pt idx="39">
                  <c:v>Apr - Jun 2004</c:v>
                </c:pt>
                <c:pt idx="40">
                  <c:v>Jul - Sep 2004</c:v>
                </c:pt>
                <c:pt idx="41">
                  <c:v>Oct - Dec 2004</c:v>
                </c:pt>
                <c:pt idx="42">
                  <c:v>Jan - Mar 2005</c:v>
                </c:pt>
                <c:pt idx="43">
                  <c:v>Apr - Jun 2005</c:v>
                </c:pt>
                <c:pt idx="44">
                  <c:v>Jul - Sep 2005</c:v>
                </c:pt>
                <c:pt idx="45">
                  <c:v>Oct - Dec 2005</c:v>
                </c:pt>
                <c:pt idx="46">
                  <c:v>Jan - Mar 2006</c:v>
                </c:pt>
                <c:pt idx="47">
                  <c:v>Apr - Jun 2006</c:v>
                </c:pt>
                <c:pt idx="48">
                  <c:v>Jul - Sep 2006</c:v>
                </c:pt>
                <c:pt idx="49">
                  <c:v>Oct - Dec 2006</c:v>
                </c:pt>
                <c:pt idx="50">
                  <c:v>Jan - Mar 2007</c:v>
                </c:pt>
                <c:pt idx="51">
                  <c:v>Apr - Jun 2007</c:v>
                </c:pt>
                <c:pt idx="52">
                  <c:v>Jul - Sep 2007</c:v>
                </c:pt>
                <c:pt idx="53">
                  <c:v>Oct - Dec 2007</c:v>
                </c:pt>
                <c:pt idx="54">
                  <c:v>Jan - Mar 2008</c:v>
                </c:pt>
                <c:pt idx="55">
                  <c:v>Apr - Jun 2008</c:v>
                </c:pt>
                <c:pt idx="56">
                  <c:v>Jul - Sep 2008</c:v>
                </c:pt>
                <c:pt idx="57">
                  <c:v>Oct - Dec 2008</c:v>
                </c:pt>
                <c:pt idx="58">
                  <c:v>Jan - Mar 2009</c:v>
                </c:pt>
                <c:pt idx="59">
                  <c:v>Apr - Jun 2009</c:v>
                </c:pt>
                <c:pt idx="60">
                  <c:v>Jul - Sep 2009</c:v>
                </c:pt>
                <c:pt idx="61">
                  <c:v>Oct - Dec 2009</c:v>
                </c:pt>
                <c:pt idx="62">
                  <c:v>Jan - Mar 2010</c:v>
                </c:pt>
                <c:pt idx="63">
                  <c:v>Apr - Jun 2010</c:v>
                </c:pt>
                <c:pt idx="64">
                  <c:v>Jul - Sep 2010</c:v>
                </c:pt>
                <c:pt idx="65">
                  <c:v>Oct - Dec 2010</c:v>
                </c:pt>
                <c:pt idx="66">
                  <c:v>Jan - Mar 2011</c:v>
                </c:pt>
                <c:pt idx="67">
                  <c:v>Apr - Jun 2011</c:v>
                </c:pt>
                <c:pt idx="68">
                  <c:v>Jul - Sep 2011</c:v>
                </c:pt>
                <c:pt idx="69">
                  <c:v>Oct - Dec 2011</c:v>
                </c:pt>
                <c:pt idx="70">
                  <c:v>Jan - Mar 2012</c:v>
                </c:pt>
                <c:pt idx="71">
                  <c:v>Apr - Jun 2012</c:v>
                </c:pt>
                <c:pt idx="72">
                  <c:v>Jul - Sep 2012</c:v>
                </c:pt>
                <c:pt idx="73">
                  <c:v>Oct - Dec 2012</c:v>
                </c:pt>
                <c:pt idx="74">
                  <c:v>Jan - Mar 2013</c:v>
                </c:pt>
                <c:pt idx="75">
                  <c:v>Apr - Jun 2013</c:v>
                </c:pt>
                <c:pt idx="76">
                  <c:v>Jul - Sep 2013</c:v>
                </c:pt>
                <c:pt idx="77">
                  <c:v>Oct - Dec 2013</c:v>
                </c:pt>
                <c:pt idx="78">
                  <c:v>Jan - Mar 2014</c:v>
                </c:pt>
                <c:pt idx="79">
                  <c:v>Apr - Jun 2014</c:v>
                </c:pt>
                <c:pt idx="80">
                  <c:v>Jul - Sep 2014</c:v>
                </c:pt>
                <c:pt idx="81">
                  <c:v>Oct - Dec 2014</c:v>
                </c:pt>
              </c:strCache>
            </c:strRef>
          </c:cat>
          <c:val>
            <c:numRef>
              <c:f>'Data Sheet 0'!$E$17:$E$98</c:f>
              <c:numCache>
                <c:formatCode>General</c:formatCode>
                <c:ptCount val="82"/>
                <c:pt idx="0">
                  <c:v>3885</c:v>
                </c:pt>
                <c:pt idx="1">
                  <c:v>3789</c:v>
                </c:pt>
                <c:pt idx="2">
                  <c:v>4044</c:v>
                </c:pt>
                <c:pt idx="3">
                  <c:v>4368</c:v>
                </c:pt>
                <c:pt idx="4">
                  <c:v>5025</c:v>
                </c:pt>
                <c:pt idx="5">
                  <c:v>5720</c:v>
                </c:pt>
                <c:pt idx="6">
                  <c:v>7399</c:v>
                </c:pt>
                <c:pt idx="7">
                  <c:v>8645</c:v>
                </c:pt>
                <c:pt idx="8">
                  <c:v>9609</c:v>
                </c:pt>
                <c:pt idx="9">
                  <c:v>10380</c:v>
                </c:pt>
                <c:pt idx="10">
                  <c:v>11009</c:v>
                </c:pt>
                <c:pt idx="11">
                  <c:v>13512</c:v>
                </c:pt>
                <c:pt idx="12">
                  <c:v>17040</c:v>
                </c:pt>
                <c:pt idx="13">
                  <c:v>21792</c:v>
                </c:pt>
                <c:pt idx="14">
                  <c:v>22912</c:v>
                </c:pt>
                <c:pt idx="15">
                  <c:v>22440</c:v>
                </c:pt>
                <c:pt idx="16">
                  <c:v>24138</c:v>
                </c:pt>
                <c:pt idx="17">
                  <c:v>28602</c:v>
                </c:pt>
                <c:pt idx="18">
                  <c:v>29204</c:v>
                </c:pt>
                <c:pt idx="19">
                  <c:v>29817</c:v>
                </c:pt>
                <c:pt idx="20">
                  <c:v>27267</c:v>
                </c:pt>
                <c:pt idx="21">
                  <c:v>22382</c:v>
                </c:pt>
                <c:pt idx="22">
                  <c:v>22564</c:v>
                </c:pt>
                <c:pt idx="23">
                  <c:v>22790</c:v>
                </c:pt>
                <c:pt idx="24">
                  <c:v>23976</c:v>
                </c:pt>
                <c:pt idx="25">
                  <c:v>23020</c:v>
                </c:pt>
                <c:pt idx="26">
                  <c:v>25271</c:v>
                </c:pt>
                <c:pt idx="27">
                  <c:v>27826</c:v>
                </c:pt>
                <c:pt idx="28">
                  <c:v>29457</c:v>
                </c:pt>
                <c:pt idx="29">
                  <c:v>28391</c:v>
                </c:pt>
                <c:pt idx="30">
                  <c:v>31561</c:v>
                </c:pt>
                <c:pt idx="31">
                  <c:v>34191</c:v>
                </c:pt>
                <c:pt idx="32">
                  <c:v>34897</c:v>
                </c:pt>
                <c:pt idx="33">
                  <c:v>34255</c:v>
                </c:pt>
                <c:pt idx="34">
                  <c:v>38342</c:v>
                </c:pt>
                <c:pt idx="35">
                  <c:v>40711</c:v>
                </c:pt>
                <c:pt idx="36">
                  <c:v>40568</c:v>
                </c:pt>
                <c:pt idx="37">
                  <c:v>37143</c:v>
                </c:pt>
                <c:pt idx="38">
                  <c:v>38603</c:v>
                </c:pt>
                <c:pt idx="39">
                  <c:v>38751</c:v>
                </c:pt>
                <c:pt idx="40">
                  <c:v>38836</c:v>
                </c:pt>
                <c:pt idx="41">
                  <c:v>35334</c:v>
                </c:pt>
                <c:pt idx="42">
                  <c:v>37340</c:v>
                </c:pt>
                <c:pt idx="43">
                  <c:v>38231</c:v>
                </c:pt>
                <c:pt idx="44">
                  <c:v>37896.0000038</c:v>
                </c:pt>
                <c:pt idx="45">
                  <c:v>34896.000003499998</c:v>
                </c:pt>
                <c:pt idx="46">
                  <c:v>37250.000003699999</c:v>
                </c:pt>
                <c:pt idx="47">
                  <c:v>38321.0000038</c:v>
                </c:pt>
                <c:pt idx="48">
                  <c:v>39177.000003900001</c:v>
                </c:pt>
                <c:pt idx="49">
                  <c:v>36381.000003599998</c:v>
                </c:pt>
                <c:pt idx="50">
                  <c:v>39229.000003900001</c:v>
                </c:pt>
                <c:pt idx="51">
                  <c:v>40792.000004100002</c:v>
                </c:pt>
                <c:pt idx="52">
                  <c:v>41789.000004200003</c:v>
                </c:pt>
                <c:pt idx="53">
                  <c:v>38693.000003900001</c:v>
                </c:pt>
                <c:pt idx="54">
                  <c:v>40993.000004100002</c:v>
                </c:pt>
                <c:pt idx="55">
                  <c:v>43227.000004300004</c:v>
                </c:pt>
                <c:pt idx="56">
                  <c:v>43128.000004300004</c:v>
                </c:pt>
                <c:pt idx="57">
                  <c:v>39099.000003900001</c:v>
                </c:pt>
                <c:pt idx="58">
                  <c:v>40939.000004100002</c:v>
                </c:pt>
                <c:pt idx="59">
                  <c:v>41446.000004100002</c:v>
                </c:pt>
                <c:pt idx="60">
                  <c:v>42047.000004200003</c:v>
                </c:pt>
                <c:pt idx="61">
                  <c:v>39739.000003900001</c:v>
                </c:pt>
                <c:pt idx="62">
                  <c:v>42897.000004300004</c:v>
                </c:pt>
                <c:pt idx="63">
                  <c:v>44808.000004499998</c:v>
                </c:pt>
                <c:pt idx="64">
                  <c:v>46498.000004599999</c:v>
                </c:pt>
                <c:pt idx="65">
                  <c:v>44566.000004399997</c:v>
                </c:pt>
                <c:pt idx="66">
                  <c:v>46731.000004699999</c:v>
                </c:pt>
                <c:pt idx="67">
                  <c:v>48373.0000048</c:v>
                </c:pt>
                <c:pt idx="68">
                  <c:v>48494.0000048</c:v>
                </c:pt>
                <c:pt idx="69">
                  <c:v>45730.000004599999</c:v>
                </c:pt>
                <c:pt idx="70">
                  <c:v>49614.000005000002</c:v>
                </c:pt>
                <c:pt idx="71">
                  <c:v>59239.000005900001</c:v>
                </c:pt>
                <c:pt idx="72">
                  <c:v>55227.000005499998</c:v>
                </c:pt>
                <c:pt idx="73">
                  <c:v>48994.000004900001</c:v>
                </c:pt>
                <c:pt idx="74">
                  <c:v>46316.000004599999</c:v>
                </c:pt>
                <c:pt idx="75">
                  <c:v>39328.6019246</c:v>
                </c:pt>
                <c:pt idx="76">
                  <c:v>40175.834409800002</c:v>
                </c:pt>
                <c:pt idx="77">
                  <c:v>35577.876246</c:v>
                </c:pt>
                <c:pt idx="78">
                  <c:v>34243.959424799999</c:v>
                </c:pt>
                <c:pt idx="79">
                  <c:v>30452.564906200001</c:v>
                </c:pt>
                <c:pt idx="80">
                  <c:v>30331.557890399999</c:v>
                </c:pt>
                <c:pt idx="81">
                  <c:v>27630.3924855</c:v>
                </c:pt>
              </c:numCache>
            </c:numRef>
          </c:val>
          <c:smooth val="0"/>
        </c:ser>
        <c:dLbls>
          <c:showLegendKey val="0"/>
          <c:showVal val="0"/>
          <c:showCatName val="0"/>
          <c:showSerName val="0"/>
          <c:showPercent val="0"/>
          <c:showBubbleSize val="0"/>
        </c:dLbls>
        <c:marker val="1"/>
        <c:smooth val="0"/>
        <c:axId val="161867264"/>
        <c:axId val="163635200"/>
      </c:lineChart>
      <c:catAx>
        <c:axId val="161867264"/>
        <c:scaling>
          <c:orientation val="minMax"/>
        </c:scaling>
        <c:delete val="0"/>
        <c:axPos val="b"/>
        <c:majorTickMark val="out"/>
        <c:minorTickMark val="none"/>
        <c:tickLblPos val="nextTo"/>
        <c:txPr>
          <a:bodyPr rot="-2940000"/>
          <a:lstStyle/>
          <a:p>
            <a:pPr>
              <a:defRPr/>
            </a:pPr>
            <a:endParaRPr lang="en-US"/>
          </a:p>
        </c:txPr>
        <c:crossAx val="163635200"/>
        <c:crosses val="autoZero"/>
        <c:auto val="1"/>
        <c:lblAlgn val="ctr"/>
        <c:lblOffset val="100"/>
        <c:noMultiLvlLbl val="0"/>
      </c:catAx>
      <c:valAx>
        <c:axId val="163635200"/>
        <c:scaling>
          <c:orientation val="minMax"/>
        </c:scaling>
        <c:delete val="0"/>
        <c:axPos val="l"/>
        <c:numFmt formatCode="#,##0" sourceLinked="0"/>
        <c:majorTickMark val="out"/>
        <c:minorTickMark val="none"/>
        <c:tickLblPos val="nextTo"/>
        <c:crossAx val="161867264"/>
        <c:crosses val="autoZero"/>
        <c:crossBetween val="between"/>
      </c:valAx>
    </c:plotArea>
    <c:legend>
      <c:legendPos val="r"/>
      <c:layout>
        <c:manualLayout>
          <c:xMode val="edge"/>
          <c:yMode val="edge"/>
          <c:x val="0.1125077602861904"/>
          <c:y val="4.9718156603732078E-2"/>
          <c:w val="0.26885751310167527"/>
          <c:h val="0.17300303918449678"/>
        </c:manualLayout>
      </c:layout>
      <c:overlay val="0"/>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theme/theme1.xml><?xml version="1.0" encoding="utf-8"?>
<a:theme xmlns:a="http://schemas.openxmlformats.org/drawingml/2006/main" name="EdStateRed">
  <a:themeElements>
    <a:clrScheme name="Custom 3">
      <a:dk1>
        <a:sysClr val="windowText" lastClr="000000"/>
      </a:dk1>
      <a:lt1>
        <a:sysClr val="window" lastClr="FFFFFF"/>
      </a:lt1>
      <a:dk2>
        <a:srgbClr val="7F7F7F"/>
      </a:dk2>
      <a:lt2>
        <a:srgbClr val="EEECE1"/>
      </a:lt2>
      <a:accent1>
        <a:srgbClr val="B41F22"/>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b:Source>
    <b:Tag>Nat15</b:Tag>
    <b:SourceType>Report</b:SourceType>
    <b:Guid>{0E4FD4BD-CAB3-4CE6-8EE2-10B26F4EA20B}</b:Guid>
    <b:Title>Government-funded Students and Courses</b:Title>
    <b:Year>2014 (revised September 2015)</b:Year>
    <b:Publisher>NCVER</b:Publisher>
    <b:Author>
      <b:Author>
        <b:NameList>
          <b:Person>
            <b:Last>Research</b:Last>
            <b:First>National</b:First>
            <b:Middle>Centre for Vocational Education</b:Middle>
          </b:Person>
        </b:NameList>
      </b:Author>
    </b:Author>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47505D6A-9F2D-404A-A0DF-716F3ECCD6C0}"/>
</file>

<file path=customXml/itemProps2.xml><?xml version="1.0" encoding="utf-8"?>
<ds:datastoreItem xmlns:ds="http://schemas.openxmlformats.org/officeDocument/2006/customXml" ds:itemID="{6F35092D-2A47-4CF2-8D73-FB68AF27A00A}"/>
</file>

<file path=customXml/itemProps3.xml><?xml version="1.0" encoding="utf-8"?>
<ds:datastoreItem xmlns:ds="http://schemas.openxmlformats.org/officeDocument/2006/customXml" ds:itemID="{7AF69122-D72B-4E56-988B-AA3DA693FAA6}"/>
</file>

<file path=customXml/itemProps4.xml><?xml version="1.0" encoding="utf-8"?>
<ds:datastoreItem xmlns:ds="http://schemas.openxmlformats.org/officeDocument/2006/customXml" ds:itemID="{4CD0DC5F-1907-4DC1-9CA9-88D1BDBFB2BC}"/>
</file>

<file path=docProps/app.xml><?xml version="1.0" encoding="utf-8"?>
<Properties xmlns="http://schemas.openxmlformats.org/officeDocument/2006/extended-properties" xmlns:vt="http://schemas.openxmlformats.org/officeDocument/2006/docPropsVTypes">
  <Template>Normal.dotm</Template>
  <TotalTime>0</TotalTime>
  <Pages>92</Pages>
  <Words>20229</Words>
  <Characters>111373</Characters>
  <Application>Microsoft Office Word</Application>
  <DocSecurity>0</DocSecurity>
  <Lines>928</Lines>
  <Paragraphs>262</Paragraphs>
  <ScaleCrop>false</ScaleCrop>
  <HeadingPairs>
    <vt:vector size="2" baseType="variant">
      <vt:variant>
        <vt:lpstr>Title</vt:lpstr>
      </vt:variant>
      <vt:variant>
        <vt:i4>1</vt:i4>
      </vt:variant>
    </vt:vector>
  </HeadingPairs>
  <TitlesOfParts>
    <vt:vector size="1" baseType="lpstr">
      <vt:lpstr>Report</vt:lpstr>
    </vt:vector>
  </TitlesOfParts>
  <Company>DEECD</Company>
  <LinksUpToDate>false</LinksUpToDate>
  <CharactersWithSpaces>131340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creator>Briant, Scott G</dc:creator>
  <cp:lastModifiedBy>Briant, Scott G</cp:lastModifiedBy>
  <cp:revision>2</cp:revision>
  <cp:lastPrinted>2015-10-20T03:09:00Z</cp:lastPrinted>
  <dcterms:created xsi:type="dcterms:W3CDTF">2015-10-20T03:09:00Z</dcterms:created>
  <dcterms:modified xsi:type="dcterms:W3CDTF">2015-10-20T03:09:00Z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 ver">
    <vt:lpwstr>19</vt:lpwstr>
  </property>
  <property fmtid="{D5CDD505-2E9C-101B-9397-08002B2CF9AE}" pid="3" name="Word Ver">
    <vt:lpwstr>2003</vt:lpwstr>
  </property>
  <property fmtid="{D5CDD505-2E9C-101B-9397-08002B2CF9AE}" pid="4" name="ContentTypeId">
    <vt:lpwstr>0x0101008840106FE30D4F50BC61A726A7CA6E3800A01D47DD30CBB54F95863B7DC80A2CEC</vt:lpwstr>
  </property>
  <property fmtid="{D5CDD505-2E9C-101B-9397-08002B2CF9AE}" pid="5" name="DEECD_Author">
    <vt:lpwstr>94;#Education|5232e41c-5101-41fe-b638-7d41d1371531</vt:lpwstr>
  </property>
  <property fmtid="{D5CDD505-2E9C-101B-9397-08002B2CF9AE}" pid="6" name="DEECD_ItemType">
    <vt:lpwstr>101;#Page|eb523acf-a821-456c-a76b-7607578309d7</vt:lpwstr>
  </property>
  <property fmtid="{D5CDD505-2E9C-101B-9397-08002B2CF9AE}" pid="7" name="Order">
    <vt:r8>2314000</vt:r8>
  </property>
  <property fmtid="{D5CDD505-2E9C-101B-9397-08002B2CF9AE}" pid="8" name="DEECD_SubjectCategory">
    <vt:lpwstr/>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TemplateUrl">
    <vt:lpwstr/>
  </property>
  <property fmtid="{D5CDD505-2E9C-101B-9397-08002B2CF9AE}" pid="14" name="DEECD_Audience">
    <vt:lpwstr/>
  </property>
</Properties>
</file>