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33E11" w:rsidRPr="001B1D46" w:rsidRDefault="001B1D46" w:rsidP="001B1D46">
      <w:pPr>
        <w:pStyle w:val="NewsLetterTitle"/>
        <w:rPr>
          <w:color w:val="5B8900" w:themeColor="accent3" w:themeShade="BF"/>
        </w:rPr>
        <w:sectPr w:rsidR="00433E11" w:rsidRPr="001B1D46" w:rsidSect="00FC1AF4">
          <w:headerReference w:type="default" r:id="rId10"/>
          <w:footerReference w:type="even" r:id="rId11"/>
          <w:footerReference w:type="default" r:id="rId12"/>
          <w:headerReference w:type="first" r:id="rId13"/>
          <w:footerReference w:type="first" r:id="rId14"/>
          <w:pgSz w:w="11907" w:h="16840" w:code="9"/>
          <w:pgMar w:top="818" w:right="541" w:bottom="1464" w:left="7961" w:header="426" w:footer="421" w:gutter="0"/>
          <w:pgNumType w:start="1"/>
          <w:cols w:space="708"/>
          <w:titlePg/>
          <w:docGrid w:linePitch="360"/>
        </w:sectPr>
      </w:pPr>
      <w:r>
        <w:rPr>
          <w:noProof/>
          <w:lang w:eastAsia="en-AU"/>
        </w:rPr>
        <mc:AlternateContent>
          <mc:Choice Requires="wpg">
            <w:drawing>
              <wp:inline distT="0" distB="0" distL="0" distR="0" wp14:anchorId="7230F563" wp14:editId="5B42CA94">
                <wp:extent cx="2407285" cy="427990"/>
                <wp:effectExtent l="0" t="0" r="0" b="0"/>
                <wp:docPr id="1" name="Logo Vic"/>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07285" cy="427990"/>
                          <a:chOff x="-17207" y="-1468"/>
                          <a:chExt cx="40176" cy="7261"/>
                        </a:xfrm>
                      </wpg:grpSpPr>
                      <wps:wsp>
                        <wps:cNvPr id="3" name="Freeform 34"/>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5"/>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Logo Vic" o:spid="_x0000_s1026" style="width:189.55pt;height:33.7pt;mso-position-horizontal-relative:char;mso-position-vertical-relative:lin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">
                <o:lock v:ext="edit" aspectratio="t"/>
                <v:shape id="Freeform 34" o:spid="_x0000_s1027" style="position:absolute;left:-17207;top:-1468;width:12446;height:7115;visibility:visible;mso-wrap-style:square;v-text-anchor:top" coordsize="5269,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ML8AA&#10;AADaAAAADwAAAGRycy9kb3ducmV2LnhtbESPT4vCMBTE7wt+h/AEb2vqH0S6RlkEQb2IVfH6aN62&#10;ZZuX0qQav70RBI/DzPyGWayCqcWNWldZVjAaJiCIc6srLhScT5vvOQjnkTXWlknBgxyslr2vBaba&#10;3vlIt8wXIkLYpaig9L5JpXR5SQbd0DbE0fuzrUEfZVtI3eI9wk0tx0kykwYrjgslNrQuKf/POqOg&#10;O4z29JiGQxOyfHfpiI9zd1Vq0A+/PyA8Bf8Jv9tbrWACryvx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jML8AAAADaAAAADwAAAAAAAAAAAAAAAACYAgAAZHJzL2Rvd25y&#10;ZXYueG1sUEsFBgAAAAAEAAQA9QAAAIUDA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35" o:spid="_x0000_s1028" style="position:absolute;left:-3253;top:1286;width:26222;height:4507;visibility:visible;mso-wrap-style:square;v-text-anchor:top" coordsize="11101,1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tXdsAA&#10;AADaAAAADwAAAGRycy9kb3ducmV2LnhtbERPz2vCMBS+C/4P4Qm7yJq6wSjVKCI4BjuMtSI7Ppu3&#10;tqx5CUlm639vDoMdP77fm91kBnElH3rLClZZDoK4sbrnVsGpPj4WIEJE1jhYJgU3CrDbzmcbLLUd&#10;+ZOuVWxFCuFQooIuRldKGZqODIbMOuLEfVtvMCboW6k9jincDPIpz1+kwZ5TQ4eODh01P9WvUaDr&#10;58tr474K7Q7+/cOcaW95qdTDYtqvQUSa4r/4z/2mFaSt6Uq6AX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tXdsAAAADaAAAADwAAAAAAAAAAAAAAAACYAgAAZHJzL2Rvd25y&#10;ZXYueG1sUEsFBgAAAAAEAAQA9QAAAIUD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anchorlock/>
              </v:group>
            </w:pict>
          </mc:Fallback>
        </mc:AlternateContent>
      </w:r>
      <w:r w:rsidRPr="00C3342F">
        <w:rPr>
          <w:color w:val="5B8900" w:themeColor="accent3" w:themeShade="BF"/>
        </w:rPr>
        <w:t xml:space="preserve">The Vocational Education &amp; Training Market </w:t>
      </w:r>
      <w:r w:rsidRPr="00C3342F">
        <w:rPr>
          <w:color w:val="5B8900" w:themeColor="accent3" w:themeShade="BF"/>
        </w:rPr>
        <w:br/>
        <w:t>Quarter 1 2013</w:t>
      </w:r>
    </w:p>
    <w:p w:rsidR="000D4217" w:rsidRDefault="000D4217" w:rsidP="009E2302">
      <w:pPr>
        <w:spacing w:before="0" w:after="120"/>
        <w:rPr>
          <w:b/>
          <w:color w:val="auto"/>
          <w:spacing w:val="0"/>
          <w:sz w:val="44"/>
          <w:szCs w:val="44"/>
        </w:rPr>
      </w:pPr>
    </w:p>
    <w:p w:rsidR="000D4217" w:rsidRDefault="000D4217" w:rsidP="009E2302">
      <w:pPr>
        <w:spacing w:before="0" w:after="120"/>
        <w:rPr>
          <w:b/>
          <w:color w:val="auto"/>
          <w:spacing w:val="0"/>
          <w:sz w:val="44"/>
          <w:szCs w:val="44"/>
        </w:rPr>
      </w:pPr>
    </w:p>
    <w:p w:rsidR="00F44E57" w:rsidRPr="00C3342F" w:rsidRDefault="007D0050" w:rsidP="009E2302">
      <w:pPr>
        <w:spacing w:before="0" w:after="120"/>
        <w:rPr>
          <w:b/>
          <w:color w:val="5B8900" w:themeColor="accent3" w:themeShade="BF"/>
          <w:spacing w:val="0"/>
          <w:sz w:val="24"/>
        </w:rPr>
      </w:pPr>
      <w:r w:rsidRPr="00C3342F">
        <w:rPr>
          <w:b/>
          <w:color w:val="5B8900" w:themeColor="accent3" w:themeShade="BF"/>
          <w:spacing w:val="0"/>
          <w:sz w:val="24"/>
        </w:rPr>
        <w:t>Overview</w:t>
      </w:r>
    </w:p>
    <w:p w:rsidR="00B805B1" w:rsidRDefault="00B805B1" w:rsidP="00B805B1">
      <w:pPr>
        <w:spacing w:before="0" w:after="120"/>
      </w:pPr>
      <w:r>
        <w:t>Between 2008 and 2012 there was a 7</w:t>
      </w:r>
      <w:r w:rsidR="00BB6522">
        <w:t>6</w:t>
      </w:r>
      <w:r>
        <w:t xml:space="preserve"> per cent increase in government funded enrolments</w:t>
      </w:r>
      <w:r w:rsidR="00BB6522">
        <w:t xml:space="preserve"> in the Victorian VET system</w:t>
      </w:r>
      <w:r>
        <w:t xml:space="preserve">. In 2012 </w:t>
      </w:r>
      <w:r w:rsidR="00BB6522">
        <w:t>o</w:t>
      </w:r>
      <w:r>
        <w:t xml:space="preserve">ver </w:t>
      </w:r>
      <w:r w:rsidR="004E57A2">
        <w:t>600,000 people</w:t>
      </w:r>
      <w:r>
        <w:t xml:space="preserve"> were training in Victoria. The vast majority of these, </w:t>
      </w:r>
      <w:r w:rsidR="004E57A2">
        <w:t>nearly 510,000,</w:t>
      </w:r>
      <w:r>
        <w:t xml:space="preserve"> were </w:t>
      </w:r>
      <w:r w:rsidR="004E57A2">
        <w:t xml:space="preserve">in </w:t>
      </w:r>
      <w:r>
        <w:t xml:space="preserve">government </w:t>
      </w:r>
      <w:r w:rsidR="004E57A2">
        <w:t>subsidised</w:t>
      </w:r>
      <w:r>
        <w:t xml:space="preserve"> </w:t>
      </w:r>
      <w:r w:rsidR="004E57A2">
        <w:t>training</w:t>
      </w:r>
      <w:r>
        <w:t xml:space="preserve">, up </w:t>
      </w:r>
      <w:r w:rsidR="004E57A2">
        <w:t>18</w:t>
      </w:r>
      <w:r>
        <w:t xml:space="preserve"> per cent from 2011. Steady growth has occurred at all qualification levels and across TAFE, private and adult and community education providers.</w:t>
      </w:r>
    </w:p>
    <w:p w:rsidR="00B805B1" w:rsidRDefault="00B805B1" w:rsidP="00B805B1">
      <w:pPr>
        <w:spacing w:before="0" w:after="120"/>
      </w:pPr>
      <w:r>
        <w:t>There were 278,200 government subsidised enrolments in the first quarter of 2013</w:t>
      </w:r>
      <w:r w:rsidR="004E57A2">
        <w:t>. While the data is preliminary (see note on last page)</w:t>
      </w:r>
      <w:r>
        <w:t xml:space="preserve">, it does represent a </w:t>
      </w:r>
      <w:r w:rsidR="0060429B">
        <w:t>reduction</w:t>
      </w:r>
      <w:r>
        <w:t xml:space="preserve"> of </w:t>
      </w:r>
      <w:r w:rsidR="004E57A2">
        <w:t>7</w:t>
      </w:r>
      <w:r>
        <w:t xml:space="preserve"> per cent when compared to Q1 2012. In contrast, there was marked growth in vocational training activity in areas of critical importance to the Victorian economy, addressing skills shortages and occupations with specialised skill requirements. Government subsidised enrolments</w:t>
      </w:r>
      <w:r w:rsidR="00B95FFA">
        <w:t xml:space="preserve"> </w:t>
      </w:r>
      <w:r>
        <w:t xml:space="preserve">in these areas have increased by 4 per cent. </w:t>
      </w:r>
    </w:p>
    <w:p w:rsidR="00474DA3" w:rsidRPr="00C3342F" w:rsidRDefault="00474DA3" w:rsidP="00B805B1">
      <w:pPr>
        <w:spacing w:before="0" w:after="120"/>
        <w:rPr>
          <w:b/>
          <w:color w:val="5B8900" w:themeColor="accent3" w:themeShade="BF"/>
          <w:spacing w:val="0"/>
          <w:sz w:val="24"/>
        </w:rPr>
      </w:pPr>
      <w:r w:rsidRPr="00C3342F">
        <w:rPr>
          <w:b/>
          <w:color w:val="5B8900" w:themeColor="accent3" w:themeShade="BF"/>
          <w:spacing w:val="0"/>
          <w:sz w:val="24"/>
        </w:rPr>
        <w:t>VET Performance in Victoria</w:t>
      </w:r>
    </w:p>
    <w:p w:rsidR="00B95FFA" w:rsidRPr="00B95FFA" w:rsidRDefault="00B95FFA" w:rsidP="00B95FFA">
      <w:pPr>
        <w:spacing w:before="0" w:after="120"/>
      </w:pPr>
      <w:r w:rsidRPr="00B95FFA">
        <w:t xml:space="preserve">There were 21,000 fewer government subsidised enrolments in the first quarter of 2013 when compared to Q1 2012. However, </w:t>
      </w:r>
      <w:r w:rsidR="0060429B">
        <w:t xml:space="preserve">these figures should be considered in a broader context; there was </w:t>
      </w:r>
      <w:r w:rsidRPr="00B95FFA">
        <w:t>a 28 per cent increase (</w:t>
      </w:r>
      <w:r w:rsidR="0060429B">
        <w:t xml:space="preserve">an increase of </w:t>
      </w:r>
      <w:r w:rsidRPr="00B95FFA">
        <w:t>61,500</w:t>
      </w:r>
      <w:r w:rsidR="00BB6522">
        <w:t xml:space="preserve"> enrolments</w:t>
      </w:r>
      <w:r w:rsidRPr="00B95FFA">
        <w:t xml:space="preserve">) compared to the same period in 2011. Similarly, there were 38,700 TAFE domestic </w:t>
      </w:r>
      <w:proofErr w:type="gramStart"/>
      <w:r w:rsidRPr="00B95FFA">
        <w:t>fee</w:t>
      </w:r>
      <w:proofErr w:type="gramEnd"/>
      <w:r w:rsidRPr="00B95FFA">
        <w:t xml:space="preserve"> for service</w:t>
      </w:r>
      <w:r w:rsidR="00BB6522">
        <w:rPr>
          <w:rStyle w:val="FootnoteReference"/>
        </w:rPr>
        <w:footnoteReference w:id="1"/>
      </w:r>
      <w:r w:rsidRPr="00B95FFA">
        <w:t xml:space="preserve"> enrolments in Q1 2013. This is down by </w:t>
      </w:r>
      <w:r w:rsidR="0060429B">
        <w:t>6</w:t>
      </w:r>
      <w:r w:rsidRPr="00B95FFA">
        <w:t xml:space="preserve"> per cent (or 2,500 enrolments) compared to Q1 2012, but up by 12 per cent (4,200 extra enrolments) compared to the same quarter in 2011. This trend of year-on-year growth followed by a decline between Q1 2012 and Q1 2013 occurred across all provider types, </w:t>
      </w:r>
      <w:r w:rsidR="0060429B" w:rsidRPr="00B95FFA">
        <w:t>i.e.</w:t>
      </w:r>
      <w:r w:rsidRPr="00B95FFA">
        <w:t xml:space="preserve"> TAFE, private and adult and community education providers. </w:t>
      </w:r>
    </w:p>
    <w:p w:rsidR="00267CC7" w:rsidRDefault="00364496" w:rsidP="00B95FFA">
      <w:pPr>
        <w:spacing w:before="0" w:after="0"/>
        <w:rPr>
          <w:b/>
          <w:color w:val="5B8900" w:themeColor="accent3" w:themeShade="BF"/>
          <w:spacing w:val="0"/>
          <w:sz w:val="16"/>
        </w:rPr>
      </w:pPr>
      <w:r w:rsidRPr="00C3342F">
        <w:rPr>
          <w:b/>
          <w:color w:val="5B8900" w:themeColor="accent3" w:themeShade="BF"/>
          <w:spacing w:val="0"/>
          <w:sz w:val="16"/>
        </w:rPr>
        <w:t>Chart</w:t>
      </w:r>
      <w:r w:rsidR="00267CC7" w:rsidRPr="00C3342F">
        <w:rPr>
          <w:b/>
          <w:color w:val="5B8900" w:themeColor="accent3" w:themeShade="BF"/>
          <w:spacing w:val="0"/>
          <w:sz w:val="16"/>
        </w:rPr>
        <w:t xml:space="preserve"> 1: Government Subsidised </w:t>
      </w:r>
      <w:r w:rsidR="00710316" w:rsidRPr="00C3342F">
        <w:rPr>
          <w:b/>
          <w:color w:val="5B8900" w:themeColor="accent3" w:themeShade="BF"/>
          <w:spacing w:val="0"/>
          <w:sz w:val="16"/>
        </w:rPr>
        <w:t>and</w:t>
      </w:r>
      <w:r w:rsidR="009F3AC3" w:rsidRPr="00C3342F">
        <w:rPr>
          <w:b/>
          <w:color w:val="5B8900" w:themeColor="accent3" w:themeShade="BF"/>
          <w:spacing w:val="0"/>
          <w:sz w:val="16"/>
        </w:rPr>
        <w:t xml:space="preserve"> TAFE Fee for Service E</w:t>
      </w:r>
      <w:r w:rsidR="00267CC7" w:rsidRPr="00C3342F">
        <w:rPr>
          <w:b/>
          <w:color w:val="5B8900" w:themeColor="accent3" w:themeShade="BF"/>
          <w:spacing w:val="0"/>
          <w:sz w:val="16"/>
        </w:rPr>
        <w:t>nrolments, 2008 to 2012</w:t>
      </w:r>
      <w:r w:rsidR="000B6315" w:rsidRPr="00C3342F">
        <w:rPr>
          <w:b/>
          <w:color w:val="5B8900" w:themeColor="accent3" w:themeShade="BF"/>
          <w:spacing w:val="0"/>
          <w:sz w:val="16"/>
        </w:rPr>
        <w:t>, Q1 201</w:t>
      </w:r>
      <w:r w:rsidR="00FC55EF">
        <w:rPr>
          <w:b/>
          <w:color w:val="5B8900" w:themeColor="accent3" w:themeShade="BF"/>
          <w:spacing w:val="0"/>
          <w:sz w:val="16"/>
        </w:rPr>
        <w:t xml:space="preserve">1 to </w:t>
      </w:r>
      <w:r w:rsidR="000B6315" w:rsidRPr="00C3342F">
        <w:rPr>
          <w:b/>
          <w:color w:val="5B8900" w:themeColor="accent3" w:themeShade="BF"/>
          <w:spacing w:val="0"/>
          <w:sz w:val="16"/>
        </w:rPr>
        <w:t>Q1 2013</w:t>
      </w:r>
    </w:p>
    <w:p w:rsidR="00BB6522" w:rsidRDefault="00BB6522" w:rsidP="00BB6522">
      <w:pPr>
        <w:spacing w:before="0" w:after="0"/>
        <w:rPr>
          <w:b/>
          <w:color w:val="5B8900" w:themeColor="accent3" w:themeShade="BF"/>
          <w:spacing w:val="0"/>
          <w:sz w:val="24"/>
        </w:rPr>
      </w:pPr>
      <w:r>
        <w:rPr>
          <w:b/>
          <w:noProof/>
          <w:color w:val="5B8900" w:themeColor="accent3" w:themeShade="BF"/>
          <w:spacing w:val="0"/>
          <w:sz w:val="16"/>
          <w:lang w:eastAsia="en-AU"/>
        </w:rPr>
        <w:lastRenderedPageBreak/>
        <w:drawing>
          <wp:inline distT="0" distB="0" distL="0" distR="0" wp14:anchorId="3DF7626A" wp14:editId="56874ACF">
            <wp:extent cx="4165331" cy="229787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3152" cy="2302189"/>
                    </a:xfrm>
                    <a:prstGeom prst="rect">
                      <a:avLst/>
                    </a:prstGeom>
                    <a:noFill/>
                  </pic:spPr>
                </pic:pic>
              </a:graphicData>
            </a:graphic>
          </wp:inline>
        </w:drawing>
      </w:r>
    </w:p>
    <w:p w:rsidR="000D4217" w:rsidRDefault="000D4217">
      <w:pPr>
        <w:spacing w:before="0" w:after="0" w:line="240" w:lineRule="auto"/>
        <w:rPr>
          <w:b/>
          <w:color w:val="5B8900" w:themeColor="accent3" w:themeShade="BF"/>
          <w:spacing w:val="0"/>
          <w:sz w:val="24"/>
        </w:rPr>
      </w:pPr>
      <w:r>
        <w:rPr>
          <w:b/>
          <w:color w:val="5B8900" w:themeColor="accent3" w:themeShade="BF"/>
          <w:spacing w:val="0"/>
          <w:sz w:val="24"/>
        </w:rPr>
        <w:br w:type="page"/>
      </w:r>
    </w:p>
    <w:p w:rsidR="00760CAE" w:rsidRPr="00C3342F" w:rsidRDefault="00122EF2" w:rsidP="00BB6522">
      <w:pPr>
        <w:spacing w:before="0" w:after="0"/>
        <w:rPr>
          <w:b/>
          <w:color w:val="5B8900" w:themeColor="accent3" w:themeShade="BF"/>
          <w:spacing w:val="0"/>
          <w:sz w:val="24"/>
        </w:rPr>
      </w:pPr>
      <w:r w:rsidRPr="00C3342F">
        <w:rPr>
          <w:b/>
          <w:color w:val="5B8900" w:themeColor="accent3" w:themeShade="BF"/>
          <w:spacing w:val="0"/>
          <w:sz w:val="24"/>
        </w:rPr>
        <w:lastRenderedPageBreak/>
        <w:t xml:space="preserve">Government Subsidised </w:t>
      </w:r>
      <w:r w:rsidR="00970A4C" w:rsidRPr="00C3342F">
        <w:rPr>
          <w:b/>
          <w:color w:val="5B8900" w:themeColor="accent3" w:themeShade="BF"/>
          <w:spacing w:val="0"/>
          <w:sz w:val="24"/>
        </w:rPr>
        <w:t>Training Delivery</w:t>
      </w:r>
    </w:p>
    <w:p w:rsidR="00760CAE" w:rsidRDefault="00760CAE" w:rsidP="00760CAE">
      <w:pPr>
        <w:spacing w:before="0"/>
      </w:pPr>
      <w:r w:rsidRPr="00803A7D">
        <w:t xml:space="preserve">The number of </w:t>
      </w:r>
      <w:r w:rsidR="00803A7D" w:rsidRPr="00803A7D">
        <w:t>stu</w:t>
      </w:r>
      <w:r w:rsidR="00B90560">
        <w:t xml:space="preserve">dents </w:t>
      </w:r>
      <w:r w:rsidR="00F7425F">
        <w:t xml:space="preserve">enrolled in government subsidised </w:t>
      </w:r>
      <w:r w:rsidR="00B90560">
        <w:t xml:space="preserve">VET </w:t>
      </w:r>
      <w:r w:rsidR="00F7425F">
        <w:t xml:space="preserve">training was </w:t>
      </w:r>
      <w:r w:rsidR="000B6315">
        <w:t>226,000 in Q1 2013</w:t>
      </w:r>
      <w:r w:rsidR="00625222">
        <w:t xml:space="preserve">, </w:t>
      </w:r>
      <w:r w:rsidR="00E224C4">
        <w:t xml:space="preserve">representing a </w:t>
      </w:r>
      <w:r w:rsidR="00122EF2">
        <w:br/>
      </w:r>
      <w:r w:rsidR="000B6315">
        <w:t>9</w:t>
      </w:r>
      <w:r w:rsidR="003027D2">
        <w:t xml:space="preserve"> per cent</w:t>
      </w:r>
      <w:r w:rsidR="00625222">
        <w:t xml:space="preserve"> </w:t>
      </w:r>
      <w:r w:rsidR="00A875A0">
        <w:t>decline compared to</w:t>
      </w:r>
      <w:r w:rsidR="000B6315">
        <w:t xml:space="preserve"> Q1 2012</w:t>
      </w:r>
      <w:r w:rsidRPr="00803A7D">
        <w:t xml:space="preserve">. </w:t>
      </w:r>
      <w:proofErr w:type="gramStart"/>
      <w:r w:rsidR="00E224C4">
        <w:t>St</w:t>
      </w:r>
      <w:r w:rsidR="000B6315">
        <w:t>udent contact h</w:t>
      </w:r>
      <w:r w:rsidR="003027D2">
        <w:t xml:space="preserve">ours </w:t>
      </w:r>
      <w:r w:rsidR="00122EF2">
        <w:t xml:space="preserve">decreased by </w:t>
      </w:r>
      <w:r w:rsidR="000B6315">
        <w:t>5</w:t>
      </w:r>
      <w:r w:rsidR="003027D2">
        <w:t xml:space="preserve"> per cent</w:t>
      </w:r>
      <w:r w:rsidR="000B6315">
        <w:t xml:space="preserve"> </w:t>
      </w:r>
      <w:r w:rsidR="00E224C4">
        <w:t xml:space="preserve">over the </w:t>
      </w:r>
      <w:r w:rsidRPr="00803A7D">
        <w:t>same period.</w:t>
      </w:r>
      <w:proofErr w:type="gramEnd"/>
    </w:p>
    <w:p w:rsidR="00615BD0" w:rsidRPr="00C3342F" w:rsidRDefault="00364496" w:rsidP="00760CAE">
      <w:pPr>
        <w:spacing w:before="0"/>
        <w:rPr>
          <w:b/>
          <w:color w:val="5B8900" w:themeColor="accent3" w:themeShade="BF"/>
          <w:spacing w:val="0"/>
          <w:sz w:val="16"/>
        </w:rPr>
      </w:pPr>
      <w:r w:rsidRPr="00C3342F">
        <w:rPr>
          <w:b/>
          <w:color w:val="5B8900" w:themeColor="accent3" w:themeShade="BF"/>
          <w:spacing w:val="0"/>
          <w:sz w:val="16"/>
        </w:rPr>
        <w:t>Table 1</w:t>
      </w:r>
      <w:r w:rsidR="00760CAE" w:rsidRPr="00C3342F">
        <w:rPr>
          <w:b/>
          <w:color w:val="5B8900" w:themeColor="accent3" w:themeShade="BF"/>
          <w:spacing w:val="0"/>
          <w:sz w:val="16"/>
        </w:rPr>
        <w:t xml:space="preserve">: </w:t>
      </w:r>
      <w:r w:rsidR="00625222" w:rsidRPr="00C3342F">
        <w:rPr>
          <w:b/>
          <w:color w:val="5B8900" w:themeColor="accent3" w:themeShade="BF"/>
          <w:spacing w:val="0"/>
          <w:sz w:val="16"/>
        </w:rPr>
        <w:t xml:space="preserve">Government Subsidised </w:t>
      </w:r>
      <w:r w:rsidR="00760CAE" w:rsidRPr="00C3342F">
        <w:rPr>
          <w:b/>
          <w:color w:val="5B8900" w:themeColor="accent3" w:themeShade="BF"/>
          <w:spacing w:val="0"/>
          <w:sz w:val="16"/>
        </w:rPr>
        <w:t>VET delivery, 2008 to 2012</w:t>
      </w:r>
      <w:r w:rsidR="00444B57" w:rsidRPr="00C3342F">
        <w:rPr>
          <w:b/>
          <w:color w:val="5B8900" w:themeColor="accent3" w:themeShade="BF"/>
          <w:spacing w:val="0"/>
          <w:sz w:val="16"/>
        </w:rPr>
        <w:t>, Q1 2012 and Q1 2013</w:t>
      </w:r>
    </w:p>
    <w:p w:rsidR="005E1B07" w:rsidRDefault="002D7A2F" w:rsidP="00760CAE">
      <w:pPr>
        <w:spacing w:before="0"/>
      </w:pPr>
      <w:r>
        <w:rPr>
          <w:noProof/>
          <w:lang w:eastAsia="en-AU"/>
        </w:rPr>
        <w:drawing>
          <wp:inline distT="0" distB="0" distL="0" distR="0">
            <wp:extent cx="6031230" cy="914484"/>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1230" cy="914484"/>
                    </a:xfrm>
                    <a:prstGeom prst="rect">
                      <a:avLst/>
                    </a:prstGeom>
                    <a:noFill/>
                    <a:ln>
                      <a:noFill/>
                    </a:ln>
                  </pic:spPr>
                </pic:pic>
              </a:graphicData>
            </a:graphic>
          </wp:inline>
        </w:drawing>
      </w:r>
    </w:p>
    <w:p w:rsidR="006D5D2A" w:rsidRPr="006D5D2A" w:rsidRDefault="006D5D2A" w:rsidP="006D5D2A">
      <w:pPr>
        <w:spacing w:before="0" w:after="120"/>
        <w:rPr>
          <w:b/>
          <w:color w:val="5B8900" w:themeColor="accent3" w:themeShade="BF"/>
          <w:spacing w:val="0"/>
          <w:sz w:val="24"/>
        </w:rPr>
      </w:pPr>
      <w:r w:rsidRPr="006D5D2A">
        <w:rPr>
          <w:b/>
          <w:color w:val="5B8900" w:themeColor="accent3" w:themeShade="BF"/>
          <w:spacing w:val="0"/>
          <w:sz w:val="24"/>
        </w:rPr>
        <w:t>Responsiveness to Industry Skills Needs</w:t>
      </w:r>
    </w:p>
    <w:p w:rsidR="006D5D2A" w:rsidRPr="006D5D2A" w:rsidRDefault="006D5D2A" w:rsidP="006D5D2A">
      <w:r w:rsidRPr="006D5D2A">
        <w:t>Training delivery against skill needs for specific industry sectors show</w:t>
      </w:r>
      <w:r>
        <w:t xml:space="preserve">s </w:t>
      </w:r>
      <w:r w:rsidRPr="006D5D2A">
        <w:t>positive performance</w:t>
      </w:r>
      <w:r>
        <w:t xml:space="preserve"> with </w:t>
      </w:r>
      <w:r w:rsidR="00F7425F">
        <w:t xml:space="preserve">a </w:t>
      </w:r>
      <w:r w:rsidRPr="006D5D2A">
        <w:t xml:space="preserve">4 per cent increase in government subsidised enrolments in courses related to </w:t>
      </w:r>
      <w:proofErr w:type="gramStart"/>
      <w:r w:rsidRPr="006D5D2A">
        <w:t>specialised</w:t>
      </w:r>
      <w:proofErr w:type="gramEnd"/>
      <w:r w:rsidRPr="006D5D2A">
        <w:t xml:space="preserve"> </w:t>
      </w:r>
      <w:r w:rsidR="008C7DED">
        <w:t>or</w:t>
      </w:r>
      <w:r w:rsidRPr="006D5D2A">
        <w:t xml:space="preserve"> in shortage occupations (81,100 enrolments at Q1 2012 to 84,600 at Q1 2013).</w:t>
      </w:r>
      <w:r>
        <w:t xml:space="preserve"> </w:t>
      </w:r>
      <w:r w:rsidRPr="006D5D2A">
        <w:t>Training in these critical courses n</w:t>
      </w:r>
      <w:r w:rsidR="00342EC7">
        <w:t>ow accounts for 40 per cent of g</w:t>
      </w:r>
      <w:r w:rsidRPr="006D5D2A">
        <w:t>overnment subsidised enrolments (excluding foundation and short courses) up from 33 per cent at the same point last year.</w:t>
      </w:r>
      <w:r>
        <w:t xml:space="preserve"> </w:t>
      </w:r>
      <w:r w:rsidRPr="006D5D2A">
        <w:t>This has been driven by strong growth in the health care and welfare sector (particularly childcare, and aged and disability carers), and moderate increases for training in road transport and auto mechanics.</w:t>
      </w:r>
    </w:p>
    <w:p w:rsidR="00122EF2" w:rsidRPr="00C3342F" w:rsidRDefault="00122EF2" w:rsidP="00C3342F">
      <w:pPr>
        <w:spacing w:before="0" w:after="120"/>
        <w:rPr>
          <w:b/>
          <w:color w:val="5B8900" w:themeColor="accent3" w:themeShade="BF"/>
          <w:spacing w:val="0"/>
          <w:sz w:val="24"/>
        </w:rPr>
      </w:pPr>
      <w:r w:rsidRPr="00C3342F">
        <w:rPr>
          <w:b/>
          <w:color w:val="5B8900" w:themeColor="accent3" w:themeShade="BF"/>
          <w:spacing w:val="0"/>
          <w:sz w:val="24"/>
        </w:rPr>
        <w:t>Profile of Vocational Education and Training Government Subsidy</w:t>
      </w:r>
    </w:p>
    <w:p w:rsidR="00122EF2" w:rsidRPr="00C87FB4" w:rsidRDefault="00F1447B" w:rsidP="00122EF2">
      <w:pPr>
        <w:spacing w:before="0"/>
      </w:pPr>
      <w:r>
        <w:t>As part of the R</w:t>
      </w:r>
      <w:r w:rsidR="00122EF2" w:rsidRPr="00C87FB4">
        <w:t xml:space="preserve">efocusing VET reform, from July 2012 five funding bands for government subsidised training were introduced. The funding </w:t>
      </w:r>
      <w:r>
        <w:t>is highest</w:t>
      </w:r>
      <w:r w:rsidR="00122EF2" w:rsidRPr="00C87FB4">
        <w:t> in areas that provide the greatest contribution to employment and productivity. The subsidies for training where there is not a strong need and good employment prospects have been reduced to better target areas of greatest public benefit and future jobs growth.</w:t>
      </w:r>
    </w:p>
    <w:p w:rsidR="00E22ACC" w:rsidRPr="00053DC0" w:rsidRDefault="00053DC0" w:rsidP="00122EF2">
      <w:pPr>
        <w:spacing w:before="0"/>
      </w:pPr>
      <w:r>
        <w:t>Proportionally t</w:t>
      </w:r>
      <w:r w:rsidR="00122EF2" w:rsidRPr="00053DC0">
        <w:t xml:space="preserve">here has been a marked shift in commencement patterns </w:t>
      </w:r>
      <w:r w:rsidR="00F62BDF">
        <w:t xml:space="preserve">when </w:t>
      </w:r>
      <w:r w:rsidR="00B16EB5">
        <w:t>compar</w:t>
      </w:r>
      <w:r w:rsidR="00204EF9">
        <w:t>ing</w:t>
      </w:r>
      <w:r w:rsidR="00C87FB4" w:rsidRPr="00053DC0">
        <w:t xml:space="preserve"> </w:t>
      </w:r>
      <w:r w:rsidR="00B16EB5">
        <w:t xml:space="preserve">the </w:t>
      </w:r>
      <w:r w:rsidR="00C87FB4" w:rsidRPr="00053DC0">
        <w:t xml:space="preserve">first quarter of 2013 </w:t>
      </w:r>
      <w:r w:rsidR="00B16EB5">
        <w:t>with</w:t>
      </w:r>
      <w:r w:rsidR="00E22ACC" w:rsidRPr="00053DC0">
        <w:t xml:space="preserve"> </w:t>
      </w:r>
      <w:r w:rsidR="00F7425F">
        <w:t xml:space="preserve">Q1 </w:t>
      </w:r>
      <w:r w:rsidR="00C87FB4" w:rsidRPr="00053DC0">
        <w:t>2012</w:t>
      </w:r>
      <w:r w:rsidR="00122EF2" w:rsidRPr="00053DC0">
        <w:t xml:space="preserve">. </w:t>
      </w:r>
      <w:r w:rsidR="00F62BDF">
        <w:t xml:space="preserve">Figures from </w:t>
      </w:r>
      <w:r w:rsidR="00B16EB5">
        <w:t xml:space="preserve">the </w:t>
      </w:r>
      <w:r w:rsidR="00E22ACC" w:rsidRPr="00053DC0">
        <w:t>first quarter of 2013</w:t>
      </w:r>
      <w:r w:rsidR="00F62BDF">
        <w:t xml:space="preserve"> show</w:t>
      </w:r>
      <w:r w:rsidR="00E22ACC" w:rsidRPr="00053DC0">
        <w:t xml:space="preserve"> 65 per cent of </w:t>
      </w:r>
      <w:r w:rsidR="00122EF2" w:rsidRPr="00053DC0">
        <w:t xml:space="preserve">all government subsidised commencing enrolments were within </w:t>
      </w:r>
      <w:r w:rsidR="00E22ACC" w:rsidRPr="00053DC0">
        <w:t xml:space="preserve">subsidy </w:t>
      </w:r>
      <w:r w:rsidR="00122EF2" w:rsidRPr="00053DC0">
        <w:t xml:space="preserve">bands A and B (Chart </w:t>
      </w:r>
      <w:r w:rsidR="004102F6">
        <w:t>2</w:t>
      </w:r>
      <w:r w:rsidR="00122EF2" w:rsidRPr="00053DC0">
        <w:t>)</w:t>
      </w:r>
      <w:r w:rsidR="00B16EB5">
        <w:t xml:space="preserve">. This </w:t>
      </w:r>
      <w:r w:rsidR="00E22ACC" w:rsidRPr="00053DC0">
        <w:t xml:space="preserve">compared </w:t>
      </w:r>
      <w:r w:rsidR="00B16EB5">
        <w:t>with</w:t>
      </w:r>
      <w:r w:rsidR="00E22ACC" w:rsidRPr="00053DC0">
        <w:t xml:space="preserve"> 52 per cent of commencements </w:t>
      </w:r>
      <w:r w:rsidR="00B16EB5">
        <w:t xml:space="preserve">in </w:t>
      </w:r>
      <w:r w:rsidR="00F62BDF">
        <w:t xml:space="preserve">subsidy bands A and B in </w:t>
      </w:r>
      <w:r w:rsidR="00B16EB5">
        <w:t>Q1</w:t>
      </w:r>
      <w:r w:rsidR="00E22ACC" w:rsidRPr="00053DC0">
        <w:t xml:space="preserve"> 2012</w:t>
      </w:r>
      <w:r w:rsidR="00122EF2" w:rsidRPr="00053DC0">
        <w:t xml:space="preserve">. </w:t>
      </w:r>
      <w:r w:rsidR="00F06082" w:rsidRPr="00053DC0">
        <w:t xml:space="preserve">Courses with less vocational outcome, or in labour market oversupply (Band D &amp; E) represented 11 per cent of all government subsidised commencements in </w:t>
      </w:r>
      <w:r w:rsidR="00F62BDF">
        <w:t xml:space="preserve">the </w:t>
      </w:r>
      <w:r w:rsidR="00F06082" w:rsidRPr="00053DC0">
        <w:t xml:space="preserve">first quarter of 2013, down from 25 per cent over the same period in 2012. </w:t>
      </w:r>
    </w:p>
    <w:p w:rsidR="00F7425F" w:rsidRDefault="00F7425F">
      <w:pPr>
        <w:spacing w:before="0" w:after="0" w:line="240" w:lineRule="auto"/>
        <w:rPr>
          <w:b/>
          <w:color w:val="5B8900" w:themeColor="accent3" w:themeShade="BF"/>
          <w:spacing w:val="0"/>
          <w:sz w:val="16"/>
        </w:rPr>
      </w:pPr>
    </w:p>
    <w:p w:rsidR="00122EF2" w:rsidRPr="00C3342F" w:rsidRDefault="00122EF2" w:rsidP="00C3342F">
      <w:pPr>
        <w:spacing w:before="0"/>
        <w:rPr>
          <w:b/>
          <w:color w:val="5B8900" w:themeColor="accent3" w:themeShade="BF"/>
          <w:spacing w:val="0"/>
          <w:sz w:val="16"/>
        </w:rPr>
      </w:pPr>
      <w:r w:rsidRPr="00C3342F">
        <w:rPr>
          <w:b/>
          <w:color w:val="5B8900" w:themeColor="accent3" w:themeShade="BF"/>
          <w:spacing w:val="0"/>
          <w:sz w:val="16"/>
        </w:rPr>
        <w:t xml:space="preserve">Chart </w:t>
      </w:r>
      <w:r w:rsidR="004102F6">
        <w:rPr>
          <w:b/>
          <w:color w:val="5B8900" w:themeColor="accent3" w:themeShade="BF"/>
          <w:spacing w:val="0"/>
          <w:sz w:val="16"/>
        </w:rPr>
        <w:t>2</w:t>
      </w:r>
      <w:r w:rsidRPr="00C3342F">
        <w:rPr>
          <w:b/>
          <w:color w:val="5B8900" w:themeColor="accent3" w:themeShade="BF"/>
          <w:spacing w:val="0"/>
          <w:sz w:val="16"/>
        </w:rPr>
        <w:t>: Commencing enrolments by Funding Bands, Q1 2012</w:t>
      </w:r>
      <w:r w:rsidR="00E37814">
        <w:rPr>
          <w:b/>
          <w:color w:val="5B8900" w:themeColor="accent3" w:themeShade="BF"/>
          <w:spacing w:val="0"/>
          <w:sz w:val="16"/>
        </w:rPr>
        <w:t>,</w:t>
      </w:r>
      <w:r w:rsidRPr="00C3342F">
        <w:rPr>
          <w:b/>
          <w:color w:val="5B8900" w:themeColor="accent3" w:themeShade="BF"/>
          <w:spacing w:val="0"/>
          <w:sz w:val="16"/>
        </w:rPr>
        <w:t xml:space="preserve"> Q1 2013</w:t>
      </w:r>
      <w:r w:rsidR="00E37814">
        <w:rPr>
          <w:b/>
          <w:color w:val="5B8900" w:themeColor="accent3" w:themeShade="BF"/>
          <w:spacing w:val="0"/>
          <w:sz w:val="16"/>
        </w:rPr>
        <w:t xml:space="preserve"> and July-December 2012</w:t>
      </w:r>
    </w:p>
    <w:p w:rsidR="00122EF2" w:rsidRPr="00C11FA6" w:rsidRDefault="007902D9" w:rsidP="00122EF2">
      <w:pPr>
        <w:spacing w:before="0"/>
        <w:rPr>
          <w:b/>
          <w:color w:val="auto"/>
          <w:spacing w:val="0"/>
          <w:sz w:val="16"/>
        </w:rPr>
      </w:pPr>
      <w:r>
        <w:rPr>
          <w:b/>
          <w:noProof/>
          <w:color w:val="auto"/>
          <w:spacing w:val="0"/>
          <w:sz w:val="16"/>
          <w:lang w:eastAsia="en-AU"/>
        </w:rPr>
        <w:drawing>
          <wp:inline distT="0" distB="0" distL="0" distR="0" wp14:anchorId="01661658">
            <wp:extent cx="5998191" cy="2017766"/>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8845" cy="2017986"/>
                    </a:xfrm>
                    <a:prstGeom prst="rect">
                      <a:avLst/>
                    </a:prstGeom>
                    <a:noFill/>
                  </pic:spPr>
                </pic:pic>
              </a:graphicData>
            </a:graphic>
          </wp:inline>
        </w:drawing>
      </w:r>
    </w:p>
    <w:p w:rsidR="005D5928" w:rsidRDefault="005D5928">
      <w:pPr>
        <w:spacing w:before="0" w:after="0" w:line="240" w:lineRule="auto"/>
        <w:rPr>
          <w:b/>
          <w:color w:val="5B8900" w:themeColor="accent3" w:themeShade="BF"/>
          <w:spacing w:val="0"/>
          <w:sz w:val="24"/>
        </w:rPr>
      </w:pPr>
    </w:p>
    <w:p w:rsidR="00383D2B" w:rsidRDefault="00383D2B">
      <w:pPr>
        <w:spacing w:before="0" w:after="0" w:line="240" w:lineRule="auto"/>
        <w:rPr>
          <w:b/>
          <w:color w:val="5B8900" w:themeColor="accent3" w:themeShade="BF"/>
          <w:spacing w:val="0"/>
          <w:sz w:val="24"/>
        </w:rPr>
      </w:pPr>
      <w:r>
        <w:rPr>
          <w:b/>
          <w:color w:val="5B8900" w:themeColor="accent3" w:themeShade="BF"/>
          <w:spacing w:val="0"/>
          <w:sz w:val="24"/>
        </w:rPr>
        <w:br w:type="page"/>
      </w:r>
    </w:p>
    <w:p w:rsidR="000B6BA5" w:rsidRDefault="000B6BA5" w:rsidP="00122EF2">
      <w:pPr>
        <w:spacing w:before="0" w:after="120"/>
        <w:rPr>
          <w:b/>
          <w:color w:val="5B8900" w:themeColor="accent3" w:themeShade="BF"/>
          <w:spacing w:val="0"/>
          <w:sz w:val="24"/>
        </w:rPr>
      </w:pPr>
      <w:r>
        <w:rPr>
          <w:b/>
          <w:color w:val="5B8900" w:themeColor="accent3" w:themeShade="BF"/>
          <w:spacing w:val="0"/>
          <w:sz w:val="24"/>
        </w:rPr>
        <w:lastRenderedPageBreak/>
        <w:t>Apprenticeships and traineeships</w:t>
      </w:r>
    </w:p>
    <w:p w:rsidR="000B6BA5" w:rsidRPr="000B6BA5" w:rsidRDefault="000B6BA5" w:rsidP="000B6BA5">
      <w:r w:rsidRPr="000B6BA5">
        <w:t>Approximately half of the fall in government subsidised enrolments in Q1 2013 can be attributed to a reduction in apprenticeship and trainee</w:t>
      </w:r>
      <w:r w:rsidR="0060568B">
        <w:t>ship</w:t>
      </w:r>
      <w:r w:rsidRPr="000B6BA5">
        <w:t xml:space="preserve"> training. In Q1 2013 there were 61,800 government subsidised apprentice and trainee enrolments, which represents a 16 per cent </w:t>
      </w:r>
      <w:r w:rsidR="0060568B">
        <w:t xml:space="preserve">decline </w:t>
      </w:r>
      <w:r w:rsidRPr="000B6BA5">
        <w:t xml:space="preserve">(or 12,100 fewer enrolments) compared to Q1 2012. </w:t>
      </w:r>
    </w:p>
    <w:p w:rsidR="000B6BA5" w:rsidRPr="000B6BA5" w:rsidRDefault="000B6BA5" w:rsidP="000B6BA5">
      <w:r w:rsidRPr="000B6BA5">
        <w:t xml:space="preserve">These trends are attributable to a number of factors.  Apprentice numbers are highly correlated with business conditions. Fifty six per cent of all apprentices are employed in the construction sector which has faced a challenging 12 months. </w:t>
      </w:r>
    </w:p>
    <w:p w:rsidR="0060568B" w:rsidRPr="0060568B" w:rsidRDefault="0060568B" w:rsidP="0060568B">
      <w:pPr>
        <w:spacing w:before="0"/>
        <w:rPr>
          <w:b/>
          <w:color w:val="5B8900" w:themeColor="accent3" w:themeShade="BF"/>
          <w:spacing w:val="0"/>
          <w:sz w:val="16"/>
        </w:rPr>
      </w:pPr>
      <w:r w:rsidRPr="0060568B">
        <w:rPr>
          <w:b/>
          <w:color w:val="5B8900" w:themeColor="accent3" w:themeShade="BF"/>
          <w:spacing w:val="0"/>
          <w:sz w:val="16"/>
        </w:rPr>
        <w:t>Chart 3: Government Subsidised Enrolments by Apprentices and Trainees, 2008 to 2012, Q1 201</w:t>
      </w:r>
      <w:r w:rsidR="004102F6">
        <w:rPr>
          <w:b/>
          <w:color w:val="5B8900" w:themeColor="accent3" w:themeShade="BF"/>
          <w:spacing w:val="0"/>
          <w:sz w:val="16"/>
        </w:rPr>
        <w:t>1</w:t>
      </w:r>
      <w:r w:rsidRPr="0060568B">
        <w:rPr>
          <w:b/>
          <w:color w:val="5B8900" w:themeColor="accent3" w:themeShade="BF"/>
          <w:spacing w:val="0"/>
          <w:sz w:val="16"/>
        </w:rPr>
        <w:t xml:space="preserve"> </w:t>
      </w:r>
      <w:r w:rsidR="004102F6">
        <w:rPr>
          <w:b/>
          <w:color w:val="5B8900" w:themeColor="accent3" w:themeShade="BF"/>
          <w:spacing w:val="0"/>
          <w:sz w:val="16"/>
        </w:rPr>
        <w:t>to</w:t>
      </w:r>
      <w:r w:rsidRPr="0060568B">
        <w:rPr>
          <w:b/>
          <w:color w:val="5B8900" w:themeColor="accent3" w:themeShade="BF"/>
          <w:spacing w:val="0"/>
          <w:sz w:val="16"/>
        </w:rPr>
        <w:t xml:space="preserve"> Q1 2013</w:t>
      </w:r>
    </w:p>
    <w:p w:rsidR="0060568B" w:rsidRPr="000B6BA5" w:rsidRDefault="0060568B" w:rsidP="000B6BA5">
      <w:r>
        <w:rPr>
          <w:noProof/>
          <w:lang w:eastAsia="en-AU"/>
        </w:rPr>
        <w:drawing>
          <wp:inline distT="0" distB="0" distL="0" distR="0" wp14:anchorId="2E2FFBD6">
            <wp:extent cx="6032311" cy="2093707"/>
            <wp:effectExtent l="0" t="0" r="698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1239" r="1464"/>
                    <a:stretch/>
                  </pic:blipFill>
                  <pic:spPr bwMode="auto">
                    <a:xfrm>
                      <a:off x="0" y="0"/>
                      <a:ext cx="6040652" cy="2096602"/>
                    </a:xfrm>
                    <a:prstGeom prst="rect">
                      <a:avLst/>
                    </a:prstGeom>
                    <a:noFill/>
                    <a:ln>
                      <a:noFill/>
                    </a:ln>
                    <a:extLst>
                      <a:ext uri="{53640926-AAD7-44D8-BBD7-CCE9431645EC}">
                        <a14:shadowObscured xmlns:a14="http://schemas.microsoft.com/office/drawing/2010/main"/>
                      </a:ext>
                    </a:extLst>
                  </pic:spPr>
                </pic:pic>
              </a:graphicData>
            </a:graphic>
          </wp:inline>
        </w:drawing>
      </w:r>
    </w:p>
    <w:p w:rsidR="0050527F" w:rsidRPr="0050527F" w:rsidRDefault="0050527F" w:rsidP="0050527F">
      <w:pPr>
        <w:spacing w:before="0" w:after="120"/>
        <w:rPr>
          <w:b/>
          <w:color w:val="5B8900" w:themeColor="accent3" w:themeShade="BF"/>
          <w:spacing w:val="0"/>
          <w:sz w:val="24"/>
        </w:rPr>
      </w:pPr>
      <w:r w:rsidRPr="0050527F">
        <w:rPr>
          <w:b/>
          <w:color w:val="5B8900" w:themeColor="accent3" w:themeShade="BF"/>
          <w:spacing w:val="0"/>
          <w:sz w:val="24"/>
        </w:rPr>
        <w:t>Delivery by qualification level</w:t>
      </w:r>
    </w:p>
    <w:p w:rsidR="0060568B" w:rsidRDefault="0060568B" w:rsidP="0060568B">
      <w:pPr>
        <w:spacing w:before="0"/>
      </w:pPr>
      <w:r>
        <w:t>The number of government subsidised enrolments at the Certificate I-II levels increased by 2,300 or 4 per cent in the first quarter of 2013 compared to Q1 2012, but there were declines in enrolments at the Certificate III-IV levels (down by 6 per cent) Diploma &amp; Above (down by 17 per cent), Module only training (down by 16 per cent) and secondary school subjects (down by 16 per cent). Government subsidised enrolments in Diploma &amp; above courses were broadly at similar levels to that in Q1 2011.</w:t>
      </w:r>
    </w:p>
    <w:p w:rsidR="0060568B" w:rsidRPr="00625222" w:rsidRDefault="0060568B" w:rsidP="0060568B">
      <w:r>
        <w:t>Proportionally, Certificate III to IV remains the largest qualification group (60 per cent) across Australian Qualification Framework (AQF) courses (i.e. Certificate I-II, Certificate III-IV and Diploma &amp; Above).</w:t>
      </w:r>
      <w:r w:rsidRPr="00625222">
        <w:t xml:space="preserve"> </w:t>
      </w:r>
    </w:p>
    <w:p w:rsidR="0060568B" w:rsidRPr="00C3342F" w:rsidRDefault="0060568B" w:rsidP="0060568B">
      <w:pPr>
        <w:spacing w:before="0"/>
        <w:rPr>
          <w:b/>
          <w:color w:val="5B8900" w:themeColor="accent3" w:themeShade="BF"/>
          <w:spacing w:val="0"/>
          <w:sz w:val="16"/>
        </w:rPr>
      </w:pPr>
      <w:r w:rsidRPr="00C3342F">
        <w:rPr>
          <w:b/>
          <w:color w:val="5B8900" w:themeColor="accent3" w:themeShade="BF"/>
          <w:spacing w:val="0"/>
          <w:sz w:val="16"/>
        </w:rPr>
        <w:t xml:space="preserve">Chart </w:t>
      </w:r>
      <w:r w:rsidR="004102F6">
        <w:rPr>
          <w:b/>
          <w:color w:val="5B8900" w:themeColor="accent3" w:themeShade="BF"/>
          <w:spacing w:val="0"/>
          <w:sz w:val="16"/>
        </w:rPr>
        <w:t>4</w:t>
      </w:r>
      <w:r w:rsidRPr="00C3342F">
        <w:rPr>
          <w:b/>
          <w:color w:val="5B8900" w:themeColor="accent3" w:themeShade="BF"/>
          <w:spacing w:val="0"/>
          <w:sz w:val="16"/>
        </w:rPr>
        <w:t>: Government Subsidised Enrolments</w:t>
      </w:r>
      <w:r w:rsidR="004102F6">
        <w:rPr>
          <w:b/>
          <w:color w:val="5B8900" w:themeColor="accent3" w:themeShade="BF"/>
          <w:spacing w:val="0"/>
          <w:sz w:val="16"/>
        </w:rPr>
        <w:t xml:space="preserve"> by Qualification Level, Q1 2011 to</w:t>
      </w:r>
      <w:r w:rsidRPr="00C3342F">
        <w:rPr>
          <w:b/>
          <w:color w:val="5B8900" w:themeColor="accent3" w:themeShade="BF"/>
          <w:spacing w:val="0"/>
          <w:sz w:val="16"/>
        </w:rPr>
        <w:t xml:space="preserve"> Q1 2013</w:t>
      </w:r>
    </w:p>
    <w:p w:rsidR="0060568B" w:rsidRDefault="00E34972" w:rsidP="0060568B">
      <w:pPr>
        <w:spacing w:before="0"/>
      </w:pPr>
      <w:r>
        <w:rPr>
          <w:noProof/>
          <w:lang w:eastAsia="en-AU"/>
        </w:rPr>
        <w:drawing>
          <wp:inline distT="0" distB="0" distL="0" distR="0" wp14:anchorId="0C1E9DE1">
            <wp:extent cx="5998191" cy="2324664"/>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1" r="1568"/>
                    <a:stretch/>
                  </pic:blipFill>
                  <pic:spPr bwMode="auto">
                    <a:xfrm>
                      <a:off x="0" y="0"/>
                      <a:ext cx="6003184" cy="2326599"/>
                    </a:xfrm>
                    <a:prstGeom prst="rect">
                      <a:avLst/>
                    </a:prstGeom>
                    <a:noFill/>
                    <a:ln>
                      <a:noFill/>
                    </a:ln>
                    <a:extLst>
                      <a:ext uri="{53640926-AAD7-44D8-BBD7-CCE9431645EC}">
                        <a14:shadowObscured xmlns:a14="http://schemas.microsoft.com/office/drawing/2010/main"/>
                      </a:ext>
                    </a:extLst>
                  </pic:spPr>
                </pic:pic>
              </a:graphicData>
            </a:graphic>
          </wp:inline>
        </w:drawing>
      </w:r>
    </w:p>
    <w:p w:rsidR="0060568B" w:rsidRDefault="0060568B" w:rsidP="00122EF2">
      <w:pPr>
        <w:spacing w:before="0" w:after="120"/>
        <w:rPr>
          <w:b/>
          <w:color w:val="5B8900" w:themeColor="accent3" w:themeShade="BF"/>
          <w:spacing w:val="0"/>
          <w:sz w:val="24"/>
        </w:rPr>
      </w:pPr>
    </w:p>
    <w:p w:rsidR="00241CC2" w:rsidRDefault="00241CC2">
      <w:pPr>
        <w:spacing w:before="0" w:after="0" w:line="240" w:lineRule="auto"/>
        <w:rPr>
          <w:b/>
          <w:color w:val="5B8900" w:themeColor="accent3" w:themeShade="BF"/>
          <w:spacing w:val="0"/>
          <w:sz w:val="24"/>
        </w:rPr>
      </w:pPr>
      <w:r>
        <w:rPr>
          <w:b/>
          <w:color w:val="5B8900" w:themeColor="accent3" w:themeShade="BF"/>
          <w:spacing w:val="0"/>
          <w:sz w:val="24"/>
        </w:rPr>
        <w:br w:type="page"/>
      </w:r>
    </w:p>
    <w:p w:rsidR="00122EF2" w:rsidRPr="00C3342F" w:rsidRDefault="00122EF2" w:rsidP="00122EF2">
      <w:pPr>
        <w:spacing w:before="0" w:after="120"/>
        <w:rPr>
          <w:b/>
          <w:color w:val="5B8900" w:themeColor="accent3" w:themeShade="BF"/>
          <w:spacing w:val="0"/>
          <w:sz w:val="24"/>
        </w:rPr>
      </w:pPr>
      <w:r w:rsidRPr="00C3342F">
        <w:rPr>
          <w:b/>
          <w:color w:val="5B8900" w:themeColor="accent3" w:themeShade="BF"/>
          <w:spacing w:val="0"/>
          <w:sz w:val="24"/>
        </w:rPr>
        <w:lastRenderedPageBreak/>
        <w:t>Government Subsidised Training Delivery by Region</w:t>
      </w:r>
      <w:r w:rsidR="00FB3966">
        <w:rPr>
          <w:b/>
          <w:color w:val="5B8900" w:themeColor="accent3" w:themeShade="BF"/>
          <w:spacing w:val="0"/>
          <w:sz w:val="24"/>
        </w:rPr>
        <w:t>al Area</w:t>
      </w:r>
      <w:r w:rsidRPr="00C3342F">
        <w:rPr>
          <w:b/>
          <w:color w:val="5B8900" w:themeColor="accent3" w:themeShade="BF"/>
          <w:spacing w:val="0"/>
          <w:sz w:val="24"/>
        </w:rPr>
        <w:t>, by Higher Need Learners</w:t>
      </w:r>
    </w:p>
    <w:p w:rsidR="00792D01" w:rsidRDefault="00122EF2" w:rsidP="007031C7">
      <w:r>
        <w:t xml:space="preserve">The first quarter of 2013 </w:t>
      </w:r>
      <w:r w:rsidR="00E42BDC">
        <w:t xml:space="preserve">data show </w:t>
      </w:r>
      <w:r w:rsidR="00BF5985">
        <w:t xml:space="preserve">that </w:t>
      </w:r>
      <w:r w:rsidR="005D5928">
        <w:t xml:space="preserve">the overall </w:t>
      </w:r>
      <w:r w:rsidR="00BF5985">
        <w:t xml:space="preserve">decline in </w:t>
      </w:r>
      <w:r>
        <w:t xml:space="preserve">government subsidised course enrolments </w:t>
      </w:r>
      <w:r w:rsidR="00BF5985">
        <w:t xml:space="preserve">has occurred </w:t>
      </w:r>
      <w:r w:rsidR="00E42BDC">
        <w:t>across most regions</w:t>
      </w:r>
      <w:r>
        <w:t xml:space="preserve"> </w:t>
      </w:r>
      <w:r w:rsidR="00E37814">
        <w:t>compared to</w:t>
      </w:r>
      <w:r>
        <w:t xml:space="preserve"> Q1 2012</w:t>
      </w:r>
      <w:r w:rsidR="00E42BDC">
        <w:t>, except Hume, Western Metropolitan and Northern Metropolitan region</w:t>
      </w:r>
      <w:r w:rsidR="00FB3966">
        <w:t xml:space="preserve"> area</w:t>
      </w:r>
      <w:r w:rsidR="00E42BDC">
        <w:t xml:space="preserve">s </w:t>
      </w:r>
      <w:r w:rsidR="00A54C5E">
        <w:t xml:space="preserve">which </w:t>
      </w:r>
      <w:r w:rsidR="00CA129B">
        <w:t>show an</w:t>
      </w:r>
      <w:r w:rsidR="00A54C5E">
        <w:t xml:space="preserve"> increase of 42 per cent, 3 per cent and 2 per cent respectively.  </w:t>
      </w:r>
    </w:p>
    <w:p w:rsidR="00364496" w:rsidRPr="00C3342F" w:rsidRDefault="00364496" w:rsidP="00364496">
      <w:pPr>
        <w:spacing w:before="0"/>
        <w:rPr>
          <w:b/>
          <w:color w:val="5B8900" w:themeColor="accent3" w:themeShade="BF"/>
          <w:spacing w:val="0"/>
          <w:sz w:val="16"/>
        </w:rPr>
      </w:pPr>
      <w:r w:rsidRPr="00C3342F">
        <w:rPr>
          <w:b/>
          <w:color w:val="5B8900" w:themeColor="accent3" w:themeShade="BF"/>
          <w:spacing w:val="0"/>
          <w:sz w:val="16"/>
        </w:rPr>
        <w:t xml:space="preserve">Chart </w:t>
      </w:r>
      <w:r w:rsidR="005F6BB7" w:rsidRPr="00C3342F">
        <w:rPr>
          <w:b/>
          <w:color w:val="5B8900" w:themeColor="accent3" w:themeShade="BF"/>
          <w:spacing w:val="0"/>
          <w:sz w:val="16"/>
        </w:rPr>
        <w:t>5</w:t>
      </w:r>
      <w:r w:rsidRPr="00C3342F">
        <w:rPr>
          <w:b/>
          <w:color w:val="5B8900" w:themeColor="accent3" w:themeShade="BF"/>
          <w:spacing w:val="0"/>
          <w:sz w:val="16"/>
        </w:rPr>
        <w:t xml:space="preserve">: </w:t>
      </w:r>
      <w:r w:rsidR="009F3AC3" w:rsidRPr="00C3342F">
        <w:rPr>
          <w:b/>
          <w:color w:val="5B8900" w:themeColor="accent3" w:themeShade="BF"/>
          <w:spacing w:val="0"/>
          <w:sz w:val="16"/>
        </w:rPr>
        <w:t>Government S</w:t>
      </w:r>
      <w:r w:rsidRPr="00C3342F">
        <w:rPr>
          <w:b/>
          <w:color w:val="5B8900" w:themeColor="accent3" w:themeShade="BF"/>
          <w:spacing w:val="0"/>
          <w:sz w:val="16"/>
        </w:rPr>
        <w:t xml:space="preserve">ubsidised </w:t>
      </w:r>
      <w:r w:rsidR="009F3AC3" w:rsidRPr="00C3342F">
        <w:rPr>
          <w:b/>
          <w:color w:val="5B8900" w:themeColor="accent3" w:themeShade="BF"/>
          <w:spacing w:val="0"/>
          <w:sz w:val="16"/>
        </w:rPr>
        <w:t>E</w:t>
      </w:r>
      <w:r w:rsidRPr="00C3342F">
        <w:rPr>
          <w:b/>
          <w:color w:val="5B8900" w:themeColor="accent3" w:themeShade="BF"/>
          <w:spacing w:val="0"/>
          <w:sz w:val="16"/>
        </w:rPr>
        <w:t xml:space="preserve">nrolments by </w:t>
      </w:r>
      <w:r w:rsidR="00FB3966">
        <w:rPr>
          <w:b/>
          <w:color w:val="5B8900" w:themeColor="accent3" w:themeShade="BF"/>
          <w:spacing w:val="0"/>
          <w:sz w:val="16"/>
        </w:rPr>
        <w:t>regional area</w:t>
      </w:r>
      <w:r w:rsidRPr="00C3342F">
        <w:rPr>
          <w:b/>
          <w:color w:val="5B8900" w:themeColor="accent3" w:themeShade="BF"/>
          <w:spacing w:val="0"/>
          <w:sz w:val="16"/>
        </w:rPr>
        <w:t xml:space="preserve">, </w:t>
      </w:r>
      <w:r w:rsidR="00E42BDC" w:rsidRPr="00C3342F">
        <w:rPr>
          <w:b/>
          <w:color w:val="5B8900" w:themeColor="accent3" w:themeShade="BF"/>
          <w:spacing w:val="0"/>
          <w:sz w:val="16"/>
        </w:rPr>
        <w:t>Q1 201</w:t>
      </w:r>
      <w:r w:rsidR="004102F6">
        <w:rPr>
          <w:b/>
          <w:color w:val="5B8900" w:themeColor="accent3" w:themeShade="BF"/>
          <w:spacing w:val="0"/>
          <w:sz w:val="16"/>
        </w:rPr>
        <w:t>1</w:t>
      </w:r>
      <w:r w:rsidR="00E42BDC" w:rsidRPr="00C3342F">
        <w:rPr>
          <w:b/>
          <w:color w:val="5B8900" w:themeColor="accent3" w:themeShade="BF"/>
          <w:spacing w:val="0"/>
          <w:sz w:val="16"/>
        </w:rPr>
        <w:t xml:space="preserve"> </w:t>
      </w:r>
      <w:r w:rsidR="004102F6">
        <w:rPr>
          <w:b/>
          <w:color w:val="5B8900" w:themeColor="accent3" w:themeShade="BF"/>
          <w:spacing w:val="0"/>
          <w:sz w:val="16"/>
        </w:rPr>
        <w:t>to</w:t>
      </w:r>
      <w:r w:rsidR="00E42BDC" w:rsidRPr="00C3342F">
        <w:rPr>
          <w:b/>
          <w:color w:val="5B8900" w:themeColor="accent3" w:themeShade="BF"/>
          <w:spacing w:val="0"/>
          <w:sz w:val="16"/>
        </w:rPr>
        <w:t xml:space="preserve"> Q1 2013</w:t>
      </w:r>
    </w:p>
    <w:p w:rsidR="007031C7" w:rsidRDefault="007902D9">
      <w:pPr>
        <w:spacing w:before="0" w:after="0" w:line="240" w:lineRule="auto"/>
        <w:rPr>
          <w:b/>
          <w:bCs/>
          <w:iCs/>
          <w:color w:val="5B8900" w:themeColor="accent3" w:themeShade="BF"/>
          <w:spacing w:val="0"/>
          <w:sz w:val="24"/>
        </w:rPr>
      </w:pPr>
      <w:r>
        <w:rPr>
          <w:b/>
          <w:bCs/>
          <w:iCs/>
          <w:noProof/>
          <w:color w:val="5B8900" w:themeColor="accent3" w:themeShade="BF"/>
          <w:spacing w:val="0"/>
          <w:sz w:val="24"/>
          <w:lang w:eastAsia="en-AU"/>
        </w:rPr>
        <w:drawing>
          <wp:inline distT="0" distB="0" distL="0" distR="0" wp14:anchorId="2DEBE95B">
            <wp:extent cx="6020579" cy="272955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22965" cy="2730634"/>
                    </a:xfrm>
                    <a:prstGeom prst="rect">
                      <a:avLst/>
                    </a:prstGeom>
                    <a:noFill/>
                  </pic:spPr>
                </pic:pic>
              </a:graphicData>
            </a:graphic>
          </wp:inline>
        </w:drawing>
      </w:r>
    </w:p>
    <w:p w:rsidR="0074514C" w:rsidRPr="0074514C" w:rsidRDefault="008B4B76" w:rsidP="0074514C">
      <w:r>
        <w:t xml:space="preserve">Against a drop of 9 per cent in </w:t>
      </w:r>
      <w:r w:rsidR="005D5928">
        <w:t xml:space="preserve">overall </w:t>
      </w:r>
      <w:r>
        <w:t>student numbers</w:t>
      </w:r>
      <w:r w:rsidR="00A86948">
        <w:t xml:space="preserve"> in Q1 2013</w:t>
      </w:r>
      <w:r w:rsidR="005D5928">
        <w:t xml:space="preserve"> when compared to Q1 in 2012</w:t>
      </w:r>
      <w:r>
        <w:t>, h</w:t>
      </w:r>
      <w:r w:rsidR="0074514C" w:rsidRPr="0074514C">
        <w:t xml:space="preserve">igher need learners are </w:t>
      </w:r>
      <w:r>
        <w:t xml:space="preserve">still </w:t>
      </w:r>
      <w:r w:rsidR="0074514C" w:rsidRPr="0074514C">
        <w:t>actively engaged in vocational education and training</w:t>
      </w:r>
      <w:r w:rsidR="003B46CB">
        <w:t>.</w:t>
      </w:r>
      <w:r w:rsidR="0074514C" w:rsidRPr="0074514C">
        <w:t xml:space="preserve"> </w:t>
      </w:r>
      <w:r w:rsidR="0005004A">
        <w:t>The preliminary data show that there were small increases in the numbers of Indigenous students and unemployed students undertaking government subsidised training courses</w:t>
      </w:r>
      <w:r w:rsidR="00A86948">
        <w:t xml:space="preserve"> in Q1 2013</w:t>
      </w:r>
      <w:r w:rsidR="0005004A">
        <w:t>.</w:t>
      </w:r>
      <w:r w:rsidR="005F6BB7">
        <w:t xml:space="preserve"> </w:t>
      </w:r>
    </w:p>
    <w:p w:rsidR="003B46CB" w:rsidRPr="00C3342F" w:rsidRDefault="005F6BB7" w:rsidP="003B46CB">
      <w:pPr>
        <w:spacing w:before="0"/>
        <w:rPr>
          <w:b/>
          <w:color w:val="5B8900" w:themeColor="accent3" w:themeShade="BF"/>
          <w:spacing w:val="0"/>
          <w:sz w:val="16"/>
        </w:rPr>
      </w:pPr>
      <w:r w:rsidRPr="00C3342F">
        <w:rPr>
          <w:b/>
          <w:color w:val="5B8900" w:themeColor="accent3" w:themeShade="BF"/>
          <w:spacing w:val="0"/>
          <w:sz w:val="16"/>
        </w:rPr>
        <w:t>Table 2</w:t>
      </w:r>
      <w:r w:rsidR="003B46CB" w:rsidRPr="00C3342F">
        <w:rPr>
          <w:b/>
          <w:color w:val="5B8900" w:themeColor="accent3" w:themeShade="BF"/>
          <w:spacing w:val="0"/>
          <w:sz w:val="16"/>
        </w:rPr>
        <w:t xml:space="preserve">: </w:t>
      </w:r>
      <w:r w:rsidR="0005004A" w:rsidRPr="00C3342F">
        <w:rPr>
          <w:b/>
          <w:color w:val="5B8900" w:themeColor="accent3" w:themeShade="BF"/>
          <w:spacing w:val="0"/>
          <w:sz w:val="16"/>
        </w:rPr>
        <w:t>Number of Government Subsidised Students by H</w:t>
      </w:r>
      <w:r w:rsidR="003B46CB" w:rsidRPr="00C3342F">
        <w:rPr>
          <w:b/>
          <w:color w:val="5B8900" w:themeColor="accent3" w:themeShade="BF"/>
          <w:spacing w:val="0"/>
          <w:sz w:val="16"/>
        </w:rPr>
        <w:t xml:space="preserve">igher Needs </w:t>
      </w:r>
      <w:r w:rsidR="0005004A" w:rsidRPr="00C3342F">
        <w:rPr>
          <w:b/>
          <w:color w:val="5B8900" w:themeColor="accent3" w:themeShade="BF"/>
          <w:spacing w:val="0"/>
          <w:sz w:val="16"/>
        </w:rPr>
        <w:t>Learner Group*</w:t>
      </w:r>
      <w:r w:rsidR="003B46CB" w:rsidRPr="00C3342F">
        <w:rPr>
          <w:b/>
          <w:color w:val="5B8900" w:themeColor="accent3" w:themeShade="BF"/>
          <w:spacing w:val="0"/>
          <w:sz w:val="16"/>
        </w:rPr>
        <w:t>, 2008 to 2012, Q1 2012 and Q1 2013</w:t>
      </w:r>
    </w:p>
    <w:p w:rsidR="00122EF2" w:rsidRPr="00C11FA6" w:rsidRDefault="0006591F">
      <w:pPr>
        <w:spacing w:before="0" w:after="0" w:line="240" w:lineRule="auto"/>
        <w:rPr>
          <w:bCs/>
          <w:iCs/>
          <w:color w:val="auto"/>
          <w:spacing w:val="0"/>
          <w:sz w:val="20"/>
          <w:szCs w:val="20"/>
        </w:rPr>
      </w:pPr>
      <w:r>
        <w:rPr>
          <w:bCs/>
          <w:iCs/>
          <w:noProof/>
          <w:color w:val="auto"/>
          <w:spacing w:val="0"/>
          <w:sz w:val="20"/>
          <w:szCs w:val="20"/>
          <w:lang w:eastAsia="en-AU"/>
        </w:rPr>
        <w:drawing>
          <wp:inline distT="0" distB="0" distL="0" distR="0">
            <wp:extent cx="6031230" cy="10571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31230" cy="1057170"/>
                    </a:xfrm>
                    <a:prstGeom prst="rect">
                      <a:avLst/>
                    </a:prstGeom>
                    <a:noFill/>
                    <a:ln>
                      <a:noFill/>
                    </a:ln>
                  </pic:spPr>
                </pic:pic>
              </a:graphicData>
            </a:graphic>
          </wp:inline>
        </w:drawing>
      </w:r>
    </w:p>
    <w:p w:rsidR="00122EF2" w:rsidRDefault="0005004A" w:rsidP="0005004A">
      <w:pPr>
        <w:spacing w:before="0"/>
        <w:rPr>
          <w:sz w:val="16"/>
          <w:szCs w:val="16"/>
        </w:rPr>
      </w:pPr>
      <w:r w:rsidRPr="00DB7AFF">
        <w:rPr>
          <w:sz w:val="16"/>
          <w:szCs w:val="16"/>
        </w:rPr>
        <w:t>*Numbers in the above cohort groups are not mutually exclusive.</w:t>
      </w:r>
      <w:r w:rsidR="00C61B64">
        <w:rPr>
          <w:sz w:val="16"/>
          <w:szCs w:val="16"/>
        </w:rPr>
        <w:t xml:space="preserve"> CALD – Culturally and Linguistically Diverse</w:t>
      </w:r>
    </w:p>
    <w:p w:rsidR="004E57A2" w:rsidRPr="00F44E57" w:rsidRDefault="004E57A2" w:rsidP="004E57A2">
      <w:pPr>
        <w:pBdr>
          <w:top w:val="single" w:sz="4" w:space="1" w:color="auto"/>
          <w:left w:val="single" w:sz="4" w:space="4" w:color="auto"/>
          <w:bottom w:val="single" w:sz="4" w:space="1" w:color="auto"/>
          <w:right w:val="single" w:sz="4" w:space="4" w:color="auto"/>
        </w:pBdr>
        <w:spacing w:before="0" w:after="0"/>
        <w:rPr>
          <w:b/>
          <w:color w:val="00338D" w:themeColor="accent4"/>
          <w:spacing w:val="0"/>
          <w:sz w:val="16"/>
          <w:szCs w:val="16"/>
        </w:rPr>
      </w:pPr>
      <w:r w:rsidRPr="00F44E57">
        <w:rPr>
          <w:b/>
          <w:color w:val="00338D" w:themeColor="accent4"/>
          <w:spacing w:val="0"/>
          <w:sz w:val="16"/>
          <w:szCs w:val="16"/>
        </w:rPr>
        <w:t>Notes about the data</w:t>
      </w:r>
      <w:r>
        <w:rPr>
          <w:b/>
          <w:color w:val="00338D" w:themeColor="accent4"/>
          <w:spacing w:val="0"/>
          <w:sz w:val="16"/>
          <w:szCs w:val="16"/>
        </w:rPr>
        <w:t xml:space="preserve"> </w:t>
      </w:r>
    </w:p>
    <w:p w:rsidR="00383D2B" w:rsidRPr="00383D2B" w:rsidRDefault="00383D2B" w:rsidP="00383D2B">
      <w:pPr>
        <w:pBdr>
          <w:top w:val="single" w:sz="4" w:space="1" w:color="auto"/>
          <w:left w:val="single" w:sz="4" w:space="4" w:color="auto"/>
          <w:bottom w:val="single" w:sz="4" w:space="1" w:color="auto"/>
          <w:right w:val="single" w:sz="4" w:space="4" w:color="auto"/>
        </w:pBdr>
        <w:spacing w:before="0" w:after="120" w:line="240" w:lineRule="auto"/>
        <w:rPr>
          <w:i/>
          <w:sz w:val="16"/>
          <w:szCs w:val="16"/>
        </w:rPr>
      </w:pPr>
      <w:r w:rsidRPr="00383D2B">
        <w:rPr>
          <w:i/>
          <w:sz w:val="16"/>
          <w:szCs w:val="16"/>
        </w:rPr>
        <w:t>The Victorian Training Market Report is compiled on the basis of training activity data submitted to the Department of Education and Early Child Development by funded training providers. Data included in the Report is based on reported date, i.e. the date training activity data is submitted to the Department. Quarter 1 2013 includes training activity data that was submitted to the Department between January and March 2013.</w:t>
      </w:r>
    </w:p>
    <w:p w:rsidR="00383D2B" w:rsidRPr="00383D2B" w:rsidRDefault="00383D2B" w:rsidP="00383D2B">
      <w:pPr>
        <w:pBdr>
          <w:top w:val="single" w:sz="4" w:space="1" w:color="auto"/>
          <w:left w:val="single" w:sz="4" w:space="4" w:color="auto"/>
          <w:bottom w:val="single" w:sz="4" w:space="1" w:color="auto"/>
          <w:right w:val="single" w:sz="4" w:space="4" w:color="auto"/>
        </w:pBdr>
        <w:spacing w:before="0" w:after="120" w:line="240" w:lineRule="auto"/>
        <w:rPr>
          <w:i/>
          <w:sz w:val="16"/>
          <w:szCs w:val="16"/>
        </w:rPr>
      </w:pPr>
      <w:r w:rsidRPr="00383D2B">
        <w:rPr>
          <w:i/>
          <w:sz w:val="16"/>
          <w:szCs w:val="16"/>
        </w:rPr>
        <w:t xml:space="preserve">The commentary contained in the report generally compares first quarter reported figures for 2013 with first quarter figures in 2012. Full year figures from 2008 to 2012 are included to show longer term trends. The figures in the first quarter are a snapshot in time and should be treated as indicative only as they are based on preliminary enrolment data reported to the Department by training providers. </w:t>
      </w:r>
    </w:p>
    <w:p w:rsidR="00383D2B" w:rsidRPr="00383D2B" w:rsidRDefault="00383D2B" w:rsidP="00383D2B">
      <w:pPr>
        <w:pBdr>
          <w:top w:val="single" w:sz="4" w:space="1" w:color="auto"/>
          <w:left w:val="single" w:sz="4" w:space="4" w:color="auto"/>
          <w:bottom w:val="single" w:sz="4" w:space="1" w:color="auto"/>
          <w:right w:val="single" w:sz="4" w:space="4" w:color="auto"/>
        </w:pBdr>
        <w:spacing w:before="0" w:after="120" w:line="240" w:lineRule="auto"/>
        <w:rPr>
          <w:i/>
          <w:sz w:val="16"/>
          <w:szCs w:val="16"/>
        </w:rPr>
      </w:pPr>
      <w:r w:rsidRPr="00383D2B">
        <w:rPr>
          <w:i/>
          <w:sz w:val="16"/>
          <w:szCs w:val="16"/>
        </w:rPr>
        <w:t>In some cases some providers may not have submitted their full quarter’s training data which could impact on the overall state result for the quarter. In particular, some providers may have students who have commenced a course in the later part of a quarter and as a consequence of provider processes this information may not be reported to the Department until the following quarter. For example, two TAFEs had about 2,000 course commencements that occurred in Quarter 1 2013, but were not reported until Quarter 2 2013 (quarter so far i.e. April-May 2013).</w:t>
      </w:r>
      <w:r w:rsidR="00342EC7">
        <w:rPr>
          <w:i/>
          <w:sz w:val="16"/>
          <w:szCs w:val="16"/>
        </w:rPr>
        <w:t xml:space="preserve"> Such activity not reported in Q</w:t>
      </w:r>
      <w:r w:rsidRPr="00383D2B">
        <w:rPr>
          <w:i/>
          <w:sz w:val="16"/>
          <w:szCs w:val="16"/>
        </w:rPr>
        <w:t>uarter 1 will be include</w:t>
      </w:r>
      <w:r w:rsidR="00342EC7">
        <w:rPr>
          <w:i/>
          <w:sz w:val="16"/>
          <w:szCs w:val="16"/>
        </w:rPr>
        <w:t>d</w:t>
      </w:r>
      <w:r w:rsidRPr="00383D2B">
        <w:rPr>
          <w:i/>
          <w:sz w:val="16"/>
          <w:szCs w:val="16"/>
        </w:rPr>
        <w:t xml:space="preserve"> as part of the Quarter 2 Training Market Report, which will include training activity cumulative up to June 2013.</w:t>
      </w:r>
    </w:p>
    <w:p w:rsidR="00383D2B" w:rsidRPr="00383D2B" w:rsidRDefault="00383D2B" w:rsidP="00383D2B">
      <w:pPr>
        <w:pBdr>
          <w:top w:val="single" w:sz="4" w:space="1" w:color="auto"/>
          <w:left w:val="single" w:sz="4" w:space="4" w:color="auto"/>
          <w:bottom w:val="single" w:sz="4" w:space="1" w:color="auto"/>
          <w:right w:val="single" w:sz="4" w:space="4" w:color="auto"/>
        </w:pBdr>
        <w:spacing w:before="0" w:after="120" w:line="240" w:lineRule="auto"/>
        <w:rPr>
          <w:i/>
          <w:sz w:val="16"/>
          <w:szCs w:val="16"/>
        </w:rPr>
      </w:pPr>
      <w:r w:rsidRPr="00383D2B">
        <w:rPr>
          <w:i/>
          <w:sz w:val="16"/>
          <w:szCs w:val="16"/>
        </w:rPr>
        <w:t>All data is subject to change until the end of the calendar year.</w:t>
      </w:r>
    </w:p>
    <w:p w:rsidR="004E57A2" w:rsidRPr="00BB6522" w:rsidRDefault="00383D2B" w:rsidP="00BB6522">
      <w:pPr>
        <w:pBdr>
          <w:top w:val="single" w:sz="4" w:space="1" w:color="auto"/>
          <w:left w:val="single" w:sz="4" w:space="4" w:color="auto"/>
          <w:bottom w:val="single" w:sz="4" w:space="1" w:color="auto"/>
          <w:right w:val="single" w:sz="4" w:space="4" w:color="auto"/>
        </w:pBdr>
        <w:spacing w:before="0" w:after="120" w:line="240" w:lineRule="auto"/>
        <w:rPr>
          <w:i/>
          <w:sz w:val="16"/>
          <w:szCs w:val="16"/>
        </w:rPr>
      </w:pPr>
      <w:r w:rsidRPr="00383D2B">
        <w:rPr>
          <w:i/>
          <w:sz w:val="16"/>
          <w:szCs w:val="16"/>
        </w:rPr>
        <w:t xml:space="preserve">Owing to the preliminary nature of this VET data, figures in the first quarter should be treated as being indicative only. Figures are generally rounded to the nearest 100. </w:t>
      </w:r>
    </w:p>
    <w:sectPr w:rsidR="004E57A2" w:rsidRPr="00BB6522" w:rsidSect="00BB6522">
      <w:type w:val="continuous"/>
      <w:pgSz w:w="11907" w:h="16840" w:code="9"/>
      <w:pgMar w:top="1560" w:right="1275" w:bottom="851" w:left="1134" w:header="426" w:footer="4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Data r:id="rId1"/>
  </wne:toolbars>
  <wne:acds>
    <wne:acd wne:argValue="SQBuAHMAZQByAHQAIABJAG0AYQBnAGUAIABQAGEAbgBlAGwAIABpAG4AIABSAGkAZwBoAHQAIABN&#10;AGEAcgBnAA==" wne:acdName="acd0" wne:fciIndexBasedOn="0211"/>
    <wne:acd wne:argValue="AgBQAHUAbABsACAATwB1AHQAIABUAGUAeAB0AA==" wne:acdName="acd1" wne:fciIndexBasedOn="0065"/>
    <wne:acd wne:argValue="AQAAAAEA" wne:acdName="acd2" wne:fciIndexBasedOn="0065"/>
    <wne:acd wne:argValue="AQAAAAIA" wne:acdName="acd3" wne:fciIndexBasedOn="0065"/>
    <wne:acd wne:argValue="AQAAAAAA" wne:acdName="acd4" wne:fciIndexBasedOn="0065"/>
    <wne:acd wne:argValue="AQAAAAMA" wne:acdName="acd5" wne:fciIndexBasedOn="0065"/>
    <wne:acd wne:argValue="AQAAADAA" wne:acdName="acd6" wne:fciIndexBasedOn="0065"/>
    <wne:acd wne:argValue="SQBuAHMAZQByAHQAIABJAG0AYQBnAGUAIABQAGEAbgBlAGwAIABpAG4AIABUAGUAeAB0ACAAQgBv&#10;AHgA" wne:acdName="acd7" wne:fciIndexBasedOn="0211"/>
    <wne:acd wne:argValue="AQAAADYA" wne:acdName="acd8" wne:fciIndexBasedOn="0065"/>
    <wne:acd wne:argValue="AgBUAGEAYgBsAGUAIAAtACAAQwBvAGwAdQBtAG4AIABIAGUAYQBkAGkAbgBnAA==" wne:acdName="acd9" wne:fciIndexBasedOn="0065"/>
    <wne:acd wne:argValue="SQBuAHMAZQByAHQAIABUAGEAYgBsAGUAIAB3AGkAdABoACAAQwBhAHAAdABpAG8AbgA=" wne:acdName="acd10" wne:fciIndexBasedOn="0211"/>
    <wne:acd wne:argValue="AgBUAGEAYgBsAGUAIAAtACAAUgBvAHcAIABIAGUAYQBkAGkAbgBnAA==" wne:acdName="acd11" wne:fciIndexBasedOn="0065"/>
    <wne:acd wne:argValue="AgBUAGEAYgBsAGUAIAAtACAARQBuAHQAcgB5AA==" wne:acdName="acd12" wne:fciIndexBasedOn="0065"/>
    <wne:acd wne:argValue="AQAAACIA" wne:acdName="acd13" wne:fciIndexBasedOn="0065"/>
    <wne:acd wne:argValue="SQBuAHMAZQByAHQAIABHAHIAYQBwAGgAIAB3AGkAdABoACAAQwBhAHAAdABpAG8AbgA=" wne:acdName="acd14" wne:fciIndexBasedOn="0211"/>
    <wne:acd wne:argValue="AgBTAG8AdQByAGMAZQA=" wne:acdName="acd15" wne:fciIndexBasedOn="0065"/>
    <wne:acd wne:argValue="AgBTAHAAYQBjAGUAcgA=" wne:acdName="acd16" wne:fciIndexBasedOn="0065"/>
    <wne:acd wne:argValue="AgBSAGUAcABvAHIAdAAgAFQAaQB0AGwAZQA=" wne:acdName="acd17" wne:fciIndexBasedOn="0065"/>
    <wne:acd wne:argValue="AgBSAGUAcABvAHIAdAAgAFMAdQBiAC0AVABpAHQAbABlAA==" wne:acdName="acd18" wne:fciIndexBasedOn="0065"/>
    <wne:acd wne:argValue="AgBOAGUAdwBzAEwAZQB0AHQAZQByACAAVABpAHQAbABlAA==" wne:acdName="acd1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C7" w:rsidRDefault="00342EC7">
      <w:r>
        <w:separator/>
      </w:r>
    </w:p>
  </w:endnote>
  <w:endnote w:type="continuationSeparator" w:id="0">
    <w:p w:rsidR="00342EC7" w:rsidRDefault="0034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C7" w:rsidRPr="000D4779" w:rsidRDefault="00342EC7"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color w:val="5B8900" w:themeColor="accent3" w:themeShade="BF"/>
      </w:rPr>
      <w:id w:val="1868715816"/>
      <w:docPartObj>
        <w:docPartGallery w:val="Page Numbers (Bottom of Page)"/>
        <w:docPartUnique/>
      </w:docPartObj>
    </w:sdtPr>
    <w:sdtEndPr/>
    <w:sdtContent>
      <w:p w:rsidR="00342EC7" w:rsidRPr="00C3342F" w:rsidRDefault="00342EC7" w:rsidP="00C3342F">
        <w:pPr>
          <w:pStyle w:val="PageNum"/>
          <w:rPr>
            <w:noProof/>
            <w:color w:val="5B8900" w:themeColor="accent3" w:themeShade="BF"/>
          </w:rPr>
        </w:pPr>
        <w:r w:rsidRPr="00C3342F">
          <w:rPr>
            <w:noProof/>
            <w:color w:val="5B8900" w:themeColor="accent3" w:themeShade="BF"/>
          </w:rPr>
          <w:fldChar w:fldCharType="begin"/>
        </w:r>
        <w:r w:rsidRPr="00C3342F">
          <w:rPr>
            <w:noProof/>
            <w:color w:val="5B8900" w:themeColor="accent3" w:themeShade="BF"/>
          </w:rPr>
          <w:instrText xml:space="preserve"> PAGE   \* MERGEFORMAT </w:instrText>
        </w:r>
        <w:r w:rsidRPr="00C3342F">
          <w:rPr>
            <w:noProof/>
            <w:color w:val="5B8900" w:themeColor="accent3" w:themeShade="BF"/>
          </w:rPr>
          <w:fldChar w:fldCharType="separate"/>
        </w:r>
        <w:r w:rsidR="002174C6">
          <w:rPr>
            <w:noProof/>
            <w:color w:val="5B8900" w:themeColor="accent3" w:themeShade="BF"/>
          </w:rPr>
          <w:t>5</w:t>
        </w:r>
        <w:r w:rsidRPr="00C3342F">
          <w:rPr>
            <w:noProof/>
            <w:color w:val="5B8900" w:themeColor="accent3" w:themeShade="BF"/>
          </w:rPr>
          <w:fldChar w:fldCharType="end"/>
        </w:r>
      </w:p>
    </w:sdtContent>
  </w:sdt>
  <w:p w:rsidR="00342EC7" w:rsidRDefault="00342E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C7" w:rsidRDefault="00342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C7" w:rsidRDefault="00342EC7">
      <w:r>
        <w:separator/>
      </w:r>
    </w:p>
  </w:footnote>
  <w:footnote w:type="continuationSeparator" w:id="0">
    <w:p w:rsidR="00342EC7" w:rsidRDefault="00342EC7">
      <w:r>
        <w:continuationSeparator/>
      </w:r>
    </w:p>
  </w:footnote>
  <w:footnote w:id="1">
    <w:p w:rsidR="00342EC7" w:rsidRDefault="00342EC7" w:rsidP="00BB6522">
      <w:pPr>
        <w:pStyle w:val="FootnoteText"/>
      </w:pPr>
      <w:r>
        <w:rPr>
          <w:rStyle w:val="FootnoteReference"/>
        </w:rPr>
        <w:footnoteRef/>
      </w:r>
      <w:r>
        <w:t xml:space="preserve"> </w:t>
      </w:r>
      <w:r w:rsidRPr="00BB6522">
        <w:rPr>
          <w:i/>
          <w:sz w:val="16"/>
          <w:szCs w:val="16"/>
        </w:rPr>
        <w:t>Data includes government subsidised activities in all sectors at all qualification levels, and domestic fee for service activities in the TAFE sector at Australian Qualification Framework (Certificate I and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C7" w:rsidRDefault="00342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C7" w:rsidRDefault="00342E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4CEDD2"/>
    <w:lvl w:ilvl="0">
      <w:start w:val="1"/>
      <w:numFmt w:val="bullet"/>
      <w:lvlText w:val=""/>
      <w:lvlJc w:val="left"/>
      <w:pPr>
        <w:tabs>
          <w:tab w:val="num" w:pos="360"/>
        </w:tabs>
        <w:ind w:left="360" w:hanging="360"/>
      </w:pPr>
      <w:rPr>
        <w:rFonts w:ascii="Symbol" w:hAnsi="Symbol" w:hint="default"/>
      </w:rPr>
    </w:lvl>
  </w:abstractNum>
  <w:abstractNum w:abstractNumId="1">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nsid w:val="05A83486"/>
    <w:multiLevelType w:val="hybridMultilevel"/>
    <w:tmpl w:val="6496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F53983"/>
    <w:multiLevelType w:val="hybridMultilevel"/>
    <w:tmpl w:val="6C684262"/>
    <w:lvl w:ilvl="0" w:tplc="0C090001">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5">
    <w:nsid w:val="105F51BF"/>
    <w:multiLevelType w:val="hybridMultilevel"/>
    <w:tmpl w:val="AE5EC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7">
    <w:nsid w:val="1BF70C92"/>
    <w:multiLevelType w:val="hybridMultilevel"/>
    <w:tmpl w:val="5A2001D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2F6A1F9D"/>
    <w:multiLevelType w:val="hybridMultilevel"/>
    <w:tmpl w:val="010EE15E"/>
    <w:lvl w:ilvl="0" w:tplc="5594A922">
      <w:numFmt w:val="bullet"/>
      <w:lvlText w:val="•"/>
      <w:lvlJc w:val="left"/>
      <w:pPr>
        <w:ind w:left="705" w:hanging="705"/>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3">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37B0147D"/>
    <w:multiLevelType w:val="hybridMultilevel"/>
    <w:tmpl w:val="65FC0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EF4E06"/>
    <w:multiLevelType w:val="hybridMultilevel"/>
    <w:tmpl w:val="9266C5D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7">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9">
    <w:nsid w:val="4C99582B"/>
    <w:multiLevelType w:val="hybridMultilevel"/>
    <w:tmpl w:val="8BDE4934"/>
    <w:lvl w:ilvl="0" w:tplc="A9BC3F2E">
      <w:start w:val="1"/>
      <w:numFmt w:val="bullet"/>
      <w:pStyle w:val="ListBullet"/>
      <w:lvlText w:val=""/>
      <w:lvlJc w:val="left"/>
      <w:pPr>
        <w:tabs>
          <w:tab w:val="num" w:pos="380"/>
        </w:tabs>
        <w:ind w:left="380" w:hanging="3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FFC4C19"/>
    <w:multiLevelType w:val="hybridMultilevel"/>
    <w:tmpl w:val="4050B3B2"/>
    <w:lvl w:ilvl="0" w:tplc="689ECB2C">
      <w:start w:val="1"/>
      <w:numFmt w:val="bullet"/>
      <w:lvlText w:val="•"/>
      <w:lvlJc w:val="left"/>
      <w:pPr>
        <w:tabs>
          <w:tab w:val="num" w:pos="720"/>
        </w:tabs>
        <w:ind w:left="720" w:hanging="360"/>
      </w:pPr>
      <w:rPr>
        <w:rFonts w:ascii="Arial" w:hAnsi="Arial" w:hint="default"/>
      </w:rPr>
    </w:lvl>
    <w:lvl w:ilvl="1" w:tplc="F9967AE6" w:tentative="1">
      <w:start w:val="1"/>
      <w:numFmt w:val="bullet"/>
      <w:lvlText w:val="•"/>
      <w:lvlJc w:val="left"/>
      <w:pPr>
        <w:tabs>
          <w:tab w:val="num" w:pos="1440"/>
        </w:tabs>
        <w:ind w:left="1440" w:hanging="360"/>
      </w:pPr>
      <w:rPr>
        <w:rFonts w:ascii="Arial" w:hAnsi="Arial" w:hint="default"/>
      </w:rPr>
    </w:lvl>
    <w:lvl w:ilvl="2" w:tplc="64FC9F62" w:tentative="1">
      <w:start w:val="1"/>
      <w:numFmt w:val="bullet"/>
      <w:lvlText w:val="•"/>
      <w:lvlJc w:val="left"/>
      <w:pPr>
        <w:tabs>
          <w:tab w:val="num" w:pos="2160"/>
        </w:tabs>
        <w:ind w:left="2160" w:hanging="360"/>
      </w:pPr>
      <w:rPr>
        <w:rFonts w:ascii="Arial" w:hAnsi="Arial" w:hint="default"/>
      </w:rPr>
    </w:lvl>
    <w:lvl w:ilvl="3" w:tplc="24961810" w:tentative="1">
      <w:start w:val="1"/>
      <w:numFmt w:val="bullet"/>
      <w:lvlText w:val="•"/>
      <w:lvlJc w:val="left"/>
      <w:pPr>
        <w:tabs>
          <w:tab w:val="num" w:pos="2880"/>
        </w:tabs>
        <w:ind w:left="2880" w:hanging="360"/>
      </w:pPr>
      <w:rPr>
        <w:rFonts w:ascii="Arial" w:hAnsi="Arial" w:hint="default"/>
      </w:rPr>
    </w:lvl>
    <w:lvl w:ilvl="4" w:tplc="70DE6850" w:tentative="1">
      <w:start w:val="1"/>
      <w:numFmt w:val="bullet"/>
      <w:lvlText w:val="•"/>
      <w:lvlJc w:val="left"/>
      <w:pPr>
        <w:tabs>
          <w:tab w:val="num" w:pos="3600"/>
        </w:tabs>
        <w:ind w:left="3600" w:hanging="360"/>
      </w:pPr>
      <w:rPr>
        <w:rFonts w:ascii="Arial" w:hAnsi="Arial" w:hint="default"/>
      </w:rPr>
    </w:lvl>
    <w:lvl w:ilvl="5" w:tplc="5666FDC6" w:tentative="1">
      <w:start w:val="1"/>
      <w:numFmt w:val="bullet"/>
      <w:lvlText w:val="•"/>
      <w:lvlJc w:val="left"/>
      <w:pPr>
        <w:tabs>
          <w:tab w:val="num" w:pos="4320"/>
        </w:tabs>
        <w:ind w:left="4320" w:hanging="360"/>
      </w:pPr>
      <w:rPr>
        <w:rFonts w:ascii="Arial" w:hAnsi="Arial" w:hint="default"/>
      </w:rPr>
    </w:lvl>
    <w:lvl w:ilvl="6" w:tplc="29D8AB42" w:tentative="1">
      <w:start w:val="1"/>
      <w:numFmt w:val="bullet"/>
      <w:lvlText w:val="•"/>
      <w:lvlJc w:val="left"/>
      <w:pPr>
        <w:tabs>
          <w:tab w:val="num" w:pos="5040"/>
        </w:tabs>
        <w:ind w:left="5040" w:hanging="360"/>
      </w:pPr>
      <w:rPr>
        <w:rFonts w:ascii="Arial" w:hAnsi="Arial" w:hint="default"/>
      </w:rPr>
    </w:lvl>
    <w:lvl w:ilvl="7" w:tplc="77B03A76" w:tentative="1">
      <w:start w:val="1"/>
      <w:numFmt w:val="bullet"/>
      <w:lvlText w:val="•"/>
      <w:lvlJc w:val="left"/>
      <w:pPr>
        <w:tabs>
          <w:tab w:val="num" w:pos="5760"/>
        </w:tabs>
        <w:ind w:left="5760" w:hanging="360"/>
      </w:pPr>
      <w:rPr>
        <w:rFonts w:ascii="Arial" w:hAnsi="Arial" w:hint="default"/>
      </w:rPr>
    </w:lvl>
    <w:lvl w:ilvl="8" w:tplc="095ED3D8" w:tentative="1">
      <w:start w:val="1"/>
      <w:numFmt w:val="bullet"/>
      <w:lvlText w:val="•"/>
      <w:lvlJc w:val="left"/>
      <w:pPr>
        <w:tabs>
          <w:tab w:val="num" w:pos="6480"/>
        </w:tabs>
        <w:ind w:left="6480" w:hanging="360"/>
      </w:pPr>
      <w:rPr>
        <w:rFonts w:ascii="Arial" w:hAnsi="Arial" w:hint="default"/>
      </w:rPr>
    </w:lvl>
  </w:abstractNum>
  <w:abstractNum w:abstractNumId="21">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2">
    <w:nsid w:val="52BF2553"/>
    <w:multiLevelType w:val="hybridMultilevel"/>
    <w:tmpl w:val="2AD44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9E38FC"/>
    <w:multiLevelType w:val="hybridMultilevel"/>
    <w:tmpl w:val="1FF43A0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821835"/>
    <w:multiLevelType w:val="hybridMultilevel"/>
    <w:tmpl w:val="A23681F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8">
    <w:nsid w:val="74094FFC"/>
    <w:multiLevelType w:val="hybridMultilevel"/>
    <w:tmpl w:val="5ACE2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9"/>
  </w:num>
  <w:num w:numId="3">
    <w:abstractNumId w:val="8"/>
  </w:num>
  <w:num w:numId="4">
    <w:abstractNumId w:val="19"/>
  </w:num>
  <w:num w:numId="5">
    <w:abstractNumId w:val="4"/>
  </w:num>
  <w:num w:numId="6">
    <w:abstractNumId w:val="12"/>
  </w:num>
  <w:num w:numId="7">
    <w:abstractNumId w:val="21"/>
  </w:num>
  <w:num w:numId="8">
    <w:abstractNumId w:val="1"/>
  </w:num>
  <w:num w:numId="9">
    <w:abstractNumId w:val="18"/>
  </w:num>
  <w:num w:numId="10">
    <w:abstractNumId w:val="10"/>
  </w:num>
  <w:num w:numId="11">
    <w:abstractNumId w:val="6"/>
  </w:num>
  <w:num w:numId="12">
    <w:abstractNumId w:val="25"/>
  </w:num>
  <w:num w:numId="13">
    <w:abstractNumId w:val="27"/>
  </w:num>
  <w:num w:numId="14">
    <w:abstractNumId w:val="13"/>
  </w:num>
  <w:num w:numId="15">
    <w:abstractNumId w:val="16"/>
  </w:num>
  <w:num w:numId="16">
    <w:abstractNumId w:val="9"/>
  </w:num>
  <w:num w:numId="17">
    <w:abstractNumId w:val="26"/>
  </w:num>
  <w:num w:numId="18">
    <w:abstractNumId w:val="17"/>
  </w:num>
  <w:num w:numId="19">
    <w:abstractNumId w:val="5"/>
  </w:num>
  <w:num w:numId="20">
    <w:abstractNumId w:val="20"/>
  </w:num>
  <w:num w:numId="21">
    <w:abstractNumId w:val="22"/>
  </w:num>
  <w:num w:numId="22">
    <w:abstractNumId w:val="14"/>
  </w:num>
  <w:num w:numId="23">
    <w:abstractNumId w:val="15"/>
  </w:num>
  <w:num w:numId="24">
    <w:abstractNumId w:val="3"/>
  </w:num>
  <w:num w:numId="25">
    <w:abstractNumId w:val="7"/>
  </w:num>
  <w:num w:numId="26">
    <w:abstractNumId w:val="28"/>
  </w:num>
  <w:num w:numId="27">
    <w:abstractNumId w:val="23"/>
  </w:num>
  <w:num w:numId="28">
    <w:abstractNumId w:val="24"/>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2"/>
  <w:displayHorizontalDrawingGridEvery w:val="2"/>
  <w:characterSpacingControl w:val="doNotCompress"/>
  <w:hdrShapeDefaults>
    <o:shapedefaults v:ext="edit" spidmax="34817">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76"/>
    <w:rsid w:val="000031E0"/>
    <w:rsid w:val="00004E42"/>
    <w:rsid w:val="000115DF"/>
    <w:rsid w:val="00014EAE"/>
    <w:rsid w:val="00024CC6"/>
    <w:rsid w:val="0002637D"/>
    <w:rsid w:val="00041A08"/>
    <w:rsid w:val="000442F9"/>
    <w:rsid w:val="0005004A"/>
    <w:rsid w:val="00053DC0"/>
    <w:rsid w:val="0006144D"/>
    <w:rsid w:val="00062915"/>
    <w:rsid w:val="0006591F"/>
    <w:rsid w:val="000704D1"/>
    <w:rsid w:val="00071E76"/>
    <w:rsid w:val="00086DCD"/>
    <w:rsid w:val="000878EB"/>
    <w:rsid w:val="000901CD"/>
    <w:rsid w:val="00095DBA"/>
    <w:rsid w:val="0009644C"/>
    <w:rsid w:val="0009779B"/>
    <w:rsid w:val="0009788B"/>
    <w:rsid w:val="000A1358"/>
    <w:rsid w:val="000A4862"/>
    <w:rsid w:val="000A6404"/>
    <w:rsid w:val="000A7241"/>
    <w:rsid w:val="000B4E4D"/>
    <w:rsid w:val="000B6315"/>
    <w:rsid w:val="000B6BA5"/>
    <w:rsid w:val="000C1529"/>
    <w:rsid w:val="000C1F9E"/>
    <w:rsid w:val="000C273F"/>
    <w:rsid w:val="000C3E9A"/>
    <w:rsid w:val="000C4C19"/>
    <w:rsid w:val="000D4217"/>
    <w:rsid w:val="000D4779"/>
    <w:rsid w:val="000D5892"/>
    <w:rsid w:val="000D6242"/>
    <w:rsid w:val="000E1B59"/>
    <w:rsid w:val="000E6E8E"/>
    <w:rsid w:val="000F02AE"/>
    <w:rsid w:val="000F5F74"/>
    <w:rsid w:val="000F7E44"/>
    <w:rsid w:val="00102584"/>
    <w:rsid w:val="001132E2"/>
    <w:rsid w:val="00120383"/>
    <w:rsid w:val="00121C98"/>
    <w:rsid w:val="00122EF2"/>
    <w:rsid w:val="00127B5D"/>
    <w:rsid w:val="00130749"/>
    <w:rsid w:val="00133A72"/>
    <w:rsid w:val="00142DCE"/>
    <w:rsid w:val="00156E75"/>
    <w:rsid w:val="00164ECA"/>
    <w:rsid w:val="00166CF5"/>
    <w:rsid w:val="001677C2"/>
    <w:rsid w:val="00170CD7"/>
    <w:rsid w:val="00172393"/>
    <w:rsid w:val="00172A6B"/>
    <w:rsid w:val="00177088"/>
    <w:rsid w:val="00177803"/>
    <w:rsid w:val="00180241"/>
    <w:rsid w:val="0018175E"/>
    <w:rsid w:val="00182AD5"/>
    <w:rsid w:val="00183F24"/>
    <w:rsid w:val="001A1C73"/>
    <w:rsid w:val="001B059C"/>
    <w:rsid w:val="001B09F2"/>
    <w:rsid w:val="001B1494"/>
    <w:rsid w:val="001B1D46"/>
    <w:rsid w:val="001C13C3"/>
    <w:rsid w:val="001C215C"/>
    <w:rsid w:val="001C414D"/>
    <w:rsid w:val="001D6224"/>
    <w:rsid w:val="001D73F8"/>
    <w:rsid w:val="001E5F88"/>
    <w:rsid w:val="001F1BA8"/>
    <w:rsid w:val="001F580F"/>
    <w:rsid w:val="001F7CF3"/>
    <w:rsid w:val="002044DF"/>
    <w:rsid w:val="00204EF9"/>
    <w:rsid w:val="00205A58"/>
    <w:rsid w:val="00205A9D"/>
    <w:rsid w:val="002111FF"/>
    <w:rsid w:val="00212865"/>
    <w:rsid w:val="002174C6"/>
    <w:rsid w:val="002335EA"/>
    <w:rsid w:val="002340FF"/>
    <w:rsid w:val="00236697"/>
    <w:rsid w:val="002375AD"/>
    <w:rsid w:val="00241CC2"/>
    <w:rsid w:val="0024209D"/>
    <w:rsid w:val="00246D97"/>
    <w:rsid w:val="00252B3B"/>
    <w:rsid w:val="0026038D"/>
    <w:rsid w:val="00262B2A"/>
    <w:rsid w:val="002647A2"/>
    <w:rsid w:val="00267CC7"/>
    <w:rsid w:val="00267FA0"/>
    <w:rsid w:val="00273E90"/>
    <w:rsid w:val="00282704"/>
    <w:rsid w:val="00283302"/>
    <w:rsid w:val="0029140A"/>
    <w:rsid w:val="00291EC9"/>
    <w:rsid w:val="00297132"/>
    <w:rsid w:val="002A163D"/>
    <w:rsid w:val="002A238F"/>
    <w:rsid w:val="002A4FA6"/>
    <w:rsid w:val="002A6C3C"/>
    <w:rsid w:val="002A7A49"/>
    <w:rsid w:val="002B3B6D"/>
    <w:rsid w:val="002B42AE"/>
    <w:rsid w:val="002B4577"/>
    <w:rsid w:val="002C2031"/>
    <w:rsid w:val="002C3441"/>
    <w:rsid w:val="002C5DE7"/>
    <w:rsid w:val="002D4749"/>
    <w:rsid w:val="002D7A2F"/>
    <w:rsid w:val="002E1CEC"/>
    <w:rsid w:val="002F677A"/>
    <w:rsid w:val="0030086D"/>
    <w:rsid w:val="003027D2"/>
    <w:rsid w:val="00307966"/>
    <w:rsid w:val="00311297"/>
    <w:rsid w:val="00313315"/>
    <w:rsid w:val="00316A32"/>
    <w:rsid w:val="003172DE"/>
    <w:rsid w:val="0032209D"/>
    <w:rsid w:val="00325EE6"/>
    <w:rsid w:val="00331A90"/>
    <w:rsid w:val="003333B8"/>
    <w:rsid w:val="003369EA"/>
    <w:rsid w:val="003402E1"/>
    <w:rsid w:val="003414D7"/>
    <w:rsid w:val="00342B0F"/>
    <w:rsid w:val="00342EC7"/>
    <w:rsid w:val="003432FF"/>
    <w:rsid w:val="0034612D"/>
    <w:rsid w:val="003476D1"/>
    <w:rsid w:val="00350D9B"/>
    <w:rsid w:val="00352375"/>
    <w:rsid w:val="00364496"/>
    <w:rsid w:val="00370248"/>
    <w:rsid w:val="00370374"/>
    <w:rsid w:val="00373514"/>
    <w:rsid w:val="00382960"/>
    <w:rsid w:val="00383D2B"/>
    <w:rsid w:val="00385042"/>
    <w:rsid w:val="00385DBA"/>
    <w:rsid w:val="00390667"/>
    <w:rsid w:val="00390FE4"/>
    <w:rsid w:val="00394F94"/>
    <w:rsid w:val="003962B9"/>
    <w:rsid w:val="003B46CB"/>
    <w:rsid w:val="003B4BF0"/>
    <w:rsid w:val="003B7468"/>
    <w:rsid w:val="003B7A75"/>
    <w:rsid w:val="003C4E57"/>
    <w:rsid w:val="003C69B0"/>
    <w:rsid w:val="003D29FB"/>
    <w:rsid w:val="003D5B53"/>
    <w:rsid w:val="003D5C71"/>
    <w:rsid w:val="003D7E9F"/>
    <w:rsid w:val="003E0759"/>
    <w:rsid w:val="003E3E0B"/>
    <w:rsid w:val="003F07B8"/>
    <w:rsid w:val="003F3426"/>
    <w:rsid w:val="003F5AF4"/>
    <w:rsid w:val="003F6CBA"/>
    <w:rsid w:val="003F7130"/>
    <w:rsid w:val="00407310"/>
    <w:rsid w:val="004102F6"/>
    <w:rsid w:val="0041355A"/>
    <w:rsid w:val="00421214"/>
    <w:rsid w:val="0042191C"/>
    <w:rsid w:val="00427A1A"/>
    <w:rsid w:val="004304B1"/>
    <w:rsid w:val="004324BC"/>
    <w:rsid w:val="00432790"/>
    <w:rsid w:val="00433E11"/>
    <w:rsid w:val="00441DA2"/>
    <w:rsid w:val="00444B57"/>
    <w:rsid w:val="00450827"/>
    <w:rsid w:val="00451026"/>
    <w:rsid w:val="00451CBB"/>
    <w:rsid w:val="00470297"/>
    <w:rsid w:val="0047119D"/>
    <w:rsid w:val="00474DA3"/>
    <w:rsid w:val="004779BD"/>
    <w:rsid w:val="00484621"/>
    <w:rsid w:val="00493ABB"/>
    <w:rsid w:val="00495E65"/>
    <w:rsid w:val="00497C88"/>
    <w:rsid w:val="004A1AFA"/>
    <w:rsid w:val="004A1B80"/>
    <w:rsid w:val="004A21B6"/>
    <w:rsid w:val="004A32B0"/>
    <w:rsid w:val="004A6167"/>
    <w:rsid w:val="004B052A"/>
    <w:rsid w:val="004B170A"/>
    <w:rsid w:val="004B507E"/>
    <w:rsid w:val="004B5382"/>
    <w:rsid w:val="004B5CB4"/>
    <w:rsid w:val="004B699C"/>
    <w:rsid w:val="004D23E6"/>
    <w:rsid w:val="004D2C1D"/>
    <w:rsid w:val="004D44FA"/>
    <w:rsid w:val="004D5C63"/>
    <w:rsid w:val="004E57A2"/>
    <w:rsid w:val="004E7D20"/>
    <w:rsid w:val="004F1BAE"/>
    <w:rsid w:val="004F2BC4"/>
    <w:rsid w:val="004F5D4D"/>
    <w:rsid w:val="00500B47"/>
    <w:rsid w:val="005039F9"/>
    <w:rsid w:val="00504DC9"/>
    <w:rsid w:val="0050527F"/>
    <w:rsid w:val="0051052F"/>
    <w:rsid w:val="005137A9"/>
    <w:rsid w:val="00520E6F"/>
    <w:rsid w:val="00522C6C"/>
    <w:rsid w:val="0052300B"/>
    <w:rsid w:val="005243D9"/>
    <w:rsid w:val="00525327"/>
    <w:rsid w:val="005313D8"/>
    <w:rsid w:val="00534CA0"/>
    <w:rsid w:val="005450FE"/>
    <w:rsid w:val="00552182"/>
    <w:rsid w:val="005524F3"/>
    <w:rsid w:val="00553B19"/>
    <w:rsid w:val="00553FE6"/>
    <w:rsid w:val="00554A9A"/>
    <w:rsid w:val="00561090"/>
    <w:rsid w:val="00563290"/>
    <w:rsid w:val="00563B93"/>
    <w:rsid w:val="005651EA"/>
    <w:rsid w:val="00565411"/>
    <w:rsid w:val="00567E66"/>
    <w:rsid w:val="00567E9B"/>
    <w:rsid w:val="00570AFF"/>
    <w:rsid w:val="00572EA9"/>
    <w:rsid w:val="00580935"/>
    <w:rsid w:val="00582203"/>
    <w:rsid w:val="00586D09"/>
    <w:rsid w:val="005917EA"/>
    <w:rsid w:val="00592594"/>
    <w:rsid w:val="005946A9"/>
    <w:rsid w:val="005977A7"/>
    <w:rsid w:val="005A1BA2"/>
    <w:rsid w:val="005A514D"/>
    <w:rsid w:val="005B1A83"/>
    <w:rsid w:val="005B210A"/>
    <w:rsid w:val="005B3151"/>
    <w:rsid w:val="005B47FC"/>
    <w:rsid w:val="005B48EA"/>
    <w:rsid w:val="005C3749"/>
    <w:rsid w:val="005C73B3"/>
    <w:rsid w:val="005D2B17"/>
    <w:rsid w:val="005D38A8"/>
    <w:rsid w:val="005D5928"/>
    <w:rsid w:val="005E1B07"/>
    <w:rsid w:val="005E40D7"/>
    <w:rsid w:val="005E7AC8"/>
    <w:rsid w:val="005F038B"/>
    <w:rsid w:val="005F405E"/>
    <w:rsid w:val="005F6BB7"/>
    <w:rsid w:val="005F733A"/>
    <w:rsid w:val="00600FEB"/>
    <w:rsid w:val="0060429B"/>
    <w:rsid w:val="0060568B"/>
    <w:rsid w:val="00605D96"/>
    <w:rsid w:val="00611377"/>
    <w:rsid w:val="00611F5F"/>
    <w:rsid w:val="006124E9"/>
    <w:rsid w:val="00615BD0"/>
    <w:rsid w:val="00615DE1"/>
    <w:rsid w:val="00620B48"/>
    <w:rsid w:val="00625222"/>
    <w:rsid w:val="00625A02"/>
    <w:rsid w:val="00632628"/>
    <w:rsid w:val="00633ADE"/>
    <w:rsid w:val="00643A84"/>
    <w:rsid w:val="00644AF7"/>
    <w:rsid w:val="006479F2"/>
    <w:rsid w:val="00653634"/>
    <w:rsid w:val="006544E5"/>
    <w:rsid w:val="00657ECA"/>
    <w:rsid w:val="00664548"/>
    <w:rsid w:val="00673ED3"/>
    <w:rsid w:val="00675F1C"/>
    <w:rsid w:val="006777C5"/>
    <w:rsid w:val="006802BF"/>
    <w:rsid w:val="00682B9F"/>
    <w:rsid w:val="00685C00"/>
    <w:rsid w:val="00686593"/>
    <w:rsid w:val="0068755B"/>
    <w:rsid w:val="006912D6"/>
    <w:rsid w:val="00691DEA"/>
    <w:rsid w:val="00693B86"/>
    <w:rsid w:val="006A1B9A"/>
    <w:rsid w:val="006B56C2"/>
    <w:rsid w:val="006B5FE2"/>
    <w:rsid w:val="006C12B6"/>
    <w:rsid w:val="006C3A42"/>
    <w:rsid w:val="006D5D2A"/>
    <w:rsid w:val="006E10F8"/>
    <w:rsid w:val="006E3D45"/>
    <w:rsid w:val="006E5D40"/>
    <w:rsid w:val="006F0D0D"/>
    <w:rsid w:val="006F188E"/>
    <w:rsid w:val="006F2D04"/>
    <w:rsid w:val="006F4F0A"/>
    <w:rsid w:val="006F54CF"/>
    <w:rsid w:val="007031C7"/>
    <w:rsid w:val="00704A0F"/>
    <w:rsid w:val="0070517A"/>
    <w:rsid w:val="00706214"/>
    <w:rsid w:val="00710316"/>
    <w:rsid w:val="007108D9"/>
    <w:rsid w:val="0071213C"/>
    <w:rsid w:val="00720678"/>
    <w:rsid w:val="007241C8"/>
    <w:rsid w:val="0072671E"/>
    <w:rsid w:val="00726E48"/>
    <w:rsid w:val="00732146"/>
    <w:rsid w:val="00732542"/>
    <w:rsid w:val="00732F2A"/>
    <w:rsid w:val="00735499"/>
    <w:rsid w:val="0073570C"/>
    <w:rsid w:val="0074353A"/>
    <w:rsid w:val="0074514C"/>
    <w:rsid w:val="0074645D"/>
    <w:rsid w:val="00747063"/>
    <w:rsid w:val="0075260D"/>
    <w:rsid w:val="00752BAA"/>
    <w:rsid w:val="0075330D"/>
    <w:rsid w:val="0075497F"/>
    <w:rsid w:val="00760CAE"/>
    <w:rsid w:val="00760D7C"/>
    <w:rsid w:val="0076534D"/>
    <w:rsid w:val="007707BC"/>
    <w:rsid w:val="007774D8"/>
    <w:rsid w:val="007775B8"/>
    <w:rsid w:val="00782DC9"/>
    <w:rsid w:val="007845FA"/>
    <w:rsid w:val="007902D9"/>
    <w:rsid w:val="00792D01"/>
    <w:rsid w:val="007A351B"/>
    <w:rsid w:val="007A3AF7"/>
    <w:rsid w:val="007A4A54"/>
    <w:rsid w:val="007C2D19"/>
    <w:rsid w:val="007C61D4"/>
    <w:rsid w:val="007C6C7D"/>
    <w:rsid w:val="007D0050"/>
    <w:rsid w:val="007D5EE3"/>
    <w:rsid w:val="007E16C0"/>
    <w:rsid w:val="007E38D4"/>
    <w:rsid w:val="007E485D"/>
    <w:rsid w:val="007E5E6F"/>
    <w:rsid w:val="007E63E9"/>
    <w:rsid w:val="007F291D"/>
    <w:rsid w:val="00802054"/>
    <w:rsid w:val="00803A7D"/>
    <w:rsid w:val="00826A8F"/>
    <w:rsid w:val="00835027"/>
    <w:rsid w:val="00842E88"/>
    <w:rsid w:val="00846142"/>
    <w:rsid w:val="008510FA"/>
    <w:rsid w:val="00860995"/>
    <w:rsid w:val="008617DD"/>
    <w:rsid w:val="008648B9"/>
    <w:rsid w:val="00867D4A"/>
    <w:rsid w:val="00875F89"/>
    <w:rsid w:val="008766CE"/>
    <w:rsid w:val="0088050F"/>
    <w:rsid w:val="00884279"/>
    <w:rsid w:val="0088468D"/>
    <w:rsid w:val="008A1998"/>
    <w:rsid w:val="008B4B76"/>
    <w:rsid w:val="008B6318"/>
    <w:rsid w:val="008C06D6"/>
    <w:rsid w:val="008C17E4"/>
    <w:rsid w:val="008C3BDD"/>
    <w:rsid w:val="008C4CAE"/>
    <w:rsid w:val="008C7DED"/>
    <w:rsid w:val="008D3ED5"/>
    <w:rsid w:val="008D5A89"/>
    <w:rsid w:val="008E46C1"/>
    <w:rsid w:val="008F1671"/>
    <w:rsid w:val="008F2E5E"/>
    <w:rsid w:val="008F5D50"/>
    <w:rsid w:val="008F62A3"/>
    <w:rsid w:val="008F76B8"/>
    <w:rsid w:val="00901F3F"/>
    <w:rsid w:val="00906F1D"/>
    <w:rsid w:val="009109A8"/>
    <w:rsid w:val="00913D32"/>
    <w:rsid w:val="00914572"/>
    <w:rsid w:val="00915652"/>
    <w:rsid w:val="00920A14"/>
    <w:rsid w:val="00921E03"/>
    <w:rsid w:val="00922791"/>
    <w:rsid w:val="00923D3E"/>
    <w:rsid w:val="00925E5A"/>
    <w:rsid w:val="00926AC1"/>
    <w:rsid w:val="00927968"/>
    <w:rsid w:val="00933E8B"/>
    <w:rsid w:val="00935B93"/>
    <w:rsid w:val="00937BBB"/>
    <w:rsid w:val="00941454"/>
    <w:rsid w:val="00941EA5"/>
    <w:rsid w:val="00942FD2"/>
    <w:rsid w:val="009432F5"/>
    <w:rsid w:val="00951867"/>
    <w:rsid w:val="00953BFC"/>
    <w:rsid w:val="00956176"/>
    <w:rsid w:val="00970A4C"/>
    <w:rsid w:val="00970A71"/>
    <w:rsid w:val="00970C2F"/>
    <w:rsid w:val="00974360"/>
    <w:rsid w:val="009758D1"/>
    <w:rsid w:val="00981281"/>
    <w:rsid w:val="009911CF"/>
    <w:rsid w:val="00992FD1"/>
    <w:rsid w:val="00994490"/>
    <w:rsid w:val="00996D76"/>
    <w:rsid w:val="009971A2"/>
    <w:rsid w:val="009A0507"/>
    <w:rsid w:val="009A3379"/>
    <w:rsid w:val="009A756A"/>
    <w:rsid w:val="009B1CFE"/>
    <w:rsid w:val="009B30E0"/>
    <w:rsid w:val="009B734B"/>
    <w:rsid w:val="009C6D1F"/>
    <w:rsid w:val="009D0211"/>
    <w:rsid w:val="009D6A05"/>
    <w:rsid w:val="009D70CD"/>
    <w:rsid w:val="009E1EAD"/>
    <w:rsid w:val="009E2302"/>
    <w:rsid w:val="009E52C4"/>
    <w:rsid w:val="009F3AC3"/>
    <w:rsid w:val="009F60F5"/>
    <w:rsid w:val="009F7B42"/>
    <w:rsid w:val="009F7C7E"/>
    <w:rsid w:val="00A01753"/>
    <w:rsid w:val="00A020CF"/>
    <w:rsid w:val="00A067F7"/>
    <w:rsid w:val="00A13B00"/>
    <w:rsid w:val="00A13B41"/>
    <w:rsid w:val="00A1556B"/>
    <w:rsid w:val="00A30550"/>
    <w:rsid w:val="00A315C5"/>
    <w:rsid w:val="00A355D1"/>
    <w:rsid w:val="00A411BD"/>
    <w:rsid w:val="00A425AE"/>
    <w:rsid w:val="00A44B1E"/>
    <w:rsid w:val="00A47DA9"/>
    <w:rsid w:val="00A518A2"/>
    <w:rsid w:val="00A54C5E"/>
    <w:rsid w:val="00A5540B"/>
    <w:rsid w:val="00A60475"/>
    <w:rsid w:val="00A60527"/>
    <w:rsid w:val="00A65590"/>
    <w:rsid w:val="00A656EC"/>
    <w:rsid w:val="00A71AF2"/>
    <w:rsid w:val="00A7315D"/>
    <w:rsid w:val="00A73482"/>
    <w:rsid w:val="00A7476D"/>
    <w:rsid w:val="00A75B48"/>
    <w:rsid w:val="00A824FC"/>
    <w:rsid w:val="00A86948"/>
    <w:rsid w:val="00A875A0"/>
    <w:rsid w:val="00A93EF8"/>
    <w:rsid w:val="00A95E02"/>
    <w:rsid w:val="00A97DF4"/>
    <w:rsid w:val="00AA11E9"/>
    <w:rsid w:val="00AA2A28"/>
    <w:rsid w:val="00AA57CC"/>
    <w:rsid w:val="00AB3AE7"/>
    <w:rsid w:val="00AC37B5"/>
    <w:rsid w:val="00AC73BA"/>
    <w:rsid w:val="00AC7523"/>
    <w:rsid w:val="00AD1BBD"/>
    <w:rsid w:val="00AE0A85"/>
    <w:rsid w:val="00AF3F88"/>
    <w:rsid w:val="00AF50E2"/>
    <w:rsid w:val="00B041FE"/>
    <w:rsid w:val="00B10E5F"/>
    <w:rsid w:val="00B11E8F"/>
    <w:rsid w:val="00B127ED"/>
    <w:rsid w:val="00B13BB6"/>
    <w:rsid w:val="00B16EB5"/>
    <w:rsid w:val="00B1730F"/>
    <w:rsid w:val="00B25A9D"/>
    <w:rsid w:val="00B3095D"/>
    <w:rsid w:val="00B31E5B"/>
    <w:rsid w:val="00B36D07"/>
    <w:rsid w:val="00B42032"/>
    <w:rsid w:val="00B43997"/>
    <w:rsid w:val="00B560ED"/>
    <w:rsid w:val="00B56842"/>
    <w:rsid w:val="00B56D27"/>
    <w:rsid w:val="00B625E4"/>
    <w:rsid w:val="00B62885"/>
    <w:rsid w:val="00B64434"/>
    <w:rsid w:val="00B7171D"/>
    <w:rsid w:val="00B73FEC"/>
    <w:rsid w:val="00B7401D"/>
    <w:rsid w:val="00B805B1"/>
    <w:rsid w:val="00B8121D"/>
    <w:rsid w:val="00B813FD"/>
    <w:rsid w:val="00B90560"/>
    <w:rsid w:val="00B915C5"/>
    <w:rsid w:val="00B92D74"/>
    <w:rsid w:val="00B9342A"/>
    <w:rsid w:val="00B9431D"/>
    <w:rsid w:val="00B95CF2"/>
    <w:rsid w:val="00B95FFA"/>
    <w:rsid w:val="00B960DE"/>
    <w:rsid w:val="00B9676A"/>
    <w:rsid w:val="00BA0950"/>
    <w:rsid w:val="00BB0D42"/>
    <w:rsid w:val="00BB3D3A"/>
    <w:rsid w:val="00BB4519"/>
    <w:rsid w:val="00BB5E9B"/>
    <w:rsid w:val="00BB6522"/>
    <w:rsid w:val="00BB6565"/>
    <w:rsid w:val="00BC24CB"/>
    <w:rsid w:val="00BC4774"/>
    <w:rsid w:val="00BC7AD5"/>
    <w:rsid w:val="00BD44CC"/>
    <w:rsid w:val="00BD45B4"/>
    <w:rsid w:val="00BE5E45"/>
    <w:rsid w:val="00BE6143"/>
    <w:rsid w:val="00BE6D11"/>
    <w:rsid w:val="00BF4D28"/>
    <w:rsid w:val="00BF5985"/>
    <w:rsid w:val="00BF5A52"/>
    <w:rsid w:val="00C0505C"/>
    <w:rsid w:val="00C06D44"/>
    <w:rsid w:val="00C11FA6"/>
    <w:rsid w:val="00C12171"/>
    <w:rsid w:val="00C143AE"/>
    <w:rsid w:val="00C175B7"/>
    <w:rsid w:val="00C322E8"/>
    <w:rsid w:val="00C3342F"/>
    <w:rsid w:val="00C3489C"/>
    <w:rsid w:val="00C36867"/>
    <w:rsid w:val="00C41A06"/>
    <w:rsid w:val="00C42FC2"/>
    <w:rsid w:val="00C4757B"/>
    <w:rsid w:val="00C54CF7"/>
    <w:rsid w:val="00C61B64"/>
    <w:rsid w:val="00C6617E"/>
    <w:rsid w:val="00C71303"/>
    <w:rsid w:val="00C73758"/>
    <w:rsid w:val="00C77B36"/>
    <w:rsid w:val="00C87A90"/>
    <w:rsid w:val="00C87FB4"/>
    <w:rsid w:val="00C91F49"/>
    <w:rsid w:val="00C9492A"/>
    <w:rsid w:val="00CA10EA"/>
    <w:rsid w:val="00CA129B"/>
    <w:rsid w:val="00CA46EF"/>
    <w:rsid w:val="00CA4F4A"/>
    <w:rsid w:val="00CA639C"/>
    <w:rsid w:val="00CB411F"/>
    <w:rsid w:val="00CB63CA"/>
    <w:rsid w:val="00CC12C9"/>
    <w:rsid w:val="00CC2802"/>
    <w:rsid w:val="00CD08B6"/>
    <w:rsid w:val="00CD260E"/>
    <w:rsid w:val="00CD47E3"/>
    <w:rsid w:val="00CD4D1A"/>
    <w:rsid w:val="00CE15EA"/>
    <w:rsid w:val="00CE302E"/>
    <w:rsid w:val="00CF1887"/>
    <w:rsid w:val="00CF1CB9"/>
    <w:rsid w:val="00CF4AAA"/>
    <w:rsid w:val="00CF6E2C"/>
    <w:rsid w:val="00D01201"/>
    <w:rsid w:val="00D02A0B"/>
    <w:rsid w:val="00D03AB7"/>
    <w:rsid w:val="00D0692A"/>
    <w:rsid w:val="00D17E40"/>
    <w:rsid w:val="00D17F7A"/>
    <w:rsid w:val="00D2282E"/>
    <w:rsid w:val="00D27B14"/>
    <w:rsid w:val="00D37819"/>
    <w:rsid w:val="00D41F4E"/>
    <w:rsid w:val="00D445D7"/>
    <w:rsid w:val="00D63112"/>
    <w:rsid w:val="00D74E6B"/>
    <w:rsid w:val="00D7607D"/>
    <w:rsid w:val="00D813E6"/>
    <w:rsid w:val="00D84CA9"/>
    <w:rsid w:val="00D95697"/>
    <w:rsid w:val="00D97A57"/>
    <w:rsid w:val="00DA1DE4"/>
    <w:rsid w:val="00DA3293"/>
    <w:rsid w:val="00DA3B4F"/>
    <w:rsid w:val="00DA5110"/>
    <w:rsid w:val="00DB0270"/>
    <w:rsid w:val="00DB0474"/>
    <w:rsid w:val="00DB1CC4"/>
    <w:rsid w:val="00DB5E06"/>
    <w:rsid w:val="00DB7AFF"/>
    <w:rsid w:val="00DC311C"/>
    <w:rsid w:val="00DC5BF9"/>
    <w:rsid w:val="00DC7EAC"/>
    <w:rsid w:val="00DC7ED6"/>
    <w:rsid w:val="00DD2BC5"/>
    <w:rsid w:val="00DD2E5D"/>
    <w:rsid w:val="00DD74E0"/>
    <w:rsid w:val="00DE0030"/>
    <w:rsid w:val="00DE1240"/>
    <w:rsid w:val="00DE4069"/>
    <w:rsid w:val="00DF1D94"/>
    <w:rsid w:val="00DF3F20"/>
    <w:rsid w:val="00E00796"/>
    <w:rsid w:val="00E0563C"/>
    <w:rsid w:val="00E15AB9"/>
    <w:rsid w:val="00E1720C"/>
    <w:rsid w:val="00E17C5E"/>
    <w:rsid w:val="00E209C4"/>
    <w:rsid w:val="00E224C4"/>
    <w:rsid w:val="00E22ACC"/>
    <w:rsid w:val="00E23F19"/>
    <w:rsid w:val="00E34972"/>
    <w:rsid w:val="00E35725"/>
    <w:rsid w:val="00E37814"/>
    <w:rsid w:val="00E41976"/>
    <w:rsid w:val="00E42BDC"/>
    <w:rsid w:val="00E42FF2"/>
    <w:rsid w:val="00E46757"/>
    <w:rsid w:val="00E521F8"/>
    <w:rsid w:val="00E56BE0"/>
    <w:rsid w:val="00E56F78"/>
    <w:rsid w:val="00E62CC9"/>
    <w:rsid w:val="00E650D2"/>
    <w:rsid w:val="00E7079D"/>
    <w:rsid w:val="00E72C99"/>
    <w:rsid w:val="00E735EB"/>
    <w:rsid w:val="00E756AB"/>
    <w:rsid w:val="00E97B49"/>
    <w:rsid w:val="00EA233A"/>
    <w:rsid w:val="00EA2FA0"/>
    <w:rsid w:val="00EA50CD"/>
    <w:rsid w:val="00EA5A06"/>
    <w:rsid w:val="00EB5892"/>
    <w:rsid w:val="00EB5C0D"/>
    <w:rsid w:val="00EB6633"/>
    <w:rsid w:val="00EB6673"/>
    <w:rsid w:val="00EC378E"/>
    <w:rsid w:val="00EC5088"/>
    <w:rsid w:val="00EF0EE9"/>
    <w:rsid w:val="00EF230E"/>
    <w:rsid w:val="00EF46AC"/>
    <w:rsid w:val="00F015D8"/>
    <w:rsid w:val="00F06082"/>
    <w:rsid w:val="00F064B9"/>
    <w:rsid w:val="00F07595"/>
    <w:rsid w:val="00F114D2"/>
    <w:rsid w:val="00F1193C"/>
    <w:rsid w:val="00F12E29"/>
    <w:rsid w:val="00F1447B"/>
    <w:rsid w:val="00F173FB"/>
    <w:rsid w:val="00F212F0"/>
    <w:rsid w:val="00F23AB3"/>
    <w:rsid w:val="00F24E19"/>
    <w:rsid w:val="00F264C3"/>
    <w:rsid w:val="00F304D7"/>
    <w:rsid w:val="00F30E1F"/>
    <w:rsid w:val="00F44D5D"/>
    <w:rsid w:val="00F44E57"/>
    <w:rsid w:val="00F459AC"/>
    <w:rsid w:val="00F471E5"/>
    <w:rsid w:val="00F55450"/>
    <w:rsid w:val="00F6205B"/>
    <w:rsid w:val="00F62BDF"/>
    <w:rsid w:val="00F6464F"/>
    <w:rsid w:val="00F652BB"/>
    <w:rsid w:val="00F658A5"/>
    <w:rsid w:val="00F7425F"/>
    <w:rsid w:val="00F7612E"/>
    <w:rsid w:val="00F76885"/>
    <w:rsid w:val="00F772C4"/>
    <w:rsid w:val="00F82209"/>
    <w:rsid w:val="00F83AC1"/>
    <w:rsid w:val="00F84D57"/>
    <w:rsid w:val="00FA6D7E"/>
    <w:rsid w:val="00FB3966"/>
    <w:rsid w:val="00FC1AF4"/>
    <w:rsid w:val="00FC55EF"/>
    <w:rsid w:val="00FC662F"/>
    <w:rsid w:val="00FC6F47"/>
    <w:rsid w:val="00FD7798"/>
    <w:rsid w:val="00FD786B"/>
    <w:rsid w:val="00FE0405"/>
    <w:rsid w:val="00FE5D3F"/>
    <w:rsid w:val="00FE6ECB"/>
    <w:rsid w:val="00FF0082"/>
    <w:rsid w:val="00FF05B1"/>
    <w:rsid w:val="00FF26B4"/>
    <w:rsid w:val="00FF3D9A"/>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008e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D3E"/>
    <w:pPr>
      <w:spacing w:before="90" w:after="178" w:line="262" w:lineRule="atLeast"/>
    </w:pPr>
    <w:rPr>
      <w:rFonts w:ascii="Arial" w:hAnsi="Arial"/>
      <w:color w:val="3B3C3C"/>
      <w:spacing w:val="4"/>
      <w:sz w:val="18"/>
      <w:szCs w:val="24"/>
      <w:lang w:eastAsia="en-US"/>
    </w:rPr>
  </w:style>
  <w:style w:type="paragraph" w:styleId="Heading1">
    <w:name w:val="heading 1"/>
    <w:basedOn w:val="Normal"/>
    <w:next w:val="Normal"/>
    <w:qFormat/>
    <w:rsid w:val="00F471E5"/>
    <w:pPr>
      <w:keepNext/>
      <w:spacing w:after="60" w:line="450" w:lineRule="atLeast"/>
      <w:outlineLvl w:val="0"/>
    </w:pPr>
    <w:rPr>
      <w:rFonts w:cs="Arial"/>
      <w:bCs/>
      <w:color w:val="D2000B"/>
      <w:kern w:val="32"/>
      <w:sz w:val="36"/>
      <w:szCs w:val="36"/>
    </w:rPr>
  </w:style>
  <w:style w:type="paragraph" w:styleId="Heading2">
    <w:name w:val="heading 2"/>
    <w:basedOn w:val="Normal"/>
    <w:next w:val="Normal"/>
    <w:qFormat/>
    <w:rsid w:val="002335EA"/>
    <w:pPr>
      <w:keepNext/>
      <w:spacing w:before="430" w:after="60" w:line="240" w:lineRule="auto"/>
      <w:outlineLvl w:val="1"/>
    </w:pPr>
    <w:rPr>
      <w:rFonts w:cs="Arial"/>
      <w:bCs/>
      <w:iCs/>
      <w:color w:val="D2000B"/>
      <w:sz w:val="28"/>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7F7"/>
    <w:pPr>
      <w:tabs>
        <w:tab w:val="center" w:pos="4320"/>
        <w:tab w:val="right" w:pos="8640"/>
      </w:tabs>
      <w:spacing w:before="0" w:after="0" w:line="240" w:lineRule="auto"/>
    </w:pPr>
  </w:style>
  <w:style w:type="paragraph" w:styleId="Footer">
    <w:name w:val="footer"/>
    <w:basedOn w:val="Normal"/>
    <w:link w:val="FooterChar"/>
    <w:uiPriority w:val="99"/>
    <w:rsid w:val="00B10E5F"/>
    <w:pPr>
      <w:tabs>
        <w:tab w:val="right" w:pos="8640"/>
      </w:tabs>
      <w:spacing w:before="0" w:after="0" w:line="240" w:lineRule="auto"/>
    </w:pPr>
    <w:rPr>
      <w:b/>
      <w:color w:val="D2000B"/>
      <w:spacing w:val="0"/>
      <w:sz w:val="20"/>
      <w:szCs w:val="14"/>
    </w:rPr>
  </w:style>
  <w:style w:type="paragraph" w:customStyle="1" w:styleId="NewsLetterTitle">
    <w:name w:val="NewsLetter Title"/>
    <w:basedOn w:val="Normal"/>
    <w:next w:val="NewsLetterSub-Title"/>
    <w:rsid w:val="00923D3E"/>
    <w:pPr>
      <w:spacing w:before="0" w:after="0" w:line="556" w:lineRule="exact"/>
    </w:pPr>
    <w:rPr>
      <w:color w:val="D2000B"/>
      <w:spacing w:val="-28"/>
      <w:sz w:val="56"/>
      <w:szCs w:val="56"/>
    </w:rPr>
  </w:style>
  <w:style w:type="paragraph" w:customStyle="1" w:styleId="NewsLetterSub-Title">
    <w:name w:val="NewsLetter Sub-Title"/>
    <w:basedOn w:val="Normal"/>
    <w:rsid w:val="00923D3E"/>
    <w:pPr>
      <w:spacing w:before="0"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uiPriority w:val="99"/>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D2000B"/>
      <w:spacing w:val="4"/>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9A3379"/>
    <w:pPr>
      <w:numPr>
        <w:numId w:val="4"/>
      </w:numPr>
      <w:tabs>
        <w:tab w:val="clear" w:pos="380"/>
        <w:tab w:val="num" w:pos="192"/>
      </w:tabs>
      <w:spacing w:before="0" w:after="56" w:line="240" w:lineRule="auto"/>
      <w:ind w:left="192" w:hanging="192"/>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before="0"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before="0"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before="0" w:after="0" w:line="240" w:lineRule="auto"/>
    </w:pPr>
  </w:style>
  <w:style w:type="paragraph" w:customStyle="1" w:styleId="fltPictureCaption">
    <w:name w:val="flt Picture Caption"/>
    <w:basedOn w:val="Normal"/>
    <w:rsid w:val="009A0507"/>
    <w:pPr>
      <w:framePr w:hSpace="181" w:wrap="around" w:vAnchor="page" w:hAnchor="page" w:x="7825" w:y="5897"/>
      <w:spacing w:before="0" w:after="0" w:line="220" w:lineRule="exact"/>
    </w:pPr>
    <w:rPr>
      <w:spacing w:val="0"/>
      <w:sz w:val="16"/>
    </w:rPr>
  </w:style>
  <w:style w:type="paragraph" w:customStyle="1" w:styleId="PageNum">
    <w:name w:val="PageNum"/>
    <w:basedOn w:val="Normal"/>
    <w:rsid w:val="00B10E5F"/>
    <w:pPr>
      <w:spacing w:before="0" w:after="0" w:line="240" w:lineRule="auto"/>
      <w:jc w:val="right"/>
    </w:pPr>
    <w:rPr>
      <w:color w:val="D2000B"/>
      <w:sz w:val="20"/>
      <w:szCs w:val="20"/>
    </w:rPr>
  </w:style>
  <w:style w:type="paragraph" w:styleId="BalloonText">
    <w:name w:val="Balloon Text"/>
    <w:basedOn w:val="Normal"/>
    <w:link w:val="BalloonTextChar"/>
    <w:rsid w:val="005A1B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A1BA2"/>
    <w:rPr>
      <w:rFonts w:ascii="Tahoma" w:hAnsi="Tahoma" w:cs="Tahoma"/>
      <w:color w:val="3B3C3C"/>
      <w:spacing w:val="4"/>
      <w:sz w:val="16"/>
      <w:szCs w:val="16"/>
      <w:lang w:eastAsia="en-US"/>
    </w:rPr>
  </w:style>
  <w:style w:type="paragraph" w:styleId="ListParagraph">
    <w:name w:val="List Paragraph"/>
    <w:basedOn w:val="Normal"/>
    <w:uiPriority w:val="34"/>
    <w:qFormat/>
    <w:rsid w:val="007E16C0"/>
    <w:pPr>
      <w:ind w:left="720"/>
      <w:contextualSpacing/>
    </w:pPr>
  </w:style>
  <w:style w:type="paragraph" w:styleId="NormalWeb">
    <w:name w:val="Normal (Web)"/>
    <w:basedOn w:val="Normal"/>
    <w:uiPriority w:val="99"/>
    <w:unhideWhenUsed/>
    <w:rsid w:val="00180241"/>
    <w:pPr>
      <w:spacing w:before="100" w:beforeAutospacing="1" w:after="100" w:afterAutospacing="1" w:line="240" w:lineRule="auto"/>
    </w:pPr>
    <w:rPr>
      <w:rFonts w:ascii="Times New Roman" w:hAnsi="Times New Roman"/>
      <w:color w:val="auto"/>
      <w:spacing w:val="0"/>
      <w:sz w:val="24"/>
      <w:lang w:eastAsia="en-AU"/>
    </w:rPr>
  </w:style>
  <w:style w:type="character" w:customStyle="1" w:styleId="FooterChar">
    <w:name w:val="Footer Char"/>
    <w:basedOn w:val="DefaultParagraphFont"/>
    <w:link w:val="Footer"/>
    <w:uiPriority w:val="99"/>
    <w:rsid w:val="00682B9F"/>
    <w:rPr>
      <w:rFonts w:ascii="Arial" w:hAnsi="Arial"/>
      <w:b/>
      <w:color w:val="D2000B"/>
      <w:szCs w:val="14"/>
      <w:lang w:eastAsia="en-US"/>
    </w:rPr>
  </w:style>
  <w:style w:type="paragraph" w:styleId="FootnoteText">
    <w:name w:val="footnote text"/>
    <w:basedOn w:val="Normal"/>
    <w:link w:val="FootnoteTextChar"/>
    <w:rsid w:val="00383D2B"/>
    <w:pPr>
      <w:spacing w:before="0" w:after="0" w:line="240" w:lineRule="auto"/>
    </w:pPr>
    <w:rPr>
      <w:sz w:val="20"/>
      <w:szCs w:val="20"/>
    </w:rPr>
  </w:style>
  <w:style w:type="character" w:customStyle="1" w:styleId="FootnoteTextChar">
    <w:name w:val="Footnote Text Char"/>
    <w:basedOn w:val="DefaultParagraphFont"/>
    <w:link w:val="FootnoteText"/>
    <w:rsid w:val="00383D2B"/>
    <w:rPr>
      <w:rFonts w:ascii="Arial" w:hAnsi="Arial"/>
      <w:color w:val="3B3C3C"/>
      <w:spacing w:val="4"/>
      <w:lang w:eastAsia="en-US"/>
    </w:rPr>
  </w:style>
  <w:style w:type="character" w:styleId="FootnoteReference">
    <w:name w:val="footnote reference"/>
    <w:basedOn w:val="DefaultParagraphFont"/>
    <w:rsid w:val="00383D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D3E"/>
    <w:pPr>
      <w:spacing w:before="90" w:after="178" w:line="262" w:lineRule="atLeast"/>
    </w:pPr>
    <w:rPr>
      <w:rFonts w:ascii="Arial" w:hAnsi="Arial"/>
      <w:color w:val="3B3C3C"/>
      <w:spacing w:val="4"/>
      <w:sz w:val="18"/>
      <w:szCs w:val="24"/>
      <w:lang w:eastAsia="en-US"/>
    </w:rPr>
  </w:style>
  <w:style w:type="paragraph" w:styleId="Heading1">
    <w:name w:val="heading 1"/>
    <w:basedOn w:val="Normal"/>
    <w:next w:val="Normal"/>
    <w:qFormat/>
    <w:rsid w:val="00F471E5"/>
    <w:pPr>
      <w:keepNext/>
      <w:spacing w:after="60" w:line="450" w:lineRule="atLeast"/>
      <w:outlineLvl w:val="0"/>
    </w:pPr>
    <w:rPr>
      <w:rFonts w:cs="Arial"/>
      <w:bCs/>
      <w:color w:val="D2000B"/>
      <w:kern w:val="32"/>
      <w:sz w:val="36"/>
      <w:szCs w:val="36"/>
    </w:rPr>
  </w:style>
  <w:style w:type="paragraph" w:styleId="Heading2">
    <w:name w:val="heading 2"/>
    <w:basedOn w:val="Normal"/>
    <w:next w:val="Normal"/>
    <w:qFormat/>
    <w:rsid w:val="002335EA"/>
    <w:pPr>
      <w:keepNext/>
      <w:spacing w:before="430" w:after="60" w:line="240" w:lineRule="auto"/>
      <w:outlineLvl w:val="1"/>
    </w:pPr>
    <w:rPr>
      <w:rFonts w:cs="Arial"/>
      <w:bCs/>
      <w:iCs/>
      <w:color w:val="D2000B"/>
      <w:sz w:val="28"/>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7F7"/>
    <w:pPr>
      <w:tabs>
        <w:tab w:val="center" w:pos="4320"/>
        <w:tab w:val="right" w:pos="8640"/>
      </w:tabs>
      <w:spacing w:before="0" w:after="0" w:line="240" w:lineRule="auto"/>
    </w:pPr>
  </w:style>
  <w:style w:type="paragraph" w:styleId="Footer">
    <w:name w:val="footer"/>
    <w:basedOn w:val="Normal"/>
    <w:link w:val="FooterChar"/>
    <w:uiPriority w:val="99"/>
    <w:rsid w:val="00B10E5F"/>
    <w:pPr>
      <w:tabs>
        <w:tab w:val="right" w:pos="8640"/>
      </w:tabs>
      <w:spacing w:before="0" w:after="0" w:line="240" w:lineRule="auto"/>
    </w:pPr>
    <w:rPr>
      <w:b/>
      <w:color w:val="D2000B"/>
      <w:spacing w:val="0"/>
      <w:sz w:val="20"/>
      <w:szCs w:val="14"/>
    </w:rPr>
  </w:style>
  <w:style w:type="paragraph" w:customStyle="1" w:styleId="NewsLetterTitle">
    <w:name w:val="NewsLetter Title"/>
    <w:basedOn w:val="Normal"/>
    <w:next w:val="NewsLetterSub-Title"/>
    <w:rsid w:val="00923D3E"/>
    <w:pPr>
      <w:spacing w:before="0" w:after="0" w:line="556" w:lineRule="exact"/>
    </w:pPr>
    <w:rPr>
      <w:color w:val="D2000B"/>
      <w:spacing w:val="-28"/>
      <w:sz w:val="56"/>
      <w:szCs w:val="56"/>
    </w:rPr>
  </w:style>
  <w:style w:type="paragraph" w:customStyle="1" w:styleId="NewsLetterSub-Title">
    <w:name w:val="NewsLetter Sub-Title"/>
    <w:basedOn w:val="Normal"/>
    <w:rsid w:val="00923D3E"/>
    <w:pPr>
      <w:spacing w:before="0"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uiPriority w:val="99"/>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D2000B"/>
      <w:spacing w:val="4"/>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9A3379"/>
    <w:pPr>
      <w:numPr>
        <w:numId w:val="4"/>
      </w:numPr>
      <w:tabs>
        <w:tab w:val="clear" w:pos="380"/>
        <w:tab w:val="num" w:pos="192"/>
      </w:tabs>
      <w:spacing w:before="0" w:after="56" w:line="240" w:lineRule="auto"/>
      <w:ind w:left="192" w:hanging="192"/>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before="0"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before="0"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before="0" w:after="0" w:line="240" w:lineRule="auto"/>
    </w:pPr>
  </w:style>
  <w:style w:type="paragraph" w:customStyle="1" w:styleId="fltPictureCaption">
    <w:name w:val="flt Picture Caption"/>
    <w:basedOn w:val="Normal"/>
    <w:rsid w:val="009A0507"/>
    <w:pPr>
      <w:framePr w:hSpace="181" w:wrap="around" w:vAnchor="page" w:hAnchor="page" w:x="7825" w:y="5897"/>
      <w:spacing w:before="0" w:after="0" w:line="220" w:lineRule="exact"/>
    </w:pPr>
    <w:rPr>
      <w:spacing w:val="0"/>
      <w:sz w:val="16"/>
    </w:rPr>
  </w:style>
  <w:style w:type="paragraph" w:customStyle="1" w:styleId="PageNum">
    <w:name w:val="PageNum"/>
    <w:basedOn w:val="Normal"/>
    <w:rsid w:val="00B10E5F"/>
    <w:pPr>
      <w:spacing w:before="0" w:after="0" w:line="240" w:lineRule="auto"/>
      <w:jc w:val="right"/>
    </w:pPr>
    <w:rPr>
      <w:color w:val="D2000B"/>
      <w:sz w:val="20"/>
      <w:szCs w:val="20"/>
    </w:rPr>
  </w:style>
  <w:style w:type="paragraph" w:styleId="BalloonText">
    <w:name w:val="Balloon Text"/>
    <w:basedOn w:val="Normal"/>
    <w:link w:val="BalloonTextChar"/>
    <w:rsid w:val="005A1BA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A1BA2"/>
    <w:rPr>
      <w:rFonts w:ascii="Tahoma" w:hAnsi="Tahoma" w:cs="Tahoma"/>
      <w:color w:val="3B3C3C"/>
      <w:spacing w:val="4"/>
      <w:sz w:val="16"/>
      <w:szCs w:val="16"/>
      <w:lang w:eastAsia="en-US"/>
    </w:rPr>
  </w:style>
  <w:style w:type="paragraph" w:styleId="ListParagraph">
    <w:name w:val="List Paragraph"/>
    <w:basedOn w:val="Normal"/>
    <w:uiPriority w:val="34"/>
    <w:qFormat/>
    <w:rsid w:val="007E16C0"/>
    <w:pPr>
      <w:ind w:left="720"/>
      <w:contextualSpacing/>
    </w:pPr>
  </w:style>
  <w:style w:type="paragraph" w:styleId="NormalWeb">
    <w:name w:val="Normal (Web)"/>
    <w:basedOn w:val="Normal"/>
    <w:uiPriority w:val="99"/>
    <w:unhideWhenUsed/>
    <w:rsid w:val="00180241"/>
    <w:pPr>
      <w:spacing w:before="100" w:beforeAutospacing="1" w:after="100" w:afterAutospacing="1" w:line="240" w:lineRule="auto"/>
    </w:pPr>
    <w:rPr>
      <w:rFonts w:ascii="Times New Roman" w:hAnsi="Times New Roman"/>
      <w:color w:val="auto"/>
      <w:spacing w:val="0"/>
      <w:sz w:val="24"/>
      <w:lang w:eastAsia="en-AU"/>
    </w:rPr>
  </w:style>
  <w:style w:type="character" w:customStyle="1" w:styleId="FooterChar">
    <w:name w:val="Footer Char"/>
    <w:basedOn w:val="DefaultParagraphFont"/>
    <w:link w:val="Footer"/>
    <w:uiPriority w:val="99"/>
    <w:rsid w:val="00682B9F"/>
    <w:rPr>
      <w:rFonts w:ascii="Arial" w:hAnsi="Arial"/>
      <w:b/>
      <w:color w:val="D2000B"/>
      <w:szCs w:val="14"/>
      <w:lang w:eastAsia="en-US"/>
    </w:rPr>
  </w:style>
  <w:style w:type="paragraph" w:styleId="FootnoteText">
    <w:name w:val="footnote text"/>
    <w:basedOn w:val="Normal"/>
    <w:link w:val="FootnoteTextChar"/>
    <w:rsid w:val="00383D2B"/>
    <w:pPr>
      <w:spacing w:before="0" w:after="0" w:line="240" w:lineRule="auto"/>
    </w:pPr>
    <w:rPr>
      <w:sz w:val="20"/>
      <w:szCs w:val="20"/>
    </w:rPr>
  </w:style>
  <w:style w:type="character" w:customStyle="1" w:styleId="FootnoteTextChar">
    <w:name w:val="Footnote Text Char"/>
    <w:basedOn w:val="DefaultParagraphFont"/>
    <w:link w:val="FootnoteText"/>
    <w:rsid w:val="00383D2B"/>
    <w:rPr>
      <w:rFonts w:ascii="Arial" w:hAnsi="Arial"/>
      <w:color w:val="3B3C3C"/>
      <w:spacing w:val="4"/>
      <w:lang w:eastAsia="en-US"/>
    </w:rPr>
  </w:style>
  <w:style w:type="character" w:styleId="FootnoteReference">
    <w:name w:val="footnote reference"/>
    <w:basedOn w:val="DefaultParagraphFont"/>
    <w:rsid w:val="00383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654">
      <w:bodyDiv w:val="1"/>
      <w:marLeft w:val="0"/>
      <w:marRight w:val="0"/>
      <w:marTop w:val="0"/>
      <w:marBottom w:val="0"/>
      <w:divBdr>
        <w:top w:val="none" w:sz="0" w:space="0" w:color="auto"/>
        <w:left w:val="none" w:sz="0" w:space="0" w:color="auto"/>
        <w:bottom w:val="none" w:sz="0" w:space="0" w:color="auto"/>
        <w:right w:val="none" w:sz="0" w:space="0" w:color="auto"/>
      </w:divBdr>
    </w:div>
    <w:div w:id="142893708">
      <w:bodyDiv w:val="1"/>
      <w:marLeft w:val="0"/>
      <w:marRight w:val="0"/>
      <w:marTop w:val="0"/>
      <w:marBottom w:val="0"/>
      <w:divBdr>
        <w:top w:val="none" w:sz="0" w:space="0" w:color="auto"/>
        <w:left w:val="none" w:sz="0" w:space="0" w:color="auto"/>
        <w:bottom w:val="none" w:sz="0" w:space="0" w:color="auto"/>
        <w:right w:val="none" w:sz="0" w:space="0" w:color="auto"/>
      </w:divBdr>
    </w:div>
    <w:div w:id="235170109">
      <w:bodyDiv w:val="1"/>
      <w:marLeft w:val="0"/>
      <w:marRight w:val="0"/>
      <w:marTop w:val="0"/>
      <w:marBottom w:val="0"/>
      <w:divBdr>
        <w:top w:val="none" w:sz="0" w:space="0" w:color="auto"/>
        <w:left w:val="none" w:sz="0" w:space="0" w:color="auto"/>
        <w:bottom w:val="none" w:sz="0" w:space="0" w:color="auto"/>
        <w:right w:val="none" w:sz="0" w:space="0" w:color="auto"/>
      </w:divBdr>
    </w:div>
    <w:div w:id="341010756">
      <w:bodyDiv w:val="1"/>
      <w:marLeft w:val="0"/>
      <w:marRight w:val="0"/>
      <w:marTop w:val="0"/>
      <w:marBottom w:val="0"/>
      <w:divBdr>
        <w:top w:val="none" w:sz="0" w:space="0" w:color="auto"/>
        <w:left w:val="none" w:sz="0" w:space="0" w:color="auto"/>
        <w:bottom w:val="none" w:sz="0" w:space="0" w:color="auto"/>
        <w:right w:val="none" w:sz="0" w:space="0" w:color="auto"/>
      </w:divBdr>
    </w:div>
    <w:div w:id="820853190">
      <w:bodyDiv w:val="1"/>
      <w:marLeft w:val="0"/>
      <w:marRight w:val="0"/>
      <w:marTop w:val="0"/>
      <w:marBottom w:val="0"/>
      <w:divBdr>
        <w:top w:val="none" w:sz="0" w:space="0" w:color="auto"/>
        <w:left w:val="none" w:sz="0" w:space="0" w:color="auto"/>
        <w:bottom w:val="none" w:sz="0" w:space="0" w:color="auto"/>
        <w:right w:val="none" w:sz="0" w:space="0" w:color="auto"/>
      </w:divBdr>
      <w:divsChild>
        <w:div w:id="1910576854">
          <w:marLeft w:val="274"/>
          <w:marRight w:val="0"/>
          <w:marTop w:val="86"/>
          <w:marBottom w:val="0"/>
          <w:divBdr>
            <w:top w:val="none" w:sz="0" w:space="0" w:color="auto"/>
            <w:left w:val="none" w:sz="0" w:space="0" w:color="auto"/>
            <w:bottom w:val="none" w:sz="0" w:space="0" w:color="auto"/>
            <w:right w:val="none" w:sz="0" w:space="0" w:color="auto"/>
          </w:divBdr>
        </w:div>
      </w:divsChild>
    </w:div>
    <w:div w:id="844517204">
      <w:bodyDiv w:val="1"/>
      <w:marLeft w:val="0"/>
      <w:marRight w:val="0"/>
      <w:marTop w:val="0"/>
      <w:marBottom w:val="0"/>
      <w:divBdr>
        <w:top w:val="none" w:sz="0" w:space="0" w:color="auto"/>
        <w:left w:val="none" w:sz="0" w:space="0" w:color="auto"/>
        <w:bottom w:val="none" w:sz="0" w:space="0" w:color="auto"/>
        <w:right w:val="none" w:sz="0" w:space="0" w:color="auto"/>
      </w:divBdr>
    </w:div>
    <w:div w:id="1059089597">
      <w:bodyDiv w:val="1"/>
      <w:marLeft w:val="0"/>
      <w:marRight w:val="0"/>
      <w:marTop w:val="0"/>
      <w:marBottom w:val="0"/>
      <w:divBdr>
        <w:top w:val="none" w:sz="0" w:space="0" w:color="auto"/>
        <w:left w:val="none" w:sz="0" w:space="0" w:color="auto"/>
        <w:bottom w:val="none" w:sz="0" w:space="0" w:color="auto"/>
        <w:right w:val="none" w:sz="0" w:space="0" w:color="auto"/>
      </w:divBdr>
    </w:div>
    <w:div w:id="1627658332">
      <w:bodyDiv w:val="1"/>
      <w:marLeft w:val="0"/>
      <w:marRight w:val="0"/>
      <w:marTop w:val="0"/>
      <w:marBottom w:val="0"/>
      <w:divBdr>
        <w:top w:val="none" w:sz="0" w:space="0" w:color="auto"/>
        <w:left w:val="none" w:sz="0" w:space="0" w:color="auto"/>
        <w:bottom w:val="none" w:sz="0" w:space="0" w:color="auto"/>
        <w:right w:val="none" w:sz="0" w:space="0" w:color="auto"/>
      </w:divBdr>
    </w:div>
    <w:div w:id="1910841555">
      <w:bodyDiv w:val="1"/>
      <w:marLeft w:val="0"/>
      <w:marRight w:val="0"/>
      <w:marTop w:val="0"/>
      <w:marBottom w:val="0"/>
      <w:divBdr>
        <w:top w:val="none" w:sz="0" w:space="0" w:color="auto"/>
        <w:left w:val="none" w:sz="0" w:space="0" w:color="auto"/>
        <w:bottom w:val="none" w:sz="0" w:space="0" w:color="auto"/>
        <w:right w:val="none" w:sz="0" w:space="0" w:color="auto"/>
      </w:divBdr>
      <w:divsChild>
        <w:div w:id="215240239">
          <w:marLeft w:val="0"/>
          <w:marRight w:val="0"/>
          <w:marTop w:val="0"/>
          <w:marBottom w:val="0"/>
          <w:divBdr>
            <w:top w:val="none" w:sz="0" w:space="0" w:color="auto"/>
            <w:left w:val="none" w:sz="0" w:space="0" w:color="auto"/>
            <w:bottom w:val="none" w:sz="0" w:space="0" w:color="auto"/>
            <w:right w:val="none" w:sz="0" w:space="0" w:color="auto"/>
          </w:divBdr>
          <w:divsChild>
            <w:div w:id="1318728608">
              <w:marLeft w:val="0"/>
              <w:marRight w:val="0"/>
              <w:marTop w:val="0"/>
              <w:marBottom w:val="0"/>
              <w:divBdr>
                <w:top w:val="none" w:sz="0" w:space="0" w:color="auto"/>
                <w:left w:val="none" w:sz="0" w:space="0" w:color="auto"/>
                <w:bottom w:val="none" w:sz="0" w:space="0" w:color="auto"/>
                <w:right w:val="none" w:sz="0" w:space="0" w:color="auto"/>
              </w:divBdr>
              <w:divsChild>
                <w:div w:id="1319310987">
                  <w:marLeft w:val="0"/>
                  <w:marRight w:val="0"/>
                  <w:marTop w:val="0"/>
                  <w:marBottom w:val="0"/>
                  <w:divBdr>
                    <w:top w:val="none" w:sz="0" w:space="0" w:color="auto"/>
                    <w:left w:val="none" w:sz="0" w:space="0" w:color="auto"/>
                    <w:bottom w:val="none" w:sz="0" w:space="0" w:color="auto"/>
                    <w:right w:val="none" w:sz="0" w:space="0" w:color="auto"/>
                  </w:divBdr>
                  <w:divsChild>
                    <w:div w:id="2016035436">
                      <w:marLeft w:val="0"/>
                      <w:marRight w:val="0"/>
                      <w:marTop w:val="0"/>
                      <w:marBottom w:val="0"/>
                      <w:divBdr>
                        <w:top w:val="none" w:sz="0" w:space="0" w:color="auto"/>
                        <w:left w:val="none" w:sz="0" w:space="0" w:color="auto"/>
                        <w:bottom w:val="none" w:sz="0" w:space="0" w:color="auto"/>
                        <w:right w:val="none" w:sz="0" w:space="0" w:color="auto"/>
                      </w:divBdr>
                      <w:divsChild>
                        <w:div w:id="1281379660">
                          <w:marLeft w:val="0"/>
                          <w:marRight w:val="0"/>
                          <w:marTop w:val="0"/>
                          <w:marBottom w:val="0"/>
                          <w:divBdr>
                            <w:top w:val="none" w:sz="0" w:space="0" w:color="auto"/>
                            <w:left w:val="none" w:sz="0" w:space="0" w:color="auto"/>
                            <w:bottom w:val="none" w:sz="0" w:space="0" w:color="auto"/>
                            <w:right w:val="none" w:sz="0" w:space="0" w:color="auto"/>
                          </w:divBdr>
                          <w:divsChild>
                            <w:div w:id="1296065161">
                              <w:marLeft w:val="0"/>
                              <w:marRight w:val="0"/>
                              <w:marTop w:val="0"/>
                              <w:marBottom w:val="0"/>
                              <w:divBdr>
                                <w:top w:val="none" w:sz="0" w:space="0" w:color="auto"/>
                                <w:left w:val="none" w:sz="0" w:space="0" w:color="auto"/>
                                <w:bottom w:val="none" w:sz="0" w:space="0" w:color="auto"/>
                                <w:right w:val="none" w:sz="0" w:space="0" w:color="auto"/>
                              </w:divBdr>
                              <w:divsChild>
                                <w:div w:id="932396996">
                                  <w:marLeft w:val="0"/>
                                  <w:marRight w:val="0"/>
                                  <w:marTop w:val="0"/>
                                  <w:marBottom w:val="0"/>
                                  <w:divBdr>
                                    <w:top w:val="none" w:sz="0" w:space="0" w:color="auto"/>
                                    <w:left w:val="none" w:sz="0" w:space="0" w:color="auto"/>
                                    <w:bottom w:val="none" w:sz="0" w:space="0" w:color="auto"/>
                                    <w:right w:val="none" w:sz="0" w:space="0" w:color="auto"/>
                                  </w:divBdr>
                                  <w:divsChild>
                                    <w:div w:id="350188220">
                                      <w:marLeft w:val="0"/>
                                      <w:marRight w:val="0"/>
                                      <w:marTop w:val="0"/>
                                      <w:marBottom w:val="0"/>
                                      <w:divBdr>
                                        <w:top w:val="none" w:sz="0" w:space="0" w:color="auto"/>
                                        <w:left w:val="none" w:sz="0" w:space="0" w:color="auto"/>
                                        <w:bottom w:val="none" w:sz="0" w:space="0" w:color="auto"/>
                                        <w:right w:val="none" w:sz="0" w:space="0" w:color="auto"/>
                                      </w:divBdr>
                                      <w:divsChild>
                                        <w:div w:id="869535956">
                                          <w:marLeft w:val="0"/>
                                          <w:marRight w:val="0"/>
                                          <w:marTop w:val="0"/>
                                          <w:marBottom w:val="0"/>
                                          <w:divBdr>
                                            <w:top w:val="none" w:sz="0" w:space="0" w:color="auto"/>
                                            <w:left w:val="none" w:sz="0" w:space="0" w:color="auto"/>
                                            <w:bottom w:val="none" w:sz="0" w:space="0" w:color="auto"/>
                                            <w:right w:val="none" w:sz="0" w:space="0" w:color="auto"/>
                                          </w:divBdr>
                                          <w:divsChild>
                                            <w:div w:id="1099104781">
                                              <w:marLeft w:val="0"/>
                                              <w:marRight w:val="0"/>
                                              <w:marTop w:val="0"/>
                                              <w:marBottom w:val="0"/>
                                              <w:divBdr>
                                                <w:top w:val="none" w:sz="0" w:space="0" w:color="auto"/>
                                                <w:left w:val="none" w:sz="0" w:space="0" w:color="auto"/>
                                                <w:bottom w:val="none" w:sz="0" w:space="0" w:color="auto"/>
                                                <w:right w:val="none" w:sz="0" w:space="0" w:color="auto"/>
                                              </w:divBdr>
                                              <w:divsChild>
                                                <w:div w:id="1534926755">
                                                  <w:marLeft w:val="0"/>
                                                  <w:marRight w:val="0"/>
                                                  <w:marTop w:val="0"/>
                                                  <w:marBottom w:val="0"/>
                                                  <w:divBdr>
                                                    <w:top w:val="none" w:sz="0" w:space="0" w:color="auto"/>
                                                    <w:left w:val="none" w:sz="0" w:space="0" w:color="auto"/>
                                                    <w:bottom w:val="none" w:sz="0" w:space="0" w:color="auto"/>
                                                    <w:right w:val="none" w:sz="0" w:space="0" w:color="auto"/>
                                                  </w:divBdr>
                                                  <w:divsChild>
                                                    <w:div w:id="578369025">
                                                      <w:marLeft w:val="0"/>
                                                      <w:marRight w:val="0"/>
                                                      <w:marTop w:val="0"/>
                                                      <w:marBottom w:val="0"/>
                                                      <w:divBdr>
                                                        <w:top w:val="none" w:sz="0" w:space="0" w:color="auto"/>
                                                        <w:left w:val="none" w:sz="0" w:space="0" w:color="auto"/>
                                                        <w:bottom w:val="none" w:sz="0" w:space="0" w:color="auto"/>
                                                        <w:right w:val="none" w:sz="0" w:space="0" w:color="auto"/>
                                                      </w:divBdr>
                                                      <w:divsChild>
                                                        <w:div w:id="1207991522">
                                                          <w:marLeft w:val="0"/>
                                                          <w:marRight w:val="0"/>
                                                          <w:marTop w:val="0"/>
                                                          <w:marBottom w:val="0"/>
                                                          <w:divBdr>
                                                            <w:top w:val="none" w:sz="0" w:space="0" w:color="auto"/>
                                                            <w:left w:val="none" w:sz="0" w:space="0" w:color="auto"/>
                                                            <w:bottom w:val="none" w:sz="0" w:space="0" w:color="auto"/>
                                                            <w:right w:val="none" w:sz="0" w:space="0" w:color="auto"/>
                                                          </w:divBdr>
                                                          <w:divsChild>
                                                            <w:div w:id="158547824">
                                                              <w:marLeft w:val="0"/>
                                                              <w:marRight w:val="0"/>
                                                              <w:marTop w:val="0"/>
                                                              <w:marBottom w:val="0"/>
                                                              <w:divBdr>
                                                                <w:top w:val="none" w:sz="0" w:space="0" w:color="auto"/>
                                                                <w:left w:val="none" w:sz="0" w:space="0" w:color="auto"/>
                                                                <w:bottom w:val="none" w:sz="0" w:space="0" w:color="auto"/>
                                                                <w:right w:val="none" w:sz="0" w:space="0" w:color="auto"/>
                                                              </w:divBdr>
                                                              <w:divsChild>
                                                                <w:div w:id="2128156000">
                                                                  <w:marLeft w:val="0"/>
                                                                  <w:marRight w:val="0"/>
                                                                  <w:marTop w:val="0"/>
                                                                  <w:marBottom w:val="0"/>
                                                                  <w:divBdr>
                                                                    <w:top w:val="none" w:sz="0" w:space="0" w:color="auto"/>
                                                                    <w:left w:val="none" w:sz="0" w:space="0" w:color="auto"/>
                                                                    <w:bottom w:val="none" w:sz="0" w:space="0" w:color="auto"/>
                                                                    <w:right w:val="none" w:sz="0" w:space="0" w:color="auto"/>
                                                                  </w:divBdr>
                                                                  <w:divsChild>
                                                                    <w:div w:id="16320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6.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2.xml"/><Relationship Id="rId5" Type="http://schemas.microsoft.com/office/2007/relationships/stylesWithEffects" Target="stylesWithEffect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Performance Report HESG contribution v2">
  <a:themeElements>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fontScheme name="KPMG Theme">
      <a:majorFont>
        <a:latin typeface="Arial"/>
        <a:ea typeface=""/>
        <a:cs typeface=""/>
      </a:majorFont>
      <a:minorFont>
        <a:latin typeface="Arial"/>
        <a:ea typeface=""/>
        <a:cs typeface=""/>
      </a:minorFont>
    </a:fontScheme>
    <a:fmtScheme name="KPMG Theme">
      <a:fillStyleLst>
        <a:solidFill>
          <a:schemeClr val="phClr"/>
        </a:solidFill>
        <a:solidFill>
          <a:schemeClr val="phClr">
            <a:tint val="0"/>
          </a:schemeClr>
        </a:solidFill>
        <a:solidFill>
          <a:schemeClr val="phClr"/>
        </a:solidFill>
      </a:fillStyleLst>
      <a:lnStyleLst>
        <a:ln w="6350" cap="rnd" cmpd="sng" algn="ctr">
          <a:solidFill>
            <a:schemeClr val="phClr"/>
          </a:solidFill>
          <a:prstDash val="solid"/>
        </a:ln>
        <a:ln w="12700" cap="rnd" cmpd="sng" algn="ctr">
          <a:solidFill>
            <a:schemeClr val="phClr"/>
          </a:solidFill>
          <a:prstDash val="solid"/>
        </a:ln>
        <a:ln w="1905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747678"/>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1000" dirty="0" err="1" smtClean="0"/>
        </a:defPPr>
      </a:lstStyle>
    </a:txDef>
  </a:objectDefaults>
  <a:extraClrSchemeLst>
    <a:extraClrScheme>
      <a:clrScheme name="KPMG Colours">
        <a:dk1>
          <a:srgbClr val="000000"/>
        </a:dk1>
        <a:lt1>
          <a:srgbClr val="FFFFFF"/>
        </a:lt1>
        <a:dk2>
          <a:srgbClr val="007C92"/>
        </a:dk2>
        <a:lt2>
          <a:srgbClr val="747678"/>
        </a:lt2>
        <a:accent1>
          <a:srgbClr val="8E258D"/>
        </a:accent1>
        <a:accent2>
          <a:srgbClr val="A79E70"/>
        </a:accent2>
        <a:accent3>
          <a:srgbClr val="7AB800"/>
        </a:accent3>
        <a:accent4>
          <a:srgbClr val="00338D"/>
        </a:accent4>
        <a:accent5>
          <a:srgbClr val="C84E00"/>
        </a:accent5>
        <a:accent6>
          <a:srgbClr val="EBB700"/>
        </a:accent6>
        <a:hlink>
          <a:srgbClr val="007C92"/>
        </a:hlink>
        <a:folHlink>
          <a:srgbClr val="8E258D"/>
        </a:folHlink>
      </a:clrScheme>
    </a:extraClrScheme>
  </a:extraClrSchemeLst>
  <a:custClrLst>
    <a:custClr name="Turquoise 100%">
      <a:srgbClr val="007C92"/>
    </a:custClr>
    <a:custClr name="Deep Purple 100%">
      <a:srgbClr val="8E258D"/>
    </a:custClr>
    <a:custClr name="Tan 100%">
      <a:srgbClr val="A79E70"/>
    </a:custClr>
    <a:custClr name="Bright Green 100%">
      <a:srgbClr val="7AB800"/>
    </a:custClr>
    <a:custClr name="Deep Blue 100%">
      <a:srgbClr val="00338D"/>
    </a:custClr>
    <a:custClr name="Orange 100%">
      <a:srgbClr val="C84E00"/>
    </a:custClr>
    <a:custClr name="Bright Yellow 100%">
      <a:srgbClr val="EBB700"/>
    </a:custClr>
    <a:custClr name="Powder Blue 100%">
      <a:srgbClr val="98C6EA"/>
    </a:custClr>
    <a:custClr name="Gray 100%">
      <a:srgbClr val="747678"/>
    </a:custClr>
    <a:custClr name="Red 100%">
      <a:srgbClr val="9E3039"/>
    </a:custClr>
    <a:custClr name="Turquoise 75%">
      <a:srgbClr val="409DAD"/>
    </a:custClr>
    <a:custClr name="Deep Purple 75%">
      <a:srgbClr val="AA5CAA"/>
    </a:custClr>
    <a:custClr name="Tan 75%">
      <a:srgbClr val="BDB694"/>
    </a:custClr>
    <a:custClr name="Bright Green 75%">
      <a:srgbClr val="9BCA40"/>
    </a:custClr>
    <a:custClr name="Deep Blue 75%">
      <a:srgbClr val="4066AA"/>
    </a:custClr>
    <a:custClr name="Orange 75%">
      <a:srgbClr val="D67A40"/>
    </a:custClr>
    <a:custClr name="Bright Yellow 75%">
      <a:srgbClr val="F0C940"/>
    </a:custClr>
    <a:custClr name="Powder Blue 75%">
      <a:srgbClr val="B2D4EF"/>
    </a:custClr>
    <a:custClr name="Gray 75%">
      <a:srgbClr val="97989A"/>
    </a:custClr>
    <a:custClr name="Red 75%">
      <a:srgbClr val="B6646B"/>
    </a:custClr>
    <a:custClr name="Turquoise 50%">
      <a:srgbClr val="80BEC9"/>
    </a:custClr>
    <a:custClr name="Deep Purple 50%">
      <a:srgbClr val="C792C6"/>
    </a:custClr>
    <a:custClr name="Tan 50%">
      <a:srgbClr val="D3CFB8"/>
    </a:custClr>
    <a:custClr name="Bright Green 50%">
      <a:srgbClr val="BDDC80"/>
    </a:custClr>
    <a:custClr name="Deep Blue 50%">
      <a:srgbClr val="8099C6"/>
    </a:custClr>
    <a:custClr name="Orange 50%">
      <a:srgbClr val="E3A780"/>
    </a:custClr>
    <a:custClr name="Bright Yellow 50%">
      <a:srgbClr val="F5DB7E"/>
    </a:custClr>
    <a:custClr name="Powder Blue 50%">
      <a:srgbClr val="CCE3F4"/>
    </a:custClr>
    <a:custClr name="Gray 50%">
      <a:srgbClr val="BABBBC"/>
    </a:custClr>
    <a:custClr name="Red 50%">
      <a:srgbClr val="CF989C"/>
    </a:custClr>
    <a:custClr name="Turquoise 25%">
      <a:srgbClr val="BFDEE4"/>
    </a:custClr>
    <a:custClr name="Deep Purple 25%">
      <a:srgbClr val="E3C9E3"/>
    </a:custClr>
    <a:custClr name="Tan 25%">
      <a:srgbClr val="E9E7DB"/>
    </a:custClr>
    <a:custClr name="Bright Green 25%">
      <a:srgbClr val="DEEDBF"/>
    </a:custClr>
    <a:custClr name="Deep Blue 25%">
      <a:srgbClr val="BFCCE3"/>
    </a:custClr>
    <a:custClr name="Orange 25%">
      <a:srgbClr val="F1D3BF"/>
    </a:custClr>
    <a:custClr name="Bright Yellow 25%">
      <a:srgbClr val="FAEDBF"/>
    </a:custClr>
    <a:custClr name="Powder Blue 25%">
      <a:srgbClr val="E5F1FA"/>
    </a:custClr>
    <a:custClr name="Gray 25%">
      <a:srgbClr val="DCDDDD"/>
    </a:custClr>
    <a:custClr name="Red 25%">
      <a:srgbClr val="E7CBCE"/>
    </a:custClr>
    <a:custClr name="Turquoise 10%">
      <a:srgbClr val="E5F2F4"/>
    </a:custClr>
    <a:custClr name="Deep Purple 10%">
      <a:srgbClr val="F3E9F3"/>
    </a:custClr>
    <a:custClr name="Tan 10%">
      <a:srgbClr val="F6F5F0"/>
    </a:custClr>
    <a:custClr name="Bright Green 10%">
      <a:srgbClr val="F1F8E5"/>
    </a:custClr>
    <a:custClr name="Deep Blue 10%">
      <a:srgbClr val="E5EAF3"/>
    </a:custClr>
    <a:custClr name="Orange 10%">
      <a:srgbClr val="F9EDE5"/>
    </a:custClr>
    <a:custClr name="Bright Yellow 10%">
      <a:srgbClr val="FDF8E5"/>
    </a:custClr>
    <a:custClr name="Powder Blue 10%">
      <a:srgbClr val="F4F9FD"/>
    </a:custClr>
    <a:custClr name="Gray 10%">
      <a:srgbClr val="F1F1F1"/>
    </a:custClr>
    <a:custClr name="Red 10%">
      <a:srgbClr val="F5EAE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95</Value>
      <Value>94</Value>
      <Value>128</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Pamphlet / Booklet</TermName>
          <TermId xmlns="http://schemas.microsoft.com/office/infopath/2007/PartnerControls">48e269a2-dfe8-4769-952a-34e73334c682</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11D0D0D-2EC4-4919-9765-CC9AE2A2ADDB}"/>
</file>

<file path=customXml/itemProps2.xml><?xml version="1.0" encoding="utf-8"?>
<ds:datastoreItem xmlns:ds="http://schemas.openxmlformats.org/officeDocument/2006/customXml" ds:itemID="{D691F54F-9EEC-4FB7-B9E0-1A5998D80EF8}"/>
</file>

<file path=customXml/itemProps3.xml><?xml version="1.0" encoding="utf-8"?>
<ds:datastoreItem xmlns:ds="http://schemas.openxmlformats.org/officeDocument/2006/customXml" ds:itemID="{65FAE8F6-136B-4A59-AA71-A2D26AA0A148}"/>
</file>

<file path=customXml/itemProps4.xml><?xml version="1.0" encoding="utf-8"?>
<ds:datastoreItem xmlns:ds="http://schemas.openxmlformats.org/officeDocument/2006/customXml" ds:itemID="{3F3ACECC-A027-4908-9202-52C6EB7897C3}"/>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Vocational Education &amp; Training Market - Quarter 1 2013</dc:title>
  <dc:creator>Author</dc:creator>
  <cp:lastModifiedBy>Miller, Peter A</cp:lastModifiedBy>
  <cp:revision>2</cp:revision>
  <cp:lastPrinted>2013-06-21T00:06:00Z</cp:lastPrinted>
  <dcterms:created xsi:type="dcterms:W3CDTF">2013-06-25T04:07:00Z</dcterms:created>
  <dcterms:modified xsi:type="dcterms:W3CDTF">2013-06-25T04:07:00Z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95;#Pamphlet / Booklet|48e269a2-dfe8-4769-952a-34e73334c682</vt:lpwstr>
  </property>
  <property fmtid="{D5CDD505-2E9C-101B-9397-08002B2CF9AE}" pid="9" name="DEECD_Audience">
    <vt:lpwstr>128;#Training Providers|4678ec9c-7948-40c9-b14d-b0149fe9985e</vt:lpwstr>
  </property>
</Properties>
</file>